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0B6B" w14:textId="77777777" w:rsidR="0057640A" w:rsidRPr="0021030B" w:rsidRDefault="0057640A" w:rsidP="0057640A">
      <w:pPr>
        <w:spacing w:line="360" w:lineRule="auto"/>
        <w:rPr>
          <w:rFonts w:cs="Times New Roman"/>
          <w:b/>
          <w:sz w:val="28"/>
          <w:szCs w:val="24"/>
          <w:lang w:val="en-US"/>
        </w:rPr>
      </w:pPr>
      <w:r w:rsidRPr="0021030B">
        <w:rPr>
          <w:rFonts w:cs="Times New Roman"/>
          <w:b/>
          <w:sz w:val="28"/>
          <w:szCs w:val="24"/>
          <w:lang w:val="en-US"/>
        </w:rPr>
        <w:t>Full squat produces greater neuromuscular and functional adaptations and lower pain than partial squats after prolonged resistance training</w:t>
      </w:r>
    </w:p>
    <w:p w14:paraId="052B405B" w14:textId="65DEC532" w:rsidR="0021030B" w:rsidRPr="0021030B" w:rsidRDefault="0021030B" w:rsidP="0021030B">
      <w:pPr>
        <w:autoSpaceDE w:val="0"/>
        <w:autoSpaceDN w:val="0"/>
        <w:adjustRightInd w:val="0"/>
        <w:spacing w:after="0" w:line="240" w:lineRule="auto"/>
        <w:rPr>
          <w:rFonts w:cs="Times New Roman"/>
          <w:szCs w:val="24"/>
        </w:rPr>
      </w:pPr>
      <w:r w:rsidRPr="0021030B">
        <w:rPr>
          <w:rFonts w:cs="Times New Roman"/>
          <w:szCs w:val="24"/>
        </w:rPr>
        <w:t>Jesús G. Pallarés</w:t>
      </w:r>
      <w:r w:rsidRPr="0021030B">
        <w:rPr>
          <w:rFonts w:cs="Times New Roman"/>
          <w:szCs w:val="24"/>
          <w:vertAlign w:val="superscript"/>
        </w:rPr>
        <w:t>1</w:t>
      </w:r>
      <w:r w:rsidRPr="0021030B">
        <w:rPr>
          <w:rFonts w:cs="Times New Roman"/>
          <w:szCs w:val="24"/>
        </w:rPr>
        <w:t>, Alejandro M. Cava</w:t>
      </w:r>
      <w:r w:rsidRPr="0021030B">
        <w:rPr>
          <w:rFonts w:cs="Times New Roman"/>
          <w:szCs w:val="24"/>
          <w:vertAlign w:val="superscript"/>
        </w:rPr>
        <w:t>1</w:t>
      </w:r>
      <w:r w:rsidRPr="0021030B">
        <w:rPr>
          <w:rFonts w:cs="Times New Roman"/>
          <w:szCs w:val="24"/>
        </w:rPr>
        <w:t>, Javier Courel-Ibáñez</w:t>
      </w:r>
      <w:r w:rsidRPr="0021030B">
        <w:rPr>
          <w:rFonts w:cs="Times New Roman"/>
          <w:szCs w:val="24"/>
          <w:vertAlign w:val="superscript"/>
        </w:rPr>
        <w:t>1</w:t>
      </w:r>
      <w:r w:rsidRPr="0021030B">
        <w:rPr>
          <w:rFonts w:cs="Times New Roman"/>
          <w:szCs w:val="24"/>
        </w:rPr>
        <w:t>, Juan José</w:t>
      </w:r>
    </w:p>
    <w:p w14:paraId="4644C4B2" w14:textId="2E70FDCE" w:rsidR="0021030B" w:rsidRPr="0021030B" w:rsidRDefault="0021030B" w:rsidP="0021030B">
      <w:pPr>
        <w:spacing w:line="360" w:lineRule="auto"/>
        <w:rPr>
          <w:rFonts w:cs="Times New Roman"/>
          <w:szCs w:val="24"/>
        </w:rPr>
      </w:pPr>
      <w:r w:rsidRPr="0021030B">
        <w:rPr>
          <w:rFonts w:cs="Times New Roman"/>
          <w:szCs w:val="24"/>
        </w:rPr>
        <w:t>González-Badillo</w:t>
      </w:r>
      <w:r w:rsidRPr="0021030B">
        <w:rPr>
          <w:rFonts w:cs="Times New Roman"/>
          <w:szCs w:val="24"/>
          <w:vertAlign w:val="superscript"/>
        </w:rPr>
        <w:t>2</w:t>
      </w:r>
      <w:r w:rsidRPr="0021030B">
        <w:rPr>
          <w:rFonts w:cs="Times New Roman"/>
          <w:szCs w:val="24"/>
        </w:rPr>
        <w:t xml:space="preserve"> &amp; Ricardo Morán-Navarro</w:t>
      </w:r>
      <w:r w:rsidRPr="0021030B">
        <w:rPr>
          <w:rFonts w:cs="Times New Roman"/>
          <w:szCs w:val="24"/>
          <w:vertAlign w:val="superscript"/>
        </w:rPr>
        <w:t>1</w:t>
      </w:r>
    </w:p>
    <w:p w14:paraId="72711729" w14:textId="77777777" w:rsidR="0021030B" w:rsidRPr="0021030B" w:rsidRDefault="0021030B" w:rsidP="0021030B">
      <w:pPr>
        <w:spacing w:line="360" w:lineRule="auto"/>
        <w:rPr>
          <w:rFonts w:cs="Times New Roman"/>
          <w:bCs/>
          <w:sz w:val="22"/>
          <w:szCs w:val="20"/>
          <w:lang w:val="en-US"/>
        </w:rPr>
      </w:pPr>
      <w:r w:rsidRPr="0021030B">
        <w:rPr>
          <w:rFonts w:cs="Times New Roman"/>
          <w:bCs/>
          <w:sz w:val="22"/>
          <w:szCs w:val="20"/>
          <w:vertAlign w:val="superscript"/>
          <w:lang w:val="en-US"/>
        </w:rPr>
        <w:t>1</w:t>
      </w:r>
      <w:r w:rsidRPr="0021030B">
        <w:rPr>
          <w:rFonts w:cs="Times New Roman"/>
          <w:bCs/>
          <w:sz w:val="22"/>
          <w:szCs w:val="20"/>
          <w:lang w:val="en-US"/>
        </w:rPr>
        <w:t>Faculty of Sport Sciences, Human Performance and Sports Science Laboratory, University of Murcia, Murcia, Spain</w:t>
      </w:r>
    </w:p>
    <w:p w14:paraId="09AE8B59" w14:textId="303EC0A4" w:rsidR="0021030B" w:rsidRPr="0021030B" w:rsidRDefault="0021030B" w:rsidP="0021030B">
      <w:pPr>
        <w:spacing w:line="360" w:lineRule="auto"/>
        <w:rPr>
          <w:rFonts w:cs="Times New Roman"/>
          <w:bCs/>
          <w:sz w:val="22"/>
          <w:szCs w:val="20"/>
          <w:lang w:val="en-US"/>
        </w:rPr>
      </w:pPr>
      <w:r w:rsidRPr="0021030B">
        <w:rPr>
          <w:rFonts w:cs="Times New Roman"/>
          <w:bCs/>
          <w:sz w:val="22"/>
          <w:szCs w:val="20"/>
          <w:vertAlign w:val="superscript"/>
          <w:lang w:val="en-US"/>
        </w:rPr>
        <w:t>2</w:t>
      </w:r>
      <w:r w:rsidRPr="0021030B">
        <w:rPr>
          <w:rFonts w:cs="Times New Roman"/>
          <w:bCs/>
          <w:sz w:val="22"/>
          <w:szCs w:val="20"/>
          <w:lang w:val="en-US"/>
        </w:rPr>
        <w:t>Faculty of Sport, Pablo de Olavide University, Seville, Spain</w:t>
      </w:r>
    </w:p>
    <w:p w14:paraId="09879563" w14:textId="31BB397A" w:rsidR="0057640A" w:rsidRPr="0021030B" w:rsidRDefault="00DB48DF" w:rsidP="0057640A">
      <w:pPr>
        <w:spacing w:before="240" w:line="360" w:lineRule="auto"/>
        <w:ind w:left="708"/>
        <w:rPr>
          <w:rFonts w:eastAsia="Times New Roman" w:cs="Times New Roman"/>
          <w:sz w:val="22"/>
          <w:szCs w:val="20"/>
          <w:lang w:val="en-US" w:eastAsia="es-ES"/>
        </w:rPr>
      </w:pPr>
      <w:r w:rsidRPr="0021030B">
        <w:rPr>
          <w:rFonts w:cs="Times New Roman"/>
          <w:sz w:val="22"/>
          <w:szCs w:val="20"/>
          <w:lang w:val="en-US"/>
        </w:rPr>
        <w:t xml:space="preserve">The choice of the optimal </w:t>
      </w:r>
      <w:r w:rsidRPr="0021030B">
        <w:rPr>
          <w:rFonts w:cs="Times New Roman"/>
          <w:bCs/>
          <w:sz w:val="22"/>
          <w:szCs w:val="20"/>
          <w:lang w:val="en-US"/>
        </w:rPr>
        <w:t xml:space="preserve">squatting depth </w:t>
      </w:r>
      <w:r w:rsidRPr="0021030B">
        <w:rPr>
          <w:rFonts w:cs="Times New Roman"/>
          <w:sz w:val="22"/>
          <w:szCs w:val="20"/>
          <w:lang w:val="en-US"/>
        </w:rPr>
        <w:t xml:space="preserve">for resistance training (RT) has been a matter of debate for decades and is still controversial. In this study, </w:t>
      </w:r>
      <w:r w:rsidRPr="0021030B">
        <w:rPr>
          <w:rFonts w:eastAsia="Times New Roman" w:cs="Times New Roman"/>
          <w:sz w:val="22"/>
          <w:szCs w:val="20"/>
          <w:lang w:val="en-US" w:eastAsia="es-ES"/>
        </w:rPr>
        <w:t>f</w:t>
      </w:r>
      <w:r w:rsidR="0073656E" w:rsidRPr="0021030B">
        <w:rPr>
          <w:rFonts w:eastAsia="Times New Roman" w:cs="Times New Roman"/>
          <w:sz w:val="22"/>
          <w:szCs w:val="20"/>
          <w:lang w:val="en-US" w:eastAsia="es-ES"/>
        </w:rPr>
        <w:t xml:space="preserve">ifty-three resistance-trained men were randomly assigned to one of four </w:t>
      </w:r>
      <w:r w:rsidRPr="0021030B">
        <w:rPr>
          <w:rFonts w:eastAsia="Times New Roman" w:cs="Times New Roman"/>
          <w:sz w:val="22"/>
          <w:szCs w:val="20"/>
          <w:lang w:val="en-US" w:eastAsia="es-ES"/>
        </w:rPr>
        <w:t xml:space="preserve">training </w:t>
      </w:r>
      <w:r w:rsidR="0073656E" w:rsidRPr="0021030B">
        <w:rPr>
          <w:rFonts w:eastAsia="Times New Roman" w:cs="Times New Roman"/>
          <w:sz w:val="22"/>
          <w:szCs w:val="20"/>
          <w:lang w:val="en-US" w:eastAsia="es-ES"/>
        </w:rPr>
        <w:t xml:space="preserve">groups: full squat (F-SQ), parallel squat (P-SQ), half squat (H-SQ), and Control (training cessation). </w:t>
      </w:r>
      <w:r w:rsidR="00601DC7" w:rsidRPr="0021030B">
        <w:rPr>
          <w:rFonts w:eastAsia="Times New Roman" w:cs="Times New Roman"/>
          <w:sz w:val="22"/>
          <w:szCs w:val="20"/>
          <w:lang w:val="en-US" w:eastAsia="es-ES"/>
        </w:rPr>
        <w:t xml:space="preserve">Experimental groups completed a 10-week velocity-based RT program using the same relative load (linear periodization from 60% to 80% 1RM), only differing in the </w:t>
      </w:r>
      <w:r w:rsidR="00D6745C" w:rsidRPr="0021030B">
        <w:rPr>
          <w:rFonts w:eastAsia="Times New Roman" w:cs="Times New Roman"/>
          <w:sz w:val="22"/>
          <w:szCs w:val="20"/>
          <w:lang w:val="en-US" w:eastAsia="es-ES"/>
        </w:rPr>
        <w:t xml:space="preserve">depth </w:t>
      </w:r>
      <w:r w:rsidR="00601DC7" w:rsidRPr="0021030B">
        <w:rPr>
          <w:rFonts w:eastAsia="Times New Roman" w:cs="Times New Roman"/>
          <w:sz w:val="22"/>
          <w:szCs w:val="20"/>
          <w:lang w:val="en-US" w:eastAsia="es-ES"/>
        </w:rPr>
        <w:t>of the squat trained.</w:t>
      </w:r>
      <w:r w:rsidR="005B3211" w:rsidRPr="0021030B">
        <w:rPr>
          <w:rFonts w:eastAsia="Times New Roman" w:cs="Times New Roman"/>
          <w:sz w:val="22"/>
          <w:szCs w:val="20"/>
          <w:lang w:val="en-US" w:eastAsia="es-ES"/>
        </w:rPr>
        <w:t xml:space="preserve"> </w:t>
      </w:r>
      <w:r w:rsidR="00601DC7" w:rsidRPr="0021030B">
        <w:rPr>
          <w:rFonts w:eastAsia="Times New Roman" w:cs="Times New Roman"/>
          <w:sz w:val="22"/>
          <w:szCs w:val="20"/>
          <w:lang w:val="en-US" w:eastAsia="es-ES"/>
        </w:rPr>
        <w:t xml:space="preserve">The individual range of motion and spinal curvatures for each squat variation were determined in the familiarization and subsequently replicated in every lift during the training and testing sessions. </w:t>
      </w:r>
      <w:r w:rsidR="005B3211" w:rsidRPr="0021030B">
        <w:rPr>
          <w:rFonts w:eastAsia="Times New Roman" w:cs="Times New Roman"/>
          <w:sz w:val="22"/>
          <w:szCs w:val="20"/>
          <w:lang w:val="en-US" w:eastAsia="es-ES"/>
        </w:rPr>
        <w:t xml:space="preserve">Neuromuscular adaptations were evaluated by one-repetition maximum strength (1RM) and </w:t>
      </w:r>
      <w:r w:rsidR="00B57F63" w:rsidRPr="0021030B">
        <w:rPr>
          <w:rFonts w:eastAsia="Times New Roman" w:cs="Times New Roman"/>
          <w:sz w:val="22"/>
          <w:szCs w:val="20"/>
          <w:lang w:val="en-US" w:eastAsia="es-ES"/>
        </w:rPr>
        <w:t>mean propulsive velocity (MPV)</w:t>
      </w:r>
      <w:r w:rsidR="005B3211" w:rsidRPr="0021030B">
        <w:rPr>
          <w:rFonts w:eastAsia="Times New Roman" w:cs="Times New Roman"/>
          <w:sz w:val="22"/>
          <w:szCs w:val="20"/>
          <w:lang w:val="en-US" w:eastAsia="es-ES"/>
        </w:rPr>
        <w:t xml:space="preserve"> at each squatting depth. Functional performance was assessed by countermovement jump, 20-m sprint and Wingate tests. Physical functional </w:t>
      </w:r>
      <w:r w:rsidR="009D2DD7" w:rsidRPr="0021030B">
        <w:rPr>
          <w:rFonts w:eastAsia="Times New Roman" w:cs="Times New Roman"/>
          <w:sz w:val="22"/>
          <w:szCs w:val="20"/>
          <w:lang w:val="en-US" w:eastAsia="es-ES"/>
        </w:rPr>
        <w:t xml:space="preserve">disability included </w:t>
      </w:r>
      <w:r w:rsidR="005B3211" w:rsidRPr="0021030B">
        <w:rPr>
          <w:rFonts w:eastAsia="Times New Roman" w:cs="Times New Roman"/>
          <w:sz w:val="22"/>
          <w:szCs w:val="20"/>
          <w:lang w:val="en-US" w:eastAsia="es-ES"/>
        </w:rPr>
        <w:t>pain and stiffness</w:t>
      </w:r>
      <w:r w:rsidR="009D2DD7" w:rsidRPr="0021030B">
        <w:rPr>
          <w:rFonts w:eastAsia="Times New Roman" w:cs="Times New Roman"/>
          <w:sz w:val="22"/>
          <w:szCs w:val="20"/>
          <w:lang w:val="en-US" w:eastAsia="es-ES"/>
        </w:rPr>
        <w:t xml:space="preserve"> records</w:t>
      </w:r>
      <w:r w:rsidR="005B3211" w:rsidRPr="0021030B">
        <w:rPr>
          <w:rFonts w:eastAsia="Times New Roman" w:cs="Times New Roman"/>
          <w:sz w:val="22"/>
          <w:szCs w:val="20"/>
          <w:lang w:val="en-US" w:eastAsia="es-ES"/>
        </w:rPr>
        <w:t xml:space="preserve">. </w:t>
      </w:r>
      <w:r w:rsidR="0073656E" w:rsidRPr="0021030B">
        <w:rPr>
          <w:rFonts w:eastAsia="Times New Roman" w:cs="Times New Roman"/>
          <w:sz w:val="22"/>
          <w:szCs w:val="20"/>
          <w:lang w:val="en-US" w:eastAsia="es-ES"/>
        </w:rPr>
        <w:t xml:space="preserve">F-SQ </w:t>
      </w:r>
      <w:r w:rsidR="00E43FAE" w:rsidRPr="0021030B">
        <w:rPr>
          <w:rFonts w:eastAsia="Times New Roman" w:cs="Times New Roman"/>
          <w:sz w:val="22"/>
          <w:szCs w:val="20"/>
          <w:lang w:val="en-US" w:eastAsia="es-ES"/>
        </w:rPr>
        <w:t xml:space="preserve">was the only </w:t>
      </w:r>
      <w:r w:rsidR="0073656E" w:rsidRPr="0021030B">
        <w:rPr>
          <w:rFonts w:eastAsia="Times New Roman" w:cs="Times New Roman"/>
          <w:sz w:val="22"/>
          <w:szCs w:val="20"/>
          <w:lang w:val="en-US" w:eastAsia="es-ES"/>
        </w:rPr>
        <w:t>group</w:t>
      </w:r>
      <w:r w:rsidR="00E43FAE" w:rsidRPr="0021030B">
        <w:rPr>
          <w:rFonts w:eastAsia="Times New Roman" w:cs="Times New Roman"/>
          <w:sz w:val="22"/>
          <w:szCs w:val="20"/>
          <w:lang w:val="en-US" w:eastAsia="es-ES"/>
        </w:rPr>
        <w:t xml:space="preserve"> that</w:t>
      </w:r>
      <w:r w:rsidR="0073656E" w:rsidRPr="0021030B">
        <w:rPr>
          <w:rFonts w:eastAsia="Times New Roman" w:cs="Times New Roman"/>
          <w:sz w:val="22"/>
          <w:szCs w:val="20"/>
          <w:lang w:val="en-US" w:eastAsia="es-ES"/>
        </w:rPr>
        <w:t xml:space="preserve"> increased</w:t>
      </w:r>
      <w:r w:rsidR="005B3211" w:rsidRPr="0021030B">
        <w:rPr>
          <w:rFonts w:eastAsia="Times New Roman" w:cs="Times New Roman"/>
          <w:sz w:val="22"/>
          <w:szCs w:val="20"/>
          <w:lang w:val="en-US" w:eastAsia="es-ES"/>
        </w:rPr>
        <w:t xml:space="preserve"> 1RM and </w:t>
      </w:r>
      <w:r w:rsidR="00B57F63" w:rsidRPr="0021030B">
        <w:rPr>
          <w:rFonts w:eastAsia="Times New Roman" w:cs="Times New Roman"/>
          <w:sz w:val="22"/>
          <w:szCs w:val="20"/>
          <w:lang w:val="en-US" w:eastAsia="es-ES"/>
        </w:rPr>
        <w:t xml:space="preserve">MPV </w:t>
      </w:r>
      <w:r w:rsidR="005B3211" w:rsidRPr="0021030B">
        <w:rPr>
          <w:rFonts w:eastAsia="Times New Roman" w:cs="Times New Roman"/>
          <w:sz w:val="22"/>
          <w:szCs w:val="20"/>
          <w:lang w:val="en-US" w:eastAsia="es-ES"/>
        </w:rPr>
        <w:t xml:space="preserve">in </w:t>
      </w:r>
      <w:r w:rsidRPr="0021030B">
        <w:rPr>
          <w:rFonts w:eastAsia="Times New Roman" w:cs="Times New Roman"/>
          <w:sz w:val="22"/>
          <w:szCs w:val="20"/>
          <w:lang w:val="en-US" w:eastAsia="es-ES"/>
        </w:rPr>
        <w:t>the</w:t>
      </w:r>
      <w:r w:rsidR="005B3211" w:rsidRPr="0021030B">
        <w:rPr>
          <w:rFonts w:eastAsia="Times New Roman" w:cs="Times New Roman"/>
          <w:sz w:val="22"/>
          <w:szCs w:val="20"/>
          <w:lang w:val="en-US" w:eastAsia="es-ES"/>
        </w:rPr>
        <w:t xml:space="preserve"> three</w:t>
      </w:r>
      <w:r w:rsidRPr="0021030B">
        <w:rPr>
          <w:rFonts w:eastAsia="Times New Roman" w:cs="Times New Roman"/>
          <w:sz w:val="22"/>
          <w:szCs w:val="20"/>
          <w:lang w:val="en-US" w:eastAsia="es-ES"/>
        </w:rPr>
        <w:t xml:space="preserve"> </w:t>
      </w:r>
      <w:r w:rsidR="0073656E" w:rsidRPr="0021030B">
        <w:rPr>
          <w:rFonts w:eastAsia="Times New Roman" w:cs="Times New Roman"/>
          <w:sz w:val="22"/>
          <w:szCs w:val="20"/>
          <w:lang w:val="en-US" w:eastAsia="es-ES"/>
        </w:rPr>
        <w:t>squat variations (ES=0.77-2.</w:t>
      </w:r>
      <w:r w:rsidR="00B57F63" w:rsidRPr="0021030B">
        <w:rPr>
          <w:rFonts w:eastAsia="Times New Roman" w:cs="Times New Roman"/>
          <w:sz w:val="22"/>
          <w:szCs w:val="20"/>
          <w:lang w:val="en-US" w:eastAsia="es-ES"/>
        </w:rPr>
        <w:t>36</w:t>
      </w:r>
      <w:r w:rsidR="0073656E" w:rsidRPr="0021030B">
        <w:rPr>
          <w:rFonts w:eastAsia="Times New Roman" w:cs="Times New Roman"/>
          <w:sz w:val="22"/>
          <w:szCs w:val="20"/>
          <w:lang w:val="en-US" w:eastAsia="es-ES"/>
        </w:rPr>
        <w:t xml:space="preserve">), and reported the highest functional performance (ES=0.35-0.85). P-SQ group obtained the second best results (ES=0.15-0.56). H-SQ produced no increments in </w:t>
      </w:r>
      <w:r w:rsidR="00B57F63" w:rsidRPr="0021030B">
        <w:rPr>
          <w:rFonts w:eastAsia="Times New Roman" w:cs="Times New Roman"/>
          <w:sz w:val="22"/>
          <w:szCs w:val="20"/>
          <w:lang w:val="en-US" w:eastAsia="es-ES"/>
        </w:rPr>
        <w:t xml:space="preserve">neuromuscular and functional </w:t>
      </w:r>
      <w:r w:rsidR="0073656E" w:rsidRPr="0021030B">
        <w:rPr>
          <w:rFonts w:eastAsia="Times New Roman" w:cs="Times New Roman"/>
          <w:sz w:val="22"/>
          <w:szCs w:val="20"/>
          <w:lang w:val="en-US" w:eastAsia="es-ES"/>
        </w:rPr>
        <w:t>performance (ES=-0.11-0.28)</w:t>
      </w:r>
      <w:r w:rsidR="009D2DD7" w:rsidRPr="0021030B">
        <w:rPr>
          <w:rFonts w:eastAsia="Times New Roman" w:cs="Times New Roman"/>
          <w:sz w:val="22"/>
          <w:szCs w:val="20"/>
          <w:lang w:val="en-US" w:eastAsia="es-ES"/>
        </w:rPr>
        <w:t xml:space="preserve"> and </w:t>
      </w:r>
      <w:r w:rsidR="00B57F63" w:rsidRPr="0021030B">
        <w:rPr>
          <w:rFonts w:eastAsia="Times New Roman" w:cs="Times New Roman"/>
          <w:sz w:val="22"/>
          <w:szCs w:val="20"/>
          <w:lang w:val="en-US" w:eastAsia="es-ES"/>
        </w:rPr>
        <w:t xml:space="preserve">was the only that </w:t>
      </w:r>
      <w:r w:rsidR="0073656E" w:rsidRPr="0021030B">
        <w:rPr>
          <w:rFonts w:eastAsia="Times New Roman" w:cs="Times New Roman"/>
          <w:sz w:val="22"/>
          <w:szCs w:val="20"/>
          <w:lang w:val="en-US" w:eastAsia="es-ES"/>
        </w:rPr>
        <w:t xml:space="preserve">reported significant increases in </w:t>
      </w:r>
      <w:r w:rsidR="009D2DD7" w:rsidRPr="0021030B">
        <w:rPr>
          <w:rFonts w:eastAsia="Times New Roman" w:cs="Times New Roman"/>
          <w:sz w:val="22"/>
          <w:szCs w:val="20"/>
          <w:lang w:val="en-US" w:eastAsia="es-ES"/>
        </w:rPr>
        <w:t xml:space="preserve">pain, </w:t>
      </w:r>
      <w:r w:rsidR="0073656E" w:rsidRPr="0021030B">
        <w:rPr>
          <w:rFonts w:eastAsia="Times New Roman" w:cs="Times New Roman"/>
          <w:sz w:val="22"/>
          <w:szCs w:val="20"/>
          <w:lang w:val="en-US" w:eastAsia="es-ES"/>
        </w:rPr>
        <w:t xml:space="preserve">stiffness and physical functional disability (ES=1.21-0.87). Controls declined on all </w:t>
      </w:r>
      <w:r w:rsidR="00B57F63" w:rsidRPr="0021030B">
        <w:rPr>
          <w:rFonts w:eastAsia="Times New Roman" w:cs="Times New Roman"/>
          <w:sz w:val="22"/>
          <w:szCs w:val="20"/>
          <w:lang w:val="en-US" w:eastAsia="es-ES"/>
        </w:rPr>
        <w:t>tests</w:t>
      </w:r>
      <w:r w:rsidR="0073656E" w:rsidRPr="0021030B">
        <w:rPr>
          <w:rFonts w:eastAsia="Times New Roman" w:cs="Times New Roman"/>
          <w:sz w:val="22"/>
          <w:szCs w:val="20"/>
          <w:lang w:val="en-US" w:eastAsia="es-ES"/>
        </w:rPr>
        <w:t xml:space="preserve"> (ES=0.02-</w:t>
      </w:r>
      <w:r w:rsidR="00B57F63" w:rsidRPr="0021030B">
        <w:rPr>
          <w:rFonts w:eastAsia="Times New Roman" w:cs="Times New Roman"/>
          <w:sz w:val="22"/>
          <w:szCs w:val="20"/>
          <w:lang w:val="en-US" w:eastAsia="es-ES"/>
        </w:rPr>
        <w:t>1</w:t>
      </w:r>
      <w:r w:rsidR="0073656E" w:rsidRPr="0021030B">
        <w:rPr>
          <w:rFonts w:eastAsia="Times New Roman" w:cs="Times New Roman"/>
          <w:sz w:val="22"/>
          <w:szCs w:val="20"/>
          <w:lang w:val="en-US" w:eastAsia="es-ES"/>
        </w:rPr>
        <w:t>.</w:t>
      </w:r>
      <w:r w:rsidR="00B57F63" w:rsidRPr="0021030B">
        <w:rPr>
          <w:rFonts w:eastAsia="Times New Roman" w:cs="Times New Roman"/>
          <w:sz w:val="22"/>
          <w:szCs w:val="20"/>
          <w:lang w:val="en-US" w:eastAsia="es-ES"/>
        </w:rPr>
        <w:t>32</w:t>
      </w:r>
      <w:r w:rsidR="0073656E" w:rsidRPr="0021030B">
        <w:rPr>
          <w:rFonts w:eastAsia="Times New Roman" w:cs="Times New Roman"/>
          <w:sz w:val="22"/>
          <w:szCs w:val="20"/>
          <w:lang w:val="en-US" w:eastAsia="es-ES"/>
        </w:rPr>
        <w:t xml:space="preserve">). </w:t>
      </w:r>
      <w:r w:rsidR="00B57F63" w:rsidRPr="0021030B">
        <w:rPr>
          <w:rFonts w:eastAsia="Times New Roman" w:cs="Times New Roman"/>
          <w:sz w:val="22"/>
          <w:szCs w:val="20"/>
          <w:lang w:val="en-US" w:eastAsia="es-ES"/>
        </w:rPr>
        <w:t xml:space="preserve">We recommend using </w:t>
      </w:r>
      <w:r w:rsidR="0073656E" w:rsidRPr="0021030B">
        <w:rPr>
          <w:rFonts w:eastAsia="Times New Roman" w:cs="Times New Roman"/>
          <w:sz w:val="22"/>
          <w:szCs w:val="20"/>
          <w:lang w:val="en-US" w:eastAsia="es-ES"/>
        </w:rPr>
        <w:t xml:space="preserve">F-SQ </w:t>
      </w:r>
      <w:r w:rsidR="00F15CFD" w:rsidRPr="0021030B">
        <w:rPr>
          <w:rFonts w:eastAsia="Times New Roman" w:cs="Times New Roman"/>
          <w:sz w:val="22"/>
          <w:szCs w:val="20"/>
          <w:lang w:val="en-US" w:eastAsia="es-ES"/>
        </w:rPr>
        <w:t xml:space="preserve">or </w:t>
      </w:r>
      <w:r w:rsidR="0073656E" w:rsidRPr="0021030B">
        <w:rPr>
          <w:rFonts w:eastAsia="Times New Roman" w:cs="Times New Roman"/>
          <w:sz w:val="22"/>
          <w:szCs w:val="20"/>
          <w:lang w:val="en-US" w:eastAsia="es-ES"/>
        </w:rPr>
        <w:t xml:space="preserve">P-SQ exercises to improve strength and functional performance in well-trained athletes. </w:t>
      </w:r>
      <w:r w:rsidR="00B57F63" w:rsidRPr="0021030B">
        <w:rPr>
          <w:rFonts w:eastAsia="Times New Roman" w:cs="Times New Roman"/>
          <w:sz w:val="22"/>
          <w:szCs w:val="20"/>
          <w:lang w:val="en-US" w:eastAsia="es-ES"/>
        </w:rPr>
        <w:t xml:space="preserve">In turn, the use of </w:t>
      </w:r>
      <w:r w:rsidR="0073656E" w:rsidRPr="0021030B">
        <w:rPr>
          <w:rFonts w:eastAsia="Times New Roman" w:cs="Times New Roman"/>
          <w:sz w:val="22"/>
          <w:szCs w:val="20"/>
          <w:lang w:val="en-US" w:eastAsia="es-ES"/>
        </w:rPr>
        <w:t xml:space="preserve">H-SQ </w:t>
      </w:r>
      <w:r w:rsidR="00B57F63" w:rsidRPr="0021030B">
        <w:rPr>
          <w:rFonts w:eastAsia="Times New Roman" w:cs="Times New Roman"/>
          <w:sz w:val="22"/>
          <w:szCs w:val="20"/>
          <w:lang w:val="en-US" w:eastAsia="es-ES"/>
        </w:rPr>
        <w:t xml:space="preserve">is inadvisable due to </w:t>
      </w:r>
      <w:r w:rsidR="00F15CFD" w:rsidRPr="0021030B">
        <w:rPr>
          <w:rFonts w:eastAsia="Times New Roman" w:cs="Times New Roman"/>
          <w:sz w:val="22"/>
          <w:szCs w:val="20"/>
          <w:lang w:val="en-US" w:eastAsia="es-ES"/>
        </w:rPr>
        <w:t xml:space="preserve">the </w:t>
      </w:r>
      <w:r w:rsidR="0073656E" w:rsidRPr="0021030B">
        <w:rPr>
          <w:rFonts w:eastAsia="Times New Roman" w:cs="Times New Roman"/>
          <w:sz w:val="22"/>
          <w:szCs w:val="20"/>
          <w:lang w:val="en-US" w:eastAsia="es-ES"/>
        </w:rPr>
        <w:t xml:space="preserve">limited </w:t>
      </w:r>
      <w:r w:rsidR="00F15CFD" w:rsidRPr="0021030B">
        <w:rPr>
          <w:rFonts w:eastAsia="Times New Roman" w:cs="Times New Roman"/>
          <w:sz w:val="22"/>
          <w:szCs w:val="20"/>
          <w:lang w:val="en-US" w:eastAsia="es-ES"/>
        </w:rPr>
        <w:t xml:space="preserve">performance </w:t>
      </w:r>
      <w:r w:rsidR="0073656E" w:rsidRPr="0021030B">
        <w:rPr>
          <w:rFonts w:eastAsia="Times New Roman" w:cs="Times New Roman"/>
          <w:sz w:val="22"/>
          <w:szCs w:val="20"/>
          <w:lang w:val="en-US" w:eastAsia="es-ES"/>
        </w:rPr>
        <w:t>improvements</w:t>
      </w:r>
      <w:r w:rsidR="00B57F63" w:rsidRPr="0021030B">
        <w:rPr>
          <w:rFonts w:eastAsia="Times New Roman" w:cs="Times New Roman"/>
          <w:sz w:val="22"/>
          <w:szCs w:val="20"/>
          <w:lang w:val="en-US" w:eastAsia="es-ES"/>
        </w:rPr>
        <w:t xml:space="preserve"> and</w:t>
      </w:r>
      <w:r w:rsidR="0073656E" w:rsidRPr="0021030B">
        <w:rPr>
          <w:rFonts w:eastAsia="Times New Roman" w:cs="Times New Roman"/>
          <w:sz w:val="22"/>
          <w:szCs w:val="20"/>
          <w:lang w:val="en-US" w:eastAsia="es-ES"/>
        </w:rPr>
        <w:t xml:space="preserve"> </w:t>
      </w:r>
      <w:r w:rsidR="00F15CFD" w:rsidRPr="0021030B">
        <w:rPr>
          <w:rFonts w:eastAsia="Times New Roman" w:cs="Times New Roman"/>
          <w:sz w:val="22"/>
          <w:szCs w:val="20"/>
          <w:lang w:val="en-US" w:eastAsia="es-ES"/>
        </w:rPr>
        <w:t xml:space="preserve">the increments in </w:t>
      </w:r>
      <w:r w:rsidR="0073656E" w:rsidRPr="0021030B">
        <w:rPr>
          <w:rFonts w:eastAsia="Times New Roman" w:cs="Times New Roman"/>
          <w:sz w:val="22"/>
          <w:szCs w:val="20"/>
          <w:lang w:val="en-US" w:eastAsia="es-ES"/>
        </w:rPr>
        <w:t>pain and discomfort after continued training. </w:t>
      </w:r>
      <w:r w:rsidR="00B57F63" w:rsidRPr="0021030B">
        <w:rPr>
          <w:rFonts w:eastAsia="Times New Roman" w:cs="Times New Roman"/>
          <w:sz w:val="22"/>
          <w:szCs w:val="20"/>
          <w:lang w:val="en-US" w:eastAsia="es-ES"/>
        </w:rPr>
        <w:t xml:space="preserve"> </w:t>
      </w:r>
    </w:p>
    <w:p w14:paraId="1C3D234A" w14:textId="7EEF246E" w:rsidR="00BF0EB0" w:rsidRPr="0021030B" w:rsidRDefault="00414136" w:rsidP="00BF0EB0">
      <w:pPr>
        <w:spacing w:before="240" w:line="360" w:lineRule="auto"/>
        <w:ind w:left="708"/>
        <w:rPr>
          <w:rFonts w:eastAsia="Times New Roman" w:cs="Times New Roman"/>
          <w:sz w:val="22"/>
          <w:szCs w:val="20"/>
          <w:lang w:val="en-US" w:eastAsia="es-ES"/>
        </w:rPr>
      </w:pPr>
      <w:r w:rsidRPr="0021030B">
        <w:rPr>
          <w:rFonts w:eastAsia="Times New Roman" w:cs="Times New Roman"/>
          <w:b/>
          <w:sz w:val="22"/>
          <w:szCs w:val="20"/>
          <w:lang w:val="en-US" w:eastAsia="es-ES"/>
        </w:rPr>
        <w:t>Keywords</w:t>
      </w:r>
      <w:r w:rsidRPr="0021030B">
        <w:rPr>
          <w:rFonts w:eastAsia="Times New Roman" w:cs="Times New Roman"/>
          <w:sz w:val="22"/>
          <w:szCs w:val="20"/>
          <w:lang w:val="en-US" w:eastAsia="es-ES"/>
        </w:rPr>
        <w:t>:</w:t>
      </w:r>
      <w:r w:rsidR="00A82F4B" w:rsidRPr="0021030B">
        <w:rPr>
          <w:rFonts w:eastAsia="Times New Roman" w:cs="Times New Roman"/>
          <w:sz w:val="22"/>
          <w:szCs w:val="20"/>
          <w:lang w:val="en-US" w:eastAsia="es-ES"/>
        </w:rPr>
        <w:t xml:space="preserve"> </w:t>
      </w:r>
      <w:r w:rsidR="009B55C8" w:rsidRPr="0021030B">
        <w:rPr>
          <w:rFonts w:eastAsia="Times New Roman" w:cs="Times New Roman"/>
          <w:sz w:val="22"/>
          <w:szCs w:val="20"/>
          <w:lang w:val="en-US" w:eastAsia="es-ES"/>
        </w:rPr>
        <w:t>m</w:t>
      </w:r>
      <w:r w:rsidR="00A82F4B" w:rsidRPr="0021030B">
        <w:rPr>
          <w:rFonts w:eastAsia="Times New Roman" w:cs="Times New Roman"/>
          <w:sz w:val="22"/>
          <w:szCs w:val="20"/>
          <w:lang w:val="en-US" w:eastAsia="es-ES"/>
        </w:rPr>
        <w:t>uscle strength; velocity-based resistance training; propulsive phase; lumbar spine.</w:t>
      </w:r>
    </w:p>
    <w:p w14:paraId="375597E2" w14:textId="77777777" w:rsidR="002A5594" w:rsidRPr="0021030B" w:rsidRDefault="002A5594" w:rsidP="00BF0EB0">
      <w:pPr>
        <w:spacing w:before="240" w:line="360" w:lineRule="auto"/>
        <w:ind w:left="708"/>
        <w:rPr>
          <w:rFonts w:eastAsia="Times New Roman" w:cs="Times New Roman"/>
          <w:sz w:val="22"/>
          <w:szCs w:val="20"/>
          <w:lang w:val="en-US" w:eastAsia="es-ES"/>
        </w:rPr>
      </w:pPr>
    </w:p>
    <w:p w14:paraId="221AE2F3" w14:textId="77777777" w:rsidR="00471C6A" w:rsidRPr="0021030B" w:rsidRDefault="00471C6A">
      <w:pPr>
        <w:rPr>
          <w:rFonts w:cs="Times New Roman"/>
          <w:b/>
          <w:szCs w:val="24"/>
          <w:lang w:val="en-US"/>
        </w:rPr>
      </w:pPr>
      <w:r w:rsidRPr="0021030B">
        <w:rPr>
          <w:rFonts w:cs="Times New Roman"/>
          <w:b/>
          <w:szCs w:val="24"/>
          <w:lang w:val="en-US"/>
        </w:rPr>
        <w:br w:type="page"/>
      </w:r>
    </w:p>
    <w:p w14:paraId="7C6B955C" w14:textId="551502D7" w:rsidR="00014155" w:rsidRPr="0021030B" w:rsidRDefault="009B55C8" w:rsidP="00BF0EB0">
      <w:pPr>
        <w:spacing w:before="240" w:line="360" w:lineRule="auto"/>
        <w:rPr>
          <w:rFonts w:cs="Times New Roman"/>
          <w:b/>
          <w:szCs w:val="24"/>
          <w:lang w:val="en-US"/>
        </w:rPr>
      </w:pPr>
      <w:r w:rsidRPr="0021030B">
        <w:rPr>
          <w:rFonts w:cs="Times New Roman"/>
          <w:b/>
          <w:szCs w:val="24"/>
          <w:lang w:val="en-US"/>
        </w:rPr>
        <w:lastRenderedPageBreak/>
        <w:t>Introduction</w:t>
      </w:r>
    </w:p>
    <w:p w14:paraId="44D87678" w14:textId="5E3EA4F5" w:rsidR="000F306D" w:rsidRPr="0021030B" w:rsidRDefault="000F306D" w:rsidP="009B55C8">
      <w:pPr>
        <w:spacing w:line="480" w:lineRule="auto"/>
        <w:rPr>
          <w:rFonts w:cs="Times New Roman"/>
          <w:szCs w:val="24"/>
        </w:rPr>
      </w:pPr>
      <w:r w:rsidRPr="0021030B">
        <w:rPr>
          <w:rFonts w:cs="Times New Roman"/>
          <w:szCs w:val="24"/>
          <w:lang w:val="en-US"/>
        </w:rPr>
        <w:t xml:space="preserve">The </w:t>
      </w:r>
      <w:r w:rsidR="006C3623" w:rsidRPr="0021030B">
        <w:rPr>
          <w:rFonts w:cs="Times New Roman"/>
          <w:szCs w:val="24"/>
          <w:lang w:val="en-US"/>
        </w:rPr>
        <w:t xml:space="preserve">back </w:t>
      </w:r>
      <w:r w:rsidRPr="0021030B">
        <w:rPr>
          <w:rFonts w:cs="Times New Roman"/>
          <w:szCs w:val="24"/>
          <w:lang w:val="en-US"/>
        </w:rPr>
        <w:t>squat</w:t>
      </w:r>
      <w:r w:rsidR="006C3623" w:rsidRPr="0021030B">
        <w:rPr>
          <w:rFonts w:cs="Times New Roman"/>
          <w:szCs w:val="24"/>
          <w:lang w:val="en-US"/>
        </w:rPr>
        <w:t xml:space="preserve"> (SQ)</w:t>
      </w:r>
      <w:r w:rsidRPr="0021030B">
        <w:rPr>
          <w:rFonts w:cs="Times New Roman"/>
          <w:szCs w:val="24"/>
          <w:lang w:val="en-US"/>
        </w:rPr>
        <w:t xml:space="preserve"> is one of the most widely used and effective resistance training (RT) exercises for strengthening the lower-limb, protecting against injuries and improving athletic performance </w:t>
      </w:r>
      <w:r w:rsidRPr="0021030B">
        <w:rPr>
          <w:rFonts w:cs="Times New Roman"/>
          <w:szCs w:val="24"/>
          <w:lang w:val="en-US"/>
        </w:rPr>
        <w:fldChar w:fldCharType="begin" w:fldLock="1"/>
      </w:r>
      <w:r w:rsidR="00E42B44" w:rsidRPr="0021030B">
        <w:rPr>
          <w:rFonts w:cs="Times New Roman"/>
          <w:szCs w:val="24"/>
          <w:lang w:val="en-US"/>
        </w:rPr>
        <w:instrText>ADDIN CSL_CITATION {"citationItems":[{"id":"ITEM-1","itemData":{"DOI":"10.1007/s40279-013-0073-6","ISBN":"1179-2035 (Electronic)\\r0112-1642 (Linking)","ISSN":"01121642","PMID":"23821469","abstract":"It has been suggested that deep squats could cause an increased injury risk of the lumbar spine and the knee joints. Avoiding deep flexion has been recommended to minimize the magnitude of knee-joint forces. Unfortunately this suggestion has not taken the influence of the wrapping effect, functional adaptations and soft tissue contact between the back of thigh and calf into account. The aim of this literature review is to assess whether squats with less knee flexion (half/quarter squats) are safer on the musculoskeletal system than deep squats. A search of relevant scientific publications was conducted between March 2011 and January 2013 using PubMed. Over 164 articles were included in the review. There are no realistic estimations of knee-joint forces for knee-flexion angles beyond 50 degrees in the deep squat. Based on biomechanical calculations and measurements of cadaver knee joints, the highest retropatellar compressive forces and stresses can be seen at 90 degrees . With increasing flexion, the wrapping effect contributes to an enhanced load distribution and enhanced force transfer with lower retropatellar compressive forces. Additionally, with further flexion of the knee joint a cranial displacement of facet contact areas with continuous enlargement of the retropatellar articulating surface occurs. Both lead to lower retropatellar compressive stresses. Menisci and cartilage, ligaments and bones are susceptible to anabolic metabolic processes and functional structural adaptations in response to increased activity and mechanical influences. Concerns about degenerative changes of the tendofemoral complex and the apparent higher risk for chondromalacia, osteoarthritis, and osteochondritis in deep squats are unfounded. With the same load configuration as in the deep squat, half and quarter squat training with comparatively supra-maximal loads will favour degenerative changes in the knee joints and spinal joints in the long term. Provided that technique is learned accurately under expert supervision and with progressive training loads, the deep squat presents an effective training exercise for protection against injuries and strengthening of the lower extremity. Contrary to commonly voiced concern, deep squats do not contribute increased risk of injury to passive tissues.","author":[{"dropping-particle":"","family":"Hartmann","given":"Hagen","non-dropping-particle":"","parse-names":false,"suffix":""},{"dropping-particle":"","family":"Wirth","given":"Klaus","non-dropping-particle":"","parse-names":false,"suffix":""},{"dropping-particle":"","family":"Klusemann","given":"Markus","non-dropping-particle":"","parse-names":false,"suffix":""}],"container-title":"Sports Medicine","id":"ITEM-1","issue":"10","issued":{"date-parts":[["2013"]]},"page":"993-1008","title":"Analysis of the load on the knee joint and vertebral column with changes in squatting depth and weight load","type":"article-journal","volume":"43"},"uris":["http://www.mendeley.com/documents/?uuid=d9e302d5-9518-4dc5-913e-c7d83dbbb71f"]}],"mendeley":{"formattedCitation":"(Hartmann, Wirth, &amp; Klusemann, 2013)","plainTextFormattedCitation":"(Hartmann, Wirth, &amp; Klusemann, 2013)","previouslyFormattedCitation":"(Hartmann, Wirth, &amp; Klusemann, 2013)"},"properties":{"noteIndex":0},"schema":"https://github.com/citation-style-language/schema/raw/master/csl-citation.json"}</w:instrText>
      </w:r>
      <w:r w:rsidRPr="0021030B">
        <w:rPr>
          <w:rFonts w:cs="Times New Roman"/>
          <w:szCs w:val="24"/>
          <w:lang w:val="en-US"/>
        </w:rPr>
        <w:fldChar w:fldCharType="separate"/>
      </w:r>
      <w:r w:rsidR="00E42B44" w:rsidRPr="0021030B">
        <w:rPr>
          <w:rFonts w:cs="Times New Roman"/>
          <w:noProof/>
          <w:szCs w:val="24"/>
          <w:lang w:val="en-US"/>
        </w:rPr>
        <w:t>(Hartmann, Wirth, &amp; Klusemann, 2013)</w:t>
      </w:r>
      <w:r w:rsidRPr="0021030B">
        <w:rPr>
          <w:rFonts w:cs="Times New Roman"/>
          <w:szCs w:val="24"/>
          <w:lang w:val="en-US"/>
        </w:rPr>
        <w:fldChar w:fldCharType="end"/>
      </w:r>
      <w:r w:rsidRPr="0021030B">
        <w:rPr>
          <w:rFonts w:cs="Times New Roman"/>
          <w:szCs w:val="24"/>
          <w:lang w:val="en-US"/>
        </w:rPr>
        <w:t xml:space="preserve">. In the last three decades, numerous publications have found that increases in lower-body strength following </w:t>
      </w:r>
      <w:r w:rsidR="006C3623" w:rsidRPr="0021030B">
        <w:rPr>
          <w:rFonts w:cs="Times New Roman"/>
          <w:szCs w:val="24"/>
          <w:lang w:val="en-US"/>
        </w:rPr>
        <w:t xml:space="preserve">SQ </w:t>
      </w:r>
      <w:r w:rsidRPr="0021030B">
        <w:rPr>
          <w:rFonts w:cs="Times New Roman"/>
          <w:szCs w:val="24"/>
          <w:lang w:val="en-US"/>
        </w:rPr>
        <w:t>training transfer positively to</w:t>
      </w:r>
      <w:r w:rsidR="001D6E1B" w:rsidRPr="0021030B">
        <w:rPr>
          <w:rFonts w:cs="Times New Roman"/>
          <w:szCs w:val="24"/>
          <w:lang w:val="en-US"/>
        </w:rPr>
        <w:t xml:space="preserve"> functional</w:t>
      </w:r>
      <w:r w:rsidRPr="0021030B">
        <w:rPr>
          <w:rFonts w:cs="Times New Roman"/>
          <w:szCs w:val="24"/>
          <w:lang w:val="en-US"/>
        </w:rPr>
        <w:t xml:space="preserve"> athletic performance in short-duration actions that demand maximal </w:t>
      </w:r>
      <w:r w:rsidR="001D6E1B" w:rsidRPr="0021030B">
        <w:rPr>
          <w:rFonts w:cs="Times New Roman"/>
          <w:szCs w:val="24"/>
          <w:lang w:val="en-US"/>
        </w:rPr>
        <w:t>voluntary contractions</w:t>
      </w:r>
      <w:r w:rsidR="00672E2F" w:rsidRPr="0021030B">
        <w:rPr>
          <w:rFonts w:cs="Times New Roman"/>
          <w:szCs w:val="24"/>
          <w:lang w:val="en-US"/>
        </w:rPr>
        <w:t>,</w:t>
      </w:r>
      <w:r w:rsidRPr="0021030B">
        <w:rPr>
          <w:rFonts w:cs="Times New Roman"/>
          <w:szCs w:val="24"/>
          <w:lang w:val="en-US"/>
        </w:rPr>
        <w:t xml:space="preserve"> such as sprinting and vertical jumping </w:t>
      </w:r>
      <w:r w:rsidRPr="0021030B">
        <w:rPr>
          <w:rFonts w:cs="Times New Roman"/>
          <w:szCs w:val="24"/>
          <w:lang w:val="en-US"/>
        </w:rPr>
        <w:fldChar w:fldCharType="begin" w:fldLock="1"/>
      </w:r>
      <w:r w:rsidR="00EF515E" w:rsidRPr="0021030B">
        <w:rPr>
          <w:rFonts w:cs="Times New Roman"/>
          <w:szCs w:val="24"/>
          <w:lang w:val="en-US"/>
        </w:rPr>
        <w:instrText>ADDIN CSL_CITATION {"citationItems":[{"id":"ITEM-1","itemData":{"DOI":"10.1519/JSC.0b013e31824ede62","ISBN":"1533-4287","ISSN":"10648011","PMID":"22344055","abstract":"It is unclear if increases in 1 repetition maximum (1RM) in quarter squats result in higher gains compared with full depth squats in isometric force production and vertical jump performance. The aim of the research projects was to compare the effects of different squat variants on the development of 1RM and their transfer effects to Countermovement jump (CMJ) and squat jump (SJ) height, maximal voluntary contraction (MVC), and maximal rate of force development (MRFD). Twenty-three women and 36 men (mean age: 24.11 ± 2.88 years) were parallelized into 3 groups based on their CMJ height: deep front squats (FSQ, n = 20), deep back squats (BSQ, n = 20), and quarter back squats (BSQ¼, n = 19). In addition, a control group (C, n = 16) existed (mean age: 24.38 ± 0.50 years). Experimental groups trained 2 d·wk for 10 weeks with a strength-power block periodization, which produced significant (p ≤ 0.05) gains of the specific squat 1RM. The FSQ and BSQ attained significant (p ≤ 0.05) elevations in SJ and CMJ without any interaction effects between both groups (p ≥ 0.05). The BSQ¼ and C did not reveal any significant changes of SJ and CMJ. The FSQ and BSQ had significantly higher SJ scores over C (p ≤ 0.05). The BSQ did not feature any significant group difference to BSQ¼ (p = 0.116) in SJ, whereas FSQ showed a trend toward higher SJ heights over BSQ¼ (p = 0.052). The FSQ and BSQ presented significantly (p ≤ 0.05) higher CMJ heights over BSQ¼ and C. Posttest in MVC and MRFD demonstrated no significant changes for BSQ. Significant declines in MRFD for FSQ in the right leg (p ≤ 0.05) without any interaction effects for MVC and MRFD between both FSQ and BSQ were found. Training of BSQ¼ resulted in significantly (p ≤ 0.05) lower MRFD and MVC values in contrast to FSQ and BSQ. Quarter squat training elicited significant (p ≤ 0.05) transfer losses into the isometric maximal and explosive strength behavior. These findings therefore contest the concept of superior angle-specific transfer effects. Deep front and back squats guarantee performance-enhancing transfer effects of dynamic maximal strength to dynamic speed-strength capacity of hip and knee extensors compared with quarter squats.","author":[{"dropping-particle":"","family":"Hartmann","given":"Hagen","non-dropping-particle":"","parse-names":false,"suffix":""},{"dropping-particle":"","family":"Wirth","given":"Klaus","non-dropping-particle":"","parse-names":false,"suffix":""},{"dropping-particle":"","family":"Klusemann","given":"Markus","non-dropping-particle":"","parse-names":false,"suffix":""},{"dropping-particle":"","family":"Dalic","given":"Josip","non-dropping-particle":"","parse-names":false,"suffix":""},{"dropping-particle":"","family":"Matuschek","given":"Claus","non-dropping-particle":"","parse-names":false,"suffix":""},{"dropping-particle":"","family":"Schmidtbleicher","given":"Dietmar","non-dropping-particle":"","parse-names":false,"suffix":""}],"container-title":"Journal of Strength and Conditioning Research","id":"ITEM-1","issue":"12","issued":{"date-parts":[["2012"]]},"page":"3243-3261","title":"Influence of squatting depth on jumping performance","type":"article-journal","volume":"26"},"uris":["http://www.mendeley.com/documents/?uuid=56478392-7915-4c8e-868a-dda34f47bf72"]},{"id":"ITEM-2","itemData":{"DOI":"10.1007/s40279-014-0227-1","ISBN":"1179-2035 (Electronic)\\n0112-1642 (Linking)","ISSN":"11792035","PMID":"25059334","abstract":"BACKGROUND: Although lower-body strength is correlated with sprint performance, whether increases in lower-body strength transfer positively to sprint performance remain unclear.\\n\\nOBJECTIVES: This meta-analysis determined whether increases in lower-body strength (measured with the free-weight back squat exercise) transfer positively to sprint performance, and identified the effects of various subject characteristics and resistance-training variables on the magnitude of sprint improvement.\\n\\nMETHODS: A computerized search was conducted in ADONIS, ERIC, SPORTDiscus, EBSCOhost, Google Scholar, MEDLINE and PubMed databases, and references of original studies and reviews were searched for further relevant studies. The analysis comprised 510 subjects and 85 effect sizes (ESs), nested with 26 experimental and 11 control groups and 15 studies.\\n\\nRESULTS: There is a transfer between increases in lower-body strength and sprint performance as indicated by a very large significant correlation (r = -0.77; p = 0.0001) between squat strength ES and sprint ES. Additionally, the magnitude of sprint improvement is affected by the level of practice (p = 0.03) and body mass (r = 0.35; p = 0.011) of the subject, the frequency of resistance-training sessions per week (r = 0.50; p = 0.001) and the rest interval between sets of resistance-training exercises (r = -0.47; p ≤ 0.001). Conversely, the magnitude of sprint improvement is not affected by the athlete's age (p = 0.86) and height (p = 0.08), the resistance-training methods used through the training intervention, (p = 0.06), average load intensity [% of 1 repetition maximum (RM)] used during the resistance-training sessions (p = 0.34), training program duration (p = 0.16), number of exercises per session (p = 0.16), number of sets per exercise (p = 0.06) and number of repetitions per set (p = 0.48).\\n\\nCONCLUSIONS: Increases in lower-body strength transfer positively to sprint performance. The magnitude of sprint improvement is affected by numerous subject characteristics and resistance-training variables, but the large difference in number of ESs available should be taken into consideration. Overall, the reported improvement in sprint performance (sprint ES = -0.87, mean sprint improvement = 3.11 %) resulting from resistance training is of practical relevance for coaches and athletes in sport activities requiring high levels of speed.","author":[{"dropping-particle":"","family":"Seitz","given":"Laurent B.","non-dropping-particle":"","parse-names":false,"suffix":""},{"dropping-particle":"","family":"Reyes","given":"Alvaro","non-dropping-particle":"","parse-names":false,"suffix":""},{"dropping-particle":"","family":"Tran","given":"Tai T.","non-dropping-particle":"","parse-names":false,"suffix":""},{"dropping-particle":"","family":"Villarreal","given":"Eduardo Saez","non-dropping-particle":"de","parse-names":false,"suffix":""},{"dropping-particle":"","family":"Haff","given":"G. Gregory","non-dropping-particle":"","parse-names":false,"suffix":""}],"container-title":"Sports Medicine","id":"ITEM-2","issue":"12","issued":{"date-parts":[["2014"]]},"page":"1693-1702","title":"Increases in Lower-Body Strength Transfer Positively to Sprint Performance: A Systematic Review with Meta-Analysis","type":"article-journal","volume":"44"},"uris":["http://www.mendeley.com/documents/?uuid=d533f22c-5d0f-4521-a02d-4ecbb8c05eff","http://www.mendeley.com/documents/?uuid=ccb540f1-dac8-41bb-8cf9-76a4e5fd4bb8","http://www.mendeley.com/documents/?uuid=a7817256-ce65-413e-ab65-cf2f9b056c68"]},{"id":"ITEM-3","itemData":{"DOI":"10.1519/JSC.0000000000001228","ISBN":"0000000000","ISSN":"15334295","PMID":"26439782","abstract":"Wirth, K, Hartmann, H, Sander, A, Mickel, C, Szilvas, E, and Keiner, M. The impact of back squat and leg-press exercises on maximal strength and speed-strength parameters. J Strength Cond Res 30(5): 1205–1212, 2016—Strength traininginduced increases in speed strength seem indisputable. For trainers and athletes, the most efficient exercise selection in the phase of preparation is of interest. Therefore, this study determined how the selection of training exercise influences the development of speed strength and maximal strength during an 8-week training intervention. Seventy-eight students participated in this study (39 in the training group and 39 as controls). Both groups were divided into 2 subgroups. The first training group (squat training group [SQ]) completed an 8- week strength training protocol using the parallel squat. The second training group (leg-press training group [LP]) used the same training protocol using the leg press (458 leg press). The control group was divided in 2 subgroups as controls for the SQ or the LP. Two-factorial analyses of variance were performed using a repeated measures model for all group comparisons and comparisons between pretest and posttest results. The SQ exhibited a statistically significant (p # 0.05) increase in jump performance in squat jump (SJ, 12.4%) and countermovement jump (CMJ, 12.0%). Whereas, the changes in the LP did not reach statistical significance and amounted to improvements in SJ of 3.5% and CMJ 0.5%. The differences between groups were statistically significant (p # 0.05). There are also indications that the squat exercise is more effective to increase drop jump performance. Therefore, the squat exercise increased the performance in SJ, CMJ, and reactive strength index more effectively compared with the leg-press in a shortterm intervention. Consequently, if the strength training aims at improving jump performance, the squat should be preferred because of the better transfer effects.","author":[{"dropping-particle":"","family":"Wirth","given":"Klaus","non-dropping-particle":"","parse-names":false,"suffix":""},{"dropping-particle":"","family":"Hartmann","given":"Hagen","non-dropping-particle":"","parse-names":false,"suffix":""},{"dropping-particle":"","family":"Sander","given":"Andre","non-dropping-particle":"","parse-names":false,"suffix":""},{"dropping-particle":"","family":"Mickel","given":"Christoph","non-dropping-particle":"","parse-names":false,"suffix":""},{"dropping-particle":"","family":"Szilvas","given":"Elena","non-dropping-particle":"","parse-names":false,"suffix":""},{"dropping-particle":"","family":"Keiner","given":"Michael","non-dropping-particle":"","parse-names":false,"suffix":""}],"container-title":"Journal of Strength and Conditioning Research","id":"ITEM-3","issue":"5","issued":{"date-parts":[["2016"]]},"page":"1205-1212","title":"The impact of back squat and leg-press exercises on maximal strength and speed-strength parameters","type":"article-journal","volume":"30"},"uris":["http://www.mendeley.com/documents/?uuid=da9feddf-5688-4f70-84cf-5e0df3955ed5","http://www.mendeley.com/documents/?uuid=75f789bc-52a8-4080-9123-0384190e9ad6","http://www.mendeley.com/documents/?uuid=cd8294be-a23c-490f-8d82-4b659838490f"]},{"id":"ITEM-4","itemData":{"DOI":"10.1007/s40279-016-0486-0","ISSN":"0112-1642","author":[{"dropping-particle":"","family":"Suchomel","given":"Timothy J.","non-dropping-particle":"","parse-names":false,"suffix":""},{"dropping-particle":"","family":"Nimphius","given":"Sophia","non-dropping-particle":"","parse-names":false,"suffix":""},{"dropping-particle":"","family":"Stone","given":"Michael H.","non-dropping-particle":"","parse-names":false,"suffix":""}],"container-title":"Sports Medicine","id":"ITEM-4","issue":"10","issued":{"date-parts":[["2016","10","2"]]},"page":"1419-1449","title":"The Importance of Muscular Strength in Athletic Performance","type":"article-journal","volume":"46"},"uris":["http://www.mendeley.com/documents/?uuid=30cc935d-d3d2-3b5e-b72b-f37bef13c19e"]}],"mendeley":{"formattedCitation":"(Hartmann et al., 2012; Seitz, Reyes, Tran, de Villarreal, &amp; Haff, 2014; Suchomel, Nimphius, &amp; Stone, 2016; Wirth et al., 2016)","plainTextFormattedCitation":"(Hartmann et al., 2012; Seitz, Reyes, Tran, de Villarreal, &amp; Haff, 2014; Suchomel, Nimphius, &amp; Stone, 2016; Wirth et al., 2016)","previouslyFormattedCitation":"(Hartmann et al., 2012; Seitz, Reyes, Tran, de Villarreal, &amp; Haff, 2014; Suchomel, Nimphius, &amp; Stone, 2016; Wirth et al., 2016)"},"properties":{"noteIndex":0},"schema":"https://github.com/citation-style-language/schema/raw/master/csl-citation.json"}</w:instrText>
      </w:r>
      <w:r w:rsidRPr="0021030B">
        <w:rPr>
          <w:rFonts w:cs="Times New Roman"/>
          <w:szCs w:val="24"/>
          <w:lang w:val="en-US"/>
        </w:rPr>
        <w:fldChar w:fldCharType="separate"/>
      </w:r>
      <w:r w:rsidR="00EF515E" w:rsidRPr="0021030B">
        <w:rPr>
          <w:rFonts w:cs="Times New Roman"/>
          <w:noProof/>
          <w:szCs w:val="24"/>
          <w:lang w:val="en-US"/>
        </w:rPr>
        <w:t>(Hartmann et al., 2012; Seitz, Reyes, Tran, de Villarreal, &amp; Haff, 2014; Suchomel, Nimphius, &amp; Stone, 2016; Wirth et al., 2016)</w:t>
      </w:r>
      <w:r w:rsidRPr="0021030B">
        <w:rPr>
          <w:rFonts w:cs="Times New Roman"/>
          <w:szCs w:val="24"/>
          <w:lang w:val="en-US"/>
        </w:rPr>
        <w:fldChar w:fldCharType="end"/>
      </w:r>
      <w:r w:rsidRPr="0021030B">
        <w:rPr>
          <w:rFonts w:cs="Times New Roman"/>
          <w:szCs w:val="24"/>
          <w:lang w:val="en-US"/>
        </w:rPr>
        <w:t xml:space="preserve">. Recent studies have also observed greater functional and specific performance improvements in medium to long distance athletes (e.g. rowing, cross-country skiing, cycling) </w:t>
      </w:r>
      <w:r w:rsidR="006C3623" w:rsidRPr="0021030B">
        <w:rPr>
          <w:rFonts w:cs="Times New Roman"/>
          <w:szCs w:val="24"/>
          <w:lang w:val="en-US"/>
        </w:rPr>
        <w:t>after</w:t>
      </w:r>
      <w:r w:rsidRPr="0021030B">
        <w:rPr>
          <w:rFonts w:cs="Times New Roman"/>
          <w:szCs w:val="24"/>
          <w:lang w:val="en-US"/>
        </w:rPr>
        <w:t xml:space="preserve"> RT </w:t>
      </w:r>
      <w:r w:rsidR="006C3623" w:rsidRPr="0021030B">
        <w:rPr>
          <w:rFonts w:cs="Times New Roman"/>
          <w:szCs w:val="24"/>
          <w:lang w:val="en-US"/>
        </w:rPr>
        <w:t xml:space="preserve">including </w:t>
      </w:r>
      <w:r w:rsidR="002A5594" w:rsidRPr="0021030B">
        <w:rPr>
          <w:rFonts w:cs="Times New Roman"/>
          <w:szCs w:val="24"/>
          <w:lang w:val="en-US"/>
        </w:rPr>
        <w:t xml:space="preserve">the </w:t>
      </w:r>
      <w:r w:rsidR="006C3623" w:rsidRPr="0021030B">
        <w:rPr>
          <w:rFonts w:cs="Times New Roman"/>
          <w:szCs w:val="24"/>
          <w:lang w:val="en-US"/>
        </w:rPr>
        <w:t xml:space="preserve">SQ exercise </w:t>
      </w:r>
      <w:r w:rsidR="007566D7" w:rsidRPr="0021030B">
        <w:rPr>
          <w:rFonts w:cs="Times New Roman"/>
          <w:szCs w:val="24"/>
          <w:lang w:val="en-US"/>
        </w:rPr>
        <w:fldChar w:fldCharType="begin" w:fldLock="1"/>
      </w:r>
      <w:r w:rsidR="00137A7D" w:rsidRPr="0021030B">
        <w:rPr>
          <w:rFonts w:cs="Times New Roman"/>
          <w:szCs w:val="24"/>
          <w:lang w:val="en-US"/>
        </w:rPr>
        <w:instrText>ADDIN CSL_CITATION {"citationItems":[{"id":"ITEM-1","itemData":{"DOI":"10.1111/sms.12104","ISSN":"0905-7188","author":[{"dropping-particle":"","family":"Ronnestad","given":"B R","non-dropping-particle":"","parse-names":false,"suffix":""},{"dropping-particle":"","family":"Mujika","given":"I","non-dropping-particle":"","parse-names":false,"suffix":""}],"container-title":"Scandinavian Journal of Medicine &amp; Science in Sports","id":"ITEM-1","issue":"4","issued":{"date-parts":[["2014"]]},"page":"603-612","title":"Optimizing strength training for running and cycling endurance performance: A review","type":"article-journal","volume":"24"},"uris":["http://www.mendeley.com/documents/?uuid=1f49ec48-0521-4df0-831e-2f2d7bc1273d","http://www.mendeley.com/documents/?uuid=c312d0c2-14cc-4aca-91ea-10e6a0b220a2"]},{"id":"ITEM-2","itemData":{"DOI":"10.1111/sms.12257","ISBN":"1600-0838","ISSN":"16000838","PMID":"24862305","author":[{"dropping-particle":"","family":"Rønnestad","given":"B. R.","non-dropping-particle":"","parse-names":false,"suffix":""},{"dropping-particle":"","family":"Hansen","given":"J.","non-dropping-particle":"","parse-names":false,"suffix":""},{"dropping-particle":"","family":"Hollan","given":"I.","non-dropping-particle":"","parse-names":false,"suffix":""},{"dropping-particle":"","family":"Ellefsen","given":"S.","non-dropping-particle":"","parse-names":false,"suffix":""}],"container-title":"Scandinavian Journal of Medicine and Science in Sports","id":"ITEM-2","issue":"1","issued":{"date-parts":[["2015"]]},"page":"e89-e98","title":"Strength training improves performance and pedaling characteristics in elite cyclists","type":"article-journal","volume":"25"},"uris":["http://www.mendeley.com/documents/?uuid=06e285d8-ed2f-428e-a75e-708f74376f71","http://www.mendeley.com/documents/?uuid=60b4829b-e8b8-4bba-b225-bb22c7e1bec6"]},{"id":"ITEM-3","itemData":{"DOI":"10.1007/s00421-009-1061-2","ISBN":"0042100910612","ISSN":"14396319","PMID":"19396614","abstract":"This study was undertaken to analyze changes in selected cardiovascular and neuromuscular variables in a group of elite kayakers across a 12-week periodized cycle of combined strength and endurance training. Eleven world-class level paddlers underwent a battery of tests and were assessed four times during the training cycle (T0, T1, T2, and T3). On each occasion subjects completed an incremental test to exhaustion on the kayak-ergometer to determine maximal oxygen uptake (VO(2max)), second ventilatory threshold (VT2), peak blood lactate, paddling speed at VO(2max) (PS(max)) and at VT2 (PS(VT2)), stroke rate at VO(2max) and at VT2, heart rate at VO(2max) and at VT2. One-repetition maximum (1RM) and mean velocity with 45% 1RM load (V (45%)) were assessed in the bench press (BP) and prone bench pull (PBP) exercises. Anthropometric measurements (skinfold thicknesses and muscle girths) were also obtained. Training volume and exercise intensity were quantified for each of three training phases (P1, P2, and P3). Significant improvements in VO(2max) (9.5%), VO(2) at VT2 (9.4%), PS(max) (6.2%), PS(VT2) (4.4%), 1RM in BP (4.2%) and PBP (5.3%), V (45%) in BP (14.4%) and PBP (10.0%) were observed from T0 to T3. A 12-week periodized strength and endurance program with special emphasis on prioritizing the sequential development of specific physical fitness components in each training phase (i.e. muscle hypertrophy and VT2 in P1, and maximal strength and aerobic power in P2) seems effective for improving both cardiovascular and neuromuscular markers of highly trained top-level athletes.","author":[{"dropping-particle":"","family":"Pallarés","given":"Jesús G.","non-dropping-particle":"","parse-names":false,"suffix":""},{"dropping-particle":"","family":"Sánchez-Medina","given":"Luis","non-dropping-particle":"","parse-names":false,"suffix":""},{"dropping-particle":"","family":"Carrasco","given":"Luis","non-dropping-particle":"","parse-names":false,"suffix":""},{"dropping-particle":"","family":"Díaz","given":"Arturo","non-dropping-particle":"","parse-names":false,"suffix":""},{"dropping-particle":"","family":"Izquierdo","given":"Mikel","non-dropping-particle":"","parse-names":false,"suffix":""},{"dropping-particle":"","family":"García-Pallarés","given":"Jesús","non-dropping-particle":"","parse-names":false,"suffix":""},{"dropping-particle":"","family":"Sánchez-Medina","given":"Luis","non-dropping-particle":"","parse-names":false,"suffix":""},{"dropping-particle":"","family":"Carrasco","given":"Luis","non-dropping-particle":"","parse-names":false,"suffix":""},{"dropping-particle":"","family":"Díaz","given":"Arturo","non-dropping-particle":"","parse-names":false,"suffix":""},{"dropping-particle":"","family":"Izquierdo","given":"Mikel","non-dropping-particle":"","parse-names":false,"suffix":""}],"container-title":"European Journal of Applied Physiology","id":"ITEM-3","issue":"4","issued":{"date-parts":[["2009","7","26"]]},"page":"629-638","publisher":"Springer-Verlag","title":"Endurance and neuromuscular changes in world-class level kayakers during a periodized training cycle","type":"article-journal","volume":"106"},"uris":["http://www.mendeley.com/documents/?uuid=82c60e32-6d93-4471-9633-ec104e5c7421"]},{"id":"ITEM-4","itemData":{"DOI":"10.1249/MSS.0b013e3181c67eec","ISSN":"1530-0315","PMID":"19997025","abstract":"The purpose of this study was to examine the efficacy of 8 wk of resistance training to failure versus not to failure training regimens at both moderate and low volumes for increasing upper-body strength and power as well as cardiovascular parameters into a combined resistance and endurance periodized training scheme.","author":[{"dropping-particle":"","family":"Izquierdo-Gabarren","given":"Mikel","non-dropping-particle":"","parse-names":false,"suffix":""},{"dropping-particle":"","family":"González De Txabarri Expósito","given":"Rafael","non-dropping-particle":"","parse-names":false,"suffix":""},{"dropping-particle":"","family":"García-Pallarés","given"</w:instrText>
      </w:r>
      <w:r w:rsidR="00137A7D" w:rsidRPr="0021030B">
        <w:rPr>
          <w:rFonts w:cs="Times New Roman"/>
          <w:szCs w:val="24"/>
        </w:rPr>
        <w:instrText>:"Jesús","non-dropping-particle":"","parse-names":false,"suffix":""},{"dropping-particle":"","family":"Sánchez-medina","given":"Luis","non-dropping-particle":"","parse-names":false,"suffix":""},{"dropping-particle":"","family":"Villarreal","given":"Eduardo Sáez","non-dropping-particle":"De","parse-names":false,"suffix":""},{"dropping-particle":"","family":"Izquierdo","given":"Mikel","non-dropping-particle":"","parse-names":false,"suffix":""}],"container-title":"Medicine and science in sports and exercise","id":"ITEM-4","issue":"6","issued":{"date-parts":[["2010","6"]]},"page":"1191-9","title":"Concurrent endurance and strength training not to failure optimizes performance gains.","type":"article-journal","volume":"42"},"uris":["http://www.mendeley.com/documents/?uuid=398a2994-0436-4664-bf50-efb25fe507ec","http://www.mendeley.com/documents/?uuid=e2e87d2d-b28c-4e1c-9dca-c8560ea24039"]}],"mendeley":{"formattedCitation":"(Izquierdo-Gabarren et al., 2010; Pallarés et al., 2009; Rønnestad, Hansen, Hollan, &amp; Ellefsen, 2015; Ronnestad &amp; Mujika, 2014)","plainTextFormattedCitation":"(Izquierdo-Gabarren et al., 2010; Pallarés et al., 2009; Rønnestad, Hansen, Hollan, &amp; Ellefsen, 2015; Ronnestad &amp; Mujika, 2014)","previouslyFormattedCitation":"(Izquierdo-Gabarren et al., 2010; Pallarés et al., 2009; Rønnestad, Hansen, Hollan, &amp; Ellefsen, 2015; Ronnestad &amp; Mujika, 2014)"},"properties":{"noteIndex":0},"schema":"https://github.com/citation-style-language/schema/raw/master/csl-citation.json"}</w:instrText>
      </w:r>
      <w:r w:rsidR="007566D7" w:rsidRPr="0021030B">
        <w:rPr>
          <w:rFonts w:cs="Times New Roman"/>
          <w:szCs w:val="24"/>
          <w:lang w:val="en-US"/>
        </w:rPr>
        <w:fldChar w:fldCharType="separate"/>
      </w:r>
      <w:r w:rsidR="00137A7D" w:rsidRPr="0021030B">
        <w:rPr>
          <w:rFonts w:cs="Times New Roman"/>
          <w:noProof/>
          <w:szCs w:val="24"/>
        </w:rPr>
        <w:t>(Izquierdo-Gabarren et al., 2010; Pallarés et al., 2009; Rønnestad, Hansen, Hollan, &amp; Ellefsen, 2015; Ronnestad &amp; Mujika, 2014)</w:t>
      </w:r>
      <w:r w:rsidR="007566D7" w:rsidRPr="0021030B">
        <w:rPr>
          <w:rFonts w:cs="Times New Roman"/>
          <w:szCs w:val="24"/>
          <w:lang w:val="en-US"/>
        </w:rPr>
        <w:fldChar w:fldCharType="end"/>
      </w:r>
      <w:r w:rsidRPr="0021030B">
        <w:rPr>
          <w:rFonts w:cs="Times New Roman"/>
          <w:szCs w:val="24"/>
        </w:rPr>
        <w:t>.</w:t>
      </w:r>
      <w:r w:rsidR="009D0FFC" w:rsidRPr="0021030B">
        <w:rPr>
          <w:rFonts w:cs="Times New Roman"/>
          <w:szCs w:val="24"/>
        </w:rPr>
        <w:t xml:space="preserve"> </w:t>
      </w:r>
    </w:p>
    <w:p w14:paraId="3F45C3D8" w14:textId="240D7085" w:rsidR="000F306D" w:rsidRPr="0021030B" w:rsidRDefault="004F162B" w:rsidP="008860F5">
      <w:pPr>
        <w:spacing w:line="480" w:lineRule="auto"/>
        <w:ind w:firstLine="708"/>
        <w:rPr>
          <w:rFonts w:cs="Times New Roman"/>
          <w:szCs w:val="24"/>
          <w:lang w:val="en-US"/>
        </w:rPr>
      </w:pPr>
      <w:r w:rsidRPr="0021030B">
        <w:rPr>
          <w:rFonts w:cs="Times New Roman"/>
          <w:bCs/>
          <w:szCs w:val="24"/>
          <w:lang w:val="en-US"/>
        </w:rPr>
        <w:t xml:space="preserve">There are four main </w:t>
      </w:r>
      <w:r w:rsidR="006C3623" w:rsidRPr="0021030B">
        <w:rPr>
          <w:rFonts w:cs="Times New Roman"/>
          <w:bCs/>
          <w:szCs w:val="24"/>
          <w:lang w:val="en-US"/>
        </w:rPr>
        <w:t xml:space="preserve">SQ </w:t>
      </w:r>
      <w:r w:rsidR="005E44AB" w:rsidRPr="0021030B">
        <w:rPr>
          <w:rFonts w:cs="Times New Roman"/>
          <w:bCs/>
          <w:szCs w:val="24"/>
          <w:lang w:val="en-US"/>
        </w:rPr>
        <w:t xml:space="preserve">technique </w:t>
      </w:r>
      <w:r w:rsidRPr="0021030B">
        <w:rPr>
          <w:rFonts w:cs="Times New Roman"/>
          <w:bCs/>
          <w:szCs w:val="24"/>
          <w:lang w:val="en-US"/>
        </w:rPr>
        <w:t>variations</w:t>
      </w:r>
      <w:r w:rsidR="00135133" w:rsidRPr="0021030B">
        <w:rPr>
          <w:rFonts w:cs="Times New Roman"/>
          <w:bCs/>
          <w:szCs w:val="24"/>
          <w:lang w:val="en-US"/>
        </w:rPr>
        <w:t xml:space="preserve"> according to the squatting depth (i.e., the angles reached in the hip, knee and ankle joints at the bottom position)</w:t>
      </w:r>
      <w:r w:rsidRPr="0021030B">
        <w:rPr>
          <w:rFonts w:cs="Times New Roman"/>
          <w:bCs/>
          <w:szCs w:val="24"/>
          <w:lang w:val="en-US"/>
        </w:rPr>
        <w:t>: the deep or full squat (F-SQ), parallel squat (P-SQ), half squat (H-SQ) and quarter squat</w:t>
      </w:r>
      <w:r w:rsidR="002B2000" w:rsidRPr="0021030B">
        <w:rPr>
          <w:rFonts w:cs="Times New Roman"/>
          <w:bCs/>
          <w:szCs w:val="24"/>
          <w:lang w:val="en-US"/>
        </w:rPr>
        <w:t>. I</w:t>
      </w:r>
      <w:r w:rsidR="000F306D" w:rsidRPr="0021030B">
        <w:rPr>
          <w:rFonts w:cs="Times New Roman"/>
          <w:bCs/>
          <w:szCs w:val="24"/>
          <w:lang w:val="en-US"/>
        </w:rPr>
        <w:t>n the F-SQ</w:t>
      </w:r>
      <w:r w:rsidR="002B2000" w:rsidRPr="0021030B">
        <w:rPr>
          <w:rFonts w:cs="Times New Roman"/>
          <w:bCs/>
          <w:szCs w:val="24"/>
          <w:lang w:val="en-US"/>
        </w:rPr>
        <w:t>,</w:t>
      </w:r>
      <w:r w:rsidR="000F306D" w:rsidRPr="0021030B">
        <w:rPr>
          <w:rFonts w:cs="Times New Roman"/>
          <w:bCs/>
          <w:szCs w:val="24"/>
          <w:lang w:val="en-US"/>
        </w:rPr>
        <w:t xml:space="preserve"> the subject descends until the top of the thighs </w:t>
      </w:r>
      <w:r w:rsidR="00672E2F" w:rsidRPr="0021030B">
        <w:rPr>
          <w:rFonts w:cs="Times New Roman"/>
          <w:bCs/>
          <w:szCs w:val="24"/>
          <w:lang w:val="en-US"/>
        </w:rPr>
        <w:t>fall</w:t>
      </w:r>
      <w:r w:rsidR="000F306D" w:rsidRPr="0021030B">
        <w:rPr>
          <w:rFonts w:cs="Times New Roman"/>
          <w:bCs/>
          <w:szCs w:val="24"/>
          <w:lang w:val="en-US"/>
        </w:rPr>
        <w:t xml:space="preserve"> below the horizontal plane, with knees flexed to a tibiofemoral angle of 35-45º in the sagittal plane</w:t>
      </w:r>
      <w:r w:rsidR="00744F96" w:rsidRPr="0021030B">
        <w:rPr>
          <w:rFonts w:cs="Times New Roman"/>
          <w:bCs/>
          <w:szCs w:val="24"/>
          <w:lang w:val="en-US"/>
        </w:rPr>
        <w:t xml:space="preserve"> </w:t>
      </w:r>
      <w:r w:rsidR="00744F96" w:rsidRPr="0021030B">
        <w:rPr>
          <w:rFonts w:cs="Times New Roman"/>
          <w:bCs/>
          <w:szCs w:val="24"/>
          <w:lang w:val="en-US"/>
        </w:rPr>
        <w:fldChar w:fldCharType="begin" w:fldLock="1"/>
      </w:r>
      <w:r w:rsidR="00433385" w:rsidRPr="0021030B">
        <w:rPr>
          <w:rFonts w:cs="Times New Roman"/>
          <w:bCs/>
          <w:szCs w:val="24"/>
          <w:lang w:val="en-US"/>
        </w:rPr>
        <w:instrText>ADDIN CSL_CITATION {"citationItems":[{"id":"ITEM-1","itemData":{"DOI":"10.1080/02640414.2018.1544187","ISBN":"1466-447X (Electronic) 0264-0414 (Linking)","ISSN":"0264-0414","PMID":"30426840","abstract":"This study aimed to compare the load-velocity and load-power relationships of three common variations of the squat exercise. 52 strength-trained males performed a progressive loading test up to the one-repetition maximum (1RM) in the full (F-SQ), parallel (P-SQ) and half (H-SQ) squat, conducted in random order on separate days. Bar velocity and vertical force were measured by means of a linear velocity transducer time-synchronized with a force platform. The relative load that maximized power output (Pmax) was analyzed using three outcome measures: mean concentric (MP), mean propulsive (MPP) and peak power (PP), while also including or excluding body mass in force calculations. 1RM was significantly different between exercises. Load-velocity and load-power relationships were significantly different between the F-SQ, P-SQ and H-SQ variations. Close relationships (R2 = 0.92-0.96) between load (%1RM) and bar velocity were found and they were specific for each squat variation, with faster velocities the greater the squat depth. Unlike the F-SQ and P-SQ, no sticking region was observed for the H-SQ when lifting high loads. The Pmax corresponded to a broad load range and was greatly influenced by how force output is calculated (including or excluding body mass) as well as the exact outcome variable used (MP, MPP, PP).","author":[{"dropping-particle":"","family":"Martínez-Cava","given":"Alejandro","non-dropping-particle":"","parse-names":false,"suffix":""},{"dropping-particle":"","family":"Morán-Navarro","given":"Ricardo","non-dropping-particle":"","parse-names":false,"suffix":""},{"dropping-particle":"","family":"Sánchez-Medina","given":"Luis","non-dropping-particle":"","parse-names":false,"suffix":""},{"dropping-particle":"","family":"González-Badillo","given":"Juan José","non-dropping-particle":"","parse-names":false,"suffix":""},{"dropping-particle":"","family":"Pallarés","given":"Jesús G.","non-dropping-particle":"","parse-names":false,"suffix":""}],"container-title":"Journal of Sports Sciences","id":"ITEM-1","issued":{"date-parts":[["2018"]]},"page":"1-9","title":"Velocity- and power-load relationships in the half, parallel and full back squat","type":"article-journal"},"uris":["http://www.mendeley.com/documents/?uuid=537000b3-bec2-46a1-853d-7888a95caf4f"]},{"id":"ITEM-2","itemData":{"DOI":"10.1007/s40279-013-0073-6","ISBN":"1179-2035 (Electronic)\\r0112-1642 (Linking)","ISSN":"01121642","PMID":"23821469","abstract":"It has been suggested that deep squats could cause an increased injury risk of the lumbar spine and the knee joints. Avoiding deep flexion has been recommended to minimize the magnitude of knee-joint forces. Unfortunately this suggestion has not taken the influence of the wrapping effect, functional adaptations and soft tissue contact between the back of thigh and calf into account. The aim of this literature review is to assess whether squats with less knee flexion (half/quarter squats) are safer on the musculoskeletal system than deep squats. A search of relevant scientific publications was conducted between March 2011 and January 2013 using PubMed. Over 164 articles were included in the review. There are no realistic estimations of knee-joint forces for knee-flexion angles beyond 50 degrees in the deep squat. Based on biomechanical calculations and measurements of cadaver knee joints, the highest retropatellar compressive forces and stresses can be seen at 90 degrees . With increasing flexion, the wrapping effect contributes to an enhanced load distribution and enhanced force transfer with lower retropatellar compressive forces. Additionally, with further flexion of the knee joint a cranial displacement of facet contact areas with continuous enlargement of the retropatellar articulating surface occurs. Both lead to lower retropatellar compressive stresses. Menisci and cartilage, ligaments and bones are susceptible to anabolic metabolic processes and functional structural adaptations in response to increased activity and mechanical influences. Concerns about degenerative changes of the tendofemoral complex and the apparent higher risk for chondromalacia, osteoarthritis, and osteochondritis in deep squats are unfounded. With the same load configuration as in the deep squat, half and quarter squat training with comparatively supra-maximal loads will favour degenerative changes in the knee joints and spinal joints in the long term. Provided that technique is learned accurately under expert supervision and with progressive training loads, the deep squat presents an effective training exercise for protection against injuries and strengthening of the lower extremity. Contrary to commonly voiced concern, deep squats do not contribute increased risk of injury to passive tissues.","author":[{"dropping-particle":"","family":"Hartmann","given":"Hagen","non-dropping-particle":"","parse-names":false,"suffix":""},{"dropping-particle":"","family":"Wirth","given":"Klaus","non-dropping-particle":"","parse-names":false,"suffix":""},{"dropping-particle":"","family":"Klusemann","given":"Markus","non-dropping-particle":"","parse-names":false,"suffix":""}],"container-title":"Sports Medicine","id":"ITEM-2","issue":"10","issued":{"date-parts":[["2013"]]},"page":"993-1008","title":"Analysis of the load on the knee joint and vertebral column with changes in squatting depth and weight load","type":"article-journal","volume":"43"},"uris":["http://www.mendeley.com/documents/?uuid=d9e302d5-9518-4dc5-913e-c7d83dbbb71f"]}],"mendeley":{"formattedCitation":"(Hartmann et al., 2013; Martínez-Cava, Morán-Navarro, Sánchez-Medina, González-Badillo, &amp; Pallarés, 2018)","plainTextFormattedCitation":"(Hartmann et al., 2013; Martínez-Cava, Morán-Navarro, Sánchez-Medina, González-Badillo, &amp; Pallarés, 2018)","previouslyFormattedCitation":"(Hartmann et al., 2013; Martínez-Cava, Morán-Navarro, Sánchez-Medina, González-Badillo, &amp; Pallarés, 2018)"},"properties":{"noteIndex":0},"schema":"https://github.com/citation-style-language/schema/raw/master/csl-citation.json"}</w:instrText>
      </w:r>
      <w:r w:rsidR="00744F96" w:rsidRPr="0021030B">
        <w:rPr>
          <w:rFonts w:cs="Times New Roman"/>
          <w:bCs/>
          <w:szCs w:val="24"/>
          <w:lang w:val="en-US"/>
        </w:rPr>
        <w:fldChar w:fldCharType="separate"/>
      </w:r>
      <w:r w:rsidR="00CD5823" w:rsidRPr="0021030B">
        <w:rPr>
          <w:rFonts w:cs="Times New Roman"/>
          <w:bCs/>
          <w:noProof/>
          <w:szCs w:val="24"/>
        </w:rPr>
        <w:t>(Hartmann et al., 2013; Martínez-Cava, Morán-Navarro, Sánchez-Medina, González-Badillo, &amp; Pallarés, 2018)</w:t>
      </w:r>
      <w:r w:rsidR="00744F96" w:rsidRPr="0021030B">
        <w:rPr>
          <w:rFonts w:cs="Times New Roman"/>
          <w:bCs/>
          <w:szCs w:val="24"/>
          <w:lang w:val="en-US"/>
        </w:rPr>
        <w:fldChar w:fldCharType="end"/>
      </w:r>
      <w:r w:rsidR="002B2000" w:rsidRPr="0021030B">
        <w:rPr>
          <w:rFonts w:cs="Times New Roman"/>
          <w:bCs/>
          <w:szCs w:val="24"/>
        </w:rPr>
        <w:t xml:space="preserve">. </w:t>
      </w:r>
      <w:r w:rsidR="002B2000" w:rsidRPr="0021030B">
        <w:rPr>
          <w:rFonts w:cs="Times New Roman"/>
          <w:bCs/>
          <w:szCs w:val="24"/>
          <w:lang w:val="en-US"/>
        </w:rPr>
        <w:t xml:space="preserve">In the </w:t>
      </w:r>
      <w:r w:rsidR="000F306D" w:rsidRPr="0021030B">
        <w:rPr>
          <w:rFonts w:cs="Times New Roman"/>
          <w:bCs/>
          <w:szCs w:val="24"/>
          <w:lang w:val="en-US"/>
        </w:rPr>
        <w:t>P-SQ</w:t>
      </w:r>
      <w:r w:rsidR="002B2000" w:rsidRPr="0021030B">
        <w:rPr>
          <w:rFonts w:cs="Times New Roman"/>
          <w:bCs/>
          <w:szCs w:val="24"/>
          <w:lang w:val="en-US"/>
        </w:rPr>
        <w:t>,</w:t>
      </w:r>
      <w:r w:rsidR="000F306D" w:rsidRPr="0021030B">
        <w:rPr>
          <w:rFonts w:cs="Times New Roman"/>
          <w:bCs/>
          <w:szCs w:val="24"/>
          <w:lang w:val="en-US"/>
        </w:rPr>
        <w:t xml:space="preserve"> the eccentric phase ends when the inguinal fold is in a straight horizontal line with the top of the knee</w:t>
      </w:r>
      <w:r w:rsidR="002B2000" w:rsidRPr="0021030B">
        <w:rPr>
          <w:rFonts w:cs="Times New Roman"/>
          <w:bCs/>
          <w:szCs w:val="24"/>
          <w:lang w:val="en-US"/>
        </w:rPr>
        <w:t>, while</w:t>
      </w:r>
      <w:r w:rsidR="000F306D" w:rsidRPr="0021030B">
        <w:rPr>
          <w:rFonts w:cs="Times New Roman"/>
          <w:bCs/>
          <w:szCs w:val="24"/>
          <w:lang w:val="en-US"/>
        </w:rPr>
        <w:t xml:space="preserve"> in the H-SQ the eccentric phase is carried out until reaching 90º of knee flexion </w:t>
      </w:r>
      <w:r w:rsidR="000F306D" w:rsidRPr="0021030B">
        <w:rPr>
          <w:rFonts w:cs="Times New Roman"/>
          <w:bCs/>
          <w:szCs w:val="24"/>
          <w:lang w:val="en-US"/>
        </w:rPr>
        <w:fldChar w:fldCharType="begin" w:fldLock="1"/>
      </w:r>
      <w:r w:rsidR="00E42B44" w:rsidRPr="0021030B">
        <w:rPr>
          <w:rFonts w:cs="Times New Roman"/>
          <w:bCs/>
          <w:szCs w:val="24"/>
          <w:lang w:val="en-US"/>
        </w:rPr>
        <w:instrText>ADDIN CSL_CITATION {"citationItems":[{"id":"ITEM-1","itemData":{"DOI":"10.1097/00005768-199602000-00010","ISSN":"0195-9131","author":[{"dropping-particle":"","family":"Wretenberg","given":"P","non-dropping-particle":"","parse-names":false,"suffix":""},{"dropping-particle":"","family":"Feng","given":"Y","non-dropping-particle":"","parse-names":false,"suffix":""},{"dropping-particle":"","family":"Arborelius","given":"U P","non-dropping-particle":"","parse-names":false,"suffix":""}],"container-title":"Medicine and Science in Sports and Exercise","id":"ITEM-1","issue":"2","issued":{"date-parts":[["1996"]]},"page":"218-224","title":"High- and low-bar squatting techniques during weight-training","type":"article-journal","volume":"28"},"uris":["http://www.mendeley.com/documents/?uuid=ec1b9326-81d5-43f9-952b-4c5ab659f8da","http://www.mendeley.com/documents/?uuid=2f68fdea-f08d-4f70-b63d-51ffe3074c4d","http://www.mendeley.com/documents/?uuid=2a3ae446-f692-4f99-affe-c260b7c59597"]},{"id":"ITEM-2","itemData":{"DOI":"10.1007/s40279-013-0073-6","ISBN":"1179-2035 (Electronic)\\r0112-1642 (Linking)","ISSN":"01121642","PMID":"23821469","abstract":"It has been suggested that deep squats could cause an increased injury risk of the lumbar spine and the knee joints. Avoiding deep flexion has been recommended to minimize the magnitude of knee-joint forces. Unfortunately this suggestion has not taken the influence of the wrapping effect, functional adaptations and soft tissue contact between the back of thigh and calf into account. The aim of this literature review is to assess whether squats with less knee flexion (half/quarter squats) are safer on the musculoskeletal system than deep squats. A search of relevant scientific publications was conducted between March 2011 and January 2013 using PubMed. Over 164 articles were included in the review. There are no realistic estimations of knee-joint forces for knee-flexion angles beyond 50 degrees in the deep squat. Based on biomechanical calculations and measurements of cadaver knee joints, the highest retropatellar compressive forces and stresses can be seen at 90 degrees . With increasing flexion, the wrapping effect contributes to an enhanced load distribution and enhanced force transfer with lower retropatellar compressive forces. Additionally, with further flexion of the knee joint a cranial displacement of facet contact areas with continuous enlargement of the retropatellar articulating surface occurs. Both lead to lower retropatellar compressive stresses. Menisci and cartilage, ligaments and bones are susceptible to anabolic metabolic processes and functional structural adaptations in response to increased activity and mechanical influences. Concerns about degenerative changes of the tendofemoral complex and the apparent higher risk for chondromalacia, osteoarthritis, and osteochondritis in deep squats are unfounded. With the same load configuration as in the deep squat, half and quarter squat training with comparatively supra-maximal loads will favour degenerative changes in the knee joints and spinal joints in the long term. Provided that technique is learned accurately under expert supervision and with progressive training loads, the deep squat presents an effective training exercise for protection against injuries and strengthening of the lower extremity. Contrary to commonly voiced concern, deep squats do not contribute increased risk of injury to passive tissues.","author":[{"dropping-particle":"","family":"Hartmann","given":"Hagen","non-dropping-particle":"","parse-names":false,"suffix":""},{"dropping-particle":"","family":"Wirth","given":"Klaus","non-dropping-particle":"","parse-names":false,"suffix":""},{"dropping-particle":"","family":"Klusemann","given":"Markus","non-dropping-particle":"","parse-names":false,"suffix":""}],"container-title":"Sports Medicine","id":"ITEM-2","issue":"10","issued":{"date-parts":[["2013"]]},"page":"993-1008","title":"Analysis of the load on the knee joint and vertebral column with changes in squatting depth and weight load","type":"article-journal","volume":"43"},"uris":["http://www.mendeley.com/documents/?uuid=d9e302d5-9518-4dc5-913e-c7d83dbbb71f"]}],"mendeley":{"formattedCitation":"(Hartmann et al., 2013; Wretenberg, Feng, &amp; Arborelius, 1996)","plainTextFormattedCitation":"(Hartmann et al., 2013; Wretenberg, Feng, &amp; Arborelius, 1996)","previouslyFormattedCitation":"(Hartmann et al., 2013; Wretenberg, Feng, &amp; Arborelius, 1996)"},"properties":{"noteIndex":0},"schema":"https://github.com/citation-style-language/schema/raw/master/csl-citation.json"}</w:instrText>
      </w:r>
      <w:r w:rsidR="000F306D" w:rsidRPr="0021030B">
        <w:rPr>
          <w:rFonts w:cs="Times New Roman"/>
          <w:bCs/>
          <w:szCs w:val="24"/>
          <w:lang w:val="en-US"/>
        </w:rPr>
        <w:fldChar w:fldCharType="separate"/>
      </w:r>
      <w:r w:rsidR="00E42B44" w:rsidRPr="0021030B">
        <w:rPr>
          <w:rFonts w:cs="Times New Roman"/>
          <w:bCs/>
          <w:noProof/>
          <w:szCs w:val="24"/>
          <w:lang w:val="en-US"/>
        </w:rPr>
        <w:t>(Hartmann et al., 2013; Wretenberg, Feng, &amp; Arborelius, 1996)</w:t>
      </w:r>
      <w:r w:rsidR="000F306D" w:rsidRPr="0021030B">
        <w:rPr>
          <w:rFonts w:cs="Times New Roman"/>
          <w:bCs/>
          <w:szCs w:val="24"/>
          <w:lang w:val="en-US"/>
        </w:rPr>
        <w:fldChar w:fldCharType="end"/>
      </w:r>
      <w:r w:rsidR="002B2000" w:rsidRPr="0021030B">
        <w:rPr>
          <w:rFonts w:cs="Times New Roman"/>
          <w:bCs/>
          <w:szCs w:val="24"/>
          <w:lang w:val="en-US"/>
        </w:rPr>
        <w:t xml:space="preserve">. Lastly, </w:t>
      </w:r>
      <w:r w:rsidR="00681D2C" w:rsidRPr="0021030B">
        <w:rPr>
          <w:rFonts w:cs="Times New Roman"/>
          <w:bCs/>
          <w:szCs w:val="24"/>
          <w:lang w:val="en-US"/>
        </w:rPr>
        <w:t xml:space="preserve">the </w:t>
      </w:r>
      <w:r w:rsidR="00D84C67" w:rsidRPr="0021030B">
        <w:rPr>
          <w:rFonts w:cs="Times New Roman"/>
          <w:bCs/>
          <w:szCs w:val="24"/>
          <w:lang w:val="en-US"/>
        </w:rPr>
        <w:t>quarter squat</w:t>
      </w:r>
      <w:r w:rsidR="00D84C67" w:rsidRPr="0021030B" w:rsidDel="00D84C67">
        <w:rPr>
          <w:rFonts w:cs="Times New Roman"/>
          <w:bCs/>
          <w:szCs w:val="24"/>
          <w:lang w:val="en-US"/>
        </w:rPr>
        <w:t xml:space="preserve"> </w:t>
      </w:r>
      <w:r w:rsidR="00681D2C" w:rsidRPr="0021030B">
        <w:rPr>
          <w:rFonts w:cs="Times New Roman"/>
          <w:bCs/>
          <w:szCs w:val="24"/>
          <w:lang w:val="en-US"/>
        </w:rPr>
        <w:t>is executed to 110–140</w:t>
      </w:r>
      <w:r w:rsidR="00696073" w:rsidRPr="0021030B">
        <w:rPr>
          <w:rFonts w:cs="Times New Roman"/>
          <w:bCs/>
          <w:szCs w:val="24"/>
          <w:lang w:val="en-US"/>
        </w:rPr>
        <w:t>º</w:t>
      </w:r>
      <w:r w:rsidR="00681D2C" w:rsidRPr="0021030B">
        <w:rPr>
          <w:rFonts w:cs="Times New Roman"/>
          <w:bCs/>
          <w:szCs w:val="24"/>
          <w:lang w:val="en-US"/>
        </w:rPr>
        <w:t xml:space="preserve"> of knee extension </w:t>
      </w:r>
      <w:r w:rsidR="0003706C" w:rsidRPr="0021030B">
        <w:rPr>
          <w:rFonts w:cs="Times New Roman"/>
          <w:bCs/>
          <w:szCs w:val="24"/>
          <w:lang w:val="en-US"/>
        </w:rPr>
        <w:fldChar w:fldCharType="begin" w:fldLock="1"/>
      </w:r>
      <w:r w:rsidR="00E42B44" w:rsidRPr="0021030B">
        <w:rPr>
          <w:rFonts w:cs="Times New Roman"/>
          <w:bCs/>
          <w:szCs w:val="24"/>
          <w:lang w:val="en-US"/>
        </w:rPr>
        <w:instrText>ADDIN CSL_CITATION {"citationItems":[{"id":"ITEM-1","itemData":{"DOI":"https://doi.org/10.1515/humo-2016-0006","author":[{"dropping-particle":"","family":"Rhea","given":"M R","non-dropping-particle":"","parse-names":false,"suffix":""},{"dropping-particle":"","family":"Kenn","given":"J G","non-dropping-particle":"","parse-names":false,"suffix":""},{"dropping-particle":"","family":"Peterson","given":"M D","non-dropping-particle":"","parse-names":false,"suffix":""},{"dropping-particle":"","family":"Massey","given":"D","non-dropping-particle":"","parse-names":false,"suffix":""}],"container-title":"Human Movement","id":"ITEM-1","issue":"1","issued":{"date-parts":[["2016"]]},"page":"43-49","title":"Joint-angle specific strength adaptations influence improvements in power in highly trained athletes","type":"article-journal","volume":"17"},"uris":["http://www.mendeley.com/documents/?uuid=05743d8a-ad56-49c1-a65c-1ebb2d52a0a5","http://www.mendeley.com/documents/?uuid=f4709248-65b2-4a28-94a0-7c0615eeee3e","http://www.mendeley.com/documents/?uuid=77217e21-35d2-469f-b579-82abe8ab3a38"]},{"id":"ITEM-2","itemData":{"DOI":"10.1007/s40279-013-0073-6","ISBN":"1179-2035 (Electronic)\\r0112-1642 (Linking)","ISSN":"01121642","PMID":"23821469","abstract":"It has been suggested that deep squats could cause an increased injury risk of the lumbar spine and the knee joints. Avoiding deep flexion has been recommended to minimize the magnitude of knee-joint forces. Unfortunately this suggestion has not taken the influence of the wrapping effect, functional adaptations and soft tissue contact between the back of thigh and calf into account. The aim of this literature review is to assess whether squats with less knee flexion (half/quarter squats) are safer on the musculoskeletal system than deep squats. A search of relevant scientific publications was conducted between March 2011 and January 2013 using PubMed. Over 164 articles were included in the review. There are no realistic estimations of knee-joint forces for knee-flexion angles beyond 50 degrees in the deep squat. Based on biomechanical calculations and measurements of cadaver knee joints, the highest retropatellar compressive forces and stresses can be seen at 90 degrees . With increasing flexion, the wrapping effect contributes to an enhanced load distribution and enhanced force transfer with lower retropatellar compressive forces. Additionally, with further flexion of the knee joint a cranial displacement of facet contact areas with continuous enlargement of the retropatellar articulating surface occurs. Both lead to lower retropatellar compressive stresses. Menisci and cartilage, ligaments and bones are susceptible to anabolic metabolic processes and functional structural adaptations in response to increased activity and mechanical influences. Concerns about degenerative changes of the tendofemoral complex and the apparent higher risk for chondromalacia, osteoarthritis, and osteochondritis in deep squats are unfounded. With the same load configuration as in the deep squat, half and quarter squat training with comparatively supra-maximal loads will favour degenerative changes in the knee joints and spinal joints in the long term. Provided that technique is learned accurately under expert supervision and with progressive training loads, the deep squat presents an effective training exercise for protection against injuries and strengthening of the lower extremity. Contrary to commonly voiced concern, deep squats do not contribute increased risk of injury to passive tissues.","author":[{"dropping-particle":"","family":"Hartmann","given":"Hagen","non-dropping-particle":"","parse-names":false,"suffix":""},{"dropping-particle":"","family":"Wirth","given":"Klaus","non-dropping-particle":"","parse-names":false,"suffix":""},{"dropping-particle":"","family":"Klusemann","given":"Markus","non-dropping-particle":"","parse-names":false,"suffix":""}],"container-title":"Sports Medicine","id":"ITEM-2","issue":"10","issued":{"date-parts":[["2013"]]},"page":"993-1008","title":"Analysis of the load on the knee joint and vertebral column with changes in squatting depth and weight load","type":"article-journal","volume":"43"},"uris":["http://www.mendeley.com/documents/?uuid=d9e302d5-9518-4dc5-913e-c7d83dbbb71f"]}],"mendeley":{"formattedCitation":"(Hartmann et al., 2013; Rhea, Kenn, Peterson, &amp; Massey, 2016)","plainTextFormattedCitation":"(Hartmann et al., 2013; Rhea, Kenn, Peterson, &amp; Massey, 2016)","previouslyFormattedCitation":"(Hartmann et al., 2013; Rhea, Kenn, Peterson, &amp; Massey, 2016)"},"properties":{"noteIndex":0},"schema":"https://github.com/citation-style-language/schema/raw/master/csl-citation.json"}</w:instrText>
      </w:r>
      <w:r w:rsidR="0003706C" w:rsidRPr="0021030B">
        <w:rPr>
          <w:rFonts w:cs="Times New Roman"/>
          <w:bCs/>
          <w:szCs w:val="24"/>
          <w:lang w:val="en-US"/>
        </w:rPr>
        <w:fldChar w:fldCharType="separate"/>
      </w:r>
      <w:r w:rsidR="00E42B44" w:rsidRPr="0021030B">
        <w:rPr>
          <w:rFonts w:cs="Times New Roman"/>
          <w:bCs/>
          <w:noProof/>
          <w:szCs w:val="24"/>
          <w:lang w:val="en-US"/>
        </w:rPr>
        <w:t>(Hartmann et al., 2013; Rhea, Kenn, Peterson, &amp; Massey, 2016)</w:t>
      </w:r>
      <w:r w:rsidR="0003706C" w:rsidRPr="0021030B">
        <w:rPr>
          <w:rFonts w:cs="Times New Roman"/>
          <w:bCs/>
          <w:szCs w:val="24"/>
          <w:lang w:val="en-US"/>
        </w:rPr>
        <w:fldChar w:fldCharType="end"/>
      </w:r>
      <w:r w:rsidR="0003706C" w:rsidRPr="0021030B">
        <w:rPr>
          <w:rFonts w:cs="Times New Roman"/>
          <w:bCs/>
          <w:szCs w:val="24"/>
          <w:lang w:val="en-US"/>
        </w:rPr>
        <w:t>.</w:t>
      </w:r>
      <w:r w:rsidR="000F306D" w:rsidRPr="0021030B">
        <w:rPr>
          <w:rFonts w:cs="Times New Roman"/>
          <w:szCs w:val="24"/>
          <w:lang w:val="en-US"/>
        </w:rPr>
        <w:t xml:space="preserve"> </w:t>
      </w:r>
      <w:r w:rsidR="006F15C8" w:rsidRPr="0021030B">
        <w:rPr>
          <w:rFonts w:cs="Times New Roman"/>
          <w:szCs w:val="24"/>
          <w:lang w:val="en-US"/>
        </w:rPr>
        <w:t>The use of a certain</w:t>
      </w:r>
      <w:r w:rsidR="00783B36" w:rsidRPr="0021030B">
        <w:rPr>
          <w:rFonts w:cs="Times New Roman"/>
          <w:szCs w:val="24"/>
          <w:lang w:val="en-US"/>
        </w:rPr>
        <w:t xml:space="preserve"> </w:t>
      </w:r>
      <w:r w:rsidR="007B6338" w:rsidRPr="0021030B">
        <w:rPr>
          <w:rFonts w:cs="Times New Roman"/>
          <w:bCs/>
          <w:szCs w:val="24"/>
          <w:lang w:val="en-US"/>
        </w:rPr>
        <w:t xml:space="preserve">SQ </w:t>
      </w:r>
      <w:r w:rsidR="00783B36" w:rsidRPr="0021030B">
        <w:rPr>
          <w:rFonts w:cs="Times New Roman"/>
          <w:bCs/>
          <w:szCs w:val="24"/>
          <w:lang w:val="en-US"/>
        </w:rPr>
        <w:t xml:space="preserve">depth </w:t>
      </w:r>
      <w:r w:rsidR="006366A3" w:rsidRPr="0021030B">
        <w:rPr>
          <w:rFonts w:cs="Times New Roman"/>
          <w:bCs/>
          <w:szCs w:val="24"/>
          <w:lang w:val="en-US"/>
        </w:rPr>
        <w:t xml:space="preserve">influences </w:t>
      </w:r>
      <w:r w:rsidR="00C82C68" w:rsidRPr="0021030B">
        <w:rPr>
          <w:rFonts w:cs="Times New Roman"/>
          <w:bCs/>
          <w:szCs w:val="24"/>
          <w:lang w:val="en-US"/>
        </w:rPr>
        <w:t xml:space="preserve">several </w:t>
      </w:r>
      <w:r w:rsidR="006366A3" w:rsidRPr="0021030B">
        <w:rPr>
          <w:rFonts w:cs="Times New Roman"/>
          <w:bCs/>
          <w:szCs w:val="24"/>
          <w:lang w:val="en-US"/>
        </w:rPr>
        <w:t>biomechanical factors</w:t>
      </w:r>
      <w:r w:rsidR="00C82C68" w:rsidRPr="0021030B">
        <w:rPr>
          <w:rFonts w:cs="Times New Roman"/>
          <w:bCs/>
          <w:szCs w:val="24"/>
          <w:lang w:val="en-US"/>
        </w:rPr>
        <w:t xml:space="preserve"> which are</w:t>
      </w:r>
      <w:r w:rsidR="006366A3" w:rsidRPr="0021030B">
        <w:rPr>
          <w:rFonts w:cs="Times New Roman"/>
          <w:bCs/>
          <w:szCs w:val="24"/>
          <w:lang w:val="en-US"/>
        </w:rPr>
        <w:t xml:space="preserve"> related to specificity of the </w:t>
      </w:r>
      <w:r w:rsidR="006366A3" w:rsidRPr="0021030B">
        <w:rPr>
          <w:rFonts w:cs="Times New Roman"/>
          <w:bCs/>
          <w:szCs w:val="24"/>
          <w:lang w:val="en-US"/>
        </w:rPr>
        <w:lastRenderedPageBreak/>
        <w:t xml:space="preserve">movement pattern </w:t>
      </w:r>
      <w:r w:rsidR="00C82C68" w:rsidRPr="0021030B">
        <w:rPr>
          <w:rFonts w:cs="Times New Roman"/>
          <w:bCs/>
          <w:szCs w:val="24"/>
          <w:lang w:val="en-US"/>
        </w:rPr>
        <w:t xml:space="preserve">and </w:t>
      </w:r>
      <w:r w:rsidR="006366A3" w:rsidRPr="0021030B">
        <w:rPr>
          <w:rFonts w:cs="Times New Roman"/>
          <w:bCs/>
          <w:szCs w:val="24"/>
          <w:lang w:val="en-US"/>
        </w:rPr>
        <w:t xml:space="preserve">can affect the development of force, rate of force development, activation and synchronization of motor units, and dynamic joint stability </w:t>
      </w:r>
      <w:r w:rsidR="006366A3" w:rsidRPr="0021030B">
        <w:rPr>
          <w:rFonts w:cs="Times New Roman"/>
          <w:bCs/>
          <w:szCs w:val="24"/>
          <w:lang w:val="en-US"/>
        </w:rPr>
        <w:fldChar w:fldCharType="begin" w:fldLock="1"/>
      </w:r>
      <w:r w:rsidR="00EF515E" w:rsidRPr="0021030B">
        <w:rPr>
          <w:rFonts w:cs="Times New Roman"/>
          <w:bCs/>
          <w:szCs w:val="24"/>
          <w:lang w:val="en-US"/>
        </w:rPr>
        <w:instrText>ADDIN CSL_CITATION {"citationItems":[{"id":"ITEM-1","itemData":{"DOI":"https://doi.org/10.1515/humo-2016-0006","author":[{"dropping-particle":"","family":"Rhea","given":"M R","non-dropping-particle":"","parse-names":false,"suffix":""},{"dropping-particle":"","family":"Kenn","given":"J G","non-dropping-particle":"","parse-names":false,"suffix":""},{"dropping-particle":"","family":"Peterson","given":"M D","non-dropping-particle":"","parse-names":false,"suffix":""},{"dropping-particle":"","family":"Massey","given":"D","non-dropping-particle":"","parse-names":false,"suffix":""}],"container-title":"Human Movement","id":"ITEM-1","issue":"1","issued":{"date-parts":[["2016"]]},"page":"43-49","title":"Joint-angle specific strength adaptations influence improvements in power in highly trained athletes","type":"article-journal","volume":"17"},"uris":["http://www.mendeley.com/documents/?uuid=1960420b-62a2-45d3-a5b3-f9e15b4cbe8f","http://www.mendeley.com/documents/?uuid=f4709248-65b2-4a28-94a0-7c0615eeee3e","http://www.mendeley.com/documents/?uuid=05743d8a-ad56-49c1-a65c-1ebb2d52a0a5"]},{"id":"ITEM-2","itemData":{"DOI":"10.1080/02640414.2018.1544187","ISBN":"1466-447X (Electronic) 0264-0414 (Linking)","ISSN":"0264-0414","PMID":"30426840","abstract":"This study aimed to compare the load-velocity and load-power relationships of three common variations of the squat exercise. 52 strength-trained males performed a progressive loading test up to the one-repetition maximum (1RM) in the full (F-SQ), parallel (P-SQ) and half (H-SQ) squat, conducted in random order on separate days. Bar velocity and vertical force were measured by means of a linear velocity transducer time-synchronized with a force platform. The relative load that maximized power output (Pmax) was analyzed using three outcome measures: mean concentric (MP), mean propulsive (MPP) and peak power (PP), while also including or excluding body mass in force calculations. 1RM was significantly different between exercises. Load-velocity and load-power relationships were significantly different between the F-SQ, P-SQ and H-SQ variations. Close relationships (R2 = 0.92-0.96) between load (%1RM) and bar velocity were found and they were specific for each squat variation, with faster velocities the greater the squat depth. Unlike the F-SQ and P-SQ, no sticking region was observed for the H-SQ when lifting high loads. The Pmax corresponded to a broad load range and was greatly influenced by how force output is calculated (including or excluding body mass) as well as the exact outcome variable used (MP, MPP, PP).","author":[{"dropping-particle":"","family":"Martínez-Cava","given":"Alejandro","non-dropping-particle":"","parse-names":false,"suffix":""},{"dropping-particle":"","family":"Morán-Navarro","given":"Ricardo","non-dropping-particle":"","parse-names":false,"suffix":""},{"dropping-particle":"","family":"Sánchez-Medina","given":"Luis","non-dropping-particle":"","parse-names":false,"suffix":""},{"dropping-particle":"","family":"González-Badillo","given":"Juan José","non-dropping-particle":"","parse-names":false,"suffix":""},{"dropping-particle":"","family":"Pallarés","given":"Jesús G.","non-dropping-particle":"","parse-names":false,"suffix":""}],"container-title":"Journal of Sports Sciences","id":"ITEM-2","issued":{"date-parts":[["2018"]]},"page":"1-9","title":"Velocity- and power-load relationships in the half, parallel and full back squat","type":"article-journal"},"uris":["http://www.mendeley.com/documents/?uuid=537000b3-bec2-46a1-853d-7888a95caf4f"]}],"mendeley":{"formattedCitation":"(Martínez-Cava et al., 2018; Rhea et al., 2016)","plainTextFormattedCitation":"(Martínez-Cava et al., 2018; Rhea et al., 2016)","previouslyFormattedCitation":"(Martínez-Cava et al., 2018; Rhea et al., 2016)"},"properties":{"noteIndex":0},"schema":"https://github.com/citation-style-language/schema/raw/master/csl-citation.json"}</w:instrText>
      </w:r>
      <w:r w:rsidR="006366A3" w:rsidRPr="0021030B">
        <w:rPr>
          <w:rFonts w:cs="Times New Roman"/>
          <w:bCs/>
          <w:szCs w:val="24"/>
          <w:lang w:val="en-US"/>
        </w:rPr>
        <w:fldChar w:fldCharType="separate"/>
      </w:r>
      <w:r w:rsidR="00EF515E" w:rsidRPr="0021030B">
        <w:rPr>
          <w:rFonts w:cs="Times New Roman"/>
          <w:bCs/>
          <w:noProof/>
          <w:szCs w:val="24"/>
          <w:lang w:val="en-US"/>
        </w:rPr>
        <w:t>(Martínez-Cava et al., 2018; Rhea et al., 2016)</w:t>
      </w:r>
      <w:r w:rsidR="006366A3" w:rsidRPr="0021030B">
        <w:rPr>
          <w:rFonts w:cs="Times New Roman"/>
          <w:bCs/>
          <w:szCs w:val="24"/>
          <w:lang w:val="en-US"/>
        </w:rPr>
        <w:fldChar w:fldCharType="end"/>
      </w:r>
      <w:r w:rsidR="006366A3" w:rsidRPr="0021030B">
        <w:rPr>
          <w:rFonts w:cs="Times New Roman"/>
          <w:bCs/>
          <w:szCs w:val="24"/>
          <w:lang w:val="en-US"/>
        </w:rPr>
        <w:t xml:space="preserve">. </w:t>
      </w:r>
    </w:p>
    <w:p w14:paraId="21B32D8F" w14:textId="13CA083F" w:rsidR="00C20B67" w:rsidRPr="0021030B" w:rsidRDefault="000F306D" w:rsidP="00EF515E">
      <w:pPr>
        <w:spacing w:after="120" w:line="480" w:lineRule="auto"/>
        <w:ind w:firstLine="709"/>
        <w:rPr>
          <w:rFonts w:cs="Times New Roman"/>
          <w:szCs w:val="24"/>
          <w:lang w:val="en-US"/>
        </w:rPr>
      </w:pPr>
      <w:r w:rsidRPr="0021030B">
        <w:rPr>
          <w:rFonts w:cs="Times New Roman"/>
          <w:szCs w:val="24"/>
          <w:lang w:val="en-US"/>
        </w:rPr>
        <w:t xml:space="preserve">The choice of the optimal </w:t>
      </w:r>
      <w:r w:rsidR="009D0FFC" w:rsidRPr="0021030B">
        <w:rPr>
          <w:rFonts w:cs="Times New Roman"/>
          <w:bCs/>
          <w:szCs w:val="24"/>
          <w:lang w:val="en-US"/>
        </w:rPr>
        <w:t xml:space="preserve">SQ </w:t>
      </w:r>
      <w:r w:rsidR="00783B36" w:rsidRPr="0021030B">
        <w:rPr>
          <w:rFonts w:cs="Times New Roman"/>
          <w:bCs/>
          <w:szCs w:val="24"/>
          <w:lang w:val="en-US"/>
        </w:rPr>
        <w:t xml:space="preserve">depth </w:t>
      </w:r>
      <w:r w:rsidRPr="0021030B">
        <w:rPr>
          <w:rFonts w:cs="Times New Roman"/>
          <w:szCs w:val="24"/>
          <w:lang w:val="en-US"/>
        </w:rPr>
        <w:t>has been a matter of debate</w:t>
      </w:r>
      <w:r w:rsidR="00136FFA" w:rsidRPr="0021030B">
        <w:rPr>
          <w:rFonts w:cs="Times New Roman"/>
          <w:szCs w:val="24"/>
          <w:lang w:val="en-US"/>
        </w:rPr>
        <w:t xml:space="preserve"> for decades and is still controversial</w:t>
      </w:r>
      <w:r w:rsidRPr="0021030B">
        <w:rPr>
          <w:rFonts w:cs="Times New Roman"/>
          <w:szCs w:val="24"/>
          <w:lang w:val="en-GB"/>
        </w:rPr>
        <w:t xml:space="preserve">. </w:t>
      </w:r>
      <w:r w:rsidR="00873E9A" w:rsidRPr="0021030B">
        <w:rPr>
          <w:rFonts w:cs="Times New Roman"/>
          <w:szCs w:val="24"/>
          <w:lang w:val="en-GB"/>
        </w:rPr>
        <w:t>Training at</w:t>
      </w:r>
      <w:r w:rsidR="000E31B9" w:rsidRPr="0021030B">
        <w:rPr>
          <w:rFonts w:cs="Times New Roman"/>
          <w:szCs w:val="24"/>
          <w:lang w:val="en-US"/>
        </w:rPr>
        <w:t xml:space="preserve"> </w:t>
      </w:r>
      <w:r w:rsidR="00873E9A" w:rsidRPr="0021030B">
        <w:rPr>
          <w:rFonts w:cs="Times New Roman"/>
          <w:szCs w:val="24"/>
          <w:lang w:val="en-US"/>
        </w:rPr>
        <w:t>partial SQ &lt; 90º of knee flexion (</w:t>
      </w:r>
      <w:r w:rsidR="00873E9A" w:rsidRPr="0021030B">
        <w:rPr>
          <w:rFonts w:cs="Times New Roman"/>
          <w:bCs/>
          <w:szCs w:val="24"/>
          <w:lang w:val="en-US"/>
        </w:rPr>
        <w:t>H-SQ and quarter squat</w:t>
      </w:r>
      <w:r w:rsidR="00873E9A" w:rsidRPr="0021030B">
        <w:rPr>
          <w:rFonts w:cs="Times New Roman"/>
          <w:szCs w:val="24"/>
          <w:lang w:val="en-US"/>
        </w:rPr>
        <w:t>)</w:t>
      </w:r>
      <w:r w:rsidR="00873E9A" w:rsidRPr="0021030B">
        <w:rPr>
          <w:rFonts w:cs="Times New Roman"/>
          <w:bCs/>
          <w:szCs w:val="24"/>
          <w:lang w:val="en-US"/>
        </w:rPr>
        <w:t xml:space="preserve"> has been traditionally recommended </w:t>
      </w:r>
      <w:r w:rsidR="00A41748" w:rsidRPr="0021030B">
        <w:rPr>
          <w:rFonts w:cs="Times New Roman"/>
          <w:bCs/>
          <w:szCs w:val="24"/>
          <w:lang w:val="en-US"/>
        </w:rPr>
        <w:t>on the basis of the training principle of specificity</w:t>
      </w:r>
      <w:r w:rsidR="009D0FFC" w:rsidRPr="0021030B">
        <w:rPr>
          <w:rFonts w:cs="Times New Roman"/>
          <w:szCs w:val="24"/>
          <w:lang w:val="en-US"/>
        </w:rPr>
        <w:t xml:space="preserve"> </w:t>
      </w:r>
      <w:r w:rsidR="00255705" w:rsidRPr="0021030B">
        <w:rPr>
          <w:rFonts w:cs="Times New Roman"/>
          <w:szCs w:val="24"/>
          <w:lang w:val="en-US"/>
        </w:rPr>
        <w:t xml:space="preserve">to </w:t>
      </w:r>
      <w:r w:rsidR="00143630" w:rsidRPr="0021030B">
        <w:rPr>
          <w:rFonts w:cs="Times New Roman"/>
          <w:szCs w:val="24"/>
          <w:lang w:val="en-US"/>
        </w:rPr>
        <w:t xml:space="preserve">sports including </w:t>
      </w:r>
      <w:r w:rsidRPr="0021030B">
        <w:rPr>
          <w:rFonts w:cs="Times New Roman"/>
          <w:szCs w:val="24"/>
          <w:lang w:val="en-US"/>
        </w:rPr>
        <w:t xml:space="preserve">running or jumping </w:t>
      </w:r>
      <w:r w:rsidRPr="0021030B">
        <w:rPr>
          <w:rFonts w:cs="Times New Roman"/>
          <w:szCs w:val="24"/>
          <w:lang w:val="en-US"/>
        </w:rPr>
        <w:fldChar w:fldCharType="begin" w:fldLock="1"/>
      </w:r>
      <w:r w:rsidR="00553332" w:rsidRPr="0021030B">
        <w:rPr>
          <w:rFonts w:cs="Times New Roman"/>
          <w:szCs w:val="24"/>
          <w:lang w:val="en-US"/>
        </w:rPr>
        <w:instrText>ADDIN CSL_CITATION {"citationItems":[{"id":"ITEM-1","itemData":{"ISBN":"0736056289","author":[{"dropping-particle":"","family":"Zatsiorsky","given":"Vladimir M","non-dropping-particle":"","parse-names":false,"suffix":""},{"dropping-particle":"","family":"Kraemer","given":"William J","non-dropping-particle":"","parse-names":false,"suffix":""}],"id":"ITEM-1","issued":{"date-parts":[["2006"]]},"publisher":"Human Kinetics","title":"Science and practice of strength training","type":"book"},"uris":["http://www.mendeley.com/documents/?uuid=57642c82-c4e8-49ba-b510-22061d685ef0","http://www.mendeley.com/documents/?uuid=1c6f0c49-af64-4435-b544-a8e5ceb92094","http://www.mendeley.com/documents/?uuid=dc07768c-9635-4343-b90c-34a34293f840"]},{"id":"ITEM-2","itemData":{"DOI":"https://doi.org/10.1515/humo-2016-0006","author":[{"dropping-particle":"","family":"Rhea","given":"M R","non-dropping-particle":"","parse-names":false,"suffix":""},{"dropping-particle":"","family":"Kenn","given":"J G","non-dropping-particle":"","parse-names":false,"suffix":""},{"dropping-particle":"","family":"Peterson","given":"M D","non-dropping-particle":"","parse-names":false,"suffix":""},{"dropping-particle":"","family":"Massey","given":"D","non-dropping-particle":"","parse-names":false,"suffix":""}],"container-title":"Human Movement","id":"ITEM-2","issue":"1","issued":{"date-parts":[["2016"]]},"page":"43-49","title":"Joint-angle specific strength adaptations influence improvements in power in highly trained athletes","type":"article-journal","volume":"17"},"uris":["http://www.mendeley.com/documents/?uuid=05743d8a-ad56-49c1-a65c-1ebb2d52a0a5","http://www.mendeley.com/documents/?uuid=f4709248-65b2-4a28-94a0-7c0615eeee3e","http://www.mendeley.com/documents/?uuid=1960420b-62a2-45d3-a5b3-f9e15b4cbe8f"]},{"id":"ITEM-3","itemData":{"author":[{"dropping-particle":"","family":"Wilson","given":"Gabriel J.","non-dropping-particle":"","parse-names":false,"suffix":""}],"container-title":"Applied Anatomy and Biomechanics in Sport","edition":"3rd","editor":[{"dropping-particle":"","family":"Bloomfield","given":"J.","non-dropping-particle":"","parse-names":false,"suffix":""},{"dropping-particle":"","family":"Ackland","given":"T.R.","non-dropping-particle":"","parse-names":false,"suffix":""},{"dropping-particle":"","family":"Elliot","given":"B.C.","non-dropping-particle":"","parse-names":false,"suffix":""}],"id":"ITEM-3","issued":{"date-parts":[["1998"]]},"page":"110–208","publisher":"Blackwell","publisher-place":"Berlin, Germany","title":"Strength and power in sport.","type":"chapter"},"uris":["http://www.mendeley.com/documents/?uuid=6d574372-a262-46ae-a855-43e373a5276b"]},{"id":"ITEM-4","itemData":{"ISSN":"1524-1602","author":[{"dropping-particle":"","family":"Young","given":"Warren","non-dropping-particle":"","parse-names":false,"suffix":""},{"dropping-particle":"","family":"Benton","given":"Dean","non-dropping-particle":"","parse-names":false,"suffix":""},{"dropping-particle":"","family":"Duthie","given":"Grant","non-dropping-particle":"","parse-names":false,"suffix":""},{"dropping-particle":"","family":"Pryor","given":"John","non-dropping-particle":"","parse-names":false,"suffix":""}],"container-title":"Strength and Conditioning Journal","id":"ITEM-4","issue":"2","issued":{"date-parts":[["2001"]]},"page":"7-13","publisher":"LWW","title":"Resistance Training for Short Sprints and Maximum-speed Sprints","type":"article-journal","volume":"23"},"uris":["http://www.mendeley.com/documents/?uuid=5277b033-0cbb-4e49-9e05-8882c9509fcd"]}],"mendeley":{"formattedCitation":"(Rhea et al., 2016; Wilson, 1998; Young, Benton, Duthie, &amp; Pryor, 2001; Zatsiorsky &amp; Kraemer, 2006)","plainTextFormattedCitation":"(Rhea et al., 2016; Wilson, 1998; Young, Benton, Duthie, &amp; Pryor, 2001; Zatsiorsky &amp; Kraemer, 2006)","previouslyFormattedCitation":"(Rhea et al., 2016; Wilson, 1998; Young, Benton, Duthie, &amp; Pryor, 2001; Zatsiorsky &amp; Kraemer, 2006)"},"properties":{"noteIndex":0},"schema":"https://github.com/citation-style-language/schema/raw/master/csl-citation.json"}</w:instrText>
      </w:r>
      <w:r w:rsidRPr="0021030B">
        <w:rPr>
          <w:rFonts w:cs="Times New Roman"/>
          <w:szCs w:val="24"/>
          <w:lang w:val="en-US"/>
        </w:rPr>
        <w:fldChar w:fldCharType="separate"/>
      </w:r>
      <w:r w:rsidR="00DD3018" w:rsidRPr="0021030B">
        <w:rPr>
          <w:rFonts w:cs="Times New Roman"/>
          <w:noProof/>
          <w:szCs w:val="24"/>
          <w:lang w:val="en-US"/>
        </w:rPr>
        <w:t>(Rhea et al., 2016; Wilson, 1998; Young, Benton, Duthie, &amp; Pryor, 2001; Zatsiorsky &amp; Kraemer, 2006)</w:t>
      </w:r>
      <w:r w:rsidRPr="0021030B">
        <w:rPr>
          <w:rFonts w:cs="Times New Roman"/>
          <w:szCs w:val="24"/>
          <w:lang w:val="en-US"/>
        </w:rPr>
        <w:fldChar w:fldCharType="end"/>
      </w:r>
      <w:r w:rsidRPr="0021030B">
        <w:rPr>
          <w:rFonts w:cs="Times New Roman"/>
          <w:szCs w:val="24"/>
          <w:lang w:val="en-US"/>
        </w:rPr>
        <w:t xml:space="preserve">. </w:t>
      </w:r>
      <w:r w:rsidR="00873E9A" w:rsidRPr="0021030B">
        <w:rPr>
          <w:rFonts w:cs="Times New Roman"/>
          <w:szCs w:val="24"/>
          <w:lang w:val="en-US"/>
        </w:rPr>
        <w:t xml:space="preserve">In addition, </w:t>
      </w:r>
      <w:r w:rsidR="00143630" w:rsidRPr="0021030B">
        <w:rPr>
          <w:rFonts w:cs="Times New Roman"/>
          <w:szCs w:val="24"/>
          <w:lang w:val="en-US"/>
        </w:rPr>
        <w:t xml:space="preserve">training at </w:t>
      </w:r>
      <w:r w:rsidR="00C82C68" w:rsidRPr="0021030B">
        <w:rPr>
          <w:rFonts w:cs="Times New Roman"/>
          <w:szCs w:val="24"/>
          <w:lang w:val="en-US"/>
        </w:rPr>
        <w:t xml:space="preserve">larger depths </w:t>
      </w:r>
      <w:r w:rsidRPr="0021030B">
        <w:rPr>
          <w:rFonts w:cs="Times New Roman"/>
          <w:szCs w:val="24"/>
          <w:lang w:val="en-US"/>
        </w:rPr>
        <w:t>(P-SQ and F-SQ)</w:t>
      </w:r>
      <w:r w:rsidR="00873E9A" w:rsidRPr="0021030B">
        <w:rPr>
          <w:rFonts w:cs="Times New Roman"/>
          <w:szCs w:val="24"/>
          <w:lang w:val="en-US"/>
        </w:rPr>
        <w:t xml:space="preserve"> </w:t>
      </w:r>
      <w:r w:rsidR="00143630" w:rsidRPr="0021030B">
        <w:rPr>
          <w:rFonts w:cs="Times New Roman"/>
          <w:szCs w:val="24"/>
          <w:lang w:val="en-US"/>
        </w:rPr>
        <w:t xml:space="preserve">has been suggested to </w:t>
      </w:r>
      <w:r w:rsidRPr="0021030B">
        <w:rPr>
          <w:rFonts w:cs="Times New Roman"/>
          <w:szCs w:val="24"/>
          <w:lang w:val="en-US"/>
        </w:rPr>
        <w:t xml:space="preserve">increase muscular and tendinous injuries, especially in the knee </w:t>
      </w:r>
      <w:r w:rsidRPr="0021030B">
        <w:rPr>
          <w:rFonts w:cs="Times New Roman"/>
          <w:szCs w:val="24"/>
          <w:lang w:val="en-US"/>
        </w:rPr>
        <w:fldChar w:fldCharType="begin" w:fldLock="1"/>
      </w:r>
      <w:r w:rsidR="00433385" w:rsidRPr="0021030B">
        <w:rPr>
          <w:rFonts w:cs="Times New Roman"/>
          <w:szCs w:val="24"/>
          <w:lang w:val="en-US"/>
        </w:rPr>
        <w:instrText>ADDIN CSL_CITATION {"citationItems":[{"id":"ITEM-1","itemData":{"DOI":"10.1097/00005768-200106000-00019","ISSN":"0195-9131","author":[{"dropping-particle":"","family":"Escamilla","given":"R F","non-dropping-particle":"","parse-names":false,"suffix":""},{"dropping-particle":"","family":"Fleisig","given":"G S","non-dropping-particle":"","parse-names":false,"suffix":""},{"dropping-particle":"","family":"Lowry","given":"T M","non-dropping-particle":"","parse-names":false,"suffix":""},{"dropping-particle":"","family":"Barrentine","given":"S W","non-dropping-particle":"","parse-names":false,"suffix":""},{"dropping-particle":"","family":"Andrews","given":"J R","non-dropping-particle":"","parse-names":false,"suffix":""}],"container-title":"Medicine and Science in Sports and Exercise","id":"ITEM-1","issue":"6","issued":{"date-parts":[["2001"]]},"page":"984-998","title":"A three-dimensional biomechanical analysis of the squat during varying stance widths","type":"article-journal","volume":"33"},"uris":["http://www.mendeley.com/documents/?uuid=e64c7507-3fa4-476f-8182-9942a0a96db0"]}],"mendeley":{"formattedCitation":"(Escamilla, Fleisig, Lowry, Barrentine, &amp; Andrews, 2001)","plainTextFormattedCitation":"(Escamilla, Fleisig, Lowry, Barrentine, &amp; Andrews, 2001)","previouslyFormattedCitation":"(Escamilla, Fleisig, Lowry, Barrentine, &amp; Andrews, 2001)"},"properties":{"noteIndex":0},"schema":"https://github.com/citation-style-language/schema/raw/master/csl-citation.json"}</w:instrText>
      </w:r>
      <w:r w:rsidRPr="0021030B">
        <w:rPr>
          <w:rFonts w:cs="Times New Roman"/>
          <w:szCs w:val="24"/>
          <w:lang w:val="en-US"/>
        </w:rPr>
        <w:fldChar w:fldCharType="separate"/>
      </w:r>
      <w:r w:rsidR="00CD5823" w:rsidRPr="0021030B">
        <w:rPr>
          <w:rFonts w:cs="Times New Roman"/>
          <w:noProof/>
          <w:szCs w:val="24"/>
          <w:lang w:val="en-US"/>
        </w:rPr>
        <w:t>(Escamilla, Fleisig, Lowry, Barrentine, &amp; Andrews, 2001)</w:t>
      </w:r>
      <w:r w:rsidRPr="0021030B">
        <w:rPr>
          <w:rFonts w:cs="Times New Roman"/>
          <w:szCs w:val="24"/>
          <w:lang w:val="en-US"/>
        </w:rPr>
        <w:fldChar w:fldCharType="end"/>
      </w:r>
      <w:r w:rsidRPr="0021030B">
        <w:rPr>
          <w:rFonts w:cs="Times New Roman"/>
          <w:szCs w:val="24"/>
          <w:lang w:val="en-US"/>
        </w:rPr>
        <w:t>.</w:t>
      </w:r>
      <w:r w:rsidR="00C20B67" w:rsidRPr="0021030B">
        <w:rPr>
          <w:rFonts w:cs="Times New Roman"/>
          <w:szCs w:val="24"/>
          <w:lang w:val="en-US"/>
        </w:rPr>
        <w:t xml:space="preserve"> </w:t>
      </w:r>
      <w:r w:rsidR="00E667B3" w:rsidRPr="0021030B">
        <w:rPr>
          <w:rFonts w:cs="Times New Roman"/>
          <w:szCs w:val="24"/>
          <w:lang w:val="en-US"/>
        </w:rPr>
        <w:t>However, c</w:t>
      </w:r>
      <w:r w:rsidR="00C20B67" w:rsidRPr="0021030B">
        <w:rPr>
          <w:rFonts w:cs="Times New Roman"/>
          <w:szCs w:val="24"/>
          <w:lang w:val="en-US"/>
        </w:rPr>
        <w:t xml:space="preserve">ontrary to </w:t>
      </w:r>
      <w:r w:rsidR="00E667B3" w:rsidRPr="0021030B">
        <w:rPr>
          <w:rFonts w:cs="Times New Roman"/>
          <w:szCs w:val="24"/>
          <w:lang w:val="en-US"/>
        </w:rPr>
        <w:t xml:space="preserve">these </w:t>
      </w:r>
      <w:r w:rsidR="00424682" w:rsidRPr="0021030B">
        <w:rPr>
          <w:rFonts w:cs="Times New Roman"/>
          <w:szCs w:val="24"/>
          <w:lang w:val="en-US"/>
        </w:rPr>
        <w:t xml:space="preserve">common </w:t>
      </w:r>
      <w:r w:rsidR="00C20B67" w:rsidRPr="0021030B">
        <w:rPr>
          <w:rFonts w:cs="Times New Roman"/>
          <w:szCs w:val="24"/>
          <w:lang w:val="en-US"/>
        </w:rPr>
        <w:t>beliefs</w:t>
      </w:r>
      <w:r w:rsidRPr="0021030B">
        <w:rPr>
          <w:rFonts w:cs="Times New Roman"/>
          <w:szCs w:val="24"/>
          <w:lang w:val="en-US"/>
        </w:rPr>
        <w:t xml:space="preserve">, recent studies </w:t>
      </w:r>
      <w:r w:rsidR="00143630" w:rsidRPr="0021030B">
        <w:rPr>
          <w:rFonts w:cs="Times New Roman"/>
          <w:szCs w:val="24"/>
          <w:lang w:val="en-US"/>
        </w:rPr>
        <w:t>propose</w:t>
      </w:r>
      <w:r w:rsidRPr="0021030B">
        <w:rPr>
          <w:rFonts w:cs="Times New Roman"/>
          <w:szCs w:val="24"/>
          <w:lang w:val="en-US"/>
        </w:rPr>
        <w:t xml:space="preserve"> that prolonged </w:t>
      </w:r>
      <w:r w:rsidR="00424682" w:rsidRPr="0021030B">
        <w:rPr>
          <w:rFonts w:cs="Times New Roman"/>
          <w:szCs w:val="24"/>
          <w:lang w:val="en-US"/>
        </w:rPr>
        <w:t xml:space="preserve">RT </w:t>
      </w:r>
      <w:r w:rsidRPr="0021030B">
        <w:rPr>
          <w:rFonts w:cs="Times New Roman"/>
          <w:szCs w:val="24"/>
          <w:lang w:val="en-US"/>
        </w:rPr>
        <w:t>interventions involv</w:t>
      </w:r>
      <w:r w:rsidR="00424682" w:rsidRPr="0021030B">
        <w:rPr>
          <w:rFonts w:cs="Times New Roman"/>
          <w:szCs w:val="24"/>
          <w:lang w:val="en-US"/>
        </w:rPr>
        <w:t>ing</w:t>
      </w:r>
      <w:r w:rsidRPr="0021030B">
        <w:rPr>
          <w:rFonts w:cs="Times New Roman"/>
          <w:szCs w:val="24"/>
          <w:lang w:val="en-US"/>
        </w:rPr>
        <w:t xml:space="preserve"> P-SQ or F-SQ maximize the neuromuscular and functional performance </w:t>
      </w:r>
      <w:r w:rsidR="00424682" w:rsidRPr="0021030B">
        <w:rPr>
          <w:rFonts w:cs="Times New Roman"/>
          <w:szCs w:val="24"/>
          <w:lang w:val="en-US"/>
        </w:rPr>
        <w:t>in</w:t>
      </w:r>
      <w:r w:rsidR="00FB4380" w:rsidRPr="0021030B">
        <w:rPr>
          <w:rFonts w:cs="Times New Roman"/>
          <w:szCs w:val="24"/>
          <w:lang w:val="en-US"/>
        </w:rPr>
        <w:t xml:space="preserve"> novice </w:t>
      </w:r>
      <w:r w:rsidR="00FB4380" w:rsidRPr="0021030B">
        <w:rPr>
          <w:rFonts w:cs="Times New Roman"/>
          <w:szCs w:val="24"/>
          <w:lang w:val="en-US"/>
        </w:rPr>
        <w:fldChar w:fldCharType="begin" w:fldLock="1"/>
      </w:r>
      <w:r w:rsidR="00E42B44" w:rsidRPr="0021030B">
        <w:rPr>
          <w:rFonts w:cs="Times New Roman"/>
          <w:szCs w:val="24"/>
          <w:lang w:val="en-US"/>
        </w:rPr>
        <w:instrText>ADDIN CSL_CITATION {"citationItems":[{"id":"ITEM-1","itemData":{"DOI":"10.1007/s00421-013-2642-7","ISSN":"1439-6319","author":[{"dropping-particle":"","family":"Bloomquist","given":"K.","non-dropping-particle":"","parse-names":false,"suffix":""},{"dropping-particle":"","family":"Langberg","given":"Henning","non-dropping-particle":"","parse-names":false,"suffix":""},{"dropping-particle":"","family":"Karlsen","given":"Stine","non-dropping-particle":"","parse-names":false,"suffix":""},{"dropping-particle":"","family":"Madsgaard","given":"S.","non-dropping-particle":"","parse-names":false,"suffix":""},{"dropping-particle":"","family":"Boesen","given":"M.","non-dropping-particle":"","parse-names":false,"suffix":""},{"dropping-particle":"","family":"Raastad","given":"Truls","non-dropping-particle":"","parse-names":false,"suffix":""}],"id":"ITEM-1","issue":"8","issued":{"date-parts":[["2013","8","20"]]},"page":"2133-2142","title":"Effect of range of motion in heavy load squatting on muscle and tendon adaptations","type":"article-journal","volume":"113"},"uris":["http://www.mendeley.com/documents/?uuid=8a4119ea-2592-4721-a9e2-52d9d2cf1e43"]}],"mendeley":{"formattedCitation":"(Bloomquist et al., 2013)","plainTextFormattedCitation":"(Bloomquist et al., 2013)","previouslyFormattedCitation":"(Bloomquist et al., 2013)"},"properties":{"noteIndex":0},"schema":"https://github.com/citation-style-language/schema/raw/master/csl-citation.json"}</w:instrText>
      </w:r>
      <w:r w:rsidR="00FB4380" w:rsidRPr="0021030B">
        <w:rPr>
          <w:rFonts w:cs="Times New Roman"/>
          <w:szCs w:val="24"/>
          <w:lang w:val="en-US"/>
        </w:rPr>
        <w:fldChar w:fldCharType="separate"/>
      </w:r>
      <w:r w:rsidR="00E42B44" w:rsidRPr="0021030B">
        <w:rPr>
          <w:rFonts w:cs="Times New Roman"/>
          <w:noProof/>
          <w:szCs w:val="24"/>
          <w:lang w:val="en-US"/>
        </w:rPr>
        <w:t>(Bloomquist et al., 2013)</w:t>
      </w:r>
      <w:r w:rsidR="00FB4380" w:rsidRPr="0021030B">
        <w:rPr>
          <w:rFonts w:cs="Times New Roman"/>
          <w:szCs w:val="24"/>
          <w:lang w:val="en-US"/>
        </w:rPr>
        <w:fldChar w:fldCharType="end"/>
      </w:r>
      <w:r w:rsidR="00FB4380" w:rsidRPr="0021030B">
        <w:rPr>
          <w:rFonts w:cs="Times New Roman"/>
          <w:szCs w:val="24"/>
          <w:lang w:val="en-US"/>
        </w:rPr>
        <w:t xml:space="preserve"> </w:t>
      </w:r>
      <w:r w:rsidR="00114B9E" w:rsidRPr="0021030B">
        <w:rPr>
          <w:rFonts w:cs="Times New Roman"/>
          <w:szCs w:val="24"/>
          <w:lang w:val="en-US"/>
        </w:rPr>
        <w:t xml:space="preserve">and </w:t>
      </w:r>
      <w:r w:rsidRPr="0021030B">
        <w:rPr>
          <w:rFonts w:cs="Times New Roman"/>
          <w:szCs w:val="24"/>
          <w:lang w:val="en-US"/>
        </w:rPr>
        <w:t xml:space="preserve">well-trained athletes </w:t>
      </w:r>
      <w:r w:rsidRPr="0021030B">
        <w:rPr>
          <w:rFonts w:cs="Times New Roman"/>
          <w:szCs w:val="24"/>
          <w:lang w:val="en-US"/>
        </w:rPr>
        <w:fldChar w:fldCharType="begin" w:fldLock="1"/>
      </w:r>
      <w:r w:rsidR="00E42B44" w:rsidRPr="0021030B">
        <w:rPr>
          <w:rFonts w:cs="Times New Roman"/>
          <w:szCs w:val="24"/>
          <w:lang w:val="en-US"/>
        </w:rPr>
        <w:instrText>ADDIN CSL_CITATION {"citationItems":[{"id":"ITEM-1","itemData":{"DOI":"10.1519/JSC.0b013e31824ede62","ISBN":"1533-4287","ISSN":"10648011","PMID":"22344055","abstract":"It is unclear if increases in 1 repetition maximum (1RM) in quarter squats result in higher gains compared with full depth squats in isometric force production and vertical jump performance. The aim of the research projects was to compare the effects of different squat variants on the development of 1RM and their transfer effects to Countermovement jump (CMJ) and squat jump (SJ) height, maximal voluntary contraction (MVC), and maximal rate of force development (MRFD). Twenty-three women and 36 men (mean age: 24.11 ± 2.88 years) were parallelized into 3 groups based on their CMJ height: deep front squats (FSQ, n = 20), deep back squats (BSQ, n = 20), and quarter back squats (BSQ¼, n = 19). In addition, a control group (C, n = 16) existed (mean age: 24.38 ± 0.50 years). Experimental groups trained 2 d·wk for 10 weeks with a strength-power block periodization, which produced significant (p ≤ 0.05) gains of the specific squat 1RM. The FSQ and BSQ attained significant (p ≤ 0.05) elevations in SJ and CMJ without any interaction effects between both groups (p ≥ 0.05). The BSQ¼ and C did not reveal any significant changes of SJ and CMJ. The FSQ and BSQ had significantly higher SJ scores over C (p ≤ 0.05). The BSQ did not feature any significant group difference to BSQ¼ (p = 0.116) in SJ, whereas FSQ showed a trend toward higher SJ heights over BSQ¼ (p = 0.052). The FSQ and BSQ presented significantly (p ≤ 0.05) higher CMJ heights over BSQ¼ and C. Posttest in MVC and MRFD demonstrated no significant changes for BSQ. Significant declines in MRFD for FSQ in the right leg (p ≤ 0.05) without any interaction effects for MVC and MRFD between both FSQ and BSQ were found. Training of BSQ¼ resulted in significantly (p ≤ 0.05) lower MRFD and MVC values in contrast to FSQ and BSQ. Quarter squat training elicited significant (p ≤ 0.05) transfer losses into the isometric maximal and explosive strength behavior. These findings therefore contest the concept of superior angle-specific transfer effects. Deep front and back squats guarantee performance-enhancing transfer effects of dynamic maximal strength to dynamic speed-strength capacity of hip and knee extensors compared with quarter squats.","author":[{"dropping-particle":"","family":"Hartmann","given":"Hagen","non-dropping-particle":"","parse-names":false,"suffix":""},{"dropping-particle":"","family":"Wirth","given":"Klaus","non-dropping-particle":"","parse-names":false,"suffix":""},{"dropping-particle":"","family":"Klusemann","given":"Markus","non-dropping-particle":"","parse-names":false,"suffix":""},{"dropping-particle":"","family":"Dalic","given":"Josip","non-dropping-particle":"","parse-names":false,"suffix":""},{"dropping-particle":"","family":"Matuschek","given":"Claus","non-dropping-particle":"","parse-names":false,"suffix":""},{"dropping-particle":"","family":"Schmidtbleicher","given":"Dietmar","non-dropping-particle":"","parse-names":false,"suffix":""}],"container-title":"Journal of Strength and Conditioning Research","id":"ITEM-1","issue":"12","issued":{"date-parts":[["2012"]]},"page":"3243-3261","title":"Influence of squatting depth on jumping performance","type":"article-journal","volume":"26"},"uris":["http://www.mendeley.com/documents/?uuid=56478392-7915-4c8e-868a-dda34f47bf72"]}],"mendeley":{"formattedCitation":"(Hartmann et al., 2012)","plainTextFormattedCitation":"(Hartmann et al., 2012)","previouslyFormattedCitation":"(Hartmann et al., 2012)"},"properties":{"noteIndex":0},"schema":"https://github.com/citation-style-language/schema/raw/master/csl-citation.json"}</w:instrText>
      </w:r>
      <w:r w:rsidRPr="0021030B">
        <w:rPr>
          <w:rFonts w:cs="Times New Roman"/>
          <w:szCs w:val="24"/>
          <w:lang w:val="en-US"/>
        </w:rPr>
        <w:fldChar w:fldCharType="separate"/>
      </w:r>
      <w:r w:rsidR="00E42B44" w:rsidRPr="0021030B">
        <w:rPr>
          <w:rFonts w:cs="Times New Roman"/>
          <w:noProof/>
          <w:szCs w:val="24"/>
          <w:lang w:val="en-US"/>
        </w:rPr>
        <w:t>(Hartmann et al., 2012)</w:t>
      </w:r>
      <w:r w:rsidRPr="0021030B">
        <w:rPr>
          <w:rFonts w:cs="Times New Roman"/>
          <w:szCs w:val="24"/>
          <w:lang w:val="en-US"/>
        </w:rPr>
        <w:fldChar w:fldCharType="end"/>
      </w:r>
      <w:r w:rsidRPr="0021030B">
        <w:rPr>
          <w:rFonts w:cs="Times New Roman"/>
          <w:szCs w:val="24"/>
          <w:lang w:val="en-US"/>
        </w:rPr>
        <w:t>, and even minimize the risk of injury</w:t>
      </w:r>
      <w:r w:rsidR="00E667B3" w:rsidRPr="0021030B">
        <w:rPr>
          <w:rFonts w:cs="Times New Roman"/>
          <w:szCs w:val="24"/>
          <w:lang w:val="en-US"/>
        </w:rPr>
        <w:t xml:space="preserve"> to passive tissues</w:t>
      </w:r>
      <w:r w:rsidR="00FB4380" w:rsidRPr="0021030B">
        <w:rPr>
          <w:rFonts w:cs="Times New Roman"/>
          <w:szCs w:val="24"/>
          <w:lang w:val="en-US"/>
        </w:rPr>
        <w:t xml:space="preserve"> compared to shorter ROM </w:t>
      </w:r>
      <w:r w:rsidRPr="0021030B">
        <w:rPr>
          <w:rFonts w:cs="Times New Roman"/>
          <w:szCs w:val="24"/>
          <w:lang w:val="en-US"/>
        </w:rPr>
        <w:fldChar w:fldCharType="begin" w:fldLock="1"/>
      </w:r>
      <w:r w:rsidR="00E42B44" w:rsidRPr="0021030B">
        <w:rPr>
          <w:rFonts w:cs="Times New Roman"/>
          <w:szCs w:val="24"/>
          <w:lang w:val="en-US"/>
        </w:rPr>
        <w:instrText>ADDIN CSL_CITATION {"citationItems":[{"id":"ITEM-1","itemData":{"DOI":"10.1007/s40279-013-0073-6","ISBN":"1179-2035 (Electronic)\\r0112-1642 (Linking)","ISSN":"01121642","PMID":"23821469","abstract":"It has been suggested that deep squats could cause an increased injury risk of the lumbar spine and the knee joints. Avoiding deep flexion has been recommended to minimize the magnitude of knee-joint forces. Unfortunately this suggestion has not taken the influence of the wrapping effect, functional adaptations and soft tissue contact between the back of thigh and calf into account. The aim of this literature review is to assess whether squats with less knee flexion (half/quarter squats) are safer on the musculoskeletal system than deep squats. A search of relevant scientific publications was conducted between March 2011 and January 2013 using PubMed. Over 164 articles were included in the review. There are no realistic estimations of knee-joint forces for knee-flexion angles beyond 50 degrees in the deep squat. Based on biomechanical calculations and measurements of cadaver knee joints, the highest retropatellar compressive forces and stresses can be seen at 90 degrees . With increasing flexion, the wrapping effect contributes to an enhanced load distribution and enhanced force transfer with lower retropatellar compressive forces. Additionally, with further flexion of the knee joint a cranial displacement of facet contact areas with continuous enlargement of the retropatellar articulating surface occurs. Both lead to lower retropatellar compressive stresses. Menisci and cartilage, ligaments and bones are susceptible to anabolic metabolic processes and functional structural adaptations in response to increased activity and mechanical influences. Concerns about degenerative changes of the tendofemoral complex and the apparent higher risk for chondromalacia, osteoarthritis, and osteochondritis in deep squats are unfounded. With the same load configuration as in the deep squat, half and quarter squat training with comparatively supra-maximal loads will favour degenerative changes in the knee joints and spinal joints in the long term. Provided that technique is learned accurately under expert supervision and with progressive training loads, the deep squat presents an effective training exercise for protection against injuries and strengthening of the lower extremity. Contrary to commonly voiced concern, deep squats do not contribute increased risk of injury to passive tissues.","author":[{"dropping-particle":"","family":"Hartmann","given":"Hagen","non-dropping-particle":"","parse-names":false,"suffix":""},{"dropping-particle":"","family":"Wirth","given":"Klaus","non-dropping-particle":"","parse-names":false,"suffix":""},{"dropping-particle":"","family":"Klusemann","given":"Markus","non-dropping-particle":"","parse-names":false,"suffix":""}],"container-title":"Sports Medicine","id":"ITEM-1","issue":"10","issued":{"date-parts":[["2013"]]},"page":"993-1008","title":"Analysis of the load on the knee joint and vertebral column with changes in squatting depth and weight load","type":"article-journal","volume":"43"},"uris":["http://www.mendeley.com/documents/?uuid=d9e302d5-9518-4dc5-913e-c7d83dbbb71f"]}],"mendeley":{"formattedCitation":"(Hartmann et al., 2013)","plainTextFormattedCitation":"(Hartmann et al., 2013)","previouslyFormattedCitation":"(Hartmann et al., 2013)"},"properties":{"noteIndex":0},"schema":"https://github.com/citation-style-language/schema/raw/master/csl-citation.json"}</w:instrText>
      </w:r>
      <w:r w:rsidRPr="0021030B">
        <w:rPr>
          <w:rFonts w:cs="Times New Roman"/>
          <w:szCs w:val="24"/>
          <w:lang w:val="en-US"/>
        </w:rPr>
        <w:fldChar w:fldCharType="separate"/>
      </w:r>
      <w:r w:rsidR="00E42B44" w:rsidRPr="0021030B">
        <w:rPr>
          <w:rFonts w:cs="Times New Roman"/>
          <w:noProof/>
          <w:szCs w:val="24"/>
          <w:lang w:val="en-US"/>
        </w:rPr>
        <w:t>(Hartmann et al., 2013)</w:t>
      </w:r>
      <w:r w:rsidRPr="0021030B">
        <w:rPr>
          <w:rFonts w:cs="Times New Roman"/>
          <w:szCs w:val="24"/>
          <w:lang w:val="en-US"/>
        </w:rPr>
        <w:fldChar w:fldCharType="end"/>
      </w:r>
      <w:r w:rsidRPr="0021030B">
        <w:rPr>
          <w:rFonts w:cs="Times New Roman"/>
          <w:szCs w:val="24"/>
          <w:lang w:val="en-US"/>
        </w:rPr>
        <w:t>.</w:t>
      </w:r>
      <w:r w:rsidR="0024203F" w:rsidRPr="0021030B">
        <w:rPr>
          <w:rFonts w:cs="Times New Roman"/>
          <w:szCs w:val="24"/>
          <w:lang w:val="en-US"/>
        </w:rPr>
        <w:t xml:space="preserve"> </w:t>
      </w:r>
    </w:p>
    <w:p w14:paraId="7584ECEC" w14:textId="1487071A" w:rsidR="00434802" w:rsidRPr="0021030B" w:rsidRDefault="00434802" w:rsidP="00EF515E">
      <w:pPr>
        <w:shd w:val="clear" w:color="auto" w:fill="FFFFFF"/>
        <w:spacing w:after="120" w:line="480" w:lineRule="atLeast"/>
        <w:ind w:firstLine="709"/>
        <w:rPr>
          <w:szCs w:val="24"/>
          <w:lang w:val="en-US" w:eastAsia="es-ES"/>
        </w:rPr>
      </w:pPr>
      <w:bookmarkStart w:id="0" w:name="_Hlk4584741"/>
      <w:r w:rsidRPr="0021030B">
        <w:rPr>
          <w:szCs w:val="24"/>
          <w:lang w:val="en-US" w:eastAsia="es-ES"/>
        </w:rPr>
        <w:t>Only two studies have examined the effects of training at different SQ depths on strength and functional performance on well-trained and experienced athletes (Hartmann et al., 2012; Rhea et al., 2016). In both studies, maximum strength, jump height and sprint performance were evaluated after a periodized RT program (using loads from 10RM to 2RM during 10-16 wk) in groups training at different squatting depths. Results confirmed greater gains in maximum strength on the specific squat variation used in training, compared to the other ones (Hartmann et al., 2012; Rhea et al., 2016). However, the effects on functional performance reported in these studies are clearly contradictory. While Rhea et al. (2016) described greater athletic adaptations (i.e., squat jump and 40-yard sprint) in the quarter squat group, Hartman</w:t>
      </w:r>
      <w:r w:rsidR="00120F91" w:rsidRPr="0021030B">
        <w:rPr>
          <w:szCs w:val="24"/>
          <w:lang w:val="en-US" w:eastAsia="es-ES"/>
        </w:rPr>
        <w:t>n</w:t>
      </w:r>
      <w:r w:rsidRPr="0021030B">
        <w:rPr>
          <w:szCs w:val="24"/>
          <w:lang w:val="en-US" w:eastAsia="es-ES"/>
        </w:rPr>
        <w:t xml:space="preserve"> et al. (2012) only found positive adaptations in the squat jump and countermovement jump </w:t>
      </w:r>
      <w:r w:rsidRPr="0021030B">
        <w:rPr>
          <w:szCs w:val="24"/>
          <w:lang w:val="en-US" w:eastAsia="es-ES"/>
        </w:rPr>
        <w:lastRenderedPageBreak/>
        <w:t>following F-SQ training. This controversy is further complicated by the existing methodological differences between both studies. Only Hartmann et al. (2012) included a control group that did not perform any type of strength training (i.e., RCT design). Moreover, Rhea et al. (2016) required participants to complete the RT routine with additional resistance exercises different to the squat (power cleans, lunges, reverse hamstring curls, and step ups), without any control of the ROM, which likely can influence the changes observed in the dependent variables under study. In both investigations, participants lifted loads up to 95% of their one-repetition maximum (1RM), reached muscle failure in each training set (Rhea et al. 2016) and even performed forced repetitions (Hartmann et al. 2012). These procedures somewhat contradict recent findings which showed that training against very high loads (&gt;85% 1RM) and reaching muscle failure had a negative impact on athletes’ functional performance</w:t>
      </w:r>
      <w:r w:rsidR="00EF515E" w:rsidRPr="0021030B">
        <w:rPr>
          <w:szCs w:val="24"/>
          <w:lang w:val="en-US" w:eastAsia="es-ES"/>
        </w:rPr>
        <w:t xml:space="preserve"> </w:t>
      </w:r>
      <w:r w:rsidR="00EF515E" w:rsidRPr="0021030B">
        <w:rPr>
          <w:szCs w:val="24"/>
          <w:lang w:val="en-US" w:eastAsia="es-ES"/>
        </w:rPr>
        <w:fldChar w:fldCharType="begin" w:fldLock="1"/>
      </w:r>
      <w:r w:rsidR="00353BA9" w:rsidRPr="0021030B">
        <w:rPr>
          <w:szCs w:val="24"/>
          <w:lang w:val="en-US" w:eastAsia="es-ES"/>
        </w:rPr>
        <w:instrText>ADDIN CSL_CITATION {"citationItems":[{"id":"ITEM-1","itemData":{"DOI":"10.1007/s00421-017-3725-7","ISSN":"1439-6319","PMID":"28965198","abstract":"PURPOSE To describe the acute and delayed time course of recovery following resistance training (RT) protocols differing in the number of repetitions (R) performed in each set (S) out of the maximum possible number (P). METHODS Ten resistance-trained men undertook three RT protocols [S × R(P)]: (1) 3 × 5(10), (2) 6 × 5(10), and (3) 3 × 10(10) in the bench press (BP) and full squat (SQ) exercises. Selected mechanical and biochemical variables were assessed at seven time points (from - 12 h to + 72 h post-exercise). Countermovement jump height (CMJ) and movement velocity against the load that elicited a 1 m s-1 mean propulsive velocity (V1) and 75% 1RM in the BP and SQ were used as mechanical indicators of neuromuscular performance. RESULTS Training to muscle failure in each set [3 × 10(10)], even when compared to completing the same total exercise volume [6 × 5(10)], resulted in a significantly higher acute decline of CMJ and velocity against the V1 and 75% 1RM loads in both BP and SQ. In contrast, recovery from the 3 × 5(10) and 6 × 5(10) protocols was significantly faster between 24 and 48 h post-exercise compared to 3 × 10(10). Markers of acute (ammonia, growth hormone) and delayed (creatine kinase) fatigue showed a markedly different course of recovery between protocols, suggesting that training to failure slows down recovery up to 24-48 h post-exercise. CONCLUSIONS RT leading to failure considerably increases the time needed for the recovery of neuromuscular function and metabolic and hormonal homeostasis. Avoiding failure would allow athletes to be in a better neuromuscular condition to undertake a new training session or competition in a shorter period of time.","author":[{"dropping-particle":"","family":"Morán-Navarro","given":"Ricardo","non-dropping-particle":"","parse-names":false,"suffix":""},{"dropping-particle":"","family":"Pérez","given":"Carlos E.","non-dropping-particle":"","parse-names":false,"suffix":""},{"dropping-particle":"","family":"Mora-Rodríguez","given":"Ricardo","non-dropping-particle":"","parse-names":false,"suffix":""},{"dropping-particle":"","family":"la Cruz-Sánchez","given":"Ernesto","non-dropping-particle":"de","parse-names":false,"suffix":""},{"dropping-particle":"","family":"González-Badillo","given":"Juan José","non-dropping-particle":"","parse-names":false,"suffix":""},{"dropping-particle":"","family":"Sánchez-Medina","given":"Luis","non-dropping-particle":"","parse-names":false,"suffix":""},{"dropping-particle":"","family":"Pallarés","given":"Jesús G.","non-dropping-particle":"","parse-names":false,"suffix":""}],"container-title":"European Journal of Applied Physiology","id":"ITEM-1","issue":"12","issued":{"date-parts":[["2017","12","30"]]},"page":"2387-2399","title":"Time course of recovery following resistance training leading or not to failure","type":"article-journal","volume":"117"},"uris":["http://www.mendeley.com/documents/?uuid=dfbe8f61-f9fb-3ec1-b459-5317b72cc53d"]},{"id":"ITEM-2","itemData":{"DOI":"10.1249/MSS.0b013e3181c67eec","ISSN":"1530-0315","PMID":"19997025","abstract":"The purpose of this study was to examine the efficacy of 8 wk of resistance training to failure versus not to failure training regimens at both moderate and low volumes for increasing upper-body strength and power as well as cardiovascular parameters into a combined resistance and endurance periodized training scheme.","author":[{"dropping-particle":"","family":"Izquierdo-Gabarren","given":"Mikel","non-dropping-particle":"","parse-names":false,"suffix":""},{"dropping-particle":"","family":"González De Txabarri Expósito","given":"Rafael","non-dropping-particle":"","parse-names":false,"suffix":""},{"dropping-particle":"","family":"García-Pallarés","given":"Jesús","non-dropping-particle":"","parse-names":false,"suffix":""},{"dropping-particle":"","family":"Sánchez-medina","given":"Luis","non-dropping-particle":"","parse-names":false,"suffix":""},{"dropping-particle":"","family":"Villarreal","given":"Eduardo Sáez","non-dropping-particle":"De","parse-names":false,"suffix":""},{"dropping-particle":"","family":"Izquierdo","given":"Mikel","non-dropping-particle":"","parse-names":false,"suffix":""}],"container-title":"Medicine and science in sports and exercise","id":"ITEM-2","issue":"6","issued":{"date-parts":[["2010","6"]]},"page":"1191-9","title":"Concurrent endurance and strength training not to failure optimizes performance gains.","type":"article-journal","volume":"42"},"uris":["http://www.mendeley.com/documents/?uuid=e2e87d2d-b28c-4e1c-9dca-c8560ea24039"]},{"id":"ITEM-3","itemData":{"DOI":"10.1111/sms.12678","ISSN":"1600-0838","PMID":"27038416","abstract":"We compared the effects of two resistance training (RT) programs only differing in the repetition velocity loss allowed in each set: 20% (VL20) vs 40% (VL40) on muscle structural and functional adaptations. Twenty-two young males were randomly assigned to a VL20 (n = 12) or VL40 (n = 10) group. Subjects followed an 8-week velocity-based RT program using the squat exercise while monitoring repetition velocity. Pre- and post-training assessments included: magnetic resonance imaging, vastus lateralis biopsies for muscle cross-sectional area (CSA) and fiber type analyses, one-repetition maximum strength and full load-velocity squat profile, countermovement jump (CMJ), and 20-m sprint running. VL20 resulted in similar squat strength gains than VL40 and greater improvements in CMJ (9.5% vs 3.5%, P &lt; 0.05), despite VL20 performing 40% fewer repetitions. Although both groups increased mean fiber CSA and whole quadriceps muscle volume, VL40 training elicited a greater hypertrophy of vastus lateralis and intermedius than VL20. Training resulted in a reduction of myosin heavy chain IIX percentage in VL40, whereas it was preserved in VL20. In conclusion, the progressive accumulation of muscle fatigue as indicated by a more pronounced repetition velocity loss appears as an important variable in the configuration of the resistance exercise stimulus as it influences functional and structural neuromuscular adaptations.","author":[{"dropping-particle":"","family":"Pareja-Blanco","given":"Fernando","non-dropping-particle":"","parse-names":false,"suffix":""},{"dropping-particle":"","family":"Rodríguez-Rosell","given":"D","non-dropping-particle":"","parse-names":false,"suffix":""},{"dropping-particle":"","family":"Sánchez-Medina","given":"Luis","non-dropping-particle":"","parse-names":false,"suffix":""},{"dropping-particle":"","family":"Sanchis-Moysi","given":"J","non-dropping-particle":"","parse-names":false,"suffix":""},{"dropping-particle":"","family":"Dorado","given":"C","non-dropping-particle":"","parse-names":false,"suffix":""},{"dropping-particle":"","family":"Mora-Custodio","given":"R","non-dropping-particle":"","parse-names":false,"suffix":""},{"dropping-particle":"","family":"Yáñez-García","given":"J M","non-dropping-particle":"","parse-names":false,"suffix":""},{"dropping-particle":"","family":"Morales-Alamo","given":"D","non-dropping-particle":"","parse-names":false,"suffix":""},{"dropping-particle":"","family":"Pérez-Suárez","given":"I","non-dropping-particle":"","parse-names":false,"suffix":""},{"dropping-particle":"","family":"Calbet","given":"Jose A.","non-dropping-particle":"","parse-names":false,"suffix":""},{"dropping-particle":"","family":"González-Badillo","given":"Juan José","non-dropping-particle":"","parse-names":false,"suffix":""}],"container-title":"Scandinavian journal of medicine &amp; science in sports","id":"ITEM-3","issue":"7","issued":{"date-parts":[["2017","7"]]},"page":"724-735","title":"Effects of velocity loss during resistance training on athletic performance, strength gains and muscle adaptations.","type":"article-journal","volume":"27"},"uris":["http://www.mendeley.com/documents/?uuid=dc3c9fe1-476b-3dd5-8cf3-e52ed2f7664c"]}],"mendeley":{"formattedCitation":"(Izquierdo-Gabarren et al., 2010; Morán-Navarro et al., 2017; Pareja-Blanco et al., 2017)","plainTextFormattedCitation":"(Izquierdo-Gabarren et al., 2010; Morán-Navarro et al., 2017; Pareja-Blanco et al., 2017)","previouslyFormattedCitation":"(Izquierdo-Gabarren et al., 2010; Morán-Navarro et al., 2017; Pareja-Blanco et al., 2017)"},"properties":{"noteIndex":0},"schema":"https://github.com/citation-style-language/schema/raw/master/csl-citation.json"}</w:instrText>
      </w:r>
      <w:r w:rsidR="00EF515E" w:rsidRPr="0021030B">
        <w:rPr>
          <w:szCs w:val="24"/>
          <w:lang w:val="en-US" w:eastAsia="es-ES"/>
        </w:rPr>
        <w:fldChar w:fldCharType="separate"/>
      </w:r>
      <w:r w:rsidR="00EF515E" w:rsidRPr="0021030B">
        <w:rPr>
          <w:noProof/>
          <w:szCs w:val="24"/>
          <w:lang w:val="en-US" w:eastAsia="es-ES"/>
        </w:rPr>
        <w:t>(Izquierdo-Gabarren et al., 2010; Morán-Navarro et al., 2017; Pareja-Blanco et al., 2017)</w:t>
      </w:r>
      <w:r w:rsidR="00EF515E" w:rsidRPr="0021030B">
        <w:rPr>
          <w:szCs w:val="24"/>
          <w:lang w:val="en-US" w:eastAsia="es-ES"/>
        </w:rPr>
        <w:fldChar w:fldCharType="end"/>
      </w:r>
      <w:r w:rsidRPr="0021030B">
        <w:rPr>
          <w:szCs w:val="24"/>
          <w:lang w:val="en-US" w:eastAsia="es-ES"/>
        </w:rPr>
        <w:t>. In addition, neither the study of Rhea et al. (2016) nor the one of Hartma</w:t>
      </w:r>
      <w:r w:rsidR="00120F91" w:rsidRPr="0021030B">
        <w:rPr>
          <w:szCs w:val="24"/>
          <w:lang w:val="en-US" w:eastAsia="es-ES"/>
        </w:rPr>
        <w:t>n</w:t>
      </w:r>
      <w:r w:rsidRPr="0021030B">
        <w:rPr>
          <w:szCs w:val="24"/>
          <w:lang w:val="en-US" w:eastAsia="es-ES"/>
        </w:rPr>
        <w:t>n et al. (2012) could verify the effects of training at different squatting depths on different zones of the athletes’ load-velocity relationship (e.g., light vs. heavy loads) or on their cardiorespiratory performance. It thus seems that these contradictory results and the lack of solid evidence require further investigation in a carefully designed randomized controlled trial.</w:t>
      </w:r>
    </w:p>
    <w:bookmarkEnd w:id="0"/>
    <w:p w14:paraId="1EFDDFFD" w14:textId="77777777" w:rsidR="00245672" w:rsidRPr="0021030B" w:rsidRDefault="00245672" w:rsidP="00EF515E">
      <w:pPr>
        <w:shd w:val="clear" w:color="auto" w:fill="FFFFFF"/>
        <w:spacing w:after="120" w:line="480" w:lineRule="atLeast"/>
        <w:ind w:firstLine="709"/>
        <w:rPr>
          <w:szCs w:val="24"/>
          <w:lang w:val="en-GB" w:eastAsia="es-ES"/>
        </w:rPr>
      </w:pPr>
    </w:p>
    <w:p w14:paraId="4D6B1503" w14:textId="21D5140F" w:rsidR="00A34F50" w:rsidRPr="0021030B" w:rsidRDefault="00A71AC0" w:rsidP="00245672">
      <w:pPr>
        <w:spacing w:after="120" w:line="480" w:lineRule="auto"/>
        <w:ind w:firstLine="708"/>
        <w:rPr>
          <w:rFonts w:cs="Times New Roman"/>
          <w:szCs w:val="24"/>
          <w:lang w:val="en-US"/>
        </w:rPr>
      </w:pPr>
      <w:r w:rsidRPr="0021030B">
        <w:rPr>
          <w:rFonts w:cs="Times New Roman"/>
          <w:szCs w:val="24"/>
          <w:lang w:val="en-US"/>
        </w:rPr>
        <w:t>Therefore, t</w:t>
      </w:r>
      <w:r w:rsidR="00A34F50" w:rsidRPr="0021030B">
        <w:rPr>
          <w:rFonts w:cs="Times New Roman"/>
          <w:szCs w:val="24"/>
          <w:lang w:val="en-US"/>
        </w:rPr>
        <w:t xml:space="preserve">he </w:t>
      </w:r>
      <w:r w:rsidRPr="0021030B">
        <w:rPr>
          <w:rFonts w:cs="Times New Roman"/>
          <w:szCs w:val="24"/>
          <w:lang w:val="en-US"/>
        </w:rPr>
        <w:t xml:space="preserve">aims </w:t>
      </w:r>
      <w:r w:rsidR="00A34F50" w:rsidRPr="0021030B">
        <w:rPr>
          <w:rFonts w:cs="Times New Roman"/>
          <w:szCs w:val="24"/>
          <w:lang w:val="en-US"/>
        </w:rPr>
        <w:t xml:space="preserve">of this study </w:t>
      </w:r>
      <w:r w:rsidRPr="0021030B">
        <w:rPr>
          <w:rFonts w:cs="Times New Roman"/>
          <w:szCs w:val="24"/>
          <w:lang w:val="en-US"/>
        </w:rPr>
        <w:t>were i)</w:t>
      </w:r>
      <w:r w:rsidR="00A34F50" w:rsidRPr="0021030B">
        <w:rPr>
          <w:rFonts w:cs="Times New Roman"/>
          <w:szCs w:val="24"/>
          <w:lang w:val="en-US"/>
        </w:rPr>
        <w:t xml:space="preserve"> to clear up the effect of a prolonged </w:t>
      </w:r>
      <w:r w:rsidR="00BD055C" w:rsidRPr="0021030B">
        <w:rPr>
          <w:rFonts w:cs="Times New Roman"/>
          <w:szCs w:val="24"/>
          <w:lang w:val="en-US"/>
        </w:rPr>
        <w:t>RT</w:t>
      </w:r>
      <w:r w:rsidR="00A34F50" w:rsidRPr="0021030B">
        <w:rPr>
          <w:rFonts w:cs="Times New Roman"/>
          <w:szCs w:val="24"/>
          <w:lang w:val="en-US"/>
        </w:rPr>
        <w:t xml:space="preserve"> program at different </w:t>
      </w:r>
      <w:r w:rsidRPr="0021030B">
        <w:rPr>
          <w:rFonts w:cs="Times New Roman"/>
          <w:szCs w:val="24"/>
          <w:lang w:val="en-US"/>
        </w:rPr>
        <w:t xml:space="preserve">SQ </w:t>
      </w:r>
      <w:r w:rsidR="00A34F50" w:rsidRPr="0021030B">
        <w:rPr>
          <w:rFonts w:cs="Times New Roman"/>
          <w:szCs w:val="24"/>
          <w:lang w:val="en-US"/>
        </w:rPr>
        <w:t>depths on neuromuscular and functional adaptations in well-trained athletes</w:t>
      </w:r>
      <w:r w:rsidRPr="0021030B">
        <w:rPr>
          <w:rFonts w:cs="Times New Roman"/>
          <w:szCs w:val="24"/>
          <w:lang w:val="en-US"/>
        </w:rPr>
        <w:t xml:space="preserve"> using </w:t>
      </w:r>
      <w:r w:rsidR="00590DDC" w:rsidRPr="0021030B">
        <w:rPr>
          <w:rFonts w:cs="Times New Roman"/>
          <w:szCs w:val="24"/>
          <w:lang w:val="en-US"/>
        </w:rPr>
        <w:t xml:space="preserve">the </w:t>
      </w:r>
      <w:r w:rsidRPr="0021030B">
        <w:rPr>
          <w:rFonts w:cs="Times New Roman"/>
          <w:szCs w:val="24"/>
          <w:lang w:val="en-US"/>
        </w:rPr>
        <w:t>novel velocity-based resistance methods, and ii) to</w:t>
      </w:r>
      <w:r w:rsidR="005835B1" w:rsidRPr="0021030B">
        <w:rPr>
          <w:rFonts w:cs="Times New Roman"/>
          <w:szCs w:val="24"/>
          <w:lang w:val="en-US"/>
        </w:rPr>
        <w:t xml:space="preserve"> </w:t>
      </w:r>
      <w:r w:rsidR="00F06F22" w:rsidRPr="0021030B">
        <w:rPr>
          <w:rFonts w:cs="Times New Roman"/>
          <w:szCs w:val="24"/>
          <w:lang w:val="en-US"/>
        </w:rPr>
        <w:t>provide evidence about</w:t>
      </w:r>
      <w:r w:rsidR="005835B1" w:rsidRPr="0021030B">
        <w:rPr>
          <w:rFonts w:cs="Times New Roman"/>
          <w:szCs w:val="24"/>
          <w:lang w:val="en-US"/>
        </w:rPr>
        <w:t xml:space="preserve"> the incidence of injuries and discomfort </w:t>
      </w:r>
      <w:r w:rsidRPr="0021030B">
        <w:rPr>
          <w:rFonts w:cs="Times New Roman"/>
          <w:szCs w:val="24"/>
          <w:lang w:val="en-US"/>
        </w:rPr>
        <w:t xml:space="preserve">caused after </w:t>
      </w:r>
      <w:r w:rsidR="00FE7B53" w:rsidRPr="0021030B">
        <w:rPr>
          <w:rFonts w:cs="Times New Roman"/>
          <w:szCs w:val="24"/>
          <w:lang w:val="en-US"/>
        </w:rPr>
        <w:t>prolonged</w:t>
      </w:r>
      <w:r w:rsidR="005835B1" w:rsidRPr="0021030B">
        <w:rPr>
          <w:rFonts w:cs="Times New Roman"/>
          <w:szCs w:val="24"/>
          <w:lang w:val="en-US"/>
        </w:rPr>
        <w:t xml:space="preserve"> </w:t>
      </w:r>
      <w:r w:rsidRPr="0021030B">
        <w:rPr>
          <w:rFonts w:cs="Times New Roman"/>
          <w:szCs w:val="24"/>
          <w:lang w:val="en-US"/>
        </w:rPr>
        <w:t xml:space="preserve">SQ </w:t>
      </w:r>
      <w:r w:rsidR="005835B1" w:rsidRPr="0021030B">
        <w:rPr>
          <w:rFonts w:cs="Times New Roman"/>
          <w:szCs w:val="24"/>
          <w:lang w:val="en-US"/>
        </w:rPr>
        <w:t>training</w:t>
      </w:r>
      <w:r w:rsidR="00FE7B53" w:rsidRPr="0021030B">
        <w:rPr>
          <w:rFonts w:cs="Times New Roman"/>
          <w:szCs w:val="24"/>
          <w:lang w:val="en-US"/>
        </w:rPr>
        <w:t xml:space="preserve"> at different depths</w:t>
      </w:r>
      <w:r w:rsidR="005835B1" w:rsidRPr="0021030B">
        <w:rPr>
          <w:rFonts w:cs="Times New Roman"/>
          <w:szCs w:val="24"/>
          <w:lang w:val="en-US"/>
        </w:rPr>
        <w:t>.</w:t>
      </w:r>
    </w:p>
    <w:p w14:paraId="066F43BE" w14:textId="77777777" w:rsidR="00590DDC" w:rsidRPr="0021030B" w:rsidRDefault="00590DDC" w:rsidP="008860F5">
      <w:pPr>
        <w:spacing w:line="480" w:lineRule="auto"/>
        <w:ind w:firstLine="708"/>
        <w:rPr>
          <w:rFonts w:cs="Times New Roman"/>
          <w:szCs w:val="24"/>
          <w:lang w:val="en-US"/>
        </w:rPr>
      </w:pPr>
    </w:p>
    <w:p w14:paraId="6B29BDB7" w14:textId="38D672E1" w:rsidR="007D11BA" w:rsidRPr="0021030B" w:rsidRDefault="009B55C8" w:rsidP="00F52A7E">
      <w:pPr>
        <w:spacing w:line="480" w:lineRule="auto"/>
        <w:rPr>
          <w:rFonts w:cs="Times New Roman"/>
          <w:b/>
          <w:szCs w:val="24"/>
          <w:lang w:val="en-US"/>
        </w:rPr>
      </w:pPr>
      <w:r w:rsidRPr="0021030B">
        <w:rPr>
          <w:rFonts w:cs="Times New Roman"/>
          <w:b/>
          <w:szCs w:val="24"/>
          <w:lang w:val="en-US"/>
        </w:rPr>
        <w:t>Methods</w:t>
      </w:r>
    </w:p>
    <w:p w14:paraId="0745D61A" w14:textId="4DB224A8" w:rsidR="00E73FB1" w:rsidRPr="0021030B" w:rsidRDefault="009C4D78" w:rsidP="00F52A7E">
      <w:pPr>
        <w:spacing w:line="480" w:lineRule="auto"/>
        <w:rPr>
          <w:rFonts w:cs="Times New Roman"/>
          <w:b/>
          <w:i/>
          <w:szCs w:val="24"/>
          <w:lang w:val="en-US"/>
        </w:rPr>
      </w:pPr>
      <w:r w:rsidRPr="0021030B">
        <w:rPr>
          <w:rFonts w:cs="Times New Roman"/>
          <w:b/>
          <w:i/>
          <w:szCs w:val="24"/>
          <w:lang w:val="en-US"/>
        </w:rPr>
        <w:lastRenderedPageBreak/>
        <w:t>Participants</w:t>
      </w:r>
    </w:p>
    <w:p w14:paraId="4EACF840" w14:textId="0581A231" w:rsidR="004A365F" w:rsidRPr="0021030B" w:rsidRDefault="00D1780E" w:rsidP="00A3191A">
      <w:pPr>
        <w:spacing w:line="480" w:lineRule="auto"/>
        <w:rPr>
          <w:rFonts w:cs="Times New Roman"/>
          <w:szCs w:val="24"/>
          <w:lang w:val="en-US"/>
        </w:rPr>
      </w:pPr>
      <w:r w:rsidRPr="0021030B">
        <w:rPr>
          <w:rFonts w:cs="Times New Roman"/>
          <w:szCs w:val="24"/>
          <w:lang w:val="en-US"/>
        </w:rPr>
        <w:t xml:space="preserve">The required sample size was determined for the primary outcome variable, the F-SQ one-repetition maximum strength (1RM). According to similar interventions on subjects with comparable characteristics </w:t>
      </w:r>
      <w:r w:rsidRPr="0021030B">
        <w:rPr>
          <w:rFonts w:cs="Times New Roman"/>
          <w:szCs w:val="24"/>
          <w:lang w:val="en-US"/>
        </w:rPr>
        <w:fldChar w:fldCharType="begin" w:fldLock="1"/>
      </w:r>
      <w:r w:rsidRPr="0021030B">
        <w:rPr>
          <w:rFonts w:cs="Times New Roman"/>
          <w:szCs w:val="24"/>
          <w:lang w:val="en-US"/>
        </w:rPr>
        <w:instrText>ADDIN CSL_CITATION {"citationItems":[{"id":"ITEM-1","itemData":{"DOI":"10.1519/JSC.0b013e31824ede62","ISBN":"1533-4287","ISSN":"10648011","PMID":"22344055","abstract":"It is unclear if increases in 1 repetition maximum (1RM) in quarter squats result in higher gains compared with full depth squats in isometric force production and vertical jump performance. The aim of the research projects was to compare the effects of different squat variants on the development of 1RM and their transfer effects to Countermovement jump (CMJ) and squat jump (SJ) height, maximal voluntary contraction (MVC), and maximal rate of force development (MRFD). Twenty-three women and 36 men (mean age: 24.11 ± 2.88 years) were parallelized into 3 groups based on their CMJ height: deep front squats (FSQ, n = 20), deep back squats (BSQ, n = 20), and quarter back squats (BSQ¼, n = 19). In addition, a control group (C, n = 16) existed (mean age: 24.38 ± 0.50 years). Experimental groups trained 2 d·wk for 10 weeks with a strength-power block periodization, which produced significant (p ≤ 0.05) gains of the specific squat 1RM. The FSQ and BSQ attained significant (p ≤ 0.05) elevations in SJ and CMJ without any interaction effects between both groups (p ≥ 0.05). The BSQ¼ and C did not reveal any significant changes of SJ and CMJ. The FSQ and BSQ had significantly higher SJ scores over C (p ≤ 0.05). The BSQ did not feature any significant group difference to BSQ¼ (p = 0.116) in SJ, whereas FSQ showed a trend toward higher SJ heights over BSQ¼ (p = 0.052). The FSQ and BSQ presented significantly (p ≤ 0.05) higher CMJ heights over BSQ¼ and C. Posttest in MVC and MRFD demonstrated no significant changes for BSQ. Significant declines in MRFD for FSQ in the right leg (p ≤ 0.05) without any interaction effects for MVC and MRFD between both FSQ and BSQ were found. Training of BSQ¼ resulted in significantly (p ≤ 0.05) lower MRFD and MVC values in contrast to FSQ and BSQ. Quarter squat training elicited significant (p ≤ 0.05) transfer losses into the isometric maximal and explosive strength behavior. These findings therefore contest the concept of superior angle-specific transfer effects. Deep front and back squats guarantee performance-enhancing transfer effects of dynamic maximal strength to dynamic speed-strength capacity of hip and knee extensors compared with quarter squats.","author":[{"dropping-particle":"","family":"Hartmann","given":"Hagen","non-dropping-particle":"","parse-names":false,"suffix":""},{"dropping-particle":"","family":"Wirth","given":"Klaus","non-dropping-particle":"","parse-names":false,"suffix":""},{"dropping-particle":"","family":"Klusemann","given":"Markus","non-dropping-particle":"","parse-names":false,"suffix":""},{"dropping-particle":"","family":"Dalic","given":"Josip","non-dropping-particle":"","parse-names":false,"suffix":""},{"dropping-particle":"","family":"Matuschek","given":"Claus","non-dropping-particle":"","parse-names":false,"suffix":""},{"dropping-particle":"","family":"Schmidtbleicher","given":"Dietmar","non-dropping-particle":"","parse-names":false,"suffix":""}],"container-title":"Journal of Strength and Conditioning Research","id":"ITEM-1","issue":"12","issued":{"date-parts":[["2012"]]},"page":"3243-3261","title":"Influence of squatting depth on jumping performance","type":"article-journal","volume":"26"},"uris":["http://www.mendeley.com/documents/?uuid=56478392-7915-4c8e-868a-dda34f47bf72","http://www.mendeley.com/documents/?uuid=ce9ea4bc-5e26-45c8-902b-9c30b347d8dc"]}],"mendeley":{"formattedCitation":"(Hartmann et al., 2012)","plainTextFormattedCitation":"(Hartmann et al., 2012)","previouslyFormattedCitation":"(Hartmann et al., 2012)"},"properties":{"noteIndex":0},"schema":"https://github.com/citation-style-language/schema/raw/master/csl-citation.json"}</w:instrText>
      </w:r>
      <w:r w:rsidRPr="0021030B">
        <w:rPr>
          <w:rFonts w:cs="Times New Roman"/>
          <w:szCs w:val="24"/>
          <w:lang w:val="en-US"/>
        </w:rPr>
        <w:fldChar w:fldCharType="separate"/>
      </w:r>
      <w:r w:rsidRPr="0021030B">
        <w:rPr>
          <w:rFonts w:cs="Times New Roman"/>
          <w:noProof/>
          <w:szCs w:val="24"/>
          <w:lang w:val="en-US"/>
        </w:rPr>
        <w:t>(Hartmann et al., 2012)</w:t>
      </w:r>
      <w:r w:rsidRPr="0021030B">
        <w:rPr>
          <w:rFonts w:cs="Times New Roman"/>
          <w:szCs w:val="24"/>
          <w:lang w:val="en-US"/>
        </w:rPr>
        <w:fldChar w:fldCharType="end"/>
      </w:r>
      <w:r w:rsidRPr="0021030B">
        <w:rPr>
          <w:rFonts w:cs="Times New Roman"/>
          <w:szCs w:val="24"/>
          <w:lang w:val="en-US"/>
        </w:rPr>
        <w:t xml:space="preserve">, a clinically relevant change is about 25.3 ± 20.5 % 1RM increments after a 10-week training. </w:t>
      </w:r>
      <w:r w:rsidR="00A3191A" w:rsidRPr="0021030B">
        <w:rPr>
          <w:rFonts w:cs="Times New Roman"/>
          <w:szCs w:val="24"/>
          <w:lang w:val="en-US"/>
        </w:rPr>
        <w:t xml:space="preserve">A sample size of nine participants were </w:t>
      </w:r>
      <w:r w:rsidR="00A3191A" w:rsidRPr="0021030B">
        <w:rPr>
          <w:rFonts w:cs="Times New Roman"/>
          <w:szCs w:val="24"/>
          <w:lang w:val="en-GB"/>
        </w:rPr>
        <w:t xml:space="preserve">estimated to detect </w:t>
      </w:r>
      <w:r w:rsidR="00A3191A" w:rsidRPr="0021030B">
        <w:rPr>
          <w:rStyle w:val="Emphasis"/>
          <w:i w:val="0"/>
          <w:lang w:val="en-GB"/>
        </w:rPr>
        <w:t xml:space="preserve">these differences </w:t>
      </w:r>
      <w:r w:rsidR="00A3191A" w:rsidRPr="0021030B">
        <w:rPr>
          <w:rFonts w:cs="Times New Roman"/>
          <w:szCs w:val="24"/>
          <w:lang w:val="en-GB"/>
        </w:rPr>
        <w:t xml:space="preserve">with </w:t>
      </w:r>
      <w:r w:rsidRPr="0021030B">
        <w:rPr>
          <w:rFonts w:cs="Times New Roman"/>
          <w:szCs w:val="24"/>
          <w:lang w:val="en-GB"/>
        </w:rPr>
        <w:t>a power of 9</w:t>
      </w:r>
      <w:r w:rsidR="00F2452F" w:rsidRPr="0021030B">
        <w:rPr>
          <w:rFonts w:cs="Times New Roman"/>
          <w:szCs w:val="24"/>
          <w:lang w:val="en-GB"/>
        </w:rPr>
        <w:t>0</w:t>
      </w:r>
      <w:r w:rsidRPr="0021030B">
        <w:rPr>
          <w:rFonts w:cs="Times New Roman"/>
          <w:szCs w:val="24"/>
          <w:lang w:val="en-GB"/>
        </w:rPr>
        <w:t>% and</w:t>
      </w:r>
      <w:r w:rsidR="00A3191A" w:rsidRPr="0021030B">
        <w:rPr>
          <w:rFonts w:cs="Times New Roman"/>
          <w:szCs w:val="24"/>
          <w:lang w:val="en-GB"/>
        </w:rPr>
        <w:t xml:space="preserve"> a significance</w:t>
      </w:r>
      <w:r w:rsidRPr="0021030B">
        <w:rPr>
          <w:rFonts w:cs="Times New Roman"/>
          <w:szCs w:val="24"/>
          <w:lang w:val="en-GB"/>
        </w:rPr>
        <w:t xml:space="preserve"> α of 0.05 using the MedCalc Statistical Software version 18.2.1. Assuming a maximum loss of follow-up of 20%, we recruited</w:t>
      </w:r>
      <w:r w:rsidRPr="0021030B">
        <w:rPr>
          <w:rFonts w:cs="Times New Roman"/>
          <w:szCs w:val="24"/>
          <w:lang w:val="en-US"/>
        </w:rPr>
        <w:t xml:space="preserve"> at least 11 </w:t>
      </w:r>
      <w:r w:rsidR="004A365F" w:rsidRPr="0021030B">
        <w:rPr>
          <w:rFonts w:cs="Times New Roman"/>
          <w:szCs w:val="24"/>
          <w:lang w:val="en-US"/>
        </w:rPr>
        <w:t>healthy athletes</w:t>
      </w:r>
      <w:r w:rsidRPr="0021030B">
        <w:rPr>
          <w:rFonts w:cs="Times New Roman"/>
          <w:szCs w:val="24"/>
          <w:lang w:val="en-US"/>
        </w:rPr>
        <w:t xml:space="preserve"> per experimental group</w:t>
      </w:r>
      <w:r w:rsidR="00DB4E48" w:rsidRPr="0021030B">
        <w:rPr>
          <w:rFonts w:cs="Times New Roman"/>
          <w:szCs w:val="24"/>
          <w:lang w:val="en-US"/>
        </w:rPr>
        <w:t xml:space="preserve"> meeting the following i</w:t>
      </w:r>
      <w:r w:rsidR="00D43E12" w:rsidRPr="0021030B">
        <w:rPr>
          <w:rFonts w:cs="Times New Roman"/>
          <w:szCs w:val="24"/>
          <w:lang w:val="en-US"/>
        </w:rPr>
        <w:t>nclusion criteria: i) having a 1RM strength/body mass ratio (</w:t>
      </w:r>
      <w:r w:rsidR="00D43E12" w:rsidRPr="0021030B">
        <w:rPr>
          <w:rFonts w:cs="Times New Roman"/>
          <w:szCs w:val="24"/>
          <w:lang w:val="en-GB"/>
        </w:rPr>
        <w:t xml:space="preserve">relative strength ratio, RSR) higher than 0.80 in the </w:t>
      </w:r>
      <w:r w:rsidR="00F2452F" w:rsidRPr="0021030B">
        <w:rPr>
          <w:rFonts w:cs="Times New Roman"/>
          <w:szCs w:val="24"/>
          <w:lang w:val="en-GB"/>
        </w:rPr>
        <w:t>F-SQ</w:t>
      </w:r>
      <w:r w:rsidR="00D43E12" w:rsidRPr="0021030B">
        <w:rPr>
          <w:rFonts w:cs="Times New Roman"/>
          <w:szCs w:val="24"/>
          <w:lang w:val="en-GB"/>
        </w:rPr>
        <w:t xml:space="preserve"> and ii) </w:t>
      </w:r>
      <w:r w:rsidR="002736C2" w:rsidRPr="0021030B">
        <w:rPr>
          <w:rFonts w:cs="Times New Roman"/>
          <w:szCs w:val="24"/>
          <w:lang w:val="en-GB"/>
        </w:rPr>
        <w:t>had no low-back, neck</w:t>
      </w:r>
      <w:r w:rsidR="002736C2" w:rsidRPr="0021030B">
        <w:rPr>
          <w:rFonts w:cs="Times New Roman"/>
          <w:szCs w:val="24"/>
          <w:lang w:val="en-US"/>
        </w:rPr>
        <w:t xml:space="preserve"> or lower-limbs injuries during the last year</w:t>
      </w:r>
      <w:r w:rsidR="004A365F" w:rsidRPr="0021030B">
        <w:rPr>
          <w:rFonts w:cs="Times New Roman"/>
          <w:szCs w:val="24"/>
          <w:lang w:val="en-US"/>
        </w:rPr>
        <w:t xml:space="preserve">. </w:t>
      </w:r>
    </w:p>
    <w:p w14:paraId="33DE4DA8" w14:textId="14FF8AC5" w:rsidR="00C82C68" w:rsidRPr="0021030B" w:rsidRDefault="002736C2" w:rsidP="00D156F3">
      <w:pPr>
        <w:spacing w:line="480" w:lineRule="auto"/>
        <w:rPr>
          <w:rFonts w:cs="Times New Roman"/>
          <w:szCs w:val="24"/>
          <w:lang w:val="en-US"/>
        </w:rPr>
      </w:pPr>
      <w:r w:rsidRPr="0021030B">
        <w:rPr>
          <w:rFonts w:cs="Times New Roman"/>
          <w:szCs w:val="24"/>
          <w:lang w:val="en-US"/>
        </w:rPr>
        <w:t>Fifty-three resistance-trained men volunteered to participate in this study (age 23.0 ± 4.4 years, body mass 76.0 ± 12.8 kg, height 174.0 ± 7.4 cm, body fat 12.1 ± 4.9%). Their initial 1RM strength for the F-SQ exercise was 87.3 ± 15.0 kg and RSR</w:t>
      </w:r>
      <w:r w:rsidR="00D156F3" w:rsidRPr="0021030B">
        <w:rPr>
          <w:rFonts w:cs="Times New Roman"/>
          <w:szCs w:val="24"/>
          <w:lang w:val="en-US"/>
        </w:rPr>
        <w:t xml:space="preserve"> </w:t>
      </w:r>
      <w:r w:rsidRPr="0021030B">
        <w:rPr>
          <w:rFonts w:cs="Times New Roman"/>
          <w:szCs w:val="24"/>
          <w:lang w:val="en-US"/>
        </w:rPr>
        <w:t>of 1.17 ± 0.24.</w:t>
      </w:r>
      <w:r w:rsidR="004A365F" w:rsidRPr="0021030B">
        <w:rPr>
          <w:lang w:val="en-GB"/>
        </w:rPr>
        <w:t xml:space="preserve"> In the 6 months preceding this study, participants </w:t>
      </w:r>
      <w:r w:rsidR="004A365F" w:rsidRPr="0021030B">
        <w:rPr>
          <w:rFonts w:cs="Times New Roman"/>
          <w:szCs w:val="24"/>
          <w:lang w:val="en-GB"/>
        </w:rPr>
        <w:t xml:space="preserve">completed 2–4 resistance training sessions per week including the squat exercise as a part of their conditioning. In this period, participants were instructed in proper technical execution </w:t>
      </w:r>
      <w:r w:rsidR="00D156F3" w:rsidRPr="0021030B">
        <w:rPr>
          <w:rFonts w:cs="Times New Roman"/>
          <w:szCs w:val="24"/>
          <w:lang w:val="en-GB"/>
        </w:rPr>
        <w:t xml:space="preserve">for the three squat variations, </w:t>
      </w:r>
      <w:r w:rsidR="004A365F" w:rsidRPr="0021030B">
        <w:rPr>
          <w:rFonts w:cs="Times New Roman"/>
          <w:szCs w:val="24"/>
          <w:lang w:val="en-GB"/>
        </w:rPr>
        <w:t>while optimal spinal curvature was controlled to avoid excessive pelvic tilt</w:t>
      </w:r>
      <w:r w:rsidR="00D156F3" w:rsidRPr="0021030B">
        <w:rPr>
          <w:rFonts w:cs="Times New Roman"/>
          <w:szCs w:val="24"/>
          <w:lang w:val="en-GB"/>
        </w:rPr>
        <w:t xml:space="preserve"> (i.e., lumbar rectification)</w:t>
      </w:r>
      <w:r w:rsidR="004A365F" w:rsidRPr="0021030B">
        <w:rPr>
          <w:rFonts w:cs="Times New Roman"/>
          <w:szCs w:val="24"/>
          <w:lang w:val="en-GB"/>
        </w:rPr>
        <w:t xml:space="preserve">, as explained further below. </w:t>
      </w:r>
      <w:r w:rsidR="006A67D4" w:rsidRPr="0021030B">
        <w:rPr>
          <w:rFonts w:cs="Times New Roman"/>
          <w:szCs w:val="24"/>
          <w:lang w:val="en-US"/>
        </w:rPr>
        <w:t>Participants</w:t>
      </w:r>
      <w:r w:rsidR="00030785" w:rsidRPr="0021030B">
        <w:rPr>
          <w:rFonts w:cs="Times New Roman"/>
          <w:szCs w:val="24"/>
          <w:lang w:val="en-US"/>
        </w:rPr>
        <w:t xml:space="preserve"> were randomly assigned in a counterbalanced way according to their initial F-SQ strength to one of four groups</w:t>
      </w:r>
      <w:r w:rsidR="004515AF" w:rsidRPr="0021030B">
        <w:rPr>
          <w:rFonts w:cs="Times New Roman"/>
          <w:szCs w:val="24"/>
          <w:lang w:val="en-US"/>
        </w:rPr>
        <w:t xml:space="preserve"> (three experimental and one control)</w:t>
      </w:r>
      <w:r w:rsidR="006E1B81" w:rsidRPr="0021030B">
        <w:rPr>
          <w:rFonts w:cs="Times New Roman"/>
          <w:szCs w:val="24"/>
          <w:lang w:val="en-US"/>
        </w:rPr>
        <w:t>.</w:t>
      </w:r>
      <w:r w:rsidR="004515AF" w:rsidRPr="0021030B">
        <w:rPr>
          <w:rFonts w:cs="Times New Roman"/>
          <w:szCs w:val="24"/>
          <w:lang w:val="en-US"/>
        </w:rPr>
        <w:t xml:space="preserve"> The experimental groups </w:t>
      </w:r>
      <w:r w:rsidR="007F7422" w:rsidRPr="0021030B">
        <w:rPr>
          <w:rFonts w:cs="Times New Roman"/>
          <w:szCs w:val="24"/>
          <w:lang w:val="en-US"/>
        </w:rPr>
        <w:t xml:space="preserve">were classified according to the specific </w:t>
      </w:r>
      <w:r w:rsidR="007B6338" w:rsidRPr="0021030B">
        <w:rPr>
          <w:rFonts w:cs="Times New Roman"/>
          <w:szCs w:val="24"/>
          <w:lang w:val="en-US"/>
        </w:rPr>
        <w:t xml:space="preserve">SQ </w:t>
      </w:r>
      <w:r w:rsidR="007F7422" w:rsidRPr="0021030B">
        <w:rPr>
          <w:rFonts w:cs="Times New Roman"/>
          <w:szCs w:val="24"/>
          <w:lang w:val="en-US"/>
        </w:rPr>
        <w:t>performed during the RT</w:t>
      </w:r>
      <w:r w:rsidR="00871453" w:rsidRPr="0021030B">
        <w:rPr>
          <w:rFonts w:cs="Times New Roman"/>
          <w:szCs w:val="24"/>
          <w:lang w:val="en-US"/>
        </w:rPr>
        <w:t xml:space="preserve"> intervention</w:t>
      </w:r>
      <w:r w:rsidR="004515AF" w:rsidRPr="0021030B">
        <w:rPr>
          <w:rFonts w:cs="Times New Roman"/>
          <w:szCs w:val="24"/>
          <w:lang w:val="en-US"/>
        </w:rPr>
        <w:t>: F</w:t>
      </w:r>
      <w:r w:rsidR="00030785" w:rsidRPr="0021030B">
        <w:rPr>
          <w:rFonts w:cs="Times New Roman"/>
          <w:szCs w:val="24"/>
          <w:lang w:val="en-US"/>
        </w:rPr>
        <w:t>-SQ (n=13), P-SQ</w:t>
      </w:r>
      <w:r w:rsidR="00030785" w:rsidRPr="0021030B" w:rsidDel="002F148D">
        <w:rPr>
          <w:rFonts w:cs="Times New Roman"/>
          <w:szCs w:val="24"/>
          <w:lang w:val="en-US"/>
        </w:rPr>
        <w:t xml:space="preserve"> </w:t>
      </w:r>
      <w:r w:rsidR="00030785" w:rsidRPr="0021030B">
        <w:rPr>
          <w:rFonts w:cs="Times New Roman"/>
          <w:szCs w:val="24"/>
          <w:lang w:val="en-US"/>
        </w:rPr>
        <w:t xml:space="preserve">(n=13), and H-SQ (n=13). </w:t>
      </w:r>
      <w:r w:rsidR="00CD72DB" w:rsidRPr="0021030B">
        <w:rPr>
          <w:rFonts w:cs="Times New Roman"/>
          <w:szCs w:val="24"/>
          <w:lang w:val="en-US"/>
        </w:rPr>
        <w:t xml:space="preserve">Members of the fourth group (n=14) were assigned as </w:t>
      </w:r>
      <w:r w:rsidR="00BC2F12" w:rsidRPr="0021030B">
        <w:rPr>
          <w:rFonts w:cs="Times New Roman"/>
          <w:szCs w:val="24"/>
          <w:lang w:val="en-US"/>
        </w:rPr>
        <w:t xml:space="preserve">Controls </w:t>
      </w:r>
      <w:r w:rsidR="00CD72DB" w:rsidRPr="0021030B">
        <w:rPr>
          <w:rFonts w:cs="Times New Roman"/>
          <w:szCs w:val="24"/>
          <w:lang w:val="en-US"/>
        </w:rPr>
        <w:t>and</w:t>
      </w:r>
      <w:r w:rsidR="002153D7" w:rsidRPr="0021030B">
        <w:rPr>
          <w:rFonts w:cs="Times New Roman"/>
          <w:szCs w:val="24"/>
          <w:lang w:val="en-US"/>
        </w:rPr>
        <w:t xml:space="preserve"> fully discontinued any</w:t>
      </w:r>
      <w:r w:rsidR="00CD72DB" w:rsidRPr="0021030B">
        <w:rPr>
          <w:rFonts w:cs="Times New Roman"/>
          <w:szCs w:val="24"/>
          <w:lang w:val="en-US"/>
        </w:rPr>
        <w:t xml:space="preserve"> </w:t>
      </w:r>
      <w:r w:rsidR="002153D7" w:rsidRPr="0021030B">
        <w:rPr>
          <w:rFonts w:cs="Times New Roman"/>
          <w:szCs w:val="24"/>
          <w:lang w:val="en-US"/>
        </w:rPr>
        <w:t xml:space="preserve">kind of physical </w:t>
      </w:r>
      <w:r w:rsidR="00CD72DB" w:rsidRPr="0021030B">
        <w:rPr>
          <w:rFonts w:cs="Times New Roman"/>
          <w:szCs w:val="24"/>
          <w:lang w:val="en-US"/>
        </w:rPr>
        <w:t>training program.</w:t>
      </w:r>
      <w:r w:rsidR="00B27912" w:rsidRPr="0021030B">
        <w:rPr>
          <w:rFonts w:cs="Times New Roman"/>
          <w:szCs w:val="24"/>
          <w:lang w:val="en-US"/>
        </w:rPr>
        <w:t xml:space="preserve"> In the 12 months preceding the study, participants performed 2-4 RT sessions per week, and were </w:t>
      </w:r>
      <w:r w:rsidR="00B27912" w:rsidRPr="0021030B">
        <w:rPr>
          <w:rFonts w:cs="Times New Roman"/>
          <w:szCs w:val="24"/>
          <w:lang w:val="en-US"/>
        </w:rPr>
        <w:lastRenderedPageBreak/>
        <w:t xml:space="preserve">accustomed to performing the squat exercises under study with </w:t>
      </w:r>
      <w:r w:rsidR="00C86234" w:rsidRPr="0021030B">
        <w:rPr>
          <w:rFonts w:cs="Times New Roman"/>
          <w:szCs w:val="24"/>
          <w:lang w:val="en-US"/>
        </w:rPr>
        <w:t xml:space="preserve">the </w:t>
      </w:r>
      <w:r w:rsidR="00B27912" w:rsidRPr="0021030B">
        <w:rPr>
          <w:rFonts w:cs="Times New Roman"/>
          <w:szCs w:val="24"/>
          <w:lang w:val="en-US"/>
        </w:rPr>
        <w:t>correct technique.</w:t>
      </w:r>
      <w:r w:rsidR="00BD5510" w:rsidRPr="0021030B">
        <w:rPr>
          <w:rFonts w:cs="Times New Roman"/>
          <w:szCs w:val="24"/>
          <w:lang w:val="en-US"/>
        </w:rPr>
        <w:t xml:space="preserve"> </w:t>
      </w:r>
      <w:r w:rsidR="00C82C68" w:rsidRPr="0021030B">
        <w:rPr>
          <w:rFonts w:cs="Times New Roman"/>
          <w:szCs w:val="24"/>
          <w:lang w:val="en-US"/>
        </w:rPr>
        <w:t>The study complied with the Declaration of Helsinki and was approved by the Bioethics Commission of the Local University. Written informed consent was obtained from all participants. No physical limitations, health problems, or musculoskeletal injuries that could affect training were found after a medical examination.</w:t>
      </w:r>
    </w:p>
    <w:p w14:paraId="420B6DE2" w14:textId="77777777" w:rsidR="00590DDC" w:rsidRPr="0021030B" w:rsidRDefault="00590DDC" w:rsidP="00F52A7E">
      <w:pPr>
        <w:spacing w:line="480" w:lineRule="auto"/>
        <w:rPr>
          <w:rFonts w:cs="Times New Roman"/>
          <w:b/>
          <w:i/>
          <w:szCs w:val="24"/>
          <w:lang w:val="en-US"/>
        </w:rPr>
      </w:pPr>
    </w:p>
    <w:p w14:paraId="1B81C2F1" w14:textId="777797E7" w:rsidR="00D53BE3" w:rsidRPr="0021030B" w:rsidRDefault="00D53BE3" w:rsidP="00F52A7E">
      <w:pPr>
        <w:spacing w:line="480" w:lineRule="auto"/>
        <w:rPr>
          <w:rFonts w:cs="Times New Roman"/>
          <w:b/>
          <w:i/>
          <w:szCs w:val="24"/>
          <w:lang w:val="en-US"/>
        </w:rPr>
      </w:pPr>
      <w:r w:rsidRPr="0021030B">
        <w:rPr>
          <w:rFonts w:cs="Times New Roman"/>
          <w:b/>
          <w:i/>
          <w:szCs w:val="24"/>
          <w:lang w:val="en-US"/>
        </w:rPr>
        <w:t>Study design</w:t>
      </w:r>
    </w:p>
    <w:p w14:paraId="57A27DCD" w14:textId="5BD6B3F0" w:rsidR="007F02E7" w:rsidRPr="0021030B" w:rsidRDefault="00C82C68" w:rsidP="00C82C68">
      <w:pPr>
        <w:spacing w:line="480" w:lineRule="auto"/>
        <w:rPr>
          <w:rFonts w:cs="Times New Roman"/>
          <w:szCs w:val="24"/>
          <w:lang w:val="en-US"/>
        </w:rPr>
      </w:pPr>
      <w:r w:rsidRPr="0021030B">
        <w:rPr>
          <w:rFonts w:cs="Times New Roman"/>
          <w:szCs w:val="24"/>
          <w:lang w:val="en-US"/>
        </w:rPr>
        <w:t>A randomized controlled experimental design was used. The three experimental groups (F-SQ, P-SQ and H-SQ) trained twice a week (48-72 h apart) for 10</w:t>
      </w:r>
      <w:r w:rsidR="00F46154" w:rsidRPr="0021030B">
        <w:rPr>
          <w:rFonts w:cs="Times New Roman"/>
          <w:szCs w:val="24"/>
          <w:lang w:val="en-US"/>
        </w:rPr>
        <w:t xml:space="preserve"> </w:t>
      </w:r>
      <w:r w:rsidRPr="0021030B">
        <w:rPr>
          <w:rFonts w:cs="Times New Roman"/>
          <w:szCs w:val="24"/>
          <w:lang w:val="en-US"/>
        </w:rPr>
        <w:t>week</w:t>
      </w:r>
      <w:r w:rsidR="00F46154" w:rsidRPr="0021030B">
        <w:rPr>
          <w:rFonts w:cs="Times New Roman"/>
          <w:szCs w:val="24"/>
          <w:lang w:val="en-US"/>
        </w:rPr>
        <w:t>s</w:t>
      </w:r>
      <w:r w:rsidRPr="0021030B">
        <w:rPr>
          <w:rFonts w:cs="Times New Roman"/>
          <w:szCs w:val="24"/>
          <w:lang w:val="en-US"/>
        </w:rPr>
        <w:t xml:space="preserve"> for a total of 20 sessions, following a progressive RT program (described later in detail; Table 1). The Control group was required to fully discontinue any kind of programmed resistance or endurance stimuli other than the normal physical activity of the active life of these young adults during the intervention. </w:t>
      </w:r>
      <w:r w:rsidR="00B6695D" w:rsidRPr="0021030B">
        <w:rPr>
          <w:rFonts w:cs="Times New Roman"/>
          <w:szCs w:val="24"/>
          <w:lang w:val="en-US"/>
        </w:rPr>
        <w:t xml:space="preserve">Participants completed a set of neuromuscular and functional evaluations pre- (the week before; T0) and post-training (the week after; T1) in three sessions (Monday, Wednesday and Friday) under a paced schedule (Figure 1). In addition to a selection of the functional assessments (Monday - 20 m sprint test and CMJ, Wednesday - Wingate test; Friday - WOMAC Questionnaire), each testing day participants performed in a randomized and counterbalanced way one of the three progressive loading test (F -SQ, P-SQ or H-SQ). Once a progressive loading tests schedule was assigned to each subject in T0, the same order was replicated in T1. </w:t>
      </w:r>
      <w:r w:rsidR="00684A2D" w:rsidRPr="0021030B">
        <w:rPr>
          <w:rFonts w:cs="Times New Roman"/>
          <w:szCs w:val="24"/>
          <w:lang w:val="en-US"/>
        </w:rPr>
        <w:t xml:space="preserve">Prior to evaluations, participants performed </w:t>
      </w:r>
      <w:r w:rsidRPr="0021030B">
        <w:rPr>
          <w:rFonts w:cs="Times New Roman"/>
          <w:szCs w:val="24"/>
          <w:lang w:val="en-US"/>
        </w:rPr>
        <w:t xml:space="preserve">nine </w:t>
      </w:r>
      <w:r w:rsidR="00684A2D" w:rsidRPr="0021030B">
        <w:rPr>
          <w:rFonts w:cs="Times New Roman"/>
          <w:szCs w:val="24"/>
          <w:lang w:val="en-US"/>
        </w:rPr>
        <w:t xml:space="preserve">familiarization sessions separated by 48-72 h. </w:t>
      </w:r>
      <w:r w:rsidRPr="0021030B">
        <w:rPr>
          <w:rFonts w:cs="Times New Roman"/>
          <w:szCs w:val="24"/>
          <w:lang w:val="en-US"/>
        </w:rPr>
        <w:t xml:space="preserve">The first session was used for body composition assessment, personal data and health history questionnaire administration, medical examination and identification of the starting position for each of the three squat variations analyzed (described later in </w:t>
      </w:r>
      <w:r w:rsidRPr="0021030B">
        <w:rPr>
          <w:rFonts w:cs="Times New Roman"/>
          <w:szCs w:val="24"/>
          <w:lang w:val="en-US"/>
        </w:rPr>
        <w:lastRenderedPageBreak/>
        <w:t xml:space="preserve">detail). Then, in random order, each subject performed three familiarization sessions for each squat </w:t>
      </w:r>
      <w:r w:rsidR="00B6695D" w:rsidRPr="0021030B">
        <w:rPr>
          <w:rFonts w:cs="Times New Roman"/>
          <w:szCs w:val="24"/>
          <w:lang w:val="en-US"/>
        </w:rPr>
        <w:t>exercise</w:t>
      </w:r>
      <w:r w:rsidRPr="0021030B">
        <w:rPr>
          <w:rFonts w:cs="Times New Roman"/>
          <w:szCs w:val="24"/>
          <w:lang w:val="en-US"/>
        </w:rPr>
        <w:t xml:space="preserve">. and were instructed on how to properly perform the lifts and carried out some practice sets with light and medium loads. </w:t>
      </w:r>
      <w:r w:rsidR="006727FC" w:rsidRPr="0021030B">
        <w:rPr>
          <w:rFonts w:cs="Times New Roman"/>
          <w:szCs w:val="24"/>
          <w:lang w:val="en-US"/>
        </w:rPr>
        <w:t xml:space="preserve">Participants </w:t>
      </w:r>
      <w:r w:rsidR="00D53BE3" w:rsidRPr="0021030B">
        <w:rPr>
          <w:rFonts w:cs="Times New Roman"/>
          <w:szCs w:val="24"/>
          <w:lang w:val="en-US"/>
        </w:rPr>
        <w:t xml:space="preserve">were required not to engage in any other type of strenuous physical activity, exercise training, or sports competition for the duration of the present investigation. </w:t>
      </w:r>
    </w:p>
    <w:p w14:paraId="38D08233" w14:textId="77777777" w:rsidR="00590DDC" w:rsidRPr="0021030B" w:rsidRDefault="00590DDC" w:rsidP="00F52A7E">
      <w:pPr>
        <w:spacing w:line="480" w:lineRule="auto"/>
        <w:rPr>
          <w:rFonts w:cs="Times New Roman"/>
          <w:i/>
          <w:szCs w:val="24"/>
          <w:lang w:val="en-US"/>
        </w:rPr>
      </w:pPr>
    </w:p>
    <w:p w14:paraId="5CCA4568" w14:textId="29F1F6D5" w:rsidR="008575AF" w:rsidRPr="0021030B" w:rsidRDefault="008575AF" w:rsidP="00D676D0">
      <w:pPr>
        <w:spacing w:line="480" w:lineRule="auto"/>
        <w:rPr>
          <w:rFonts w:cs="Times New Roman"/>
          <w:b/>
          <w:i/>
          <w:szCs w:val="24"/>
          <w:lang w:val="en-US"/>
        </w:rPr>
      </w:pPr>
      <w:r w:rsidRPr="0021030B">
        <w:rPr>
          <w:rFonts w:cs="Times New Roman"/>
          <w:b/>
          <w:i/>
          <w:szCs w:val="24"/>
          <w:lang w:val="en-US"/>
        </w:rPr>
        <w:t xml:space="preserve">Velocity-load relationship and 1RM strength determination </w:t>
      </w:r>
    </w:p>
    <w:p w14:paraId="3D3F341C" w14:textId="3247C35C" w:rsidR="003058EA" w:rsidRPr="0021030B" w:rsidRDefault="003058EA" w:rsidP="00D676D0">
      <w:pPr>
        <w:spacing w:line="480" w:lineRule="auto"/>
        <w:rPr>
          <w:rFonts w:cs="Times New Roman"/>
          <w:szCs w:val="24"/>
          <w:lang w:val="en-US"/>
        </w:rPr>
      </w:pPr>
      <w:r w:rsidRPr="0021030B">
        <w:rPr>
          <w:rFonts w:cs="Times New Roman"/>
          <w:szCs w:val="24"/>
          <w:lang w:val="en-US"/>
        </w:rPr>
        <w:t xml:space="preserve">Following the familiarization sessions, the individual load-velocity relationships were determined by means of a progressive loading test up to the 1RM for the three </w:t>
      </w:r>
      <w:r w:rsidR="00327F47" w:rsidRPr="0021030B">
        <w:rPr>
          <w:rFonts w:cs="Times New Roman"/>
          <w:szCs w:val="24"/>
          <w:lang w:val="en-US"/>
        </w:rPr>
        <w:t xml:space="preserve">SQ </w:t>
      </w:r>
      <w:r w:rsidRPr="0021030B">
        <w:rPr>
          <w:rFonts w:cs="Times New Roman"/>
          <w:szCs w:val="24"/>
          <w:lang w:val="en-US"/>
        </w:rPr>
        <w:t>variations, performed in a Smith machine</w:t>
      </w:r>
      <w:r w:rsidR="000E3E25" w:rsidRPr="0021030B">
        <w:rPr>
          <w:rFonts w:cs="Times New Roman"/>
          <w:szCs w:val="24"/>
          <w:lang w:val="en-US"/>
        </w:rPr>
        <w:t xml:space="preserve"> (Multipower Fitness Line, Peroga, Murcia, Spain</w:t>
      </w:r>
      <w:r w:rsidR="00430A29" w:rsidRPr="0021030B">
        <w:rPr>
          <w:rFonts w:cs="Times New Roman"/>
          <w:szCs w:val="24"/>
          <w:lang w:val="en-US"/>
        </w:rPr>
        <w:t>)</w:t>
      </w:r>
      <w:r w:rsidRPr="0021030B">
        <w:rPr>
          <w:rFonts w:cs="Times New Roman"/>
          <w:szCs w:val="24"/>
          <w:lang w:val="en-US"/>
        </w:rPr>
        <w:t xml:space="preserve">. Following the warm-up, initial load was set at 20 kg and was gradually increased in 10 kg increments until the attained mean propulsive velocity (MPV) was </w:t>
      </w:r>
      <w:r w:rsidRPr="0021030B">
        <w:rPr>
          <w:rFonts w:cs="Times New Roman"/>
          <w:szCs w:val="24"/>
          <w:lang w:val="en-US"/>
        </w:rPr>
        <w:sym w:font="Symbol" w:char="F0A3"/>
      </w:r>
      <w:r w:rsidRPr="0021030B">
        <w:rPr>
          <w:rFonts w:cs="Times New Roman"/>
          <w:szCs w:val="24"/>
          <w:lang w:val="en-US"/>
        </w:rPr>
        <w:t>0.60 m·s</w:t>
      </w:r>
      <w:r w:rsidRPr="0021030B">
        <w:rPr>
          <w:rFonts w:cs="Times New Roman"/>
          <w:szCs w:val="24"/>
          <w:vertAlign w:val="superscript"/>
          <w:lang w:val="en-US"/>
        </w:rPr>
        <w:t>-1</w:t>
      </w:r>
      <w:r w:rsidRPr="0021030B">
        <w:rPr>
          <w:rFonts w:cs="Times New Roman"/>
          <w:szCs w:val="24"/>
          <w:lang w:val="en-US"/>
        </w:rPr>
        <w:t xml:space="preserve"> </w:t>
      </w:r>
      <w:r w:rsidR="00D676D0" w:rsidRPr="0021030B">
        <w:rPr>
          <w:rFonts w:cs="Times New Roman"/>
          <w:szCs w:val="24"/>
          <w:lang w:val="en-US"/>
        </w:rPr>
        <w:fldChar w:fldCharType="begin" w:fldLock="1"/>
      </w:r>
      <w:r w:rsidR="00D676D0" w:rsidRPr="0021030B">
        <w:rPr>
          <w:rFonts w:cs="Times New Roman"/>
          <w:szCs w:val="24"/>
          <w:lang w:val="en-US"/>
        </w:rPr>
        <w:instrText>ADDIN CSL_CITATION {"citationItems":[{"id":"ITEM-1","itemData":{"DOI":"10.1055/s-0029-1242815","ISBN":"01724622","ISSN":"01724622","PMID":"20222005","abstract":"This study analyzed the contribution of the propulsive and braking phases among different percentages of the one-repetition maximum (1RM) in the concentric bench press exercise. One hundred strength-trained men performed a test with increasing loads up to the 1RM for the individual determination of the load-power relationship. The relative load that maximized the mechanical power output (P(max)) was determined using three different parameters: mean concentric power (MP), mean power of the propulsive phase (MPP) and peak power (PP). The load at which the braking phase no longer existed was 76.1+/-7.4% 1RM. P(max) was dependent on the parameter used: MP (54.2%), MPP (36.5%) or PP (37.4%). No significant differences were found for loads between 40-65% 1RM (MP) or 20-55% 1RM (MPP and PP), nor between P(max) (% 1RM) when using MPP or PP. P(max) was independent of relative strength, although certain tendency towards slightly lower loads was detected for the strongest subjects. These results highlight the importance of considering the contribution of the propulsive and braking phases in isoinertial strength and power assessments. Referring the mean mechanical values to the propulsive phase avoids underestimating an individual's true neuromuscular potential when lifting light and medium loads.","author":[{"dropping-particle":"","family":"Sánchez-Medina","given":"Luis","non-dropping-particle":"","parse-names":false,"suffix":""},{"dropping-particle":"","family":"Perez","given":"C. E.","non-dropping-particle":"","parse-names":false,"suffix":""},{"dropping-particle":"","family":"González-Badillo","given":"Juan José","non-dropping-particle":"","parse-names":false,"suffix":""}],"container-title":"International Journal of Sports Medicine","id":"ITEM-1","issue":"2","issued":{"date-parts":[["2010"]]},"page":"123-129","publisher":"© Georg Thieme Verlag KG Stuttgart· New York","title":"Importance of the propulsive phase in strength assessment","type":"article-journal","volume":"31"},"uris":["http://www.mendeley.com/documents/?uuid=bc20ba2f-b656-4d90-aed0-2dbcbd50c063"]}],"mendeley":{"formattedCitation":"(Sánchez-Medina, Perez, &amp; González-Badillo, 2010)","plainTextFormattedCitation":"(Sánchez-Medina, Perez, &amp; González-Badillo, 2010)","previouslyFormattedCitation":"(Sánchez-Medina, Perez, &amp; González-Badillo, 2010)"},"properties":{"noteIndex":0},"schema":"https://github.com/citation-style-language/schema/raw/master/csl-citation.json"}</w:instrText>
      </w:r>
      <w:r w:rsidR="00D676D0" w:rsidRPr="0021030B">
        <w:rPr>
          <w:rFonts w:cs="Times New Roman"/>
          <w:szCs w:val="24"/>
          <w:lang w:val="en-US"/>
        </w:rPr>
        <w:fldChar w:fldCharType="separate"/>
      </w:r>
      <w:r w:rsidR="00D676D0" w:rsidRPr="0021030B">
        <w:rPr>
          <w:rFonts w:cs="Times New Roman"/>
          <w:noProof/>
          <w:szCs w:val="24"/>
          <w:lang w:val="en-US"/>
        </w:rPr>
        <w:t>(Sánchez-Medina, Perez, &amp; González-Badillo, 2010)</w:t>
      </w:r>
      <w:r w:rsidR="00D676D0" w:rsidRPr="0021030B">
        <w:rPr>
          <w:rFonts w:cs="Times New Roman"/>
          <w:szCs w:val="24"/>
          <w:lang w:val="en-US"/>
        </w:rPr>
        <w:fldChar w:fldCharType="end"/>
      </w:r>
      <w:r w:rsidR="00D676D0" w:rsidRPr="0021030B">
        <w:rPr>
          <w:rFonts w:cs="Times New Roman"/>
          <w:szCs w:val="24"/>
          <w:lang w:val="en-US"/>
        </w:rPr>
        <w:t xml:space="preserve">. </w:t>
      </w:r>
      <w:r w:rsidRPr="0021030B">
        <w:rPr>
          <w:rFonts w:cs="Times New Roman"/>
          <w:szCs w:val="24"/>
          <w:lang w:val="en-US"/>
        </w:rPr>
        <w:t xml:space="preserve">Thereafter, load was individually adjusted with smaller increments (5 down to 2.5 kg) so that the 1RM could be precisely determined. </w:t>
      </w:r>
      <w:r w:rsidR="00CA6632" w:rsidRPr="0021030B">
        <w:rPr>
          <w:rFonts w:cs="Times New Roman"/>
          <w:szCs w:val="24"/>
          <w:lang w:val="en-US"/>
        </w:rPr>
        <w:t xml:space="preserve">Three repetitions were executed for light </w:t>
      </w:r>
      <w:r w:rsidR="00CB4A33" w:rsidRPr="0021030B">
        <w:rPr>
          <w:rFonts w:cs="Times New Roman"/>
          <w:szCs w:val="24"/>
          <w:lang w:val="en-US"/>
        </w:rPr>
        <w:t>(</w:t>
      </w:r>
      <w:r w:rsidR="009F562E" w:rsidRPr="0021030B">
        <w:rPr>
          <w:rFonts w:cs="Times New Roman"/>
          <w:szCs w:val="24"/>
          <w:lang w:val="en-US"/>
        </w:rPr>
        <w:t>&lt; 50% 1RM</w:t>
      </w:r>
      <w:r w:rsidR="00CA6632" w:rsidRPr="0021030B">
        <w:rPr>
          <w:rFonts w:cs="Times New Roman"/>
          <w:szCs w:val="24"/>
          <w:lang w:val="en-US"/>
        </w:rPr>
        <w:t xml:space="preserve">), two for medium (50–80% 1RM), and only one for the heaviest loads </w:t>
      </w:r>
      <w:r w:rsidR="00CB4A33" w:rsidRPr="0021030B">
        <w:rPr>
          <w:rFonts w:cs="Times New Roman"/>
          <w:szCs w:val="24"/>
          <w:lang w:val="en-US"/>
        </w:rPr>
        <w:t>(</w:t>
      </w:r>
      <w:r w:rsidR="009F562E" w:rsidRPr="0021030B">
        <w:rPr>
          <w:rFonts w:cs="Times New Roman"/>
          <w:szCs w:val="24"/>
          <w:lang w:val="en-US"/>
        </w:rPr>
        <w:t>&gt; 50% 1RM</w:t>
      </w:r>
      <w:r w:rsidR="00CA6632" w:rsidRPr="0021030B">
        <w:rPr>
          <w:rFonts w:cs="Times New Roman"/>
          <w:szCs w:val="24"/>
          <w:lang w:val="en-US"/>
        </w:rPr>
        <w:t>). Inter-set recoveries ranged from 3 min (light</w:t>
      </w:r>
      <w:r w:rsidR="00554CDF" w:rsidRPr="0021030B">
        <w:rPr>
          <w:rFonts w:cs="Times New Roman"/>
          <w:szCs w:val="24"/>
          <w:lang w:val="en-US"/>
        </w:rPr>
        <w:t xml:space="preserve"> loads</w:t>
      </w:r>
      <w:r w:rsidR="00CA6632" w:rsidRPr="0021030B">
        <w:rPr>
          <w:rFonts w:cs="Times New Roman"/>
          <w:szCs w:val="24"/>
          <w:lang w:val="en-US"/>
        </w:rPr>
        <w:t xml:space="preserve">) to 5 min (heavy loads). </w:t>
      </w:r>
      <w:r w:rsidR="00D965CD" w:rsidRPr="0021030B">
        <w:rPr>
          <w:rFonts w:cs="Times New Roman"/>
          <w:szCs w:val="24"/>
          <w:lang w:val="en-US"/>
        </w:rPr>
        <w:t>The 1RM was considered as t</w:t>
      </w:r>
      <w:r w:rsidRPr="0021030B">
        <w:rPr>
          <w:rFonts w:cs="Times New Roman"/>
          <w:szCs w:val="24"/>
          <w:lang w:val="en-US"/>
        </w:rPr>
        <w:t xml:space="preserve">he heaviest load that each subject </w:t>
      </w:r>
      <w:r w:rsidR="00D965CD" w:rsidRPr="0021030B">
        <w:rPr>
          <w:rFonts w:cs="Times New Roman"/>
          <w:szCs w:val="24"/>
          <w:lang w:val="en-US"/>
        </w:rPr>
        <w:t>co</w:t>
      </w:r>
      <w:r w:rsidRPr="0021030B">
        <w:rPr>
          <w:rFonts w:cs="Times New Roman"/>
          <w:szCs w:val="24"/>
          <w:lang w:val="en-US"/>
        </w:rPr>
        <w:t xml:space="preserve">uld properly lift while completing full ROM for each </w:t>
      </w:r>
      <w:r w:rsidR="00327F47" w:rsidRPr="0021030B">
        <w:rPr>
          <w:rFonts w:cs="Times New Roman"/>
          <w:szCs w:val="24"/>
          <w:lang w:val="en-US"/>
        </w:rPr>
        <w:t>SQ</w:t>
      </w:r>
      <w:r w:rsidRPr="0021030B">
        <w:rPr>
          <w:rFonts w:cs="Times New Roman"/>
          <w:szCs w:val="24"/>
          <w:lang w:val="en-US"/>
        </w:rPr>
        <w:t>, without external help</w:t>
      </w:r>
      <w:r w:rsidR="00D965CD" w:rsidRPr="0021030B">
        <w:rPr>
          <w:rFonts w:cs="Times New Roman"/>
          <w:szCs w:val="24"/>
          <w:lang w:val="en-US"/>
        </w:rPr>
        <w:t xml:space="preserve">. </w:t>
      </w:r>
      <w:r w:rsidR="00797DC4" w:rsidRPr="0021030B">
        <w:rPr>
          <w:rFonts w:cs="Times New Roman"/>
          <w:szCs w:val="24"/>
          <w:lang w:val="en-US"/>
        </w:rPr>
        <w:t>A very high</w:t>
      </w:r>
      <w:r w:rsidR="00433385" w:rsidRPr="0021030B">
        <w:rPr>
          <w:rFonts w:cs="Times New Roman"/>
          <w:szCs w:val="24"/>
          <w:lang w:val="en-US"/>
        </w:rPr>
        <w:t xml:space="preserve"> test-retest </w:t>
      </w:r>
      <w:r w:rsidR="00797DC4" w:rsidRPr="0021030B">
        <w:rPr>
          <w:rFonts w:cs="Times New Roman"/>
          <w:szCs w:val="24"/>
          <w:lang w:val="en-US"/>
        </w:rPr>
        <w:t xml:space="preserve">reliability </w:t>
      </w:r>
      <w:r w:rsidR="00433385" w:rsidRPr="0021030B">
        <w:rPr>
          <w:rFonts w:cs="Times New Roman"/>
          <w:szCs w:val="24"/>
          <w:lang w:val="en-US"/>
        </w:rPr>
        <w:t xml:space="preserve">of this testing protocol </w:t>
      </w:r>
      <w:r w:rsidR="00797DC4" w:rsidRPr="0021030B">
        <w:rPr>
          <w:rFonts w:cs="Times New Roman"/>
          <w:szCs w:val="24"/>
          <w:lang w:val="en-US"/>
        </w:rPr>
        <w:t xml:space="preserve">(ICC = 0.99, 95% CI = 0.99–1.00, CV = 2.5%) </w:t>
      </w:r>
      <w:r w:rsidR="00433385" w:rsidRPr="0021030B">
        <w:rPr>
          <w:rFonts w:cs="Times New Roman"/>
          <w:szCs w:val="24"/>
          <w:lang w:val="en-US"/>
        </w:rPr>
        <w:t xml:space="preserve">has been recently described </w:t>
      </w:r>
      <w:r w:rsidR="00433385" w:rsidRPr="0021030B">
        <w:rPr>
          <w:rFonts w:cs="Times New Roman"/>
          <w:szCs w:val="24"/>
          <w:lang w:val="en-GB"/>
        </w:rPr>
        <w:fldChar w:fldCharType="begin" w:fldLock="1"/>
      </w:r>
      <w:r w:rsidR="00433385" w:rsidRPr="0021030B">
        <w:rPr>
          <w:rFonts w:cs="Times New Roman"/>
          <w:szCs w:val="24"/>
          <w:lang w:val="en-GB"/>
        </w:rPr>
        <w:instrText>ADDIN CSL_CITATION {"citationItems":[{"id":"ITEM-1","itemData":{"author":[{"dropping-particle":"","family":"Courel-Ibáñez","given":"Javier","non-dropping-particle":"","parse-names":false,"suffix":""},{"dropping-particle":"","family":"Martinez-Cava","given":"Alejandro","non-dropping-particle":"","parse-names":false,"suffix":""},{"dropping-particle":"","family":"Moran-Navarro","given":"Ricardo","non-dropping-particle":"","parse-names":false,"suffix":""},{"dropping-particle":"","family":"Escribano-Peñas","given":"Pablo","non-dropping-particle":"","parse-names":false,"suffix":""},{"dropping-particle":"","family":"Chavarren-Cabrero","given":"Javier","non-dropping-particle":"","parse-names":false,"suffix":""},{"dropping-particle":"","family":"Gonzalez-Badillo","given":"J. J.","non-dropping-particle":"","parse-names":false,"suffix":""}],"container-title":"Annals of Biomedical Engineering","id":"ITEM-1","issued":{"date-parts":[["2019"]]},"title":"Reproducibility and repeatability of five different technologies for bar velocity measurement in resistance training","type":"article-journal","volume":"In press"},"uris":["http://www.mendeley.com/documents/?uuid=6bee4991-40eb-4c83-8c10-a5f40c223fa2"]}],"mendeley":{"formattedCitation":"(Courel-Ibáñez et al., 2019)","plainTextFormattedCitation":"(Courel-Ibáñez et al., 2019)","previouslyFormattedCitation":"(Courel-Ibáñez et al., 2019)"},"properties":{"noteIndex":0},"schema":"https://github.com/citation-style-language/schema/raw/master/csl-citation.json"}</w:instrText>
      </w:r>
      <w:r w:rsidR="00433385" w:rsidRPr="0021030B">
        <w:rPr>
          <w:rFonts w:cs="Times New Roman"/>
          <w:szCs w:val="24"/>
          <w:lang w:val="en-GB"/>
        </w:rPr>
        <w:fldChar w:fldCharType="separate"/>
      </w:r>
      <w:r w:rsidR="00433385" w:rsidRPr="0021030B">
        <w:rPr>
          <w:rFonts w:cs="Times New Roman"/>
          <w:noProof/>
          <w:szCs w:val="24"/>
          <w:lang w:val="en-GB"/>
        </w:rPr>
        <w:t>(Courel-Ibáñez et al., 2019)</w:t>
      </w:r>
      <w:r w:rsidR="00433385" w:rsidRPr="0021030B">
        <w:rPr>
          <w:rFonts w:cs="Times New Roman"/>
          <w:szCs w:val="24"/>
          <w:lang w:val="en-GB"/>
        </w:rPr>
        <w:fldChar w:fldCharType="end"/>
      </w:r>
      <w:r w:rsidR="00797DC4" w:rsidRPr="0021030B">
        <w:rPr>
          <w:rFonts w:cs="Times New Roman"/>
          <w:szCs w:val="24"/>
          <w:lang w:val="en-GB"/>
        </w:rPr>
        <w:t>.</w:t>
      </w:r>
      <w:r w:rsidR="00433385" w:rsidRPr="0021030B">
        <w:rPr>
          <w:rFonts w:cs="Times New Roman"/>
          <w:szCs w:val="24"/>
          <w:lang w:val="en-GB"/>
        </w:rPr>
        <w:t xml:space="preserve"> </w:t>
      </w:r>
    </w:p>
    <w:p w14:paraId="08BAD5F4" w14:textId="3DD3E76A" w:rsidR="00CA6632" w:rsidRPr="0021030B" w:rsidRDefault="00CA6632" w:rsidP="00CA6632">
      <w:pPr>
        <w:autoSpaceDE w:val="0"/>
        <w:autoSpaceDN w:val="0"/>
        <w:adjustRightInd w:val="0"/>
        <w:spacing w:line="480" w:lineRule="auto"/>
        <w:ind w:firstLine="708"/>
        <w:jc w:val="both"/>
        <w:rPr>
          <w:rFonts w:cs="Times New Roman"/>
          <w:szCs w:val="24"/>
          <w:lang w:val="en-US"/>
        </w:rPr>
      </w:pPr>
      <w:r w:rsidRPr="0021030B">
        <w:rPr>
          <w:rFonts w:cs="Times New Roman"/>
          <w:szCs w:val="24"/>
          <w:lang w:val="en-US"/>
        </w:rPr>
        <w:t xml:space="preserve">For the three squat variations, participants started from an upright position, with the knees and hips fully extended, stance approximately shoulder-width apart with both feet positioned flat on the floor in parallel or externally rotated to a maximum of 15°. The </w:t>
      </w:r>
      <w:r w:rsidRPr="0021030B">
        <w:rPr>
          <w:rFonts w:cs="Times New Roman"/>
          <w:szCs w:val="24"/>
          <w:lang w:val="en-US"/>
        </w:rPr>
        <w:lastRenderedPageBreak/>
        <w:t>barbell rested across the back at the level of the acromion. Stance width and feet position were individually adjusted and carefully replicated on every lift. From this position, they were required to descend in a continuous motion until reaching their previously determined concentric initial position for each squat variation:</w:t>
      </w:r>
    </w:p>
    <w:p w14:paraId="02AE995B" w14:textId="1849B864" w:rsidR="00CA6632" w:rsidRPr="0021030B" w:rsidRDefault="00CA6632" w:rsidP="00CA6632">
      <w:pPr>
        <w:pStyle w:val="ListParagraph"/>
        <w:numPr>
          <w:ilvl w:val="0"/>
          <w:numId w:val="2"/>
        </w:numPr>
        <w:autoSpaceDE w:val="0"/>
        <w:autoSpaceDN w:val="0"/>
        <w:adjustRightInd w:val="0"/>
        <w:spacing w:line="480" w:lineRule="auto"/>
        <w:jc w:val="both"/>
        <w:rPr>
          <w:rFonts w:cs="Times New Roman"/>
          <w:szCs w:val="24"/>
          <w:lang w:val="en-US"/>
        </w:rPr>
      </w:pPr>
      <w:r w:rsidRPr="0021030B">
        <w:rPr>
          <w:rFonts w:cs="Times New Roman"/>
          <w:szCs w:val="24"/>
          <w:lang w:val="en-US"/>
        </w:rPr>
        <w:t xml:space="preserve">Half squat (H-SQ): descent until reaching a 90º knee angle </w:t>
      </w:r>
      <w:r w:rsidRPr="0021030B">
        <w:rPr>
          <w:rFonts w:cs="Times New Roman"/>
          <w:szCs w:val="24"/>
          <w:lang w:val="en-US"/>
        </w:rPr>
        <w:fldChar w:fldCharType="begin" w:fldLock="1"/>
      </w:r>
      <w:r w:rsidR="00E42B44" w:rsidRPr="0021030B">
        <w:rPr>
          <w:rFonts w:cs="Times New Roman"/>
          <w:szCs w:val="24"/>
          <w:lang w:val="en-US"/>
        </w:rPr>
        <w:instrText>ADDIN CSL_CITATION {"citationItems":[{"id":"ITEM-1","itemData":{"DOI":"10.1007/s40279-013-0073-6","ISBN":"1179-2035 (Electronic)\\r0112-1642 (Linking)","ISSN":"01121642","PMID":"23821469","abstract":"It has been suggested that deep squats could cause an increased injury risk of the lumbar spine and the knee joints. Avoiding deep flexion has been recommended to minimize the magnitude of knee-joint forces. Unfortunately this suggestion has not taken the influence of the wrapping effect, functional adaptations and soft tissue contact between the back of thigh and calf into account. The aim of this literature review is to assess whether squats with less knee flexion (half/quarter squats) are safer on the musculoskeletal system than deep squats. A search of relevant scientific publications was conducted between March 2011 and January 2013 using PubMed. Over 164 articles were included in the review. There are no realistic estimations of knee-joint forces for knee-flexion angles beyond 50 degrees in the deep squat. Based on biomechanical calculations and measurements of cadaver knee joints, the highest retropatellar compressive forces and stresses can be seen at 90 degrees . With increasing flexion, the wrapping effect contributes to an enhanced load distribution and enhanced force transfer with lower retropatellar compressive forces. Additionally, with further flexion of the knee joint a cranial displacement of facet contact areas with continuous enlargement of the retropatellar articulating surface occurs. Both lead to lower retropatellar compressive stresses. Menisci and cartilage, ligaments and bones are susceptible to anabolic metabolic processes and functional structural adaptations in response to increased activity and mechanical influences. Concerns about degenerative changes of the tendofemoral complex and the apparent higher risk for chondromalacia, osteoarthritis, and osteochondritis in deep squats are unfounded. With the same load configuration as in the deep squat, half and quarter squat training with comparatively supra-maximal loads will favour degenerative changes in the knee joints and spinal joints in the long term. Provided that technique is learned accurately under expert supervision and with progressive training loads, the deep squat presents an effective training exercise for protection against injuries and strengthening of the lower extremity. Contrary to commonly voiced concern, deep squats do not contribute increased risk of injury to passive tissues.","author":[{"dropping-particle":"","family":"Hartmann","given":"Hagen","non-dropping-particle":"","parse-names":false,"suffix":""},{"dropping-particle":"","family":"Wirth","given":"Klaus","non-dropping-particle":"","parse-names":false,"suffix":""},{"dropping-particle":"","family":"Klusemann","given":"Markus","non-dropping-particle":"","parse-names":false,"suffix":""}],"container-title":"Sports Medicine","id":"ITEM-1","issue":"10","issued":{"date-parts":[["2013"]]},"page":"993-1008","title":"Analysis of the load on the knee joint and vertebral column with changes in squatting depth and weight load","type":"article-journal","volume":"43"},"uris":["http://www.mendeley.com/documents/?uuid=d9e302d5-9518-4dc5-913e-c7d83dbbb71f"]}],"mendeley":{"formattedCitation":"(Hartmann et al., 2013)","plainTextFormattedCitation":"(Hartmann et al., 2013)","previouslyFormattedCitation":"(Hartmann et al., 2013)"},"properties":{"noteIndex":0},"schema":"https://github.com/citation-style-language/schema/raw/master/csl-citation.json"}</w:instrText>
      </w:r>
      <w:r w:rsidRPr="0021030B">
        <w:rPr>
          <w:rFonts w:cs="Times New Roman"/>
          <w:szCs w:val="24"/>
          <w:lang w:val="en-US"/>
        </w:rPr>
        <w:fldChar w:fldCharType="separate"/>
      </w:r>
      <w:r w:rsidR="00E42B44" w:rsidRPr="0021030B">
        <w:rPr>
          <w:rFonts w:cs="Times New Roman"/>
          <w:noProof/>
          <w:szCs w:val="24"/>
          <w:lang w:val="en-US"/>
        </w:rPr>
        <w:t>(Hartmann et al., 2013)</w:t>
      </w:r>
      <w:r w:rsidRPr="0021030B">
        <w:rPr>
          <w:rFonts w:cs="Times New Roman"/>
          <w:szCs w:val="24"/>
          <w:lang w:val="en-US"/>
        </w:rPr>
        <w:fldChar w:fldCharType="end"/>
      </w:r>
      <w:r w:rsidRPr="0021030B">
        <w:rPr>
          <w:rFonts w:cs="Times New Roman"/>
          <w:szCs w:val="24"/>
          <w:lang w:val="en-US"/>
        </w:rPr>
        <w:t>.</w:t>
      </w:r>
    </w:p>
    <w:p w14:paraId="7F3DF5DF" w14:textId="5AE46DDB" w:rsidR="00CA6632" w:rsidRPr="0021030B" w:rsidRDefault="00CA6632" w:rsidP="00CA6632">
      <w:pPr>
        <w:pStyle w:val="ListParagraph"/>
        <w:numPr>
          <w:ilvl w:val="0"/>
          <w:numId w:val="2"/>
        </w:numPr>
        <w:autoSpaceDE w:val="0"/>
        <w:autoSpaceDN w:val="0"/>
        <w:adjustRightInd w:val="0"/>
        <w:spacing w:line="480" w:lineRule="auto"/>
        <w:jc w:val="both"/>
        <w:rPr>
          <w:rFonts w:cs="Times New Roman"/>
          <w:szCs w:val="24"/>
          <w:lang w:val="en-US"/>
        </w:rPr>
      </w:pPr>
      <w:r w:rsidRPr="0021030B">
        <w:rPr>
          <w:rFonts w:cs="Times New Roman"/>
          <w:szCs w:val="24"/>
          <w:lang w:val="en-US"/>
        </w:rPr>
        <w:t xml:space="preserve">Parallel squat (P-SQ): descent until the inguinal crease was in projection with the top of the knee </w:t>
      </w:r>
      <w:r w:rsidRPr="0021030B">
        <w:rPr>
          <w:rFonts w:cs="Times New Roman"/>
          <w:szCs w:val="24"/>
          <w:lang w:val="en-US"/>
        </w:rPr>
        <w:fldChar w:fldCharType="begin" w:fldLock="1"/>
      </w:r>
      <w:r w:rsidR="00E42B44" w:rsidRPr="0021030B">
        <w:rPr>
          <w:rFonts w:cs="Times New Roman"/>
          <w:szCs w:val="24"/>
          <w:lang w:val="en-US"/>
        </w:rPr>
        <w:instrText>ADDIN CSL_CITATION {"citationItems":[{"id":"ITEM-1","itemData":{"DOI":"10.1097/00005768-199602000-00010","ISSN":"0195-9131","author":[{"dropping-particle":"","family":"Wretenberg","given":"P","non-dropping-particle":"","parse-names":false,"suffix":""},{"dropping-particle":"","family":"Feng","given":"Y","non-dropping-particle":"","parse-names":false,"suffix":""},{"dropping-particle":"","family":"Arborelius","given":"U P","non-dropping-particle":"","parse-names":false,"suffix":""}],"container-title":"Medicine and Science in Sports and Exercise","id":"ITEM-1","issue":"2","issued":{"date-parts":[["1996"]]},"page":"218-224","title":"High- and low-bar squatting techniques during weight-training","type":"article-journal","volume":"28"},"uris":["http://www.mendeley.com/documents/?uuid=2a3ae446-f692-4f99-affe-c260b7c59597","http://www.mendeley.com/documents/?uuid=2f68fdea-f08d-4f70-b63d-51ffe3074c4d","http://www.mendeley.com/documents/?uuid=ec1b9326-81d5-43f9-952b-4c5ab659f8da","http://www.mendeley.com/documents/?uuid=53c9b779-4ed7-4a15-918f-e6a029d39112","http://www.mendeley.com/documents/?uuid=7d8b351f-e892-4441-901f-f920a457820a"]},{"id":"ITEM-2","itemData":{"DOI":"10.1007/s40279-013-0073-6","ISBN":"1179-2035 (Electronic)\\r0112-1642 (Linking)","ISSN":"01121642","PMID":"23821469","abstract":"It has been suggested that deep squats could cause an increased injury risk of the lumbar spine and the knee joints. Avoiding deep flexion has been recommended to minimize the magnitude of knee-joint forces. Unfortunately this suggestion has not taken the influence of the wrapping effect, functional adaptations and soft tissue contact between the back of thigh and calf into account. The aim of this literature review is to assess whether squats with less knee flexion (half/quarter squats) are safer on the musculoskeletal system than deep squats. A search of relevant scientific publications was conducted between March 2011 and January 2013 using PubMed. Over 164 articles were included in the review. There are no realistic estimations of knee-joint forces for knee-flexion angles beyond 50 degrees in the deep squat. Based on biomechanical calculations and measurements of cadaver knee joints, the highest retropatellar compressive forces and stresses can be seen at 90 degrees . With increasing flexion, the wrapping effect contributes to an enhanced load distribution and enhanced force transfer with lower retropatellar compressive forces. Additionally, with further flexion of the knee joint a cranial displacement of facet contact areas with continuous enlargement of the retropatellar articulating surface occurs. Both lead to lower retropatellar compressive stresses. Menisci and cartilage, ligaments and bones are susceptible to anabolic metabolic processes and functional structural adaptations in response to increased activity and mechanical influences. Concerns about degenerative changes of the tendofemoral complex and the apparent higher risk for chondromalacia, osteoarthritis, and osteochondritis in deep squats are unfounded. With the same load configuration as in the deep squat, half and quarter squat training with comparatively supra-maximal loads will favour degenerative changes in the knee joints and spinal joints in the long term. Provided that technique is learned accurately under expert supervision and with progressive training loads, the deep squat presents an effective training exercise for protection against injuries and strengthening of the lower extremity. Contrary to commonly voiced concern, deep squats do not contribute increased risk of injury to passive tissues.","author":[{"dropping-particle":"","family":"Hartmann","given":"Hagen","non-dropping-particle":"","parse-names":false,"suffix":""},{"dropping-particle":"","family":"Wirth","given":"Klaus","non-dropping-particle":"","parse-names":false,"suffix":""},{"dropping-particle":"","family":"Klusemann","given":"Markus","non-dropping-particle":"","parse-names":false,"suffix":""}],"container-title":"Sports Medicine","id":"ITEM-2","issue":"10","issued":{"date-parts":[["2013"]]},"page":"993-1008","title":"Analysis of the load on the knee joint and vertebral column with changes in squatting depth and weight load","type":"article-journal","volume":"43"},"uris":["http://www.mendeley.com/documents/?uuid=d9e302d5-9518-4dc5-913e-c7d83dbbb71f"]}],"mendeley":{"formattedCitation":"(Hartmann et al., 2013; Wretenberg et al., 1996)","plainTextFormattedCitation":"(Hartmann et al., 2013; Wretenberg et al., 1996)","previouslyFormattedCitation":"(Hartmann et al., 2013; Wretenberg et al., 1996)"},"properties":{"noteIndex":0},"schema":"https://github.com/citation-style-language/schema/raw/master/csl-citation.json"}</w:instrText>
      </w:r>
      <w:r w:rsidRPr="0021030B">
        <w:rPr>
          <w:rFonts w:cs="Times New Roman"/>
          <w:szCs w:val="24"/>
          <w:lang w:val="en-US"/>
        </w:rPr>
        <w:fldChar w:fldCharType="separate"/>
      </w:r>
      <w:r w:rsidR="00E42B44" w:rsidRPr="0021030B">
        <w:rPr>
          <w:rFonts w:cs="Times New Roman"/>
          <w:noProof/>
          <w:szCs w:val="24"/>
          <w:lang w:val="en-US"/>
        </w:rPr>
        <w:t>(Hartmann et al., 2013; Wretenberg et al., 1996)</w:t>
      </w:r>
      <w:r w:rsidRPr="0021030B">
        <w:rPr>
          <w:rFonts w:cs="Times New Roman"/>
          <w:szCs w:val="24"/>
          <w:lang w:val="en-US"/>
        </w:rPr>
        <w:fldChar w:fldCharType="end"/>
      </w:r>
      <w:r w:rsidRPr="0021030B">
        <w:rPr>
          <w:rFonts w:cs="Times New Roman"/>
          <w:szCs w:val="24"/>
          <w:lang w:val="en-US"/>
        </w:rPr>
        <w:t xml:space="preserve">. </w:t>
      </w:r>
    </w:p>
    <w:p w14:paraId="77C6E323" w14:textId="0574F9CF" w:rsidR="009B55C8" w:rsidRPr="0021030B" w:rsidRDefault="00CA6632" w:rsidP="009B55C8">
      <w:pPr>
        <w:pStyle w:val="ListParagraph"/>
        <w:numPr>
          <w:ilvl w:val="0"/>
          <w:numId w:val="2"/>
        </w:numPr>
        <w:autoSpaceDE w:val="0"/>
        <w:autoSpaceDN w:val="0"/>
        <w:adjustRightInd w:val="0"/>
        <w:spacing w:line="480" w:lineRule="auto"/>
        <w:jc w:val="both"/>
        <w:rPr>
          <w:rFonts w:cs="Times New Roman"/>
          <w:szCs w:val="24"/>
          <w:lang w:val="en-US"/>
        </w:rPr>
      </w:pPr>
      <w:r w:rsidRPr="0021030B">
        <w:rPr>
          <w:rFonts w:cs="Times New Roman"/>
          <w:szCs w:val="24"/>
          <w:lang w:val="en-US"/>
        </w:rPr>
        <w:t xml:space="preserve">Full squat (F-SQ): descent until the first of these two criteria was met: i) when posterior thighs and calves made contact with each other, or ii) when the lumbar spine angle was equal to 0º </w:t>
      </w:r>
      <w:r w:rsidRPr="0021030B">
        <w:rPr>
          <w:rFonts w:cs="Times New Roman"/>
          <w:szCs w:val="24"/>
          <w:lang w:val="en-US"/>
        </w:rPr>
        <w:fldChar w:fldCharType="begin" w:fldLock="1"/>
      </w:r>
      <w:r w:rsidR="00E42B44" w:rsidRPr="0021030B">
        <w:rPr>
          <w:rFonts w:cs="Times New Roman"/>
          <w:szCs w:val="24"/>
          <w:lang w:val="en-US"/>
        </w:rPr>
        <w:instrText>ADDIN CSL_CITATION {"citationItems":[{"id":"ITEM-1","itemData":{"DOI":"10.1080/02640414.2018.1544187","ISBN":"1466-447X (Electronic) 0264-0414 (Linking)","ISSN":"0264-0414","PMID":"30426840","abstract":"This study aimed to compare the load-velocity and load-power relationships of three common variations of the squat exercise. 52 strength-trained males performed a progressive loading test up to the one-repetition maximum (1RM) in the full (F-SQ), parallel (P-SQ) and half (H-SQ) squat, conducted in random order on separate days. Bar velocity and vertical force were measured by means of a linear velocity transducer time-synchronized with a force platform. The relative load that maximized power output (Pmax) was analyzed using three outcome measures: mean concentric (MP), mean propulsive (MPP) and peak power (PP), while also including or excluding body mass in force calculations. 1RM was significantly different between exercises. Load-velocity and load-power relationships were significantly different between the F-SQ, P-SQ and H-SQ variations. Close relationships (R2 = 0.92-0.96) between load (%1RM) and bar velocity were found and they were specific for each squat variation, with faster velocities the greater the squat depth. Unlike the F-SQ and P-SQ, no sticking region was observed for the H-SQ when lifting high loads. The Pmax corresponded to a broad load range and was greatly influenced by how force output is calculated (including or excluding body mass) as well as the exact outcome variable used (MP, MPP, PP).","author":[{"dropping-particle":"","family":"Martínez-Cava","given":"Alejandro","non-dropping-particle":"","parse-names":false,"suffix":""},{"dropping-particle":"","family":"Morán-Navarro","given":"Ricardo","non-dropping-particle":"","parse-names":false,"suffix":""},{"dropping-particle":"","family":"Sánchez-Medina","given":"Luis","non-dropping-particle":"","parse-names":false,"suffix":""},{"dropping-particle":"","family":"González-Badillo","given":"Juan José","non-dropping-particle":"","parse-names":false,"suffix":""},{"dropping-particle":"","family":"Pallarés","given":"Jesús G.","non-dropping-particle":"","parse-names":false,"suffix":""}],"container-title":"Journal of Sports Sciences","id":"ITEM-1","issued":{"date-parts":[["2018"]]},"page":"1-9","title":"Velocity- and power-load relationships in the half, parallel and full back squat","type":"article-journal"},"uris":["http://www.mendeley.com/documents/?uuid=537000b3-bec2-46a1-853d-7888a95caf4f","http://www.mendeley.com/documents/?uuid=05a3228f-b4c3-4140-a84c-c87360b70550"]}],"mendeley":{"formattedCitation":"(Martínez-Cava et al., 2018)","plainTextFormattedCitation":"(Martínez-Cava et al., 2018)","previouslyFormattedCitation":"(Martínez-Cava et al., 2018)"},"properties":{"noteIndex":0},"schema":"https://github.com/citation-style-language/schema/raw/master/csl-citation.json"}</w:instrText>
      </w:r>
      <w:r w:rsidRPr="0021030B">
        <w:rPr>
          <w:rFonts w:cs="Times New Roman"/>
          <w:szCs w:val="24"/>
          <w:lang w:val="en-US"/>
        </w:rPr>
        <w:fldChar w:fldCharType="separate"/>
      </w:r>
      <w:r w:rsidR="00E42B44" w:rsidRPr="0021030B">
        <w:rPr>
          <w:rFonts w:cs="Times New Roman"/>
          <w:noProof/>
          <w:szCs w:val="24"/>
          <w:lang w:val="en-US"/>
        </w:rPr>
        <w:t>(Martínez-Cava et al., 2018)</w:t>
      </w:r>
      <w:r w:rsidRPr="0021030B">
        <w:rPr>
          <w:rFonts w:cs="Times New Roman"/>
          <w:szCs w:val="24"/>
          <w:lang w:val="en-US"/>
        </w:rPr>
        <w:fldChar w:fldCharType="end"/>
      </w:r>
      <w:r w:rsidRPr="0021030B">
        <w:rPr>
          <w:rFonts w:cs="Times New Roman"/>
          <w:szCs w:val="24"/>
          <w:lang w:val="en-US"/>
        </w:rPr>
        <w:t xml:space="preserve">. </w:t>
      </w:r>
    </w:p>
    <w:p w14:paraId="4E82CC6E" w14:textId="0FA242A4" w:rsidR="00CA6632" w:rsidRPr="0021030B" w:rsidRDefault="00CA6632" w:rsidP="00CA6632">
      <w:pPr>
        <w:autoSpaceDE w:val="0"/>
        <w:autoSpaceDN w:val="0"/>
        <w:adjustRightInd w:val="0"/>
        <w:spacing w:line="480" w:lineRule="auto"/>
        <w:ind w:firstLine="360"/>
        <w:jc w:val="both"/>
        <w:rPr>
          <w:rFonts w:cs="Times New Roman"/>
          <w:szCs w:val="24"/>
          <w:lang w:val="en-US"/>
        </w:rPr>
      </w:pPr>
      <w:r w:rsidRPr="0021030B">
        <w:rPr>
          <w:rFonts w:cs="Times New Roman"/>
          <w:szCs w:val="24"/>
          <w:lang w:val="en-US"/>
        </w:rPr>
        <w:t>The spinal curvature in the sagittal plane for the F-SQ starting position was determined using the Spinal Mouse system (Idiag, Volketswil, Switzerland)</w:t>
      </w:r>
      <w:r w:rsidR="00FE04C6" w:rsidRPr="0021030B">
        <w:rPr>
          <w:rFonts w:cs="Times New Roman"/>
          <w:szCs w:val="24"/>
          <w:lang w:val="en-US"/>
        </w:rPr>
        <w:t xml:space="preserve"> </w:t>
      </w:r>
      <w:r w:rsidR="009E2916" w:rsidRPr="0021030B">
        <w:rPr>
          <w:rFonts w:cs="Times New Roman"/>
          <w:szCs w:val="24"/>
          <w:lang w:val="en-US"/>
        </w:rPr>
        <w:fldChar w:fldCharType="begin" w:fldLock="1"/>
      </w:r>
      <w:r w:rsidR="00E42B44" w:rsidRPr="0021030B">
        <w:rPr>
          <w:rFonts w:cs="Times New Roman"/>
          <w:szCs w:val="24"/>
          <w:lang w:val="en-US"/>
        </w:rPr>
        <w:instrText>ADDIN CSL_CITATION {"citationItems":[{"id":"ITEM-1","itemData":{"DOI":"10.1016/j.annrmp.2006.03.001","ISBN":"0168-6054","ISSN":"01686054","PMID":"16630669","abstract":"Objectives: To evaluate the validity and reliability of the Spinal Mouse®model to assess lumbar spine flexion. Material and methods: For the validity study, patients with low-back pain underwent radiography to produce 2 lateral radiographs, first from the neutral position, and then with full trunk flexion. The correlation between mobility as assessed by radiography and the Spinal Mouse®were evaluated by use of Spearman's correlation coefficient (SCC) for segmental mobility (L1-L2, L2-L3, L3-L4, L4-L5 and L5-S1) and global mobility (L1-L5 and L1-S1). Reliability was studied in healthy volunteers by the intraclass correlation coefficient (ICC). Results: A total of 20 patients (8 women) aged 41.6 ± 8.6 (range 24-63), were included in the validity study. The SCC between radiography and Spinal Mouse®measures were 0.55; 0.64; 0.69; 0.54; 0.19; 0.7; and 0.86 for flexion mobility of the L1-L2, L2-L3, L3-L4, L4-L5, L5-S1, L1-L5 and L1-S1, respectively. A total of 45 subjects aged 24.2 ± 3.7 (range 20-29) were included for the reliability study. For intrarater reliability, the ICC was 0.84; 0.89; 0.96; 0.97; 0.63; 0.95 and 0.83 for the L1-L2, L2-L3, L3-L4, L4-L5, L5-S1, L5-S1, L1-L5 and L1-S1, respectively. For interrater reliability, the ICC was 0.75; 0.81; 0.79; 0.60; 0.83; 0.85, respectively. Conclusion: The Spinal Mouse®has acceptable metrological properties to assess segmental and global lumbar mobility during trunk flexion. Its metrological properties are not acceptable to assess mobility of L5-S1. © 2006 Elsevier SAS. All rights reserved.","author":[{"dropping-particle":"","family":"Guermazi","given":"M.","non-dropping-particle":"","parse-names":false,"suffix":""},{"dropping-particle":"","family":"Ghroubi","given":"S.","non-dropping-particle":"","parse-names":false,"suffix":""},{"dropping-particle":"","family":"Kassis","given":"M.","non-dropping-particle":"","parse-names":false,"suffix":""},{"dropping-particle":"","family":"Jaziri","given":"O.","non-dropping-particle":"","parse-names":false,"suffix":""},{"dropping-particle":"","family":"Keskes","given":"H.","non-dropping-particle":"","parse-names":false,"suffix":""},{"dropping-particle":"","family":"Kessomtini","given":"W.","non-dropping-particle":"","parse-names":false,"suffix":""},{"dropping-particle":"","family":"Hammouda","given":"I.","non-dropping-particle":"Ben","parse-names":false,"suffix":""},{"dropping-particle":"","family":"Elleuch","given":"M. H.","non-dropping-particle":"","parse-names":false,"suffix":""}],"container-title":"Annales de Readaptation et de Medecine Physique","id":"ITEM-1","issue":"4","issued":{"date-parts":[["2006","5","1"]]},"page":"172-177","publisher":"Elsevier Masson","title":"Validity and reliability of Spinal Mouse® to assess lumbar flexion","type":"article-journal","volume":"49"},"uris":["http://www.mendeley.com/documents/?uuid=976e4a4c-ffb8-3d92-8174-907c909c8054"]}],"mendeley":{"formattedCitation":"(Guermazi et al., 2006)","plainTextFormattedCitation":"(Guermazi et al., 2006)","previouslyFormattedCitation":"(Guermazi et al., 2006)"},"properties":{"noteIndex":0},"schema":"https://github.com/citation-style-language/schema/raw/master/csl-citation.json"}</w:instrText>
      </w:r>
      <w:r w:rsidR="009E2916" w:rsidRPr="0021030B">
        <w:rPr>
          <w:rFonts w:cs="Times New Roman"/>
          <w:szCs w:val="24"/>
          <w:lang w:val="en-US"/>
        </w:rPr>
        <w:fldChar w:fldCharType="separate"/>
      </w:r>
      <w:r w:rsidR="00E42B44" w:rsidRPr="0021030B">
        <w:rPr>
          <w:rFonts w:cs="Times New Roman"/>
          <w:noProof/>
          <w:szCs w:val="24"/>
          <w:lang w:val="en-US"/>
        </w:rPr>
        <w:t>(Guermazi et al., 2006)</w:t>
      </w:r>
      <w:r w:rsidR="009E2916" w:rsidRPr="0021030B">
        <w:rPr>
          <w:rFonts w:cs="Times New Roman"/>
          <w:szCs w:val="24"/>
          <w:lang w:val="en-US"/>
        </w:rPr>
        <w:fldChar w:fldCharType="end"/>
      </w:r>
      <w:r w:rsidRPr="0021030B">
        <w:rPr>
          <w:rFonts w:cs="Times New Roman"/>
          <w:szCs w:val="24"/>
          <w:lang w:val="en-US"/>
        </w:rPr>
        <w:t xml:space="preserve">. Measurements from the angle between the spinous process of C7 and the top of the anal crease (approximately at S3) were evaluated to control that each lift was made to avoid lumbar spine angle &gt; 0º </w:t>
      </w:r>
      <w:r w:rsidRPr="0021030B">
        <w:rPr>
          <w:rFonts w:cs="Times New Roman"/>
          <w:szCs w:val="24"/>
          <w:lang w:val="en-US"/>
        </w:rPr>
        <w:fldChar w:fldCharType="begin" w:fldLock="1"/>
      </w:r>
      <w:r w:rsidR="00E42B44" w:rsidRPr="0021030B">
        <w:rPr>
          <w:rFonts w:cs="Times New Roman"/>
          <w:szCs w:val="24"/>
          <w:lang w:val="en-US"/>
        </w:rPr>
        <w:instrText>ADDIN CSL_CITATION {"citationItems":[{"id":"ITEM-1","itemData":{"DOI":"10.1080/02640414.2018.1544187","ISBN":"1466-447X (Electronic) 0264-0414 (Linking)","ISSN":"0264-0414","PMID":"30426840","abstract":"This study aimed to compare the load-velocity and load-power relationships of three common variations of the squat exercise. 52 strength-trained males performed a progressive loading test up to the one-repetition maximum (1RM) in the full (F-SQ), parallel (P-SQ) and half (H-SQ) squat, conducted in random order on separate days. Bar velocity and vertical force were measured by means of a linear velocity transducer time-synchronized with a force platform. The relative load that maximized power output (Pmax) was analyzed using three outcome measures: mean concentric (MP), mean propulsive (MPP) and peak power (PP), while also including or excluding body mass in force calculations. 1RM was significantly different between exercises. Load-velocity and load-power relationships were significantly different between the F-SQ, P-SQ and H-SQ variations. Close relationships (R2 = 0.92-0.96) between load (%1RM) and bar velocity were found and they were specific for each squat variation, with faster velocities the greater the squat depth. Unlike the F-SQ and P-SQ, no sticking region was observed for the H-SQ when lifting high loads. The Pmax corresponded to a broad load range and was greatly influenced by how force output is calculated (including or excluding body mass) as well as the exact outcome variable used (MP, MPP, PP).","author":[{"dropping-particle":"","family":"Martínez-Cava","given":"Alejandro","non-dropping-particle":"","parse-names":false,"suffix":""},{"dropping-particle":"","family":"Morán-Navarro","given":"Ricardo","non-dropping-particle":"","parse-names":false,"suffix":""},{"dropping-particle":"","family":"Sánchez-Medina","given":"Luis","non-dropping-particle":"","parse-names":false,"suffix":""},{"dropping-particle":"","family":"González-Badillo","given":"Juan José","non-dropping-particle":"","parse-names":false,"suffix":""},{"dropping-particle":"","family":"Pallarés","given":"Jesús G.","non-dropping-particle":"","parse-names":false,"suffix":""}],"container-title":"Journal of Sports Sciences","id":"ITEM-1","issued":{"date-parts":[["2018"]]},"page":"1-9","title":"Velocity- and power-load relationships in the half, parallel and full back squat","type":"article-journal"},"uris":["http://www.mendeley.com/documents/?uuid=05a3228f-b4c3-4140-a84c-c87360b70550","http://www.mendeley.com/documents/?uuid=537000b3-bec2-46a1-853d-7888a95caf4f"]}],"mendeley":{"formattedCitation":"(Martínez-Cava et al., 2018)","plainTextFormattedCitation":"(Martínez-Cava et al., 2018)","previouslyFormattedCitation":"(Martínez-Cava et al., 2018)"},"properties":{"noteIndex":0},"schema":"https://github.com/citation-style-language/schema/raw/master/csl-citation.json"}</w:instrText>
      </w:r>
      <w:r w:rsidRPr="0021030B">
        <w:rPr>
          <w:rFonts w:cs="Times New Roman"/>
          <w:szCs w:val="24"/>
          <w:lang w:val="en-US"/>
        </w:rPr>
        <w:fldChar w:fldCharType="separate"/>
      </w:r>
      <w:r w:rsidR="00E42B44" w:rsidRPr="0021030B">
        <w:rPr>
          <w:rFonts w:cs="Times New Roman"/>
          <w:noProof/>
          <w:szCs w:val="24"/>
          <w:lang w:val="en-US"/>
        </w:rPr>
        <w:t>(Martínez-Cava et al., 2018)</w:t>
      </w:r>
      <w:r w:rsidRPr="0021030B">
        <w:rPr>
          <w:rFonts w:cs="Times New Roman"/>
          <w:szCs w:val="24"/>
          <w:lang w:val="en-US"/>
        </w:rPr>
        <w:fldChar w:fldCharType="end"/>
      </w:r>
      <w:r w:rsidRPr="0021030B">
        <w:rPr>
          <w:rFonts w:cs="Times New Roman"/>
          <w:szCs w:val="24"/>
          <w:lang w:val="en-US"/>
        </w:rPr>
        <w:t>.</w:t>
      </w:r>
    </w:p>
    <w:p w14:paraId="50ECF49E" w14:textId="7716A746" w:rsidR="00FA3B2D" w:rsidRPr="0021030B" w:rsidRDefault="00FA3B2D" w:rsidP="00FA3B2D">
      <w:pPr>
        <w:autoSpaceDE w:val="0"/>
        <w:autoSpaceDN w:val="0"/>
        <w:adjustRightInd w:val="0"/>
        <w:spacing w:line="480" w:lineRule="auto"/>
        <w:ind w:firstLine="360"/>
        <w:jc w:val="both"/>
        <w:rPr>
          <w:rFonts w:cs="Times New Roman"/>
          <w:szCs w:val="24"/>
        </w:rPr>
      </w:pPr>
      <w:r w:rsidRPr="0021030B">
        <w:rPr>
          <w:rFonts w:cs="Times New Roman"/>
          <w:szCs w:val="24"/>
          <w:lang w:val="en-US"/>
        </w:rPr>
        <w:t>Individual’s ROM for the three squat variations was carefully determined during the first familiarization session, and subsequently replicated in each training and testing session with the help of two bar spotters placed at the left and right sides of the Smith machine with a precision scale (±1 cm)</w:t>
      </w:r>
      <w:r w:rsidRPr="0021030B">
        <w:rPr>
          <w:rFonts w:cs="Times New Roman"/>
          <w:szCs w:val="24"/>
          <w:lang w:val="en-GB"/>
        </w:rPr>
        <w:t xml:space="preserve"> </w:t>
      </w:r>
      <w:r w:rsidRPr="0021030B">
        <w:rPr>
          <w:rFonts w:cs="Times New Roman"/>
          <w:szCs w:val="24"/>
        </w:rPr>
        <w:fldChar w:fldCharType="begin" w:fldLock="1"/>
      </w:r>
      <w:r w:rsidRPr="0021030B">
        <w:rPr>
          <w:rFonts w:cs="Times New Roman"/>
          <w:szCs w:val="24"/>
          <w:lang w:val="en-US"/>
        </w:rPr>
        <w:instrText>ADDIN CSL_CITATION {"citationItems":[{"id":"ITEM-1","itemData":{"DOI":"10.1080/02640414.2018.1544187","ISBN":"1466-447X (Electronic) 0264-0414 (Linking)","ISSN":"0264-0414","PMID":"30426840","abstract":"This study aimed to compare the load-velocity and load-power relationships of three common variations of the squat exercise. 52 strength-trained males performed a progressive loading test up to the one-repetition maximum (1RM) in the full (F-SQ), parallel (P-SQ) and half (H-SQ) squat, conducted in random order on separate days. Bar velocity and vertical force were measured by means of a linear velocity transducer time-synchronized with a force platform. The relative load that maximized power output (Pmax) was analyzed using three outcome measures: mean concentric (MP), mean propulsive (MPP) and peak power (PP), while also including or excluding body mass in force calculations. 1RM was significantly different between exercises. Load-velocity and load-power relationships were significantly different between the F-SQ, P-SQ and H-SQ variations. Close relationships (R2 = 0.92-0.96) between load (%1RM) and bar velocity were found and they were specific for each squat variation, with faster velocities the greater the squat depth. Unlike the F-SQ and P-SQ, no sticking region was observed for the H-SQ when lifting high loads. The Pmax corresponded to a broad load range and was greatly influenced by how force output is calculated (including or excluding body mass) as well as the exact outcome variable used (MP, MPP, PP).","author":[{"dropping-particle":"","family":"Martínez-Cava","given":"Alejandro","non-dropping-particle":"","parse-names":false,"suffix":""},{"dropping-particle":"","family":"Morán-Navarro","given":"Ricardo","non-dropping-particle":"","parse-names":false,"suffix":""},{"dropping-particle":"","family":"Sánchez-Medina","given":"Luis","non-dropping-particle":"","parse-names":false,"suffix":""},{"dropping-particle":"","family":"González-Badillo","given":"Juan José","non-dropping-particle":"","parse-names":false,"suffix":""},{"dropping-particle":"","family":"Pallarés","given":"Jesús G.","non-dropping-particle":"","parse-names":false,"suffix":""}],"container-title":"Journal of Sports Sciences","id":"ITEM-1","issued":{"date-parts":[["2018"]]},"page":"1-9","title":"Velocity- and power-load relationships in the half, parallel and full back squat","type":"article-journal"},"uris":["http://www.mendeley.com/documents/?uuid=05a3228f-b4c3-4140-a84c-c87360b70550","http://www.mendeley.com/documents/?uuid=537000b3-bec2-46a1-853d-7888a95caf4f"]}],"mendeley":{"formattedCitation":"(Martínez-Cava et al., 2018)","plainTextFormattedCitation":"(Martínez-Cava et al., 2018)","previouslyFormattedCitation":"(Martínez-Cava et al., 2018)"},"properties":{"noteIndex":0},"schema":"https://github.com/citation-style-language/schema/raw/master/csl-citation.json"}</w:instrText>
      </w:r>
      <w:r w:rsidRPr="0021030B">
        <w:rPr>
          <w:rFonts w:cs="Times New Roman"/>
          <w:szCs w:val="24"/>
          <w:lang w:val="en-US"/>
        </w:rPr>
        <w:fldChar w:fldCharType="separate"/>
      </w:r>
      <w:r w:rsidRPr="0021030B">
        <w:rPr>
          <w:rFonts w:cs="Times New Roman"/>
          <w:noProof/>
          <w:szCs w:val="24"/>
          <w:lang w:val="en-US"/>
        </w:rPr>
        <w:t>(Martínez-Cava et al., 2018)</w:t>
      </w:r>
      <w:r w:rsidRPr="0021030B">
        <w:rPr>
          <w:rFonts w:cs="Times New Roman"/>
          <w:szCs w:val="24"/>
        </w:rPr>
        <w:fldChar w:fldCharType="end"/>
      </w:r>
      <w:r w:rsidRPr="0021030B">
        <w:rPr>
          <w:rFonts w:cs="Times New Roman"/>
          <w:szCs w:val="24"/>
          <w:lang w:val="en-US"/>
        </w:rPr>
        <w:t xml:space="preserve">. This was designed to: i) precisely control and replicate the individual eccentric ROM between trials, and ii) allow participants to momentarily release the weight of the bar in the spotters for 2 s, and therefore minimize the contribution of the stretch-shortening cycle (i.e., rebound effect), </w:t>
      </w:r>
      <w:r w:rsidRPr="0021030B">
        <w:rPr>
          <w:rFonts w:cs="Times New Roman"/>
          <w:szCs w:val="24"/>
          <w:lang w:val="en-US"/>
        </w:rPr>
        <w:lastRenderedPageBreak/>
        <w:t xml:space="preserve">thus increasing the reliability of the measures </w:t>
      </w:r>
      <w:r w:rsidRPr="0021030B">
        <w:rPr>
          <w:rFonts w:cs="Times New Roman"/>
          <w:szCs w:val="24"/>
        </w:rPr>
        <w:fldChar w:fldCharType="begin" w:fldLock="1"/>
      </w:r>
      <w:r w:rsidR="00433385" w:rsidRPr="0021030B">
        <w:rPr>
          <w:rFonts w:cs="Times New Roman"/>
          <w:szCs w:val="24"/>
          <w:lang w:val="en-US"/>
        </w:rPr>
        <w:instrText>ADDIN CSL_CITATION {"citationItems":[{"id":"ITEM-1","itemData":{"DOI":"10.1080/02640414.2014.889844","ISBN":"10.1080/02640414.2014.889844","ISSN":"1466447X","PMID":"24575723","abstract":"This study analysed the effect of imposing a pause between the eccentric and concentric phases on the biological within-subject variation of velocity- and power-load isoinertial assessments. Seventeen resistance-trained athletes undertook a progressive loading test in the bench press (BP) and squat (SQ) exercises. Two trials at each load up to the one-repetition maximum (1RM) were performed using 2 techniques executed in random order: with (stop) and without (standard) a 2-s pause between the eccentric and concentric phases of each repetition. The stop technique resulted in a significantly lower coefficient of variation for the whole load-velocity relationship compared to the standard one, in both BP (2.9% vs. 4.1%; P = 0.02) and SQ (2.9% vs. 3.9%; P = 0.01). Test-retest intraclass correlation coefficients (ICCs) were r = 0.61-0.98 for the standard and r = 0.76-0.98 for the stop technique. Bland-Altman analysis showed that the error associated with the standard technique was 37.9% (BP) and 57.5% higher (SQ) than that associated with the stop technique. The biological within-subject variation is significantly reduced when a pause is imposed between the eccentric and concentric phases. Other relevant variables associated to the load-velocity and load-power relationships such as the contribution of the propulsive phase and the load that maximises power output remained basically unchanged.","author":[{"dropping-particle":"","family":"Pallarés","given":"Jesús G.","non-dropping-particle":"","parse-names":false,"suffix":""},{"dropping-particle":"","family":"Sánchez-Medina","given":"Luis","non-dropping-particle":"","parse-names":false,"suffix":""},{"dropping-particle":"","family":"Pérez","given":"Carlos Esteban","non-dropping-particle":"","parse-names":false,"suffix":""},{"dropping-particle":"","family":"La Cruz-Sánchez","given":"Ernesto","non-dropping-particle":"De","parse-names":false,"suffix":""},{"dropping-particle":"","family":"Mora-Rodriguez","given":"Ricardo","non-dropping-particle":"","parse-names":false,"suffix":""}],"container-title":"Journal of Sports Sciences","id":"ITEM-1","issue":"12","issued":{"date-parts":[["2014","7","21"]]},"page":"1165-1175","publisher":"Routledge","title":"Imposing a pause between the eccentric and concentric phases increases the reliability of isoinertial strength assessments","type":"article-journal","volume":"32"},"uris":["http://www.mendeley.com/documents/?uuid=8bc678d8-0da7-4703-af54-b99425f3d494"]}],"mendeley":{"formattedCitation":"(Pallarés, Sánchez-Medina, Pérez, De La Cruz-Sánchez, &amp; Mora-Rodriguez, 2014)","plainTextFormattedCitation":"(Pallarés, Sánchez-Medina, Pérez, De La Cruz-Sánchez, &amp; Mora-Rodriguez, 2014)","previouslyFormattedCitation":"(Pallarés et al., 2014)"},"properties":{"noteIndex":0},"schema":"https://github.com/citation-style-language/schema/raw/master/csl-citation.json"}</w:instrText>
      </w:r>
      <w:r w:rsidRPr="0021030B">
        <w:rPr>
          <w:rFonts w:cs="Times New Roman"/>
          <w:szCs w:val="24"/>
          <w:lang w:val="en-US"/>
        </w:rPr>
        <w:fldChar w:fldCharType="separate"/>
      </w:r>
      <w:r w:rsidR="00433385" w:rsidRPr="0021030B">
        <w:rPr>
          <w:rFonts w:cs="Times New Roman"/>
          <w:noProof/>
          <w:szCs w:val="24"/>
        </w:rPr>
        <w:t>(Pallarés, Sánchez-Medina, Pérez, De La Cruz-Sánchez, &amp; Mora-Rodriguez, 2014)</w:t>
      </w:r>
      <w:r w:rsidRPr="0021030B">
        <w:rPr>
          <w:rFonts w:cs="Times New Roman"/>
          <w:szCs w:val="24"/>
        </w:rPr>
        <w:fldChar w:fldCharType="end"/>
      </w:r>
      <w:r w:rsidRPr="0021030B">
        <w:rPr>
          <w:rFonts w:cs="Times New Roman"/>
          <w:szCs w:val="24"/>
        </w:rPr>
        <w:t xml:space="preserve">. </w:t>
      </w:r>
    </w:p>
    <w:p w14:paraId="093C0C1F" w14:textId="2F1A9A83" w:rsidR="00245672" w:rsidRPr="0021030B" w:rsidRDefault="00245672" w:rsidP="00CA6632">
      <w:pPr>
        <w:autoSpaceDE w:val="0"/>
        <w:autoSpaceDN w:val="0"/>
        <w:adjustRightInd w:val="0"/>
        <w:spacing w:line="480" w:lineRule="auto"/>
        <w:ind w:firstLine="360"/>
        <w:jc w:val="both"/>
        <w:rPr>
          <w:rFonts w:cs="Times New Roman"/>
          <w:szCs w:val="24"/>
          <w:lang w:val="en-US"/>
        </w:rPr>
      </w:pPr>
      <w:r w:rsidRPr="0021030B">
        <w:rPr>
          <w:rFonts w:cs="Times New Roman"/>
          <w:szCs w:val="24"/>
          <w:lang w:val="en-US"/>
        </w:rPr>
        <w:t>Participants were required to perform the concentric phase in an explosive manner (at maximal intended velocity) and the eccentric phase at a controlled mean velocity of 0.45-0.65 m·s</w:t>
      </w:r>
      <w:r w:rsidRPr="0021030B">
        <w:rPr>
          <w:rFonts w:cs="Times New Roman"/>
          <w:szCs w:val="24"/>
          <w:vertAlign w:val="superscript"/>
          <w:lang w:val="en-US"/>
        </w:rPr>
        <w:t>-1</w:t>
      </w:r>
      <w:r w:rsidR="005F3D10" w:rsidRPr="0021030B">
        <w:rPr>
          <w:rFonts w:cs="Times New Roman"/>
          <w:szCs w:val="24"/>
          <w:vertAlign w:val="superscript"/>
          <w:lang w:val="en-US"/>
        </w:rPr>
        <w:t xml:space="preserve"> </w:t>
      </w:r>
      <w:r w:rsidR="005F3D10" w:rsidRPr="0021030B">
        <w:rPr>
          <w:rFonts w:cs="Times New Roman"/>
          <w:szCs w:val="24"/>
          <w:vertAlign w:val="superscript"/>
          <w:lang w:val="en-US"/>
        </w:rPr>
        <w:fldChar w:fldCharType="begin" w:fldLock="1"/>
      </w:r>
      <w:r w:rsidR="000F40EF" w:rsidRPr="0021030B">
        <w:rPr>
          <w:rFonts w:cs="Times New Roman"/>
          <w:szCs w:val="24"/>
          <w:vertAlign w:val="superscript"/>
          <w:lang w:val="en-US"/>
        </w:rPr>
        <w:instrText>ADDIN CSL_CITATION {"citationItems":[{"id":"ITEM-1","itemData":{"DOI":"10.1055/s-0033-1363985","ISSN":"0172-4622","PMID":"24886926","abstract":"This study aimed to compare the effect on neuromuscular performance of 2 isoinertial resistance training programs that differed only in actual repetition velocity: maximal intended (MaxV) vs. half-maximal (HalfV) concentric velocity. 21 resistance-trained young men were randomly assigned to a MaxV (n=10) or HalfV (n=11) group and trained for 6 weeks using the full squat exercise. A complementary study (n=8) described the acute metabolic and mechanical response to the protocols used. MaxV training resulted in a likely more beneficial effect than HalfV on squat performance: maximum strength (ES: 0.94 vs. 0.54), velocity developed against all (ES: 1.76 vs. 0.88), light (ES: 1.76 vs. 0.75) and heavy (ES: 2.03 vs. 1.64) loads common to pre- and post-tests, and CMJ height (ES: 0.63 vs. 0.15). The effect on 20-m sprint was unclear, however. Both groups attained the greatest improvements in squat performance at their training velocities. Movement velocity seemed to be of greater importance than time under tension for inducing strength adaptations. Slightly higher metabolic stress (blood lactate and ammonia) and CMJ height loss were found for MaxV vs. HalfV, while metabolite levels were low to moderate for both conditions. MaxV may provide a superior stimulus for inducing adaptations directed towards improving athletic performance.","author":[{"dropping-particle":"","family":"Pareja-Blanco","given":"Fernando","non-dropping-particle":"","parse-names":false,"suffix":""},{"dropping-particle":"","family":"Rodríguez-Rosell","given":"D.","non-dropping-particle":"","parse-names":false,"suffix":""},{"dropping-particle":"","family":"Sánchez-Medina","given":"Luis","non-dropping-particle":"","parse-names":false,"suffix":""},{"dropping-particle":"","family":"Gorostiaga","given":"E.","non-dropping-particle":"","parse-names":false,"suffix":""},{"dropping-particle":"","family":"González-Badillo","given":"Juan José","non-dropping-particle":"","parse-names":false,"suffix":""}],"container-title":"International Journal of Sports Medicine","id":"ITEM-1","issue":"11","issued":{"date-parts":[["2014","6","2"]]},"page":"916-924","title":"Effect of Movement Velocity during Resistance Training on Neuromuscular Performance","type":"article-journal","volume":"35"},"uris":["http://www.mendeley.com/documents/?uuid=5dee266d-5176-35c6-ba28-ec3471889768"]}],"mendeley":{"formattedCitation":"(Pareja-Blanco, Rodríguez-Rosell, Sánchez-Medina, Gorostiaga, &amp; González-Badillo, 2014)","plainTextFormattedCitation":"(Pareja-Blanco, Rodríguez-Rosell, Sánchez-Medina, Gorostiaga, &amp; González-Badillo, 2014)","previouslyFormattedCitation":"(Pareja-Blanco, Rodríguez-Rosell, Sánchez-Medina, Gorostiaga, &amp; González-Badillo, 2014)"},"properties":{"noteIndex":0},"schema":"https://github.com/citation-style-language/schema/raw/master/csl-citation.json"}</w:instrText>
      </w:r>
      <w:r w:rsidR="005F3D10" w:rsidRPr="0021030B">
        <w:rPr>
          <w:rFonts w:cs="Times New Roman"/>
          <w:szCs w:val="24"/>
          <w:vertAlign w:val="superscript"/>
          <w:lang w:val="en-US"/>
        </w:rPr>
        <w:fldChar w:fldCharType="separate"/>
      </w:r>
      <w:r w:rsidR="005F3D10" w:rsidRPr="0021030B">
        <w:rPr>
          <w:rFonts w:cs="Times New Roman"/>
          <w:noProof/>
          <w:szCs w:val="24"/>
          <w:lang w:val="en-US"/>
        </w:rPr>
        <w:t>(Pareja-Blanco, Rodríguez-Rosell, Sánchez-Medina, Gorostiaga, &amp; González-Badillo, 2014)</w:t>
      </w:r>
      <w:r w:rsidR="005F3D10" w:rsidRPr="0021030B">
        <w:rPr>
          <w:rFonts w:cs="Times New Roman"/>
          <w:szCs w:val="24"/>
          <w:vertAlign w:val="superscript"/>
          <w:lang w:val="en-US"/>
        </w:rPr>
        <w:fldChar w:fldCharType="end"/>
      </w:r>
      <w:r w:rsidRPr="0021030B">
        <w:rPr>
          <w:rFonts w:cs="Times New Roman"/>
          <w:szCs w:val="24"/>
          <w:lang w:val="en-US"/>
        </w:rPr>
        <w:t>. This protocol was practiced during the familiarization sessions accomplished with the aid of the visual and auditory feedback in real-time provided by the linear velocity transducer software, so that participants could adjust the eccentric velocity to the required range. Repetitions that failed to meet any of these requirements were automatically discarded and repeated after a 3 min rest.</w:t>
      </w:r>
    </w:p>
    <w:p w14:paraId="3E1C38DC" w14:textId="71915F24" w:rsidR="008E1140" w:rsidRPr="0021030B" w:rsidRDefault="00CA6632" w:rsidP="00F52A7E">
      <w:pPr>
        <w:spacing w:line="480" w:lineRule="auto"/>
        <w:ind w:firstLine="708"/>
        <w:rPr>
          <w:rFonts w:cs="Times New Roman"/>
          <w:szCs w:val="24"/>
          <w:lang w:val="en-US"/>
        </w:rPr>
      </w:pPr>
      <w:r w:rsidRPr="0021030B">
        <w:rPr>
          <w:rFonts w:cs="Times New Roman"/>
          <w:szCs w:val="24"/>
          <w:lang w:val="en-US"/>
        </w:rPr>
        <w:t>A</w:t>
      </w:r>
      <w:r w:rsidR="000E3E25" w:rsidRPr="0021030B">
        <w:rPr>
          <w:rFonts w:cs="Times New Roman"/>
          <w:szCs w:val="24"/>
          <w:lang w:val="en-US"/>
        </w:rPr>
        <w:t xml:space="preserve">ll testing and training </w:t>
      </w:r>
      <w:r w:rsidR="00600CD1" w:rsidRPr="0021030B">
        <w:rPr>
          <w:rFonts w:cs="Times New Roman"/>
          <w:szCs w:val="24"/>
          <w:lang w:val="en-US"/>
        </w:rPr>
        <w:t xml:space="preserve">lifts were made using a </w:t>
      </w:r>
      <w:r w:rsidRPr="0021030B">
        <w:rPr>
          <w:rFonts w:cs="Times New Roman"/>
          <w:szCs w:val="24"/>
          <w:lang w:val="en-US"/>
        </w:rPr>
        <w:t>Smith machine with no counterweight mechanism. A dynamic measurement system (T-Force System, Ergotech, Murcia, Spain</w:t>
      </w:r>
      <w:r w:rsidR="0011154A" w:rsidRPr="0021030B">
        <w:rPr>
          <w:rFonts w:cs="Times New Roman"/>
          <w:szCs w:val="24"/>
          <w:lang w:val="en-US"/>
        </w:rPr>
        <w:t>; 1000 Hz</w:t>
      </w:r>
      <w:r w:rsidRPr="0021030B">
        <w:rPr>
          <w:rFonts w:cs="Times New Roman"/>
          <w:szCs w:val="24"/>
          <w:lang w:val="en-US"/>
        </w:rPr>
        <w:t xml:space="preserve">) automatically calculated the relevant kinematic parameters of every repetition, provided auditory and visual velocity feedback in real-time and stored data on disk for analysis. </w:t>
      </w:r>
      <w:r w:rsidR="00552843" w:rsidRPr="0021030B">
        <w:rPr>
          <w:rFonts w:cs="Times New Roman"/>
          <w:szCs w:val="24"/>
          <w:lang w:val="en-US"/>
        </w:rPr>
        <w:t>Measures f</w:t>
      </w:r>
      <w:r w:rsidR="00B966CC" w:rsidRPr="0021030B">
        <w:rPr>
          <w:rFonts w:cs="Times New Roman"/>
          <w:szCs w:val="24"/>
          <w:lang w:val="en-US"/>
        </w:rPr>
        <w:t>rom the following neuromuscular parameters</w:t>
      </w:r>
      <w:r w:rsidR="00552843" w:rsidRPr="0021030B">
        <w:rPr>
          <w:rFonts w:cs="Times New Roman"/>
          <w:szCs w:val="24"/>
          <w:lang w:val="en-US"/>
        </w:rPr>
        <w:t xml:space="preserve"> were considered for the analysis: </w:t>
      </w:r>
      <w:r w:rsidR="00E91304" w:rsidRPr="0021030B">
        <w:rPr>
          <w:rFonts w:cs="Times New Roman"/>
          <w:szCs w:val="24"/>
          <w:lang w:val="en-US"/>
        </w:rPr>
        <w:t>1RM strength</w:t>
      </w:r>
      <w:r w:rsidR="00552843" w:rsidRPr="0021030B">
        <w:rPr>
          <w:rFonts w:cs="Times New Roman"/>
          <w:szCs w:val="24"/>
          <w:lang w:val="en-US"/>
        </w:rPr>
        <w:t xml:space="preserve"> </w:t>
      </w:r>
      <w:r w:rsidR="00452AB8" w:rsidRPr="0021030B">
        <w:rPr>
          <w:rFonts w:cs="Times New Roman"/>
          <w:szCs w:val="24"/>
          <w:lang w:val="en-US"/>
        </w:rPr>
        <w:t xml:space="preserve">in </w:t>
      </w:r>
      <w:r w:rsidR="00552843" w:rsidRPr="0021030B">
        <w:rPr>
          <w:rFonts w:cs="Times New Roman"/>
          <w:szCs w:val="24"/>
          <w:lang w:val="en-US"/>
        </w:rPr>
        <w:t>kg</w:t>
      </w:r>
      <w:r w:rsidR="00E91304" w:rsidRPr="0021030B">
        <w:rPr>
          <w:rFonts w:cs="Times New Roman"/>
          <w:szCs w:val="24"/>
          <w:lang w:val="en-US"/>
        </w:rPr>
        <w:t>,</w:t>
      </w:r>
      <w:r w:rsidR="00552843" w:rsidRPr="0021030B">
        <w:rPr>
          <w:rFonts w:cs="Times New Roman"/>
          <w:szCs w:val="24"/>
          <w:lang w:val="en-US"/>
        </w:rPr>
        <w:t xml:space="preserve"> </w:t>
      </w:r>
      <w:r w:rsidR="00452AB8" w:rsidRPr="0021030B">
        <w:rPr>
          <w:rFonts w:cs="Times New Roman"/>
          <w:szCs w:val="24"/>
          <w:lang w:val="en-US"/>
        </w:rPr>
        <w:t>1</w:t>
      </w:r>
      <w:r w:rsidR="00552843" w:rsidRPr="0021030B">
        <w:rPr>
          <w:rFonts w:cs="Times New Roman"/>
          <w:szCs w:val="24"/>
          <w:lang w:val="en-US"/>
        </w:rPr>
        <w:t>RM</w:t>
      </w:r>
      <w:r w:rsidR="00452AB8" w:rsidRPr="0021030B">
        <w:rPr>
          <w:rFonts w:cs="Times New Roman"/>
          <w:szCs w:val="24"/>
          <w:lang w:val="en-US"/>
        </w:rPr>
        <w:t xml:space="preserve"> to body mass ratio (1RM/BM)</w:t>
      </w:r>
      <w:r w:rsidR="00186871" w:rsidRPr="0021030B">
        <w:rPr>
          <w:rFonts w:cs="Times New Roman"/>
          <w:szCs w:val="24"/>
          <w:lang w:val="en-US"/>
        </w:rPr>
        <w:t>,</w:t>
      </w:r>
      <w:r w:rsidR="00E91304" w:rsidRPr="0021030B">
        <w:rPr>
          <w:rFonts w:cs="Times New Roman"/>
          <w:szCs w:val="24"/>
          <w:lang w:val="en-US"/>
        </w:rPr>
        <w:t xml:space="preserve"> average MPV attained against all absolute loads common to </w:t>
      </w:r>
      <w:r w:rsidR="008E7BBB" w:rsidRPr="0021030B">
        <w:rPr>
          <w:rFonts w:cs="Times New Roman"/>
          <w:szCs w:val="24"/>
          <w:lang w:val="en-US"/>
        </w:rPr>
        <w:t xml:space="preserve">T0 </w:t>
      </w:r>
      <w:r w:rsidR="00E91304" w:rsidRPr="0021030B">
        <w:rPr>
          <w:rFonts w:cs="Times New Roman"/>
          <w:szCs w:val="24"/>
          <w:lang w:val="en-US"/>
        </w:rPr>
        <w:t xml:space="preserve">and </w:t>
      </w:r>
      <w:r w:rsidR="008E7BBB" w:rsidRPr="0021030B">
        <w:rPr>
          <w:rFonts w:cs="Times New Roman"/>
          <w:szCs w:val="24"/>
          <w:lang w:val="en-US"/>
        </w:rPr>
        <w:t>T1</w:t>
      </w:r>
      <w:r w:rsidR="008E7BBB" w:rsidRPr="0021030B" w:rsidDel="008E7BBB">
        <w:rPr>
          <w:rFonts w:cs="Times New Roman"/>
          <w:szCs w:val="24"/>
          <w:lang w:val="en-US"/>
        </w:rPr>
        <w:t xml:space="preserve"> </w:t>
      </w:r>
      <w:r w:rsidR="00E91304" w:rsidRPr="0021030B">
        <w:rPr>
          <w:rFonts w:cs="Times New Roman"/>
          <w:szCs w:val="24"/>
          <w:lang w:val="en-US"/>
        </w:rPr>
        <w:t>(</w:t>
      </w:r>
      <w:r w:rsidR="007A6371" w:rsidRPr="0021030B">
        <w:rPr>
          <w:rFonts w:cs="Times New Roman"/>
          <w:szCs w:val="24"/>
          <w:lang w:val="en-US"/>
        </w:rPr>
        <w:t>MP</w:t>
      </w:r>
      <w:r w:rsidR="00E74BDA" w:rsidRPr="0021030B">
        <w:rPr>
          <w:rFonts w:cs="Times New Roman"/>
          <w:szCs w:val="24"/>
          <w:lang w:val="en-US"/>
        </w:rPr>
        <w:t>V</w:t>
      </w:r>
      <w:r w:rsidR="007A6371" w:rsidRPr="0021030B">
        <w:rPr>
          <w:rFonts w:cs="Times New Roman"/>
          <w:szCs w:val="24"/>
          <w:vertAlign w:val="subscript"/>
          <w:lang w:val="en-US"/>
        </w:rPr>
        <w:t>ALL</w:t>
      </w:r>
      <w:r w:rsidR="00E91304" w:rsidRPr="0021030B">
        <w:rPr>
          <w:rFonts w:cs="Times New Roman"/>
          <w:szCs w:val="24"/>
          <w:lang w:val="en-US"/>
        </w:rPr>
        <w:t>)</w:t>
      </w:r>
      <w:r w:rsidR="00186871" w:rsidRPr="0021030B">
        <w:rPr>
          <w:rFonts w:cs="Times New Roman"/>
          <w:szCs w:val="24"/>
          <w:lang w:val="en-US"/>
        </w:rPr>
        <w:t>,</w:t>
      </w:r>
      <w:r w:rsidR="00E91304" w:rsidRPr="0021030B">
        <w:rPr>
          <w:rFonts w:cs="Times New Roman"/>
          <w:szCs w:val="24"/>
          <w:lang w:val="en-US"/>
        </w:rPr>
        <w:t xml:space="preserve"> average MPV attained against absolute loads </w:t>
      </w:r>
      <w:r w:rsidR="008E1140" w:rsidRPr="0021030B">
        <w:rPr>
          <w:rFonts w:cs="Times New Roman"/>
          <w:szCs w:val="24"/>
          <w:lang w:val="en-US"/>
        </w:rPr>
        <w:t xml:space="preserve">lower than 50% 1RM </w:t>
      </w:r>
      <w:r w:rsidR="00E91304" w:rsidRPr="0021030B">
        <w:rPr>
          <w:rFonts w:cs="Times New Roman"/>
          <w:szCs w:val="24"/>
          <w:lang w:val="en-US"/>
        </w:rPr>
        <w:t xml:space="preserve">common to </w:t>
      </w:r>
      <w:r w:rsidR="008E7BBB" w:rsidRPr="0021030B">
        <w:rPr>
          <w:rFonts w:cs="Times New Roman"/>
          <w:szCs w:val="24"/>
          <w:lang w:val="en-US"/>
        </w:rPr>
        <w:t>T0 and T1</w:t>
      </w:r>
      <w:r w:rsidR="008E7BBB" w:rsidRPr="0021030B" w:rsidDel="008E7BBB">
        <w:rPr>
          <w:rFonts w:cs="Times New Roman"/>
          <w:szCs w:val="24"/>
          <w:lang w:val="en-US"/>
        </w:rPr>
        <w:t xml:space="preserve"> </w:t>
      </w:r>
      <w:r w:rsidR="00E91304" w:rsidRPr="0021030B">
        <w:rPr>
          <w:rFonts w:cs="Times New Roman"/>
          <w:szCs w:val="24"/>
          <w:lang w:val="en-US"/>
        </w:rPr>
        <w:t>(</w:t>
      </w:r>
      <w:r w:rsidR="00E74BDA" w:rsidRPr="0021030B">
        <w:rPr>
          <w:rFonts w:cs="Times New Roman"/>
          <w:szCs w:val="24"/>
          <w:lang w:val="en-US"/>
        </w:rPr>
        <w:t>MPV</w:t>
      </w:r>
      <w:r w:rsidR="008E1140" w:rsidRPr="0021030B">
        <w:rPr>
          <w:rFonts w:cs="Times New Roman"/>
          <w:szCs w:val="24"/>
          <w:vertAlign w:val="subscript"/>
          <w:lang w:val="en-US"/>
        </w:rPr>
        <w:t>&lt;50% 1RM</w:t>
      </w:r>
      <w:r w:rsidR="00E91304" w:rsidRPr="0021030B">
        <w:rPr>
          <w:rFonts w:cs="Times New Roman"/>
          <w:szCs w:val="24"/>
          <w:lang w:val="en-US"/>
        </w:rPr>
        <w:t xml:space="preserve">, </w:t>
      </w:r>
      <w:r w:rsidR="008E1140" w:rsidRPr="0021030B">
        <w:rPr>
          <w:rFonts w:cs="Times New Roman"/>
          <w:szCs w:val="24"/>
          <w:lang w:val="en-US"/>
        </w:rPr>
        <w:t>“</w:t>
      </w:r>
      <w:r w:rsidR="00F9017D" w:rsidRPr="0021030B">
        <w:rPr>
          <w:rFonts w:cs="Times New Roman"/>
          <w:szCs w:val="24"/>
          <w:lang w:val="en-US"/>
        </w:rPr>
        <w:t>low</w:t>
      </w:r>
      <w:r w:rsidR="008E1140" w:rsidRPr="0021030B">
        <w:rPr>
          <w:rFonts w:cs="Times New Roman"/>
          <w:szCs w:val="24"/>
          <w:lang w:val="en-US"/>
        </w:rPr>
        <w:t>”</w:t>
      </w:r>
      <w:r w:rsidR="00E91304" w:rsidRPr="0021030B">
        <w:rPr>
          <w:rFonts w:cs="Times New Roman"/>
          <w:szCs w:val="24"/>
          <w:lang w:val="en-US"/>
        </w:rPr>
        <w:t xml:space="preserve"> loads)</w:t>
      </w:r>
      <w:r w:rsidR="00186871" w:rsidRPr="0021030B">
        <w:rPr>
          <w:rFonts w:cs="Times New Roman"/>
          <w:szCs w:val="24"/>
          <w:lang w:val="en-US"/>
        </w:rPr>
        <w:t>,</w:t>
      </w:r>
      <w:r w:rsidR="00E91304" w:rsidRPr="0021030B">
        <w:rPr>
          <w:rFonts w:cs="Times New Roman"/>
          <w:szCs w:val="24"/>
          <w:lang w:val="en-US"/>
        </w:rPr>
        <w:t xml:space="preserve"> and </w:t>
      </w:r>
      <w:r w:rsidR="008E1140" w:rsidRPr="0021030B">
        <w:rPr>
          <w:rFonts w:cs="Times New Roman"/>
          <w:szCs w:val="24"/>
          <w:lang w:val="en-US"/>
        </w:rPr>
        <w:t xml:space="preserve">average MPV attained against absolute loads higher than 50% 1RM common to </w:t>
      </w:r>
      <w:r w:rsidR="008E7BBB" w:rsidRPr="0021030B">
        <w:rPr>
          <w:rFonts w:cs="Times New Roman"/>
          <w:szCs w:val="24"/>
          <w:lang w:val="en-US"/>
        </w:rPr>
        <w:t>T0 and T1</w:t>
      </w:r>
      <w:r w:rsidR="008E7BBB" w:rsidRPr="0021030B" w:rsidDel="008E7BBB">
        <w:rPr>
          <w:rFonts w:cs="Times New Roman"/>
          <w:szCs w:val="24"/>
          <w:lang w:val="en-US"/>
        </w:rPr>
        <w:t xml:space="preserve"> </w:t>
      </w:r>
      <w:r w:rsidR="008E1140" w:rsidRPr="0021030B">
        <w:rPr>
          <w:rFonts w:cs="Times New Roman"/>
          <w:szCs w:val="24"/>
          <w:lang w:val="en-US"/>
        </w:rPr>
        <w:t>(</w:t>
      </w:r>
      <w:r w:rsidR="00E74BDA" w:rsidRPr="0021030B">
        <w:rPr>
          <w:rFonts w:cs="Times New Roman"/>
          <w:szCs w:val="24"/>
          <w:lang w:val="en-US"/>
        </w:rPr>
        <w:t xml:space="preserve">MPV </w:t>
      </w:r>
      <w:r w:rsidR="008E1140" w:rsidRPr="0021030B">
        <w:rPr>
          <w:rFonts w:cs="Times New Roman"/>
          <w:szCs w:val="24"/>
          <w:vertAlign w:val="subscript"/>
          <w:lang w:val="en-US"/>
        </w:rPr>
        <w:t>&gt;50% 1RM</w:t>
      </w:r>
      <w:r w:rsidR="008E1140" w:rsidRPr="0021030B">
        <w:rPr>
          <w:rFonts w:cs="Times New Roman"/>
          <w:szCs w:val="24"/>
          <w:lang w:val="en-US"/>
        </w:rPr>
        <w:t>, “</w:t>
      </w:r>
      <w:r w:rsidR="00F9017D" w:rsidRPr="0021030B">
        <w:rPr>
          <w:rFonts w:cs="Times New Roman"/>
          <w:szCs w:val="24"/>
          <w:lang w:val="en-US"/>
        </w:rPr>
        <w:t>high</w:t>
      </w:r>
      <w:r w:rsidR="008E1140" w:rsidRPr="0021030B">
        <w:rPr>
          <w:rFonts w:cs="Times New Roman"/>
          <w:szCs w:val="24"/>
          <w:lang w:val="en-US"/>
        </w:rPr>
        <w:t>” loads</w:t>
      </w:r>
      <w:r w:rsidR="009A5E0A" w:rsidRPr="0021030B">
        <w:rPr>
          <w:rFonts w:cs="Times New Roman"/>
          <w:szCs w:val="24"/>
          <w:lang w:val="en-US"/>
        </w:rPr>
        <w:t>)</w:t>
      </w:r>
      <w:r w:rsidR="00E91304" w:rsidRPr="0021030B">
        <w:rPr>
          <w:rFonts w:cs="Times New Roman"/>
          <w:szCs w:val="24"/>
          <w:lang w:val="en-US"/>
        </w:rPr>
        <w:t xml:space="preserve">. </w:t>
      </w:r>
    </w:p>
    <w:p w14:paraId="70FBD552" w14:textId="77777777" w:rsidR="005A7BB7" w:rsidRPr="0021030B" w:rsidRDefault="005A7BB7" w:rsidP="00F52A7E">
      <w:pPr>
        <w:spacing w:line="480" w:lineRule="auto"/>
        <w:ind w:firstLine="708"/>
        <w:rPr>
          <w:rFonts w:cs="Times New Roman"/>
          <w:szCs w:val="24"/>
          <w:lang w:val="en-US"/>
        </w:rPr>
      </w:pPr>
    </w:p>
    <w:p w14:paraId="48A73774" w14:textId="263ED7B4" w:rsidR="00D32A2B" w:rsidRPr="0021030B" w:rsidRDefault="00D32A2B" w:rsidP="00F52A7E">
      <w:pPr>
        <w:spacing w:line="480" w:lineRule="auto"/>
        <w:rPr>
          <w:rFonts w:cs="Times New Roman"/>
          <w:i/>
          <w:szCs w:val="24"/>
          <w:lang w:val="en-US"/>
        </w:rPr>
      </w:pPr>
      <w:r w:rsidRPr="0021030B">
        <w:rPr>
          <w:rFonts w:cs="Times New Roman"/>
          <w:i/>
          <w:szCs w:val="24"/>
          <w:lang w:val="en-US"/>
        </w:rPr>
        <w:t>Sprint and vertical jump tests</w:t>
      </w:r>
    </w:p>
    <w:p w14:paraId="5EE50DDD" w14:textId="1B3B88D3" w:rsidR="005A7BB7" w:rsidRPr="0021030B" w:rsidRDefault="00D32A2B" w:rsidP="005A7BB7">
      <w:pPr>
        <w:spacing w:line="480" w:lineRule="auto"/>
        <w:rPr>
          <w:rFonts w:cs="Times New Roman"/>
          <w:szCs w:val="24"/>
          <w:lang w:val="en-US"/>
        </w:rPr>
      </w:pPr>
      <w:r w:rsidRPr="0021030B">
        <w:rPr>
          <w:rFonts w:cs="Times New Roman"/>
          <w:szCs w:val="24"/>
          <w:lang w:val="en-US"/>
        </w:rPr>
        <w:t xml:space="preserve">Two maximal 20-m sprints, separated by a 3-min rest, were performed </w:t>
      </w:r>
      <w:r w:rsidR="00430A29" w:rsidRPr="0021030B">
        <w:rPr>
          <w:rFonts w:cs="Times New Roman"/>
          <w:szCs w:val="24"/>
          <w:lang w:val="en-US"/>
        </w:rPr>
        <w:t>on</w:t>
      </w:r>
      <w:r w:rsidRPr="0021030B">
        <w:rPr>
          <w:rFonts w:cs="Times New Roman"/>
          <w:szCs w:val="24"/>
          <w:lang w:val="en-US"/>
        </w:rPr>
        <w:t xml:space="preserve"> a</w:t>
      </w:r>
      <w:r w:rsidR="006C61C5" w:rsidRPr="0021030B">
        <w:rPr>
          <w:rFonts w:cs="Times New Roman"/>
          <w:szCs w:val="24"/>
          <w:lang w:val="en-US"/>
        </w:rPr>
        <w:t xml:space="preserve"> </w:t>
      </w:r>
      <w:r w:rsidRPr="0021030B">
        <w:rPr>
          <w:rFonts w:cs="Times New Roman"/>
          <w:szCs w:val="24"/>
          <w:lang w:val="en-US"/>
        </w:rPr>
        <w:t xml:space="preserve">running track. </w:t>
      </w:r>
      <w:r w:rsidR="00EC11F9" w:rsidRPr="0021030B">
        <w:rPr>
          <w:rFonts w:cs="Times New Roman"/>
          <w:szCs w:val="24"/>
          <w:lang w:val="en-US"/>
        </w:rPr>
        <w:t xml:space="preserve">Sprint times were measured using photocells </w:t>
      </w:r>
      <w:r w:rsidR="00430A29" w:rsidRPr="0021030B">
        <w:rPr>
          <w:rFonts w:cs="Times New Roman"/>
          <w:szCs w:val="24"/>
          <w:lang w:val="en-US"/>
        </w:rPr>
        <w:t xml:space="preserve">timing gates </w:t>
      </w:r>
      <w:r w:rsidR="00EC11F9" w:rsidRPr="0021030B">
        <w:rPr>
          <w:rFonts w:cs="Times New Roman"/>
          <w:szCs w:val="24"/>
          <w:lang w:val="en-US"/>
        </w:rPr>
        <w:t xml:space="preserve">(Polifemo Radio Light, </w:t>
      </w:r>
      <w:r w:rsidR="00EC11F9" w:rsidRPr="0021030B">
        <w:rPr>
          <w:rFonts w:cs="Times New Roman"/>
          <w:szCs w:val="24"/>
          <w:lang w:val="en-US"/>
        </w:rPr>
        <w:lastRenderedPageBreak/>
        <w:t>Microgate, Bolzano, Italy)</w:t>
      </w:r>
      <w:r w:rsidR="00430A29" w:rsidRPr="0021030B">
        <w:rPr>
          <w:rFonts w:cs="Times New Roman"/>
          <w:szCs w:val="24"/>
          <w:lang w:val="en-US"/>
        </w:rPr>
        <w:t>,</w:t>
      </w:r>
      <w:r w:rsidRPr="0021030B">
        <w:rPr>
          <w:rFonts w:cs="Times New Roman"/>
          <w:szCs w:val="24"/>
          <w:lang w:val="en-US"/>
        </w:rPr>
        <w:t xml:space="preserve"> placed at 0 and 20 m</w:t>
      </w:r>
      <w:r w:rsidR="00430A29" w:rsidRPr="0021030B">
        <w:rPr>
          <w:rFonts w:cs="Times New Roman"/>
          <w:szCs w:val="24"/>
          <w:lang w:val="en-US"/>
        </w:rPr>
        <w:t>,</w:t>
      </w:r>
      <w:r w:rsidRPr="0021030B">
        <w:rPr>
          <w:rFonts w:cs="Times New Roman"/>
          <w:szCs w:val="24"/>
          <w:lang w:val="en-US"/>
        </w:rPr>
        <w:t xml:space="preserve"> so that the times to cover 0–20 m (T20) could be determined. </w:t>
      </w:r>
      <w:r w:rsidR="00932AC5" w:rsidRPr="0021030B">
        <w:rPr>
          <w:rFonts w:cs="Times New Roman"/>
          <w:szCs w:val="24"/>
          <w:lang w:val="en-US"/>
        </w:rPr>
        <w:t>Following 5 min of recovery, participants performed 5</w:t>
      </w:r>
      <w:r w:rsidRPr="0021030B">
        <w:rPr>
          <w:rFonts w:cs="Times New Roman"/>
          <w:szCs w:val="24"/>
          <w:lang w:val="en-US"/>
        </w:rPr>
        <w:t xml:space="preserve"> maximal countermovement vertical jumps (CMJs), separated by </w:t>
      </w:r>
      <w:r w:rsidR="006C61C5" w:rsidRPr="0021030B">
        <w:rPr>
          <w:rFonts w:cs="Times New Roman"/>
          <w:szCs w:val="24"/>
          <w:lang w:val="en-US"/>
        </w:rPr>
        <w:t>1 min</w:t>
      </w:r>
      <w:r w:rsidRPr="0021030B">
        <w:rPr>
          <w:rFonts w:cs="Times New Roman"/>
          <w:szCs w:val="24"/>
          <w:lang w:val="en-US"/>
        </w:rPr>
        <w:t xml:space="preserve"> rests</w:t>
      </w:r>
      <w:r w:rsidR="00932AC5" w:rsidRPr="0021030B">
        <w:rPr>
          <w:rFonts w:cs="Times New Roman"/>
          <w:szCs w:val="24"/>
          <w:lang w:val="en-US"/>
        </w:rPr>
        <w:t>.</w:t>
      </w:r>
      <w:r w:rsidRPr="0021030B">
        <w:rPr>
          <w:rFonts w:cs="Times New Roman"/>
          <w:szCs w:val="24"/>
          <w:lang w:val="en-US"/>
        </w:rPr>
        <w:t xml:space="preserve"> </w:t>
      </w:r>
      <w:r w:rsidR="00EC11F9" w:rsidRPr="0021030B">
        <w:rPr>
          <w:rFonts w:cs="Times New Roman"/>
          <w:szCs w:val="24"/>
          <w:lang w:val="en-US"/>
        </w:rPr>
        <w:t xml:space="preserve">Jump height was determined using an infrared timing system (Optojump, Microgate, Bolzano, Italy). </w:t>
      </w:r>
      <w:r w:rsidR="005A7BB7" w:rsidRPr="0021030B">
        <w:rPr>
          <w:rFonts w:cs="Times New Roman"/>
          <w:szCs w:val="24"/>
          <w:lang w:val="en-US"/>
        </w:rPr>
        <w:t xml:space="preserve">A very high test-retest consistency has been reported for both 20m-sprint (ICC = 0.94, ICC 95% CI = 0.91–0.98, CV = 0.9%) and CMJ (ICC = 0.99, ICC 95% CI = 0.98–1.00, CV = 1.7%) (FALTA REFERENCIA). </w:t>
      </w:r>
    </w:p>
    <w:p w14:paraId="222AC56D" w14:textId="5DA27C13" w:rsidR="00583E19" w:rsidRPr="0021030B" w:rsidRDefault="00583E19" w:rsidP="005A7BB7">
      <w:pPr>
        <w:spacing w:line="480" w:lineRule="auto"/>
        <w:rPr>
          <w:rFonts w:cs="Times New Roman"/>
          <w:szCs w:val="24"/>
          <w:lang w:val="en-US"/>
        </w:rPr>
      </w:pPr>
    </w:p>
    <w:p w14:paraId="5CFAE94E" w14:textId="6BF1307B" w:rsidR="00131B07" w:rsidRPr="0021030B" w:rsidRDefault="00131B07" w:rsidP="006A0034">
      <w:pPr>
        <w:spacing w:line="480" w:lineRule="auto"/>
        <w:rPr>
          <w:rFonts w:cs="Times New Roman"/>
          <w:i/>
          <w:szCs w:val="24"/>
          <w:lang w:val="en-US"/>
        </w:rPr>
      </w:pPr>
      <w:r w:rsidRPr="0021030B">
        <w:rPr>
          <w:rFonts w:cs="Times New Roman"/>
          <w:i/>
          <w:szCs w:val="24"/>
          <w:lang w:val="en-US"/>
        </w:rPr>
        <w:t>Wingate test</w:t>
      </w:r>
    </w:p>
    <w:p w14:paraId="66F5E5AC" w14:textId="27904504" w:rsidR="0049110B" w:rsidRPr="0021030B" w:rsidRDefault="00404E60" w:rsidP="009B55C8">
      <w:pPr>
        <w:spacing w:line="480" w:lineRule="auto"/>
        <w:rPr>
          <w:rFonts w:cs="Times New Roman"/>
          <w:szCs w:val="24"/>
          <w:lang w:val="en-US"/>
        </w:rPr>
      </w:pPr>
      <w:r w:rsidRPr="0021030B">
        <w:rPr>
          <w:rFonts w:cs="Times New Roman"/>
          <w:szCs w:val="24"/>
          <w:lang w:val="en-US"/>
        </w:rPr>
        <w:t xml:space="preserve">All </w:t>
      </w:r>
      <w:r w:rsidR="00D66E1F" w:rsidRPr="0021030B">
        <w:rPr>
          <w:rFonts w:cs="Times New Roman"/>
          <w:szCs w:val="24"/>
          <w:lang w:val="en-US"/>
        </w:rPr>
        <w:t xml:space="preserve">Wingate </w:t>
      </w:r>
      <w:r w:rsidRPr="0021030B">
        <w:rPr>
          <w:rFonts w:cs="Times New Roman"/>
          <w:szCs w:val="24"/>
          <w:lang w:val="en-US"/>
        </w:rPr>
        <w:t>test</w:t>
      </w:r>
      <w:r w:rsidR="00430A29" w:rsidRPr="0021030B">
        <w:rPr>
          <w:rFonts w:cs="Times New Roman"/>
          <w:szCs w:val="24"/>
          <w:lang w:val="en-US"/>
        </w:rPr>
        <w:t>s</w:t>
      </w:r>
      <w:r w:rsidRPr="0021030B">
        <w:rPr>
          <w:rFonts w:cs="Times New Roman"/>
          <w:szCs w:val="24"/>
          <w:lang w:val="en-US"/>
        </w:rPr>
        <w:t xml:space="preserve"> </w:t>
      </w:r>
      <w:r w:rsidR="00D66E1F" w:rsidRPr="0021030B">
        <w:rPr>
          <w:rFonts w:cs="Times New Roman"/>
          <w:szCs w:val="24"/>
          <w:lang w:val="en-US"/>
        </w:rPr>
        <w:t xml:space="preserve">(WGT) </w:t>
      </w:r>
      <w:r w:rsidRPr="0021030B">
        <w:rPr>
          <w:rFonts w:cs="Times New Roman"/>
          <w:szCs w:val="24"/>
          <w:lang w:val="en-US"/>
        </w:rPr>
        <w:t>were</w:t>
      </w:r>
      <w:r w:rsidR="00131B07" w:rsidRPr="0021030B">
        <w:rPr>
          <w:rFonts w:cs="Times New Roman"/>
          <w:szCs w:val="24"/>
          <w:lang w:val="en-US"/>
        </w:rPr>
        <w:t xml:space="preserve"> performed in a mechanically braked cycle ergometer (Monark©</w:t>
      </w:r>
      <w:r w:rsidR="0049110B" w:rsidRPr="0021030B">
        <w:rPr>
          <w:rFonts w:cs="Times New Roman"/>
          <w:szCs w:val="24"/>
          <w:lang w:val="en-US"/>
        </w:rPr>
        <w:t xml:space="preserve"> 874E,</w:t>
      </w:r>
      <w:r w:rsidR="000D60C0" w:rsidRPr="0021030B">
        <w:rPr>
          <w:rFonts w:cs="Times New Roman"/>
          <w:szCs w:val="24"/>
          <w:lang w:val="en-US"/>
        </w:rPr>
        <w:t xml:space="preserve"> Varberg, Sweden</w:t>
      </w:r>
      <w:r w:rsidR="00131B07" w:rsidRPr="0021030B">
        <w:rPr>
          <w:rFonts w:cs="Times New Roman"/>
          <w:szCs w:val="24"/>
          <w:lang w:val="en-US"/>
        </w:rPr>
        <w:t xml:space="preserve">) adapted with </w:t>
      </w:r>
      <w:r w:rsidR="000D60C0" w:rsidRPr="0021030B">
        <w:rPr>
          <w:rFonts w:cs="Times New Roman"/>
          <w:szCs w:val="24"/>
          <w:lang w:val="en-US"/>
        </w:rPr>
        <w:t xml:space="preserve">a crank-based power meter (scientific model; SRM, Julich, Germany, </w:t>
      </w:r>
      <w:r w:rsidR="0011154A" w:rsidRPr="0021030B">
        <w:rPr>
          <w:rFonts w:cs="Times New Roman"/>
          <w:szCs w:val="24"/>
          <w:lang w:val="en-US"/>
        </w:rPr>
        <w:t xml:space="preserve">1 Hz, </w:t>
      </w:r>
      <w:r w:rsidR="000D60C0" w:rsidRPr="0021030B">
        <w:rPr>
          <w:rFonts w:cs="Times New Roman"/>
          <w:szCs w:val="24"/>
          <w:lang w:val="en-US"/>
        </w:rPr>
        <w:t>±1% accuracy)</w:t>
      </w:r>
      <w:r w:rsidR="00131B07" w:rsidRPr="0021030B">
        <w:rPr>
          <w:rFonts w:cs="Times New Roman"/>
          <w:szCs w:val="24"/>
          <w:lang w:val="en-US"/>
        </w:rPr>
        <w:t xml:space="preserve">. </w:t>
      </w:r>
      <w:r w:rsidR="005E38A9" w:rsidRPr="0021030B">
        <w:rPr>
          <w:rFonts w:cs="Times New Roman"/>
          <w:szCs w:val="24"/>
          <w:lang w:val="en-US"/>
        </w:rPr>
        <w:t>T</w:t>
      </w:r>
      <w:r w:rsidR="00131B07" w:rsidRPr="0021030B">
        <w:rPr>
          <w:rFonts w:cs="Times New Roman"/>
          <w:szCs w:val="24"/>
          <w:lang w:val="en-US"/>
        </w:rPr>
        <w:t xml:space="preserve">he </w:t>
      </w:r>
      <w:r w:rsidR="005E38A9" w:rsidRPr="0021030B">
        <w:rPr>
          <w:rFonts w:cs="Times New Roman"/>
          <w:szCs w:val="24"/>
          <w:lang w:val="en-US"/>
        </w:rPr>
        <w:t>manufacturer calibrated the powermeter prior to the beginning of the study</w:t>
      </w:r>
      <w:r w:rsidR="00131B07" w:rsidRPr="0021030B">
        <w:rPr>
          <w:rFonts w:cs="Times New Roman"/>
          <w:szCs w:val="24"/>
          <w:lang w:val="en-US"/>
        </w:rPr>
        <w:t xml:space="preserve">, and zero offset procedure was performed prior to each test. </w:t>
      </w:r>
      <w:r w:rsidR="00E07350" w:rsidRPr="0021030B">
        <w:rPr>
          <w:rFonts w:cs="Times New Roman"/>
          <w:szCs w:val="24"/>
          <w:lang w:val="en-US"/>
        </w:rPr>
        <w:t>T</w:t>
      </w:r>
      <w:r w:rsidR="00131B07" w:rsidRPr="0021030B">
        <w:rPr>
          <w:rFonts w:cs="Times New Roman"/>
          <w:szCs w:val="24"/>
          <w:lang w:val="en-US"/>
        </w:rPr>
        <w:t xml:space="preserve">he saddle and handle bar positions of the cycle ergometer were </w:t>
      </w:r>
      <w:r w:rsidR="000D60C0" w:rsidRPr="0021030B">
        <w:rPr>
          <w:rFonts w:cs="Times New Roman"/>
          <w:szCs w:val="24"/>
          <w:lang w:val="en-US"/>
        </w:rPr>
        <w:t xml:space="preserve">individually </w:t>
      </w:r>
      <w:r w:rsidR="00131B07" w:rsidRPr="0021030B">
        <w:rPr>
          <w:rFonts w:cs="Times New Roman"/>
          <w:szCs w:val="24"/>
          <w:lang w:val="en-US"/>
        </w:rPr>
        <w:t>adjusted</w:t>
      </w:r>
      <w:r w:rsidR="0049110B" w:rsidRPr="0021030B">
        <w:rPr>
          <w:rFonts w:cs="Times New Roman"/>
          <w:szCs w:val="24"/>
          <w:lang w:val="en-US"/>
        </w:rPr>
        <w:t xml:space="preserve"> and reproduced </w:t>
      </w:r>
      <w:r w:rsidR="000D60C0" w:rsidRPr="0021030B">
        <w:rPr>
          <w:rFonts w:cs="Times New Roman"/>
          <w:szCs w:val="24"/>
          <w:lang w:val="en-US"/>
        </w:rPr>
        <w:t>on every</w:t>
      </w:r>
      <w:r w:rsidR="0049110B" w:rsidRPr="0021030B">
        <w:rPr>
          <w:rFonts w:cs="Times New Roman"/>
          <w:szCs w:val="24"/>
          <w:lang w:val="en-US"/>
        </w:rPr>
        <w:t xml:space="preserve"> test</w:t>
      </w:r>
      <w:r w:rsidR="00E07350" w:rsidRPr="0021030B">
        <w:rPr>
          <w:rFonts w:cs="Times New Roman"/>
          <w:szCs w:val="24"/>
          <w:lang w:val="en-US"/>
        </w:rPr>
        <w:t xml:space="preserve"> to fit with participants’ body dimensions</w:t>
      </w:r>
      <w:r w:rsidR="0049110B" w:rsidRPr="0021030B">
        <w:rPr>
          <w:rFonts w:cs="Times New Roman"/>
          <w:szCs w:val="24"/>
          <w:lang w:val="en-US"/>
        </w:rPr>
        <w:t>. After a 3-min warm-up (100 W at 90 rpm interspersed with two short bouts of maximal acceleration</w:t>
      </w:r>
      <w:r w:rsidR="000D60C0" w:rsidRPr="0021030B">
        <w:rPr>
          <w:rFonts w:cs="Times New Roman"/>
          <w:szCs w:val="24"/>
          <w:lang w:val="en-US"/>
        </w:rPr>
        <w:t xml:space="preserve"> of 2-3 s</w:t>
      </w:r>
      <w:r w:rsidR="0049110B" w:rsidRPr="0021030B">
        <w:rPr>
          <w:rFonts w:cs="Times New Roman"/>
          <w:szCs w:val="24"/>
          <w:lang w:val="en-US"/>
        </w:rPr>
        <w:t>), from a complete stop with the pedal of the dominant leg placed at 45º from the vertical, participants performed a 30-seconds all-out effort at a resistance of 0.075 kg</w:t>
      </w:r>
      <w:r w:rsidR="0049110B" w:rsidRPr="0021030B">
        <w:rPr>
          <w:rFonts w:cs="Times New Roman"/>
          <w:szCs w:val="24"/>
          <w:vertAlign w:val="superscript"/>
          <w:lang w:val="en-US"/>
        </w:rPr>
        <w:t>−1</w:t>
      </w:r>
      <w:r w:rsidR="0049110B" w:rsidRPr="0021030B">
        <w:rPr>
          <w:rFonts w:cs="Times New Roman"/>
          <w:szCs w:val="24"/>
          <w:lang w:val="en-US"/>
        </w:rPr>
        <w:t xml:space="preserve"> body mass. </w:t>
      </w:r>
      <w:r w:rsidR="000D60C0" w:rsidRPr="0021030B">
        <w:rPr>
          <w:rFonts w:cs="Times New Roman"/>
          <w:szCs w:val="24"/>
          <w:lang w:val="en-US"/>
        </w:rPr>
        <w:t>Peak Power (</w:t>
      </w:r>
      <w:r w:rsidR="00854C34" w:rsidRPr="0021030B">
        <w:rPr>
          <w:rFonts w:cs="Times New Roman"/>
          <w:szCs w:val="24"/>
          <w:lang w:val="en-US"/>
        </w:rPr>
        <w:t>WGT</w:t>
      </w:r>
      <w:r w:rsidR="00854C34" w:rsidRPr="0021030B">
        <w:rPr>
          <w:rFonts w:cs="Times New Roman"/>
          <w:szCs w:val="24"/>
          <w:vertAlign w:val="subscript"/>
          <w:lang w:val="en-US"/>
        </w:rPr>
        <w:t>PEAK</w:t>
      </w:r>
      <w:r w:rsidR="000D60C0" w:rsidRPr="0021030B">
        <w:rPr>
          <w:rFonts w:cs="Times New Roman"/>
          <w:szCs w:val="24"/>
          <w:lang w:val="en-US"/>
        </w:rPr>
        <w:t>) was defined as the greatest power value recorded by the SRM power meter. The average power (</w:t>
      </w:r>
      <w:r w:rsidR="00854C34" w:rsidRPr="0021030B">
        <w:rPr>
          <w:rFonts w:cs="Times New Roman"/>
          <w:szCs w:val="24"/>
          <w:lang w:val="en-US"/>
        </w:rPr>
        <w:t>WGT</w:t>
      </w:r>
      <w:r w:rsidR="00854C34" w:rsidRPr="0021030B">
        <w:rPr>
          <w:rFonts w:cs="Times New Roman"/>
          <w:szCs w:val="24"/>
          <w:vertAlign w:val="subscript"/>
          <w:lang w:val="en-US"/>
        </w:rPr>
        <w:t>MEAN</w:t>
      </w:r>
      <w:r w:rsidR="000D60C0" w:rsidRPr="0021030B">
        <w:rPr>
          <w:rFonts w:cs="Times New Roman"/>
          <w:szCs w:val="24"/>
          <w:lang w:val="en-US"/>
        </w:rPr>
        <w:t xml:space="preserve">) of the 30 s was established. </w:t>
      </w:r>
      <w:r w:rsidR="005A7BB7" w:rsidRPr="0021030B">
        <w:rPr>
          <w:rFonts w:cs="Times New Roman"/>
          <w:szCs w:val="24"/>
          <w:lang w:val="en-US"/>
        </w:rPr>
        <w:t>Test-retest reliability for WGT</w:t>
      </w:r>
      <w:r w:rsidR="005A7BB7" w:rsidRPr="0021030B">
        <w:rPr>
          <w:rFonts w:cs="Times New Roman"/>
          <w:szCs w:val="24"/>
          <w:vertAlign w:val="subscript"/>
          <w:lang w:val="en-US"/>
        </w:rPr>
        <w:t>PEAK</w:t>
      </w:r>
      <w:r w:rsidR="005A7BB7" w:rsidRPr="0021030B">
        <w:rPr>
          <w:rFonts w:cs="Times New Roman"/>
          <w:szCs w:val="24"/>
          <w:lang w:val="en-US"/>
        </w:rPr>
        <w:t xml:space="preserve"> has been found to be high (ICC = 0.87, ICC 95% CI = 0.78–0.96, CV = 3.5%)</w:t>
      </w:r>
      <w:r w:rsidR="00993891" w:rsidRPr="0021030B">
        <w:rPr>
          <w:rFonts w:cs="Times New Roman"/>
          <w:szCs w:val="24"/>
          <w:lang w:val="en-US"/>
        </w:rPr>
        <w:t xml:space="preserve"> (FALTA REFERENCIA).</w:t>
      </w:r>
    </w:p>
    <w:p w14:paraId="61328D6F" w14:textId="4DF3B7C7" w:rsidR="005D4FB3" w:rsidRPr="0021030B" w:rsidRDefault="005D4FB3" w:rsidP="00F52A7E">
      <w:pPr>
        <w:spacing w:line="480" w:lineRule="auto"/>
        <w:rPr>
          <w:rFonts w:cs="Times New Roman"/>
          <w:i/>
          <w:szCs w:val="24"/>
          <w:lang w:val="en-US"/>
        </w:rPr>
      </w:pPr>
      <w:r w:rsidRPr="0021030B">
        <w:rPr>
          <w:rFonts w:cs="Times New Roman"/>
          <w:i/>
          <w:szCs w:val="24"/>
          <w:lang w:val="en-US"/>
        </w:rPr>
        <w:t>WOMAC questionnaire</w:t>
      </w:r>
    </w:p>
    <w:p w14:paraId="60A68714" w14:textId="20EE13BF" w:rsidR="005D4FB3" w:rsidRPr="0021030B" w:rsidRDefault="005D4FB3" w:rsidP="009B55C8">
      <w:pPr>
        <w:spacing w:line="480" w:lineRule="auto"/>
        <w:rPr>
          <w:rFonts w:cs="Times New Roman"/>
          <w:szCs w:val="24"/>
          <w:lang w:val="en-US"/>
        </w:rPr>
      </w:pPr>
      <w:r w:rsidRPr="0021030B">
        <w:rPr>
          <w:rFonts w:cs="Times New Roman"/>
          <w:szCs w:val="24"/>
          <w:lang w:val="en-US"/>
        </w:rPr>
        <w:lastRenderedPageBreak/>
        <w:t xml:space="preserve">The WOMAC </w:t>
      </w:r>
      <w:r w:rsidR="007D639C" w:rsidRPr="0021030B">
        <w:rPr>
          <w:rFonts w:cs="Times New Roman"/>
          <w:szCs w:val="24"/>
          <w:lang w:val="en-US"/>
        </w:rPr>
        <w:t>(Western Ontario and McMaster Universities)</w:t>
      </w:r>
      <w:r w:rsidR="007D639C" w:rsidRPr="0021030B">
        <w:rPr>
          <w:rFonts w:cs="Times New Roman"/>
          <w:i/>
          <w:szCs w:val="24"/>
          <w:lang w:val="en-US"/>
        </w:rPr>
        <w:t xml:space="preserve"> </w:t>
      </w:r>
      <w:r w:rsidRPr="0021030B">
        <w:rPr>
          <w:rFonts w:cs="Times New Roman"/>
          <w:szCs w:val="24"/>
          <w:lang w:val="en-US"/>
        </w:rPr>
        <w:t>is a multidimensional measure of pain, stiffness, and physical functional disability</w:t>
      </w:r>
      <w:r w:rsidR="00C032AF" w:rsidRPr="0021030B">
        <w:rPr>
          <w:rFonts w:cs="Times New Roman"/>
          <w:szCs w:val="24"/>
          <w:lang w:val="en-US"/>
        </w:rPr>
        <w:t xml:space="preserve"> </w:t>
      </w:r>
      <w:r w:rsidR="00C72947" w:rsidRPr="0021030B">
        <w:rPr>
          <w:rFonts w:cs="Times New Roman"/>
          <w:szCs w:val="24"/>
          <w:lang w:val="en-US"/>
        </w:rPr>
        <w:t>symptoms</w:t>
      </w:r>
      <w:r w:rsidRPr="0021030B">
        <w:rPr>
          <w:rFonts w:cs="Times New Roman"/>
          <w:szCs w:val="24"/>
          <w:lang w:val="en-US"/>
        </w:rPr>
        <w:t xml:space="preserve"> </w:t>
      </w:r>
      <w:r w:rsidR="00C032AF" w:rsidRPr="0021030B">
        <w:rPr>
          <w:rFonts w:cs="Times New Roman"/>
          <w:b/>
          <w:szCs w:val="24"/>
          <w:lang w:val="en-US"/>
        </w:rPr>
        <w:fldChar w:fldCharType="begin" w:fldLock="1"/>
      </w:r>
      <w:r w:rsidR="00E42B44" w:rsidRPr="0021030B">
        <w:rPr>
          <w:rFonts w:cs="Times New Roman"/>
          <w:b/>
          <w:szCs w:val="24"/>
          <w:lang w:val="en-US"/>
        </w:rPr>
        <w:instrText>ADDIN CSL_CITATION {"citationItems":[{"id":"ITEM-1","itemData":{"ISSN":"0315-162X","PMID":"3068365","abstract":"Within the context of a double blind randomized controlled parallel trial of 2 nonsteroidal antiinflammatory drugs, we validated WOMAC, a new multidimensional, self-administered health status instrument for patients with osteoarthritis of the hip or knee. The pain, stiffness and physical function subscales fulfil conventional criteria for face, content and construct validity, reliability, responsiveness and relative efficiency. WOMAC is a disease-specific purpose built high performance instrument for evaluative research in osteoarthritis clinical trials.","author":[{"dropping-particle":"","family":"Bellamy","given":"N","non-dropping-particle":"","parse-names":false,"suffix":""},{"dropping-particle":"","family":"Buchanan","given":"W W","non-dropping-particle":"","parse-names":false,"suffix":""},{"dropping-particle":"","family":"Goldsmith","given":"C H","non-dropping-particle":"","parse-names":false,"suffix":""},{"dropping-particle":"","family":"Campbell","given":"J","non-dropping-particle":"","parse-names":false,"suffix":""},{"dropping-particle":"","family":"Stitt","given":"L W","non-dropping-particle":"","parse-names":false,"suffix":""}],"container-title":"The Journal of rheumatology","id":"ITEM-1","issue":"12","issued":{"date-parts":[["1988","12"]]},"page":"1833-40","title":"Validation study of WOMAC: a health status instrument for measuring clinically important patient relevant outcomes to antirheumatic drug therapy in patients with osteoarthritis of the hip or knee.","type":"article-journal","volume":"15"},"uris":["http://www.mendeley.com/documents/?uuid=d0f4e4ff-acd3-35bc-a20a-99aecc33c6a3","http://www.mendeley.com/documents/?uuid=69dcf3c2-b037-4ee4-bb3c-9e16b8ad3427"]}],"mendeley":{"formattedCitation":"(Bellamy, Buchanan, Goldsmith, Campbell, &amp; Stitt, 1988)","plainTextFormattedCitation":"(Bellamy, Buchanan, Goldsmith, Campbell, &amp; Stitt, 1988)","previouslyFormattedCitation":"(Bellamy, Buchanan, Goldsmith, Campbell, &amp; Stitt, 1988)"},"properties":{"noteIndex":0},"schema":"https://github.com/citation-style-language/schema/raw/master/csl-citation.json"}</w:instrText>
      </w:r>
      <w:r w:rsidR="00C032AF" w:rsidRPr="0021030B">
        <w:rPr>
          <w:rFonts w:cs="Times New Roman"/>
          <w:b/>
          <w:szCs w:val="24"/>
          <w:lang w:val="en-US"/>
        </w:rPr>
        <w:fldChar w:fldCharType="separate"/>
      </w:r>
      <w:r w:rsidR="00E42B44" w:rsidRPr="0021030B">
        <w:rPr>
          <w:rFonts w:cs="Times New Roman"/>
          <w:noProof/>
          <w:szCs w:val="24"/>
          <w:lang w:val="en-US"/>
        </w:rPr>
        <w:t>(Bellamy, Buchanan, Goldsmith, Campbell, &amp; Stitt, 1988)</w:t>
      </w:r>
      <w:r w:rsidR="00C032AF" w:rsidRPr="0021030B">
        <w:rPr>
          <w:rFonts w:cs="Times New Roman"/>
          <w:b/>
          <w:szCs w:val="24"/>
          <w:lang w:val="en-US"/>
        </w:rPr>
        <w:fldChar w:fldCharType="end"/>
      </w:r>
      <w:r w:rsidR="00C032AF" w:rsidRPr="0021030B">
        <w:rPr>
          <w:rFonts w:cs="Times New Roman"/>
          <w:szCs w:val="24"/>
          <w:lang w:val="en-US"/>
        </w:rPr>
        <w:t xml:space="preserve">. </w:t>
      </w:r>
      <w:r w:rsidRPr="0021030B">
        <w:rPr>
          <w:rFonts w:cs="Times New Roman"/>
          <w:szCs w:val="24"/>
          <w:lang w:val="en-US"/>
        </w:rPr>
        <w:t xml:space="preserve">The WOMAC questionnaire is rated on an ordinal scale of 0 to 4, with lower scores indicating lower levels of symptoms or physical disability. Each subscale is summated to a maximum score of 20, 8, and 68, respectively. </w:t>
      </w:r>
      <w:r w:rsidR="00A3084D" w:rsidRPr="0021030B">
        <w:rPr>
          <w:rFonts w:cs="Times New Roman"/>
          <w:szCs w:val="24"/>
          <w:lang w:val="en-US"/>
        </w:rPr>
        <w:t>The</w:t>
      </w:r>
      <w:r w:rsidRPr="0021030B">
        <w:rPr>
          <w:rFonts w:cs="Times New Roman"/>
          <w:szCs w:val="24"/>
          <w:lang w:val="en-US"/>
        </w:rPr>
        <w:t xml:space="preserve"> global </w:t>
      </w:r>
      <w:r w:rsidR="00A3084D" w:rsidRPr="0021030B">
        <w:rPr>
          <w:rFonts w:cs="Times New Roman"/>
          <w:szCs w:val="24"/>
          <w:lang w:val="en-US"/>
        </w:rPr>
        <w:t xml:space="preserve">index </w:t>
      </w:r>
      <w:r w:rsidRPr="0021030B">
        <w:rPr>
          <w:rFonts w:cs="Times New Roman"/>
          <w:szCs w:val="24"/>
          <w:lang w:val="en-US"/>
        </w:rPr>
        <w:t>score</w:t>
      </w:r>
      <w:r w:rsidR="00A3084D" w:rsidRPr="0021030B">
        <w:rPr>
          <w:rFonts w:cs="Times New Roman"/>
          <w:szCs w:val="24"/>
          <w:lang w:val="en-US"/>
        </w:rPr>
        <w:t xml:space="preserve"> was </w:t>
      </w:r>
      <w:r w:rsidRPr="0021030B">
        <w:rPr>
          <w:rFonts w:cs="Times New Roman"/>
          <w:szCs w:val="24"/>
          <w:lang w:val="en-US"/>
        </w:rPr>
        <w:t xml:space="preserve">calculated by summating the scores for the </w:t>
      </w:r>
      <w:r w:rsidR="00DA5A81" w:rsidRPr="0021030B">
        <w:rPr>
          <w:rFonts w:cs="Times New Roman"/>
          <w:szCs w:val="24"/>
          <w:lang w:val="en-US"/>
        </w:rPr>
        <w:t>three</w:t>
      </w:r>
      <w:r w:rsidRPr="0021030B">
        <w:rPr>
          <w:rFonts w:cs="Times New Roman"/>
          <w:szCs w:val="24"/>
          <w:lang w:val="en-US"/>
        </w:rPr>
        <w:t xml:space="preserve"> subscales. </w:t>
      </w:r>
      <w:r w:rsidR="00844FD5" w:rsidRPr="0021030B">
        <w:rPr>
          <w:rFonts w:cs="Times New Roman"/>
          <w:szCs w:val="24"/>
          <w:lang w:val="en-US"/>
        </w:rPr>
        <w:t>Participants completed the</w:t>
      </w:r>
      <w:r w:rsidRPr="0021030B">
        <w:rPr>
          <w:rFonts w:cs="Times New Roman"/>
          <w:szCs w:val="24"/>
          <w:lang w:val="en-US"/>
        </w:rPr>
        <w:t xml:space="preserve"> Spanish version of the WOMAC questionnaire </w:t>
      </w:r>
      <w:r w:rsidR="00C72947" w:rsidRPr="0021030B">
        <w:rPr>
          <w:rFonts w:cs="Times New Roman"/>
          <w:szCs w:val="24"/>
          <w:lang w:val="en-US"/>
        </w:rPr>
        <w:fldChar w:fldCharType="begin" w:fldLock="1"/>
      </w:r>
      <w:r w:rsidR="00E42B44" w:rsidRPr="0021030B">
        <w:rPr>
          <w:rFonts w:cs="Times New Roman"/>
          <w:szCs w:val="24"/>
          <w:lang w:val="en-US"/>
        </w:rPr>
        <w:instrText>ADDIN CSL_CITATION {"citationItems":[{"id":"ITEM-1","itemData":{"DOI":"10.1007/s100670200117","ISSN":"07703198","author":[{"dropping-particle":"","family":"Escobar","given":"A.","non-dropping-particle":"","parse-names":false,"suffix":""},{"dropping-particle":"","family":"Quintana","given":"J. M.","non-dropping-particle":"","parse-names":false,"suffix":""},{"dropping-particle":"","family":"Bilbao","given":"A.","non-dropping-particle":"","parse-names":false,"suffix":""},{"dropping-particle":"","family":"Azkárate","given":"J.","non-dropping-particle":"","parse-names":false,"suffix":""},{"dropping-particle":"","family":"Güenaga","given":"J. I.","non-dropping-particle":"","parse-names":false,"suffix":""}],"container-title":"Clinical Rheumatology","id":"ITEM-1","issue":"6","issued":{"date-parts":[["2002","11","1"]]},"page":"466-471","title":"Validation of the Spanish Version of the WOMAC Questionnaire for Patients with Hip or Knee Osteoarthritis","type":"article-journal","volume":"21"},"uris":["http://www.mendeley.com/documents/?uuid=d8e04402-0d65-3d8e-ba75-c66d18ebad8e","http://www.mendeley.com/documents/?uuid=51060467-d7b1-4f71-a520-b931bf42b15d"]}],"mendeley":{"formattedCitation":"(Escobar, Quintana, Bilbao, Azkárate, &amp; Güenaga, 2002)","plainTextFormattedCitation":"(Escobar, Quintana, Bilbao, Azkárate, &amp; Güenaga, 2002)","previouslyFormattedCitation":"(Escobar, Quintana, Bilbao, Azkárate, &amp; Güenaga, 2002)"},"properties":{"noteIndex":0},"schema":"https://github.com/citation-style-language/schema/raw/master/csl-citation.json"}</w:instrText>
      </w:r>
      <w:r w:rsidR="00C72947" w:rsidRPr="0021030B">
        <w:rPr>
          <w:rFonts w:cs="Times New Roman"/>
          <w:szCs w:val="24"/>
          <w:lang w:val="en-US"/>
        </w:rPr>
        <w:fldChar w:fldCharType="separate"/>
      </w:r>
      <w:r w:rsidR="00E42B44" w:rsidRPr="0021030B">
        <w:rPr>
          <w:rFonts w:cs="Times New Roman"/>
          <w:noProof/>
          <w:szCs w:val="24"/>
          <w:lang w:val="en-US"/>
        </w:rPr>
        <w:t>(Escobar, Quintana, Bilbao, Azkárate, &amp; Güenaga, 2002)</w:t>
      </w:r>
      <w:r w:rsidR="00C72947" w:rsidRPr="0021030B">
        <w:rPr>
          <w:rFonts w:cs="Times New Roman"/>
          <w:szCs w:val="24"/>
          <w:lang w:val="en-US"/>
        </w:rPr>
        <w:fldChar w:fldCharType="end"/>
      </w:r>
      <w:r w:rsidR="00196645" w:rsidRPr="0021030B">
        <w:rPr>
          <w:rFonts w:cs="Times New Roman"/>
          <w:szCs w:val="24"/>
          <w:lang w:val="en-US"/>
        </w:rPr>
        <w:t>.</w:t>
      </w:r>
    </w:p>
    <w:p w14:paraId="68785549" w14:textId="77777777" w:rsidR="00767078" w:rsidRPr="0021030B" w:rsidRDefault="00767078" w:rsidP="009B55C8">
      <w:pPr>
        <w:spacing w:line="480" w:lineRule="auto"/>
        <w:rPr>
          <w:rFonts w:cs="Times New Roman"/>
          <w:szCs w:val="24"/>
          <w:lang w:val="en-US"/>
        </w:rPr>
      </w:pPr>
    </w:p>
    <w:p w14:paraId="573ADCDE" w14:textId="16280F43" w:rsidR="00583E19" w:rsidRPr="0021030B" w:rsidRDefault="00583E19" w:rsidP="00F52A7E">
      <w:pPr>
        <w:spacing w:line="480" w:lineRule="auto"/>
        <w:rPr>
          <w:rFonts w:cs="Times New Roman"/>
          <w:b/>
          <w:i/>
          <w:szCs w:val="24"/>
          <w:lang w:val="en-US"/>
        </w:rPr>
      </w:pPr>
      <w:r w:rsidRPr="0021030B">
        <w:rPr>
          <w:rFonts w:cs="Times New Roman"/>
          <w:b/>
          <w:i/>
          <w:szCs w:val="24"/>
          <w:lang w:val="en-US"/>
        </w:rPr>
        <w:t>Resistance training program</w:t>
      </w:r>
    </w:p>
    <w:p w14:paraId="276DB9A4" w14:textId="57F54908" w:rsidR="00BF5651" w:rsidRPr="0021030B" w:rsidRDefault="00033114" w:rsidP="009B55C8">
      <w:pPr>
        <w:spacing w:line="480" w:lineRule="auto"/>
        <w:rPr>
          <w:rFonts w:cs="Times New Roman"/>
          <w:szCs w:val="24"/>
          <w:lang w:val="en-US"/>
        </w:rPr>
      </w:pPr>
      <w:r w:rsidRPr="0021030B">
        <w:rPr>
          <w:rFonts w:cs="Times New Roman"/>
          <w:szCs w:val="24"/>
          <w:lang w:val="en-US"/>
        </w:rPr>
        <w:t xml:space="preserve">The </w:t>
      </w:r>
      <w:r w:rsidR="00CC081F" w:rsidRPr="0021030B">
        <w:rPr>
          <w:rFonts w:cs="Times New Roman"/>
          <w:szCs w:val="24"/>
          <w:lang w:val="en-US"/>
        </w:rPr>
        <w:t xml:space="preserve">intervention consisted of a 10-week </w:t>
      </w:r>
      <w:r w:rsidRPr="0021030B">
        <w:rPr>
          <w:rFonts w:cs="Times New Roman"/>
          <w:szCs w:val="24"/>
          <w:lang w:val="en-US"/>
        </w:rPr>
        <w:t>RT program</w:t>
      </w:r>
      <w:r w:rsidR="00E827B1" w:rsidRPr="0021030B">
        <w:rPr>
          <w:rFonts w:cs="Times New Roman"/>
          <w:szCs w:val="24"/>
          <w:lang w:val="en-US"/>
        </w:rPr>
        <w:t xml:space="preserve"> (</w:t>
      </w:r>
      <w:r w:rsidR="00141504" w:rsidRPr="0021030B">
        <w:rPr>
          <w:rFonts w:cs="Times New Roman"/>
          <w:szCs w:val="24"/>
          <w:lang w:val="en-US"/>
        </w:rPr>
        <w:t xml:space="preserve">2 days a week). The three experimental groups </w:t>
      </w:r>
      <w:r w:rsidR="002735B4" w:rsidRPr="0021030B">
        <w:rPr>
          <w:rFonts w:cs="Times New Roman"/>
          <w:szCs w:val="24"/>
          <w:lang w:val="en-US"/>
        </w:rPr>
        <w:t xml:space="preserve">(F-SQ, P-SQ and H-SQ) </w:t>
      </w:r>
      <w:r w:rsidR="00141504" w:rsidRPr="0021030B">
        <w:rPr>
          <w:rFonts w:cs="Times New Roman"/>
          <w:szCs w:val="24"/>
          <w:lang w:val="en-US"/>
        </w:rPr>
        <w:t xml:space="preserve">trained using the same </w:t>
      </w:r>
      <w:r w:rsidR="002735B4" w:rsidRPr="0021030B">
        <w:rPr>
          <w:rFonts w:cs="Times New Roman"/>
          <w:szCs w:val="24"/>
          <w:lang w:val="en-US"/>
        </w:rPr>
        <w:t xml:space="preserve">relative </w:t>
      </w:r>
      <w:r w:rsidR="00141504" w:rsidRPr="0021030B">
        <w:rPr>
          <w:rFonts w:cs="Times New Roman"/>
          <w:szCs w:val="24"/>
          <w:lang w:val="en-US"/>
        </w:rPr>
        <w:t>loading magnitude (progressively increasing from 60% to 80% 1RM over the time course of the study)</w:t>
      </w:r>
      <w:r w:rsidR="00B85505" w:rsidRPr="0021030B">
        <w:rPr>
          <w:rFonts w:cs="Times New Roman"/>
          <w:szCs w:val="24"/>
          <w:lang w:val="en-US"/>
        </w:rPr>
        <w:t>, inter-set recoveries (4 min) a</w:t>
      </w:r>
      <w:r w:rsidR="002735B4" w:rsidRPr="0021030B">
        <w:rPr>
          <w:rFonts w:cs="Times New Roman"/>
          <w:szCs w:val="24"/>
          <w:lang w:val="en-US"/>
        </w:rPr>
        <w:t xml:space="preserve">nd </w:t>
      </w:r>
      <w:r w:rsidR="00141504" w:rsidRPr="0021030B">
        <w:rPr>
          <w:rFonts w:cs="Times New Roman"/>
          <w:szCs w:val="24"/>
          <w:lang w:val="en-US"/>
        </w:rPr>
        <w:t xml:space="preserve">volume (4 to 5 sets and 8 to 4 repetitions) but differed in the depth of the </w:t>
      </w:r>
      <w:r w:rsidR="00327F47" w:rsidRPr="0021030B">
        <w:rPr>
          <w:rFonts w:cs="Times New Roman"/>
          <w:szCs w:val="24"/>
          <w:lang w:val="en-US"/>
        </w:rPr>
        <w:t xml:space="preserve">SQ </w:t>
      </w:r>
      <w:r w:rsidR="00141504" w:rsidRPr="0021030B">
        <w:rPr>
          <w:rFonts w:cs="Times New Roman"/>
          <w:szCs w:val="24"/>
          <w:lang w:val="en-US"/>
        </w:rPr>
        <w:t>trained (Table 1</w:t>
      </w:r>
      <w:r w:rsidR="002735B4" w:rsidRPr="0021030B">
        <w:rPr>
          <w:rFonts w:cs="Times New Roman"/>
          <w:szCs w:val="24"/>
          <w:lang w:val="en-US"/>
        </w:rPr>
        <w:t xml:space="preserve">). </w:t>
      </w:r>
      <w:r w:rsidR="00583E19" w:rsidRPr="0021030B">
        <w:rPr>
          <w:rFonts w:cs="Times New Roman"/>
          <w:szCs w:val="24"/>
          <w:lang w:val="en-US"/>
        </w:rPr>
        <w:t>Relative loads were determined from the load–velocity relationship as it has recently been shown that there exists a very close relationship between % 1RM and MPV</w:t>
      </w:r>
      <w:r w:rsidR="00C662A7" w:rsidRPr="0021030B">
        <w:rPr>
          <w:rFonts w:cs="Times New Roman"/>
          <w:szCs w:val="24"/>
          <w:lang w:val="en-US"/>
        </w:rPr>
        <w:t xml:space="preserve"> in the three </w:t>
      </w:r>
      <w:r w:rsidR="00327F47" w:rsidRPr="0021030B">
        <w:rPr>
          <w:rFonts w:cs="Times New Roman"/>
          <w:szCs w:val="24"/>
          <w:lang w:val="en-US"/>
        </w:rPr>
        <w:t xml:space="preserve">SQ </w:t>
      </w:r>
      <w:r w:rsidR="00CE4D89" w:rsidRPr="0021030B">
        <w:rPr>
          <w:rFonts w:cs="Times New Roman"/>
          <w:szCs w:val="24"/>
          <w:lang w:val="en-US"/>
        </w:rPr>
        <w:t>varia</w:t>
      </w:r>
      <w:r w:rsidR="001D2A5A" w:rsidRPr="0021030B">
        <w:rPr>
          <w:rFonts w:cs="Times New Roman"/>
          <w:szCs w:val="24"/>
          <w:lang w:val="en-US"/>
        </w:rPr>
        <w:t>tions</w:t>
      </w:r>
      <w:r w:rsidR="00C662A7" w:rsidRPr="0021030B">
        <w:rPr>
          <w:rFonts w:cs="Times New Roman"/>
          <w:szCs w:val="24"/>
          <w:lang w:val="en-US"/>
        </w:rPr>
        <w:t xml:space="preserve"> under study</w:t>
      </w:r>
      <w:r w:rsidR="00583E19" w:rsidRPr="0021030B">
        <w:rPr>
          <w:rFonts w:cs="Times New Roman"/>
          <w:szCs w:val="24"/>
          <w:lang w:val="en-US"/>
        </w:rPr>
        <w:t xml:space="preserve"> </w:t>
      </w:r>
      <w:r w:rsidR="00D86627" w:rsidRPr="0021030B">
        <w:rPr>
          <w:rFonts w:cs="Times New Roman"/>
          <w:szCs w:val="24"/>
        </w:rPr>
        <w:fldChar w:fldCharType="begin" w:fldLock="1"/>
      </w:r>
      <w:r w:rsidR="00E42B44" w:rsidRPr="0021030B">
        <w:rPr>
          <w:rFonts w:cs="Times New Roman"/>
          <w:szCs w:val="24"/>
          <w:lang w:val="en-US"/>
        </w:rPr>
        <w:instrText>ADDIN CSL_CITATION {"citationItems":[{"id":"ITEM-1","itemData":{"DOI":"10.1080/02640414.2018.1544187","ISBN":"1466-447X (Electronic) 0264-0414 (Linking)","ISSN":"0264-0414","PMID":"30426840","abstract":"This study aimed to compare the load-velocity and load-power relationships of three common variations of the squat exercise. 52 strength-trained males performed a progressive loading test up to the one-repetition maximum (1RM) in the full (F-SQ), parallel (P-SQ) and half (H-SQ) squat, conducted in random order on separate days. Bar velocity and vertical force were measured by means of a linear velocity transducer time-synchronized with a force platform. The relative load that maximized power output (Pmax) was analyzed using three outcome measures: mean concentric (MP), mean propulsive (MPP) and peak power (PP), while also including or excluding body mass in force calculations. 1RM was significantly different between exercises. Load-velocity and load-power relationships were significantly different between the F-SQ, P-SQ and H-SQ variations. Close relationships (R2 = 0.92-0.96) between load (%1RM) and bar velocity were found and they were specific for each squat variation, with faster velocities the greater the squat depth. Unlike the F-SQ and P-SQ, no sticking region was observed for the H-SQ when lifting high loads. The Pmax corresponded to a broad load range and was greatly influenced by how force output is calculated (including or excluding body mass) as well as the exact outcome variable used (MP, MPP, PP).","author":[{"dropping-particle":"","family":"Martínez-Cava","given":"Alejandro","non-dropping-particle":"","parse-names":false,"suffix":""},{"dropping-particle":"","family":"Morán-Navarro","given":"Ricardo","non-dropping-particle":"","parse-names":false,"suffix":""},{"dropping-particle":"","family":"Sánchez-Medina","given":"Luis","non-dropping-particle":"","parse-names":false,"suffix":""},{"dropping-particle":"","family":"González-Badillo","given":"Juan José","non-dropping-particle":"","parse-names":false,"suffix":""},{"dropping-particle":"","family":"Pallarés","given":"Jesús G.","non-dropping-particle":"","parse-names":false,"suffix":""}],"container-title":"Journal of Sports Sciences","id":"ITEM-1","issued":{"date-parts":[["2018"]]},"page":"1-9","title":"Velocity- and power-load relationships in the half, parallel and full back squat","type":"article-journal"},"uris":["http://www.mendeley.com/documents/?uuid=05a3228f-b4c3-4140-a84c-c87360b70550","http://www.mendeley.com/documents/?uuid=537000b3-bec2-46a1-853d-7888a95caf4f"]}],"mendeley":{"formattedCitation":"(Martínez-Cava et al., 2018)","plainTextFormattedCitation":"(Martínez-Cava et al., 2018)","previouslyFormattedCitation":"(Martínez-Cava et al., 2018)"},"properties":{"noteIndex":0},"schema":"https://github.com/citation-style-language/schema/raw/master/csl-citation.json"}</w:instrText>
      </w:r>
      <w:r w:rsidR="00D86627" w:rsidRPr="0021030B">
        <w:rPr>
          <w:rFonts w:cs="Times New Roman"/>
          <w:szCs w:val="24"/>
          <w:lang w:val="en-US"/>
        </w:rPr>
        <w:fldChar w:fldCharType="separate"/>
      </w:r>
      <w:r w:rsidR="00E42B44" w:rsidRPr="0021030B">
        <w:rPr>
          <w:rFonts w:cs="Times New Roman"/>
          <w:noProof/>
          <w:szCs w:val="24"/>
          <w:lang w:val="en-US"/>
        </w:rPr>
        <w:t>(Martínez-Cava et al., 2018)</w:t>
      </w:r>
      <w:r w:rsidR="00D86627" w:rsidRPr="0021030B">
        <w:rPr>
          <w:rFonts w:cs="Times New Roman"/>
          <w:szCs w:val="24"/>
        </w:rPr>
        <w:fldChar w:fldCharType="end"/>
      </w:r>
      <w:r w:rsidR="00583E19" w:rsidRPr="0021030B">
        <w:rPr>
          <w:rFonts w:cs="Times New Roman"/>
          <w:szCs w:val="24"/>
          <w:lang w:val="en-US"/>
        </w:rPr>
        <w:t xml:space="preserve">. Thus, a target MPV to be attained in the first (usually the fastest) repetition of the </w:t>
      </w:r>
      <w:r w:rsidR="006C61C5" w:rsidRPr="0021030B">
        <w:rPr>
          <w:rFonts w:cs="Times New Roman"/>
          <w:szCs w:val="24"/>
          <w:lang w:val="en-US"/>
        </w:rPr>
        <w:t>1</w:t>
      </w:r>
      <w:r w:rsidR="00583E19" w:rsidRPr="0021030B">
        <w:rPr>
          <w:rFonts w:cs="Times New Roman"/>
          <w:szCs w:val="24"/>
          <w:vertAlign w:val="superscript"/>
          <w:lang w:val="en-US"/>
        </w:rPr>
        <w:t>st</w:t>
      </w:r>
      <w:r w:rsidR="00583E19" w:rsidRPr="0021030B">
        <w:rPr>
          <w:rFonts w:cs="Times New Roman"/>
          <w:szCs w:val="24"/>
          <w:lang w:val="en-US"/>
        </w:rPr>
        <w:t xml:space="preserve"> exercise set in each session was used as an estimation of % 1RM</w:t>
      </w:r>
      <w:r w:rsidR="00C662A7" w:rsidRPr="0021030B">
        <w:rPr>
          <w:rFonts w:cs="Times New Roman"/>
          <w:szCs w:val="24"/>
          <w:lang w:val="en-US"/>
        </w:rPr>
        <w:t>;</w:t>
      </w:r>
      <w:r w:rsidR="00583E19" w:rsidRPr="0021030B">
        <w:rPr>
          <w:rFonts w:cs="Times New Roman"/>
          <w:szCs w:val="24"/>
          <w:lang w:val="en-US"/>
        </w:rPr>
        <w:t xml:space="preserve"> i.e., a velocity-based training was actually performed, instead of a traditional loading-based RT program </w:t>
      </w:r>
      <w:r w:rsidR="00D66B10" w:rsidRPr="0021030B">
        <w:rPr>
          <w:rFonts w:cs="Times New Roman"/>
          <w:szCs w:val="24"/>
        </w:rPr>
        <w:fldChar w:fldCharType="begin" w:fldLock="1"/>
      </w:r>
      <w:r w:rsidR="00E42B44" w:rsidRPr="0021030B">
        <w:rPr>
          <w:rFonts w:cs="Times New Roman"/>
          <w:szCs w:val="24"/>
          <w:lang w:val="en-US"/>
        </w:rPr>
        <w:instrText>ADDIN CSL_CITATION {"citationItems":[{"id":"ITEM-1","itemData":{"DOI":"10.1007/s00421-017-3725-7","ISSN":"1439-6319","PMID":"28965198","abstract":"PURPOSE To describe the acute and delayed time course of recovery following resistance training (RT) protocols differing in the number of repetitions (R) performed in each set (S) out of the maximum possible number (P). METHODS Ten resistance-trained men undertook three RT protocols [S × R(P)]: (1) 3 × 5(10), (2) 6 × 5(10), and (3) 3 × 10(10) in the bench press (BP) and full squat (SQ) exercises. Selected mechanical and biochemical variables were assessed at seven time points (from - 12 h to + 72 h post-exercise). Countermovement jump height (CMJ) and movement velocity against the load that elicited a 1 m s-1 mean propulsive velocity (V1) and 75% 1RM in the BP and SQ were used as mechanical indicators of neuromuscular performance. RESULTS Training to muscle failure in each set [3 × 10(10)], even when compared to completing the same total exercise volume [6 × 5(10)], resulted in a significantly higher acute decline of CMJ and velocity against the V1 and 75% 1RM loads in both BP and SQ. In contrast, recovery from the 3 × 5(10) and 6 × 5(10) protocols was significantly faster between 24 and 48 h post-exercise compared to 3 × 10(10). Markers of acute (ammonia, growth hormone) and delayed (creatine kinase) fatigue showed a markedly different course of recovery between protocols, suggesting that training to failure slows down recovery up to 24-48 h post-exercise. CONCLUSIONS RT leading to failure considerably increases the time needed for the recovery of neuromuscular function and metabolic and hormonal homeostasis. Avoiding failure would allow athletes to be in a better neuromuscular condition to undertake a new training session or competition in a shorter period of time.","author":[{"dropping-particle":"","family":"Morán-Navarro","given":"Ricardo","non-dropping-particle":"","parse-names":false,"suffix":""},{"dropping-particle":"","family":"Pérez","given":"Carlos E.","non-dropping-particle":"","parse-names":false,"suffix":""},{"dropping-particle":"","family":"Mora-Rodríguez","given":"Ricardo","non-dropping-particle":"","parse-names":false,"suffix":""},{"dropping-particle":"","family":"la Cruz-Sánchez","given":"Ernesto","non-dropping-particle":"de","parse-names":false,"suffix":""},{"dropping-particle":"","family":"González-Badillo","given":"Juan José","non-dropping-particle":"","parse-names":false,"suffix":""},{"dropping-particle":"","family":"Sánchez-Medina","given":"Luis","non-dropping-particle":"","parse-names":false,"suffix":""},{"dropping-particle":"","family":"Pallarés","given":"Jesús G.","non-dropping-particle":"","parse-names":false,"suffix":""}],"container-title":"European Journal of Applied Physiology","id":"ITEM-1","issue":"12","issued":{"date-parts":[["2017","12","30"]]},"page":"2387-2399","title":"Time course of recovery following resistance training leading or not to failure","type":"article-journal","volume":"117"},"uris":["http://www.mendeley.com/documents/?uuid=dfbe8f61-f9fb-3ec1-b459-5317b72cc53d"]}],"mendeley":{"formattedCitation":"(Morán-Navarro et al., 2017)","plainTextFormattedCitation":"(Morán-Navarro et al., 2017)","previouslyFormattedCitation":"(Morán-Navarro et al., 2017)"},"properties":{"noteIndex":0},"schema":"https://github.com/citation-style-language/schema/raw/master/csl-citation.json"}</w:instrText>
      </w:r>
      <w:r w:rsidR="00D66B10" w:rsidRPr="0021030B">
        <w:rPr>
          <w:rFonts w:cs="Times New Roman"/>
          <w:szCs w:val="24"/>
          <w:lang w:val="en-US"/>
        </w:rPr>
        <w:fldChar w:fldCharType="separate"/>
      </w:r>
      <w:r w:rsidR="00E42B44" w:rsidRPr="0021030B">
        <w:rPr>
          <w:rFonts w:cs="Times New Roman"/>
          <w:noProof/>
          <w:szCs w:val="24"/>
          <w:lang w:val="en-US"/>
        </w:rPr>
        <w:t>(Morán-Navarro et al., 2017)</w:t>
      </w:r>
      <w:r w:rsidR="00D66B10" w:rsidRPr="0021030B">
        <w:rPr>
          <w:rFonts w:cs="Times New Roman"/>
          <w:szCs w:val="24"/>
        </w:rPr>
        <w:fldChar w:fldCharType="end"/>
      </w:r>
      <w:r w:rsidR="00583E19" w:rsidRPr="0021030B">
        <w:rPr>
          <w:rFonts w:cs="Times New Roman"/>
          <w:szCs w:val="24"/>
          <w:lang w:val="en-US"/>
        </w:rPr>
        <w:t xml:space="preserve">. </w:t>
      </w:r>
      <w:r w:rsidR="006C61C5" w:rsidRPr="0021030B">
        <w:rPr>
          <w:rFonts w:cs="Times New Roman"/>
          <w:szCs w:val="24"/>
          <w:lang w:val="en-US"/>
        </w:rPr>
        <w:t>Following the standardized warm-up and previous to the first RT set, t</w:t>
      </w:r>
      <w:r w:rsidR="00583E19" w:rsidRPr="0021030B">
        <w:rPr>
          <w:rFonts w:cs="Times New Roman"/>
          <w:szCs w:val="24"/>
          <w:lang w:val="en-US"/>
        </w:rPr>
        <w:t>he absolute load (kg) was individually adjusted to match the velocity associated (</w:t>
      </w:r>
      <w:r w:rsidR="00C662A7" w:rsidRPr="0021030B">
        <w:rPr>
          <w:rFonts w:cs="Times New Roman"/>
          <w:szCs w:val="24"/>
          <w:lang w:val="en-US"/>
        </w:rPr>
        <w:t>±</w:t>
      </w:r>
      <w:r w:rsidR="00583E19" w:rsidRPr="0021030B">
        <w:rPr>
          <w:rFonts w:cs="Times New Roman"/>
          <w:szCs w:val="24"/>
          <w:lang w:val="en-US"/>
        </w:rPr>
        <w:t xml:space="preserve"> 0.03 m/s) with the %1RM that was intended for that session.</w:t>
      </w:r>
      <w:r w:rsidR="00285C9B" w:rsidRPr="0021030B">
        <w:t xml:space="preserve"> </w:t>
      </w:r>
      <w:r w:rsidR="00285C9B" w:rsidRPr="0021030B">
        <w:rPr>
          <w:rFonts w:cs="Times New Roman"/>
          <w:szCs w:val="24"/>
          <w:lang w:val="en-US"/>
        </w:rPr>
        <w:t xml:space="preserve">This procedure ensures that each athlete performed every squat </w:t>
      </w:r>
      <w:r w:rsidR="00285C9B" w:rsidRPr="0021030B">
        <w:rPr>
          <w:rFonts w:cs="Times New Roman"/>
          <w:szCs w:val="24"/>
          <w:lang w:val="en-US"/>
        </w:rPr>
        <w:lastRenderedPageBreak/>
        <w:t>repetition at the programmed load intensity during the training session, thus avoiding the mismatches of programming based on the % 1RM value measured in T0, since this value will be considerably altered over the weeks due to neuromuscular and functional improvements or fatigue processes.</w:t>
      </w:r>
    </w:p>
    <w:p w14:paraId="7E3F6723" w14:textId="77777777" w:rsidR="00767078" w:rsidRPr="0021030B" w:rsidRDefault="00767078" w:rsidP="009B55C8">
      <w:pPr>
        <w:spacing w:line="480" w:lineRule="auto"/>
        <w:rPr>
          <w:rFonts w:cs="Times New Roman"/>
          <w:szCs w:val="24"/>
          <w:lang w:val="en-US"/>
        </w:rPr>
      </w:pPr>
    </w:p>
    <w:p w14:paraId="7518218E" w14:textId="6256FF70" w:rsidR="0059665D" w:rsidRPr="0021030B" w:rsidRDefault="00AD679E" w:rsidP="00F52A7E">
      <w:pPr>
        <w:spacing w:line="480" w:lineRule="auto"/>
        <w:rPr>
          <w:rFonts w:cs="Times New Roman"/>
          <w:b/>
          <w:szCs w:val="24"/>
          <w:lang w:val="en-US"/>
        </w:rPr>
      </w:pPr>
      <w:r w:rsidRPr="0021030B">
        <w:rPr>
          <w:rFonts w:cs="Times New Roman"/>
          <w:b/>
          <w:szCs w:val="24"/>
          <w:lang w:val="en-US"/>
        </w:rPr>
        <w:t>Statistical analyses</w:t>
      </w:r>
    </w:p>
    <w:p w14:paraId="7FC63690" w14:textId="1FA8C93F" w:rsidR="00513628" w:rsidRPr="0021030B" w:rsidRDefault="00D676D0" w:rsidP="009B55C8">
      <w:pPr>
        <w:spacing w:line="480" w:lineRule="auto"/>
        <w:rPr>
          <w:rFonts w:cs="Times New Roman"/>
          <w:szCs w:val="24"/>
          <w:lang w:val="en-US"/>
        </w:rPr>
      </w:pPr>
      <w:r w:rsidRPr="0021030B">
        <w:rPr>
          <w:rFonts w:cs="Times New Roman"/>
          <w:szCs w:val="24"/>
          <w:lang w:val="en-US"/>
        </w:rPr>
        <w:t>M</w:t>
      </w:r>
      <w:r w:rsidR="00B10A9F" w:rsidRPr="0021030B">
        <w:rPr>
          <w:rFonts w:cs="Times New Roman"/>
          <w:szCs w:val="24"/>
          <w:lang w:val="en-US"/>
        </w:rPr>
        <w:t>eans, standard deviation</w:t>
      </w:r>
      <w:r w:rsidRPr="0021030B">
        <w:rPr>
          <w:rFonts w:cs="Times New Roman"/>
          <w:szCs w:val="24"/>
          <w:lang w:val="en-US"/>
        </w:rPr>
        <w:t xml:space="preserve"> </w:t>
      </w:r>
      <w:r w:rsidR="00014736" w:rsidRPr="0021030B">
        <w:rPr>
          <w:rFonts w:cs="Times New Roman"/>
          <w:szCs w:val="24"/>
          <w:lang w:val="en-US"/>
        </w:rPr>
        <w:t xml:space="preserve">and </w:t>
      </w:r>
      <w:r w:rsidR="00B10A9F" w:rsidRPr="0021030B">
        <w:rPr>
          <w:rFonts w:cs="Times New Roman"/>
          <w:szCs w:val="24"/>
          <w:lang w:val="en-US"/>
        </w:rPr>
        <w:t xml:space="preserve">standard error of the means </w:t>
      </w:r>
      <w:r w:rsidRPr="0021030B">
        <w:rPr>
          <w:rFonts w:cs="Times New Roman"/>
          <w:szCs w:val="24"/>
          <w:lang w:val="en-US"/>
        </w:rPr>
        <w:t>were calculated</w:t>
      </w:r>
      <w:r w:rsidR="00513628" w:rsidRPr="0021030B">
        <w:rPr>
          <w:rFonts w:cs="Times New Roman"/>
          <w:szCs w:val="24"/>
          <w:lang w:val="en-US"/>
        </w:rPr>
        <w:t>.</w:t>
      </w:r>
      <w:r w:rsidR="00DC4810" w:rsidRPr="0021030B">
        <w:t xml:space="preserve"> </w:t>
      </w:r>
      <w:r w:rsidR="00B31EF0" w:rsidRPr="0021030B">
        <w:rPr>
          <w:rFonts w:cs="Times New Roman"/>
          <w:szCs w:val="24"/>
          <w:lang w:val="en-US"/>
        </w:rPr>
        <w:t>Assumption of</w:t>
      </w:r>
      <w:r w:rsidR="00DC4810" w:rsidRPr="0021030B">
        <w:rPr>
          <w:rFonts w:cs="Times New Roman"/>
          <w:szCs w:val="24"/>
          <w:lang w:val="en-US"/>
        </w:rPr>
        <w:t xml:space="preserve"> normality was </w:t>
      </w:r>
      <w:r w:rsidR="00B31EF0" w:rsidRPr="0021030B">
        <w:rPr>
          <w:rFonts w:cs="Times New Roman"/>
          <w:szCs w:val="24"/>
          <w:lang w:val="en-US"/>
        </w:rPr>
        <w:t>verified</w:t>
      </w:r>
      <w:r w:rsidR="00DC4810" w:rsidRPr="0021030B">
        <w:rPr>
          <w:rFonts w:cs="Times New Roman"/>
          <w:szCs w:val="24"/>
          <w:lang w:val="en-US"/>
        </w:rPr>
        <w:t xml:space="preserve"> </w:t>
      </w:r>
      <w:r w:rsidR="00B31EF0" w:rsidRPr="0021030B">
        <w:rPr>
          <w:rFonts w:cs="Times New Roman"/>
          <w:szCs w:val="24"/>
          <w:lang w:val="en-US"/>
        </w:rPr>
        <w:t>using</w:t>
      </w:r>
      <w:r w:rsidR="00DC4810" w:rsidRPr="0021030B">
        <w:rPr>
          <w:rFonts w:cs="Times New Roman"/>
          <w:szCs w:val="24"/>
          <w:lang w:val="en-US"/>
        </w:rPr>
        <w:t xml:space="preserve"> the Shapiro–Wilk test and the homogeneity of variance across groups</w:t>
      </w:r>
      <w:r w:rsidR="00372CBA" w:rsidRPr="0021030B">
        <w:rPr>
          <w:rFonts w:cs="Times New Roman"/>
          <w:szCs w:val="24"/>
          <w:lang w:val="en-US"/>
        </w:rPr>
        <w:t xml:space="preserve"> (F-SQ, P-SQ, H-SQ and CON)</w:t>
      </w:r>
      <w:r w:rsidR="00DC4810" w:rsidRPr="0021030B">
        <w:t xml:space="preserve"> </w:t>
      </w:r>
      <w:r w:rsidR="00DC4810" w:rsidRPr="0021030B">
        <w:rPr>
          <w:rFonts w:cs="Times New Roman"/>
          <w:szCs w:val="24"/>
          <w:lang w:val="en-US"/>
        </w:rPr>
        <w:t>using the Levene’s test.</w:t>
      </w:r>
      <w:r w:rsidR="00635B4B" w:rsidRPr="0021030B">
        <w:rPr>
          <w:rFonts w:cs="Times New Roman"/>
          <w:shd w:val="clear" w:color="auto" w:fill="FFFFFF"/>
          <w:lang w:val="en-GB"/>
        </w:rPr>
        <w:t xml:space="preserve"> </w:t>
      </w:r>
      <w:r w:rsidR="00807D5E" w:rsidRPr="0021030B">
        <w:rPr>
          <w:rFonts w:cs="Times New Roman"/>
          <w:szCs w:val="24"/>
          <w:lang w:val="en-US"/>
        </w:rPr>
        <w:t xml:space="preserve">A 4 x 2 factorial ANOVA </w:t>
      </w:r>
      <w:r w:rsidR="00B10A9F" w:rsidRPr="0021030B">
        <w:rPr>
          <w:rFonts w:cs="Times New Roman"/>
          <w:szCs w:val="24"/>
          <w:lang w:val="en-US"/>
        </w:rPr>
        <w:t xml:space="preserve">with post-hoc </w:t>
      </w:r>
      <w:r w:rsidR="00807D5E" w:rsidRPr="0021030B">
        <w:rPr>
          <w:rFonts w:cs="Times New Roman"/>
          <w:szCs w:val="24"/>
          <w:lang w:val="en-US"/>
        </w:rPr>
        <w:t xml:space="preserve">was performed to evaluate absolute changes in </w:t>
      </w:r>
      <w:r w:rsidR="00014736" w:rsidRPr="0021030B">
        <w:rPr>
          <w:rFonts w:cs="Times New Roman"/>
          <w:szCs w:val="24"/>
          <w:lang w:val="en-US"/>
        </w:rPr>
        <w:t>the neuromuscular and functional</w:t>
      </w:r>
      <w:r w:rsidR="00807D5E" w:rsidRPr="0021030B">
        <w:rPr>
          <w:rFonts w:cs="Times New Roman"/>
          <w:szCs w:val="24"/>
          <w:lang w:val="en-US"/>
        </w:rPr>
        <w:t xml:space="preserve"> </w:t>
      </w:r>
      <w:r w:rsidR="00B966CC" w:rsidRPr="0021030B">
        <w:rPr>
          <w:rFonts w:cs="Times New Roman"/>
          <w:szCs w:val="24"/>
          <w:lang w:val="en-US"/>
        </w:rPr>
        <w:t xml:space="preserve">parameters </w:t>
      </w:r>
      <w:r w:rsidR="00807D5E" w:rsidRPr="0021030B">
        <w:rPr>
          <w:rFonts w:cs="Times New Roman"/>
          <w:szCs w:val="24"/>
          <w:lang w:val="en-US"/>
        </w:rPr>
        <w:t>between groups (F-SQ, P-SQ, H-SQ and C</w:t>
      </w:r>
      <w:r w:rsidR="003F53CC" w:rsidRPr="0021030B">
        <w:rPr>
          <w:rFonts w:cs="Times New Roman"/>
          <w:szCs w:val="24"/>
          <w:lang w:val="en-US"/>
        </w:rPr>
        <w:t>ON</w:t>
      </w:r>
      <w:r w:rsidR="00807D5E" w:rsidRPr="0021030B">
        <w:rPr>
          <w:rFonts w:cs="Times New Roman"/>
          <w:szCs w:val="24"/>
          <w:lang w:val="en-US"/>
        </w:rPr>
        <w:t>) and time points (T0 and T1).</w:t>
      </w:r>
      <w:r w:rsidR="00B10A9F" w:rsidRPr="0021030B">
        <w:rPr>
          <w:rFonts w:cs="Times New Roman"/>
          <w:szCs w:val="24"/>
          <w:lang w:val="en-US"/>
        </w:rPr>
        <w:t xml:space="preserve"> </w:t>
      </w:r>
      <w:r w:rsidR="00513628" w:rsidRPr="0021030B">
        <w:rPr>
          <w:rFonts w:cs="Times New Roman"/>
          <w:szCs w:val="24"/>
          <w:lang w:val="en-US"/>
        </w:rPr>
        <w:t xml:space="preserve">One-way ANOVA was run </w:t>
      </w:r>
      <w:r w:rsidR="00C81FDE" w:rsidRPr="0021030B">
        <w:rPr>
          <w:rFonts w:cs="Times New Roman"/>
          <w:szCs w:val="24"/>
          <w:lang w:val="en-US"/>
        </w:rPr>
        <w:t>to compare the</w:t>
      </w:r>
      <w:r w:rsidR="00513628" w:rsidRPr="0021030B">
        <w:rPr>
          <w:rFonts w:cs="Times New Roman"/>
          <w:szCs w:val="24"/>
          <w:lang w:val="en-US"/>
        </w:rPr>
        <w:t xml:space="preserve"> </w:t>
      </w:r>
      <w:r w:rsidR="00724F11" w:rsidRPr="0021030B">
        <w:rPr>
          <w:rFonts w:cs="Times New Roman"/>
          <w:szCs w:val="24"/>
          <w:lang w:val="en-US"/>
        </w:rPr>
        <w:t xml:space="preserve">percentage of </w:t>
      </w:r>
      <w:r w:rsidR="00513628" w:rsidRPr="0021030B">
        <w:rPr>
          <w:rFonts w:cs="Times New Roman"/>
          <w:szCs w:val="24"/>
          <w:lang w:val="en-US"/>
        </w:rPr>
        <w:t>change</w:t>
      </w:r>
      <w:r w:rsidR="005966B7" w:rsidRPr="0021030B">
        <w:rPr>
          <w:rFonts w:cs="Times New Roman"/>
          <w:szCs w:val="24"/>
          <w:lang w:val="en-US"/>
        </w:rPr>
        <w:t xml:space="preserve"> </w:t>
      </w:r>
      <w:r w:rsidR="00513628" w:rsidRPr="0021030B">
        <w:rPr>
          <w:rFonts w:cs="Times New Roman"/>
          <w:szCs w:val="24"/>
          <w:lang w:val="en-US"/>
        </w:rPr>
        <w:t>scores</w:t>
      </w:r>
      <w:r w:rsidR="005966B7" w:rsidRPr="0021030B">
        <w:rPr>
          <w:rFonts w:cs="Times New Roman"/>
          <w:szCs w:val="24"/>
          <w:lang w:val="en-US"/>
        </w:rPr>
        <w:t xml:space="preserve"> (</w:t>
      </w:r>
      <w:r w:rsidR="005966B7" w:rsidRPr="0021030B">
        <w:rPr>
          <w:rFonts w:eastAsia="Times New Roman" w:cs="Times New Roman"/>
          <w:szCs w:val="24"/>
          <w:lang w:val="en-US" w:eastAsia="es-ES"/>
        </w:rPr>
        <w:t>%)</w:t>
      </w:r>
      <w:r w:rsidR="005966B7" w:rsidRPr="0021030B">
        <w:rPr>
          <w:rFonts w:cs="Times New Roman"/>
          <w:szCs w:val="24"/>
          <w:lang w:val="en-US"/>
        </w:rPr>
        <w:t xml:space="preserve"> </w:t>
      </w:r>
      <w:r w:rsidR="00724F11" w:rsidRPr="0021030B">
        <w:rPr>
          <w:rFonts w:cs="Times New Roman"/>
          <w:szCs w:val="24"/>
          <w:lang w:val="en-US"/>
        </w:rPr>
        <w:t>between</w:t>
      </w:r>
      <w:r w:rsidR="00513628" w:rsidRPr="0021030B">
        <w:rPr>
          <w:rFonts w:cs="Times New Roman"/>
          <w:szCs w:val="24"/>
          <w:lang w:val="en-US"/>
        </w:rPr>
        <w:t xml:space="preserve"> </w:t>
      </w:r>
      <w:r w:rsidR="008E7BBB" w:rsidRPr="0021030B">
        <w:rPr>
          <w:rFonts w:cs="Times New Roman"/>
          <w:szCs w:val="24"/>
          <w:lang w:val="en-US"/>
        </w:rPr>
        <w:t xml:space="preserve">T0 </w:t>
      </w:r>
      <w:r w:rsidR="00513628" w:rsidRPr="0021030B">
        <w:rPr>
          <w:rFonts w:cs="Times New Roman"/>
          <w:szCs w:val="24"/>
          <w:lang w:val="en-US"/>
        </w:rPr>
        <w:t xml:space="preserve">vs. </w:t>
      </w:r>
      <w:r w:rsidR="008E7BBB" w:rsidRPr="0021030B">
        <w:rPr>
          <w:rFonts w:cs="Times New Roman"/>
          <w:szCs w:val="24"/>
          <w:lang w:val="en-US"/>
        </w:rPr>
        <w:t>T1</w:t>
      </w:r>
      <w:r w:rsidR="00513628" w:rsidRPr="0021030B">
        <w:rPr>
          <w:rFonts w:cs="Times New Roman"/>
          <w:szCs w:val="24"/>
          <w:lang w:val="en-US"/>
        </w:rPr>
        <w:t xml:space="preserve"> in the selected variables</w:t>
      </w:r>
      <w:r w:rsidR="000D0764" w:rsidRPr="0021030B">
        <w:rPr>
          <w:rFonts w:cs="Times New Roman"/>
          <w:szCs w:val="24"/>
          <w:lang w:val="en-US"/>
        </w:rPr>
        <w:t xml:space="preserve"> between experimental groups</w:t>
      </w:r>
      <w:r w:rsidR="00513628" w:rsidRPr="0021030B">
        <w:rPr>
          <w:rFonts w:cs="Times New Roman"/>
          <w:szCs w:val="24"/>
          <w:lang w:val="en-US"/>
        </w:rPr>
        <w:t xml:space="preserve">. </w:t>
      </w:r>
      <w:r w:rsidR="00AD679E" w:rsidRPr="0021030B">
        <w:rPr>
          <w:rFonts w:cs="Times New Roman"/>
          <w:szCs w:val="24"/>
          <w:lang w:val="en-US"/>
        </w:rPr>
        <w:t>Statistical significance was established at the</w:t>
      </w:r>
      <w:r w:rsidR="00C075A1" w:rsidRPr="0021030B">
        <w:rPr>
          <w:rFonts w:cs="Times New Roman"/>
          <w:szCs w:val="24"/>
          <w:lang w:val="en-US"/>
        </w:rPr>
        <w:t xml:space="preserve"> </w:t>
      </w:r>
      <w:r w:rsidR="00BB716B" w:rsidRPr="0021030B">
        <w:rPr>
          <w:rFonts w:cs="Times New Roman"/>
          <w:szCs w:val="24"/>
          <w:lang w:val="en-US"/>
        </w:rPr>
        <w:t>p</w:t>
      </w:r>
      <w:r w:rsidR="00AD679E" w:rsidRPr="0021030B">
        <w:rPr>
          <w:rFonts w:cs="Times New Roman"/>
          <w:szCs w:val="24"/>
          <w:lang w:val="en-US"/>
        </w:rPr>
        <w:t xml:space="preserve"> &lt;0.05 level. </w:t>
      </w:r>
      <w:r w:rsidRPr="0021030B">
        <w:rPr>
          <w:rFonts w:cs="Times New Roman"/>
          <w:szCs w:val="24"/>
          <w:lang w:val="en-US"/>
        </w:rPr>
        <w:t xml:space="preserve">Effect Sizes (ES) were classified as “small” if lower than 0.2, “medium” if between 0.2 and 0.5, and “large” if higher than 0.8. </w:t>
      </w:r>
      <w:r w:rsidR="00D31E37" w:rsidRPr="0021030B">
        <w:rPr>
          <w:rFonts w:cs="Times New Roman"/>
          <w:szCs w:val="24"/>
          <w:lang w:val="en-US"/>
        </w:rPr>
        <w:fldChar w:fldCharType="begin" w:fldLock="1"/>
      </w:r>
      <w:r w:rsidR="00D31E37" w:rsidRPr="0021030B">
        <w:rPr>
          <w:rFonts w:cs="Times New Roman"/>
          <w:szCs w:val="24"/>
          <w:lang w:val="en-US"/>
        </w:rPr>
        <w:instrText>ADDIN CSL_CITATION {"citationItems":[{"id":"ITEM-1","itemData":{"DOI":"10.3389/fpsyg.2013.00863","ISBN":"1664-1078 (Print)","ISSN":"16641078","PMID":"24324449","abstract":"Effect sizes are the most important outcome of empirical studies. Most articles on effect sizes highlight their importance to communicate the practical significance of results. For scientists themselves, effect sizes are most useful because they facilitate cumulative science. Effect sizes can be used to determine the sample size for follow-up studies, or examining effects across studies. This article aims to provide a practical primer on how to calculate and report effect sizes for t-tests and ANOVA's such that effect sizes can be used in a-priori power analyses and meta-analyses. Whereas many articles about effect sizes focus on between-subjects designs and address within-subjects designs only briefly, I provide a detailed overview of the similarities and differences between within- and between-subjects designs. I suggest that some research questions in experimental psychology examine inherently intra-individual effects, which makes effect sizes that incorporate the correlation between measures the best summary of the results. Finally, a supplementary spreadsheet is provided to make it as easy as possible for researchers to incorporate effect size calculations into their workflow.","author":[{"dropping-particle":"","family":"Lakens","given":"Daniël","non-dropping-particle":"","parse-names":false,"suffix":""}],"container-title":"Frontiers in Psychology","id":"ITEM-1","issued":{"date-parts":[["2013","11","26"]]},"page":"863","title":"Calculating and reporting effect sizes to facilitate cumulative science: A practical primer for t-tests and ANOVAs","type":"article-journal","volume":"4"},"uris":["http://www.mendeley.com/documents/?uuid=2c419492-dcf8-3a75-8888-4063b701f55b"]}],"mendeley":{"formattedCitation":"(Lakens, 2013)","plainTextFormattedCitation":"(Lakens, 2013)","previouslyFormattedCitation":"(Lakens, 2013)"},"properties":{"noteIndex":0},"schema":"https://github.com/citation-style-language/schema/raw/master/csl-citation.json"}</w:instrText>
      </w:r>
      <w:r w:rsidR="00D31E37" w:rsidRPr="0021030B">
        <w:rPr>
          <w:rFonts w:cs="Times New Roman"/>
          <w:szCs w:val="24"/>
          <w:lang w:val="en-US"/>
        </w:rPr>
        <w:fldChar w:fldCharType="separate"/>
      </w:r>
      <w:r w:rsidR="00D31E37" w:rsidRPr="0021030B">
        <w:rPr>
          <w:rFonts w:cs="Times New Roman"/>
          <w:noProof/>
          <w:szCs w:val="24"/>
          <w:lang w:val="en-US"/>
        </w:rPr>
        <w:t>(Lakens, 2013)</w:t>
      </w:r>
      <w:r w:rsidR="00D31E37" w:rsidRPr="0021030B">
        <w:rPr>
          <w:rFonts w:cs="Times New Roman"/>
          <w:szCs w:val="24"/>
          <w:lang w:val="en-US"/>
        </w:rPr>
        <w:fldChar w:fldCharType="end"/>
      </w:r>
      <w:r w:rsidRPr="0021030B">
        <w:rPr>
          <w:rFonts w:cs="Times New Roman"/>
          <w:szCs w:val="24"/>
          <w:lang w:val="en-US"/>
        </w:rPr>
        <w:t xml:space="preserve">. </w:t>
      </w:r>
      <w:r w:rsidR="00AD679E" w:rsidRPr="0021030B">
        <w:rPr>
          <w:rFonts w:cs="Times New Roman"/>
          <w:szCs w:val="24"/>
          <w:lang w:val="en-US"/>
        </w:rPr>
        <w:t>Statistical analyses were</w:t>
      </w:r>
      <w:r w:rsidR="00C075A1" w:rsidRPr="0021030B">
        <w:rPr>
          <w:rFonts w:cs="Times New Roman"/>
          <w:szCs w:val="24"/>
          <w:lang w:val="en-US"/>
        </w:rPr>
        <w:t xml:space="preserve"> </w:t>
      </w:r>
      <w:r w:rsidR="00AD679E" w:rsidRPr="0021030B">
        <w:rPr>
          <w:rFonts w:cs="Times New Roman"/>
          <w:szCs w:val="24"/>
          <w:lang w:val="en-US"/>
        </w:rPr>
        <w:t xml:space="preserve">performed using SPSS software version </w:t>
      </w:r>
      <w:r w:rsidR="00A3084D" w:rsidRPr="0021030B">
        <w:rPr>
          <w:rFonts w:cs="Times New Roman"/>
          <w:szCs w:val="24"/>
          <w:lang w:val="en-US"/>
        </w:rPr>
        <w:t>2</w:t>
      </w:r>
      <w:r w:rsidR="00E64B1D" w:rsidRPr="0021030B">
        <w:rPr>
          <w:rFonts w:cs="Times New Roman"/>
          <w:szCs w:val="24"/>
          <w:lang w:val="en-US"/>
        </w:rPr>
        <w:t>4</w:t>
      </w:r>
      <w:r w:rsidR="00AD679E" w:rsidRPr="0021030B">
        <w:rPr>
          <w:rFonts w:cs="Times New Roman"/>
          <w:szCs w:val="24"/>
          <w:lang w:val="en-US"/>
        </w:rPr>
        <w:t>.0 (</w:t>
      </w:r>
      <w:r w:rsidR="00E64B1D" w:rsidRPr="0021030B">
        <w:rPr>
          <w:rFonts w:cs="Times New Roman"/>
          <w:szCs w:val="24"/>
          <w:lang w:val="en-US"/>
        </w:rPr>
        <w:t>IBM Corp</w:t>
      </w:r>
      <w:r w:rsidR="00AD679E" w:rsidRPr="0021030B">
        <w:rPr>
          <w:rFonts w:cs="Times New Roman"/>
          <w:szCs w:val="24"/>
          <w:lang w:val="en-US"/>
        </w:rPr>
        <w:t xml:space="preserve">., </w:t>
      </w:r>
      <w:r w:rsidR="00E64B1D" w:rsidRPr="0021030B">
        <w:rPr>
          <w:rFonts w:cs="Times New Roman"/>
          <w:szCs w:val="24"/>
          <w:lang w:val="en-US"/>
        </w:rPr>
        <w:t>Armonk</w:t>
      </w:r>
      <w:r w:rsidR="00AD679E" w:rsidRPr="0021030B">
        <w:rPr>
          <w:rFonts w:cs="Times New Roman"/>
          <w:szCs w:val="24"/>
          <w:lang w:val="en-US"/>
        </w:rPr>
        <w:t xml:space="preserve">, </w:t>
      </w:r>
      <w:r w:rsidR="00E64B1D" w:rsidRPr="0021030B">
        <w:rPr>
          <w:rFonts w:cs="Times New Roman"/>
          <w:szCs w:val="24"/>
          <w:lang w:val="en-US"/>
        </w:rPr>
        <w:t>NY</w:t>
      </w:r>
      <w:r w:rsidR="00AD679E" w:rsidRPr="0021030B">
        <w:rPr>
          <w:rFonts w:cs="Times New Roman"/>
          <w:szCs w:val="24"/>
          <w:lang w:val="en-US"/>
        </w:rPr>
        <w:t>).</w:t>
      </w:r>
    </w:p>
    <w:p w14:paraId="76E2FC2B" w14:textId="77777777" w:rsidR="00767078" w:rsidRPr="0021030B" w:rsidRDefault="00767078" w:rsidP="009B55C8">
      <w:pPr>
        <w:spacing w:line="480" w:lineRule="auto"/>
        <w:rPr>
          <w:rFonts w:cs="Times New Roman"/>
          <w:szCs w:val="24"/>
          <w:lang w:val="en-US"/>
        </w:rPr>
      </w:pPr>
    </w:p>
    <w:p w14:paraId="3B583C03" w14:textId="41A6C35F" w:rsidR="00DA6D44" w:rsidRPr="0021030B" w:rsidRDefault="009B55C8" w:rsidP="00F52A7E">
      <w:pPr>
        <w:spacing w:line="480" w:lineRule="auto"/>
        <w:rPr>
          <w:rFonts w:cs="Times New Roman"/>
          <w:b/>
          <w:szCs w:val="24"/>
          <w:lang w:val="en-US"/>
        </w:rPr>
      </w:pPr>
      <w:r w:rsidRPr="0021030B">
        <w:rPr>
          <w:rFonts w:cs="Times New Roman"/>
          <w:b/>
          <w:szCs w:val="24"/>
          <w:lang w:val="en-US"/>
        </w:rPr>
        <w:t>Results</w:t>
      </w:r>
    </w:p>
    <w:p w14:paraId="56C27A0E" w14:textId="79592A79" w:rsidR="00541291" w:rsidRPr="0021030B" w:rsidRDefault="004A5025" w:rsidP="00F52A7E">
      <w:pPr>
        <w:spacing w:line="480" w:lineRule="auto"/>
        <w:rPr>
          <w:rFonts w:cs="Times New Roman"/>
          <w:szCs w:val="24"/>
          <w:lang w:val="en-US"/>
        </w:rPr>
      </w:pPr>
      <w:r w:rsidRPr="0021030B">
        <w:rPr>
          <w:rFonts w:cs="Times New Roman"/>
          <w:szCs w:val="24"/>
          <w:lang w:val="en-US"/>
        </w:rPr>
        <w:t>T</w:t>
      </w:r>
      <w:r w:rsidR="00073C7E" w:rsidRPr="0021030B">
        <w:rPr>
          <w:rFonts w:cs="Times New Roman"/>
          <w:szCs w:val="24"/>
          <w:lang w:val="en-US"/>
        </w:rPr>
        <w:t xml:space="preserve">here were </w:t>
      </w:r>
      <w:r w:rsidR="00025EEF" w:rsidRPr="0021030B">
        <w:rPr>
          <w:rFonts w:cs="Times New Roman"/>
          <w:szCs w:val="24"/>
          <w:lang w:val="en-US"/>
        </w:rPr>
        <w:t xml:space="preserve">three </w:t>
      </w:r>
      <w:r w:rsidR="00073C7E" w:rsidRPr="0021030B">
        <w:rPr>
          <w:rFonts w:cs="Times New Roman"/>
          <w:szCs w:val="24"/>
          <w:lang w:val="en-US"/>
        </w:rPr>
        <w:t>dropouts</w:t>
      </w:r>
      <w:r w:rsidRPr="0021030B">
        <w:rPr>
          <w:rFonts w:cs="Times New Roman"/>
          <w:szCs w:val="24"/>
          <w:lang w:val="en-US"/>
        </w:rPr>
        <w:t xml:space="preserve"> during this study</w:t>
      </w:r>
      <w:r w:rsidR="005F3D10" w:rsidRPr="0021030B">
        <w:rPr>
          <w:rFonts w:cs="Times New Roman"/>
          <w:szCs w:val="24"/>
          <w:lang w:val="en-US"/>
        </w:rPr>
        <w:t>,</w:t>
      </w:r>
      <w:r w:rsidR="00C617A8" w:rsidRPr="0021030B">
        <w:rPr>
          <w:rFonts w:cs="Times New Roman"/>
          <w:szCs w:val="24"/>
          <w:lang w:val="en-US"/>
        </w:rPr>
        <w:t xml:space="preserve"> including o</w:t>
      </w:r>
      <w:r w:rsidR="00073C7E" w:rsidRPr="0021030B">
        <w:rPr>
          <w:rFonts w:cs="Times New Roman"/>
          <w:szCs w:val="24"/>
          <w:lang w:val="en-US"/>
        </w:rPr>
        <w:t xml:space="preserve">ne in the F-SQ group due to personal issues and the inability to complete the training program, and two in the H-SQ group due to important cervical pain and complaints. </w:t>
      </w:r>
      <w:r w:rsidR="00E267E8" w:rsidRPr="0021030B">
        <w:rPr>
          <w:rFonts w:cs="Times New Roman"/>
          <w:szCs w:val="24"/>
          <w:lang w:val="en-US"/>
        </w:rPr>
        <w:t>Training compliance was 100% of all sessions for the participants who completed the study.</w:t>
      </w:r>
      <w:r w:rsidR="00541291" w:rsidRPr="0021030B">
        <w:rPr>
          <w:rFonts w:cs="Times New Roman"/>
          <w:szCs w:val="24"/>
          <w:lang w:val="en-US"/>
        </w:rPr>
        <w:t xml:space="preserve"> </w:t>
      </w:r>
      <w:r w:rsidR="00340C9E" w:rsidRPr="0021030B">
        <w:rPr>
          <w:rFonts w:cs="Times New Roman"/>
          <w:szCs w:val="24"/>
          <w:lang w:val="en-US"/>
        </w:rPr>
        <w:t>No significant differences between the groups were found at T0 for any of the variables analyzed.</w:t>
      </w:r>
    </w:p>
    <w:p w14:paraId="21258F2E" w14:textId="77777777" w:rsidR="00B314B9" w:rsidRPr="0021030B" w:rsidRDefault="00637F6B" w:rsidP="00E747BE">
      <w:pPr>
        <w:spacing w:line="480" w:lineRule="auto"/>
        <w:ind w:firstLine="708"/>
        <w:rPr>
          <w:rFonts w:cs="Times New Roman"/>
          <w:szCs w:val="24"/>
          <w:lang w:val="en-US"/>
        </w:rPr>
      </w:pPr>
      <w:r w:rsidRPr="0021030B">
        <w:rPr>
          <w:rFonts w:cs="Times New Roman"/>
          <w:szCs w:val="24"/>
          <w:lang w:val="en-US"/>
        </w:rPr>
        <w:lastRenderedPageBreak/>
        <w:t>The</w:t>
      </w:r>
      <w:r w:rsidR="0079130F" w:rsidRPr="0021030B">
        <w:rPr>
          <w:rFonts w:cs="Times New Roman"/>
          <w:szCs w:val="24"/>
          <w:lang w:val="en-US"/>
        </w:rPr>
        <w:t xml:space="preserve"> F-SQ group </w:t>
      </w:r>
      <w:r w:rsidR="00F966A2" w:rsidRPr="0021030B">
        <w:rPr>
          <w:rFonts w:cs="Times New Roman"/>
          <w:szCs w:val="24"/>
          <w:lang w:val="en-US"/>
        </w:rPr>
        <w:t>increased</w:t>
      </w:r>
      <w:r w:rsidRPr="0021030B">
        <w:rPr>
          <w:rFonts w:cs="Times New Roman"/>
          <w:szCs w:val="24"/>
          <w:lang w:val="en-US"/>
        </w:rPr>
        <w:t xml:space="preserve"> </w:t>
      </w:r>
      <w:r w:rsidR="008C0F3E" w:rsidRPr="0021030B">
        <w:rPr>
          <w:rFonts w:cs="Times New Roman"/>
          <w:szCs w:val="24"/>
          <w:lang w:val="en-US"/>
        </w:rPr>
        <w:t xml:space="preserve">in all neuromuscular </w:t>
      </w:r>
      <w:r w:rsidR="00A77F51" w:rsidRPr="0021030B">
        <w:rPr>
          <w:rFonts w:cs="Times New Roman"/>
          <w:szCs w:val="24"/>
          <w:lang w:val="en-US"/>
        </w:rPr>
        <w:t xml:space="preserve">parameters </w:t>
      </w:r>
      <w:r w:rsidR="0059583D" w:rsidRPr="0021030B">
        <w:rPr>
          <w:rFonts w:cs="Times New Roman"/>
          <w:szCs w:val="24"/>
          <w:lang w:val="en-US"/>
        </w:rPr>
        <w:t>(Table 2</w:t>
      </w:r>
      <w:r w:rsidR="00AB19A2" w:rsidRPr="0021030B">
        <w:rPr>
          <w:rFonts w:cs="Times New Roman"/>
          <w:szCs w:val="24"/>
          <w:lang w:val="en-US"/>
        </w:rPr>
        <w:t xml:space="preserve"> </w:t>
      </w:r>
      <w:r w:rsidR="00A41748" w:rsidRPr="0021030B">
        <w:rPr>
          <w:rFonts w:cs="Times New Roman"/>
          <w:szCs w:val="24"/>
          <w:lang w:val="en-US"/>
        </w:rPr>
        <w:t>and Supplementary Material 1</w:t>
      </w:r>
      <w:r w:rsidR="0059583D" w:rsidRPr="0021030B">
        <w:rPr>
          <w:rFonts w:cs="Times New Roman"/>
          <w:szCs w:val="24"/>
          <w:lang w:val="en-US"/>
        </w:rPr>
        <w:t xml:space="preserve">) </w:t>
      </w:r>
      <w:r w:rsidR="008C0F3E" w:rsidRPr="0021030B">
        <w:rPr>
          <w:rFonts w:cs="Times New Roman"/>
          <w:szCs w:val="24"/>
          <w:lang w:val="en-US"/>
        </w:rPr>
        <w:t xml:space="preserve">for </w:t>
      </w:r>
      <w:r w:rsidR="008E5281" w:rsidRPr="0021030B">
        <w:rPr>
          <w:rFonts w:cs="Times New Roman"/>
          <w:szCs w:val="24"/>
          <w:lang w:val="en-US"/>
        </w:rPr>
        <w:t xml:space="preserve">all </w:t>
      </w:r>
      <w:r w:rsidR="008C0F3E" w:rsidRPr="0021030B">
        <w:rPr>
          <w:rFonts w:cs="Times New Roman"/>
          <w:szCs w:val="24"/>
          <w:lang w:val="en-US"/>
        </w:rPr>
        <w:t xml:space="preserve">the three </w:t>
      </w:r>
      <w:r w:rsidR="00327F47" w:rsidRPr="0021030B">
        <w:rPr>
          <w:rFonts w:cs="Times New Roman"/>
          <w:szCs w:val="24"/>
          <w:lang w:val="en-US"/>
        </w:rPr>
        <w:t xml:space="preserve">SQ </w:t>
      </w:r>
      <w:r w:rsidR="00A14781" w:rsidRPr="0021030B">
        <w:rPr>
          <w:rFonts w:cs="Times New Roman"/>
          <w:szCs w:val="24"/>
          <w:lang w:val="en-US"/>
        </w:rPr>
        <w:t>varia</w:t>
      </w:r>
      <w:r w:rsidR="001D2A5A" w:rsidRPr="0021030B">
        <w:rPr>
          <w:rFonts w:cs="Times New Roman"/>
          <w:szCs w:val="24"/>
          <w:lang w:val="en-US"/>
        </w:rPr>
        <w:t>tions</w:t>
      </w:r>
      <w:r w:rsidR="008C0F3E" w:rsidRPr="0021030B">
        <w:rPr>
          <w:rFonts w:cs="Times New Roman"/>
          <w:szCs w:val="24"/>
          <w:lang w:val="en-US"/>
        </w:rPr>
        <w:t>.</w:t>
      </w:r>
      <w:r w:rsidR="00F966A2" w:rsidRPr="0021030B">
        <w:rPr>
          <w:rFonts w:cs="Times New Roman"/>
          <w:szCs w:val="24"/>
          <w:lang w:val="en-US"/>
        </w:rPr>
        <w:t xml:space="preserve"> T</w:t>
      </w:r>
      <w:r w:rsidR="00455FB5" w:rsidRPr="0021030B">
        <w:rPr>
          <w:rFonts w:cs="Times New Roman"/>
          <w:szCs w:val="24"/>
          <w:lang w:val="en-US"/>
        </w:rPr>
        <w:t xml:space="preserve">he </w:t>
      </w:r>
      <w:r w:rsidR="008C0F3E" w:rsidRPr="0021030B">
        <w:rPr>
          <w:rFonts w:cs="Times New Roman"/>
          <w:szCs w:val="24"/>
          <w:lang w:val="en-US"/>
        </w:rPr>
        <w:t>P-SQ</w:t>
      </w:r>
      <w:r w:rsidR="00455FB5" w:rsidRPr="0021030B">
        <w:rPr>
          <w:rFonts w:cs="Times New Roman"/>
          <w:szCs w:val="24"/>
          <w:lang w:val="en-US"/>
        </w:rPr>
        <w:t xml:space="preserve"> group</w:t>
      </w:r>
      <w:r w:rsidR="008C0F3E" w:rsidRPr="0021030B">
        <w:rPr>
          <w:rFonts w:cs="Times New Roman"/>
          <w:szCs w:val="24"/>
          <w:lang w:val="en-US"/>
        </w:rPr>
        <w:t xml:space="preserve"> </w:t>
      </w:r>
      <w:r w:rsidR="00BC40BB" w:rsidRPr="0021030B">
        <w:rPr>
          <w:rFonts w:cs="Times New Roman"/>
          <w:szCs w:val="24"/>
          <w:lang w:val="en-US"/>
        </w:rPr>
        <w:t xml:space="preserve">presented </w:t>
      </w:r>
      <w:r w:rsidR="008C0F3E" w:rsidRPr="0021030B">
        <w:rPr>
          <w:rFonts w:cs="Times New Roman"/>
          <w:szCs w:val="24"/>
          <w:lang w:val="en-US"/>
        </w:rPr>
        <w:t xml:space="preserve">significant enhancements </w:t>
      </w:r>
      <w:r w:rsidR="00455FB5" w:rsidRPr="0021030B">
        <w:rPr>
          <w:rFonts w:cs="Times New Roman"/>
          <w:szCs w:val="24"/>
          <w:lang w:val="en-US"/>
        </w:rPr>
        <w:t>i</w:t>
      </w:r>
      <w:r w:rsidR="008C0F3E" w:rsidRPr="0021030B">
        <w:rPr>
          <w:rFonts w:cs="Times New Roman"/>
          <w:szCs w:val="24"/>
          <w:lang w:val="en-US"/>
        </w:rPr>
        <w:t xml:space="preserve">n all neuromuscular </w:t>
      </w:r>
      <w:r w:rsidR="00A77F51" w:rsidRPr="0021030B">
        <w:rPr>
          <w:rFonts w:cs="Times New Roman"/>
          <w:szCs w:val="24"/>
          <w:lang w:val="en-US"/>
        </w:rPr>
        <w:t xml:space="preserve">parameters </w:t>
      </w:r>
      <w:r w:rsidR="008C0F3E" w:rsidRPr="0021030B">
        <w:rPr>
          <w:rFonts w:cs="Times New Roman"/>
          <w:szCs w:val="24"/>
          <w:lang w:val="en-US"/>
        </w:rPr>
        <w:t>(</w:t>
      </w:r>
      <w:r w:rsidR="00ED1B00" w:rsidRPr="0021030B">
        <w:rPr>
          <w:rFonts w:cs="Times New Roman"/>
          <w:szCs w:val="24"/>
          <w:lang w:val="en-US"/>
        </w:rPr>
        <w:t>p</w:t>
      </w:r>
      <w:r w:rsidR="008C0F3E" w:rsidRPr="0021030B">
        <w:rPr>
          <w:rFonts w:cs="Times New Roman"/>
          <w:szCs w:val="24"/>
          <w:lang w:val="en-US"/>
        </w:rPr>
        <w:t xml:space="preserve"> &lt; 0.05; </w:t>
      </w:r>
      <w:r w:rsidR="00ED1B00" w:rsidRPr="0021030B">
        <w:rPr>
          <w:rFonts w:cs="Times New Roman"/>
          <w:szCs w:val="24"/>
          <w:lang w:val="en-US"/>
        </w:rPr>
        <w:t>7.2</w:t>
      </w:r>
      <w:r w:rsidR="008C0F3E" w:rsidRPr="0021030B">
        <w:rPr>
          <w:rFonts w:cs="Times New Roman"/>
          <w:szCs w:val="24"/>
          <w:lang w:val="en-US"/>
        </w:rPr>
        <w:t xml:space="preserve"> </w:t>
      </w:r>
      <w:r w:rsidR="00B9079B" w:rsidRPr="0021030B">
        <w:rPr>
          <w:rFonts w:cs="Times New Roman"/>
          <w:szCs w:val="24"/>
          <w:lang w:val="en-US"/>
        </w:rPr>
        <w:t>to</w:t>
      </w:r>
      <w:r w:rsidR="008C0F3E" w:rsidRPr="0021030B">
        <w:rPr>
          <w:rFonts w:cs="Times New Roman"/>
          <w:szCs w:val="24"/>
          <w:lang w:val="en-US"/>
        </w:rPr>
        <w:t xml:space="preserve"> </w:t>
      </w:r>
      <w:r w:rsidR="00ED1B00" w:rsidRPr="0021030B">
        <w:rPr>
          <w:rFonts w:cs="Times New Roman"/>
          <w:szCs w:val="24"/>
          <w:lang w:val="en-US"/>
        </w:rPr>
        <w:t>1</w:t>
      </w:r>
      <w:r w:rsidR="008C0F3E" w:rsidRPr="0021030B">
        <w:rPr>
          <w:rFonts w:cs="Times New Roman"/>
          <w:szCs w:val="24"/>
          <w:lang w:val="en-US"/>
        </w:rPr>
        <w:t>4.</w:t>
      </w:r>
      <w:r w:rsidR="00ED1B00" w:rsidRPr="0021030B">
        <w:rPr>
          <w:rFonts w:cs="Times New Roman"/>
          <w:szCs w:val="24"/>
          <w:lang w:val="en-US"/>
        </w:rPr>
        <w:t>8</w:t>
      </w:r>
      <w:r w:rsidR="00F97F2E" w:rsidRPr="0021030B">
        <w:rPr>
          <w:rFonts w:cs="Times New Roman"/>
          <w:szCs w:val="24"/>
          <w:lang w:val="en-US"/>
        </w:rPr>
        <w:t>%</w:t>
      </w:r>
      <w:r w:rsidR="008C0F3E" w:rsidRPr="0021030B">
        <w:rPr>
          <w:rFonts w:cs="Times New Roman"/>
          <w:szCs w:val="24"/>
          <w:lang w:val="en-US"/>
        </w:rPr>
        <w:t>; ES = 0.7</w:t>
      </w:r>
      <w:r w:rsidR="00ED1B00" w:rsidRPr="0021030B">
        <w:rPr>
          <w:rFonts w:cs="Times New Roman"/>
          <w:szCs w:val="24"/>
          <w:lang w:val="en-US"/>
        </w:rPr>
        <w:t>2</w:t>
      </w:r>
      <w:r w:rsidR="008C0F3E" w:rsidRPr="0021030B">
        <w:rPr>
          <w:rFonts w:cs="Times New Roman"/>
          <w:szCs w:val="24"/>
          <w:lang w:val="en-US"/>
        </w:rPr>
        <w:t xml:space="preserve"> </w:t>
      </w:r>
      <w:r w:rsidR="00B9079B" w:rsidRPr="0021030B">
        <w:rPr>
          <w:rFonts w:cs="Times New Roman"/>
          <w:szCs w:val="24"/>
          <w:lang w:val="en-US"/>
        </w:rPr>
        <w:t>to</w:t>
      </w:r>
      <w:r w:rsidR="008C0F3E" w:rsidRPr="0021030B">
        <w:rPr>
          <w:rFonts w:cs="Times New Roman"/>
          <w:szCs w:val="24"/>
          <w:lang w:val="en-US"/>
        </w:rPr>
        <w:t xml:space="preserve"> </w:t>
      </w:r>
      <w:r w:rsidR="00ED1B00" w:rsidRPr="0021030B">
        <w:rPr>
          <w:rFonts w:cs="Times New Roman"/>
          <w:szCs w:val="24"/>
          <w:lang w:val="en-US"/>
        </w:rPr>
        <w:t>1</w:t>
      </w:r>
      <w:r w:rsidR="00FE10C2" w:rsidRPr="0021030B">
        <w:rPr>
          <w:rFonts w:cs="Times New Roman"/>
          <w:szCs w:val="24"/>
          <w:lang w:val="en-US"/>
        </w:rPr>
        <w:t>.</w:t>
      </w:r>
      <w:r w:rsidR="00ED1B00" w:rsidRPr="0021030B">
        <w:rPr>
          <w:rFonts w:cs="Times New Roman"/>
          <w:szCs w:val="24"/>
          <w:lang w:val="en-US"/>
        </w:rPr>
        <w:t>4</w:t>
      </w:r>
      <w:r w:rsidR="00FE10C2" w:rsidRPr="0021030B">
        <w:rPr>
          <w:rFonts w:cs="Times New Roman"/>
          <w:szCs w:val="24"/>
          <w:lang w:val="en-US"/>
        </w:rPr>
        <w:t>5</w:t>
      </w:r>
      <w:r w:rsidR="008C0F3E" w:rsidRPr="0021030B">
        <w:rPr>
          <w:rFonts w:cs="Times New Roman"/>
          <w:szCs w:val="24"/>
          <w:lang w:val="en-US"/>
        </w:rPr>
        <w:t xml:space="preserve">), except the 1RM and 1RM/BM for the F-SQ and H-SQ </w:t>
      </w:r>
      <w:r w:rsidR="00ED1B00" w:rsidRPr="0021030B">
        <w:rPr>
          <w:rFonts w:cs="Times New Roman"/>
          <w:szCs w:val="24"/>
          <w:lang w:val="en-US"/>
        </w:rPr>
        <w:t>exercises</w:t>
      </w:r>
      <w:r w:rsidR="008C0F3E" w:rsidRPr="0021030B">
        <w:rPr>
          <w:rFonts w:cs="Times New Roman"/>
          <w:szCs w:val="24"/>
          <w:lang w:val="en-US"/>
        </w:rPr>
        <w:t xml:space="preserve"> (p &gt; 0.05; 8.8</w:t>
      </w:r>
      <w:r w:rsidR="00B9079B" w:rsidRPr="0021030B">
        <w:rPr>
          <w:rFonts w:cs="Times New Roman"/>
          <w:szCs w:val="24"/>
          <w:lang w:val="en-US"/>
        </w:rPr>
        <w:t xml:space="preserve"> to </w:t>
      </w:r>
      <w:r w:rsidR="008C0F3E" w:rsidRPr="0021030B">
        <w:rPr>
          <w:rFonts w:cs="Times New Roman"/>
          <w:szCs w:val="24"/>
          <w:lang w:val="en-US"/>
        </w:rPr>
        <w:t>10.1</w:t>
      </w:r>
      <w:r w:rsidR="00F97F2E" w:rsidRPr="0021030B">
        <w:rPr>
          <w:rFonts w:cs="Times New Roman"/>
          <w:szCs w:val="24"/>
          <w:lang w:val="en-US"/>
        </w:rPr>
        <w:t>%</w:t>
      </w:r>
      <w:r w:rsidR="008C0F3E" w:rsidRPr="0021030B">
        <w:rPr>
          <w:rFonts w:cs="Times New Roman"/>
          <w:szCs w:val="24"/>
          <w:lang w:val="en-US"/>
        </w:rPr>
        <w:t>; ES =</w:t>
      </w:r>
      <w:r w:rsidR="00ED1B00" w:rsidRPr="0021030B">
        <w:rPr>
          <w:rFonts w:cs="Times New Roman"/>
          <w:szCs w:val="24"/>
          <w:lang w:val="en-US"/>
        </w:rPr>
        <w:t xml:space="preserve"> 0.3</w:t>
      </w:r>
      <w:r w:rsidR="00FE10C2" w:rsidRPr="0021030B">
        <w:rPr>
          <w:rFonts w:cs="Times New Roman"/>
          <w:szCs w:val="24"/>
          <w:lang w:val="en-US"/>
        </w:rPr>
        <w:t>7</w:t>
      </w:r>
      <w:r w:rsidR="00ED1B00" w:rsidRPr="0021030B">
        <w:rPr>
          <w:rFonts w:cs="Times New Roman"/>
          <w:szCs w:val="24"/>
          <w:lang w:val="en-US"/>
        </w:rPr>
        <w:t xml:space="preserve"> </w:t>
      </w:r>
      <w:r w:rsidR="00B9079B" w:rsidRPr="0021030B">
        <w:rPr>
          <w:rFonts w:cs="Times New Roman"/>
          <w:szCs w:val="24"/>
          <w:lang w:val="en-US"/>
        </w:rPr>
        <w:t>to</w:t>
      </w:r>
      <w:r w:rsidR="00ED1B00" w:rsidRPr="0021030B">
        <w:rPr>
          <w:rFonts w:cs="Times New Roman"/>
          <w:szCs w:val="24"/>
          <w:lang w:val="en-US"/>
        </w:rPr>
        <w:t xml:space="preserve"> 0.6</w:t>
      </w:r>
      <w:r w:rsidR="00FE10C2" w:rsidRPr="0021030B">
        <w:rPr>
          <w:rFonts w:cs="Times New Roman"/>
          <w:szCs w:val="24"/>
          <w:lang w:val="en-US"/>
        </w:rPr>
        <w:t>1</w:t>
      </w:r>
      <w:r w:rsidR="00ED1B00" w:rsidRPr="0021030B">
        <w:rPr>
          <w:rFonts w:cs="Times New Roman"/>
          <w:szCs w:val="24"/>
          <w:lang w:val="en-US"/>
        </w:rPr>
        <w:t>)</w:t>
      </w:r>
      <w:r w:rsidR="002213C4" w:rsidRPr="0021030B">
        <w:rPr>
          <w:rFonts w:cs="Times New Roman"/>
          <w:szCs w:val="24"/>
          <w:lang w:val="en-US"/>
        </w:rPr>
        <w:t>. T</w:t>
      </w:r>
      <w:r w:rsidR="00F94690" w:rsidRPr="0021030B">
        <w:rPr>
          <w:rFonts w:cs="Times New Roman"/>
          <w:szCs w:val="24"/>
          <w:lang w:val="en-US"/>
        </w:rPr>
        <w:t xml:space="preserve">he </w:t>
      </w:r>
      <w:r w:rsidR="002213C4" w:rsidRPr="0021030B">
        <w:rPr>
          <w:rFonts w:cs="Times New Roman"/>
          <w:szCs w:val="24"/>
          <w:lang w:val="en-US"/>
        </w:rPr>
        <w:t xml:space="preserve">H-SQ </w:t>
      </w:r>
      <w:r w:rsidR="00F94690" w:rsidRPr="0021030B">
        <w:rPr>
          <w:rFonts w:cs="Times New Roman"/>
          <w:szCs w:val="24"/>
          <w:lang w:val="en-US"/>
        </w:rPr>
        <w:t>group achieve</w:t>
      </w:r>
      <w:r w:rsidR="00702EC4" w:rsidRPr="0021030B">
        <w:rPr>
          <w:rFonts w:cs="Times New Roman"/>
          <w:szCs w:val="24"/>
          <w:lang w:val="en-US"/>
        </w:rPr>
        <w:t>d no</w:t>
      </w:r>
      <w:r w:rsidR="00F94690" w:rsidRPr="0021030B">
        <w:rPr>
          <w:rFonts w:cs="Times New Roman"/>
          <w:szCs w:val="24"/>
          <w:lang w:val="en-US"/>
        </w:rPr>
        <w:t xml:space="preserve"> significant improvements </w:t>
      </w:r>
      <w:r w:rsidR="002213C4" w:rsidRPr="0021030B">
        <w:rPr>
          <w:rFonts w:cs="Times New Roman"/>
          <w:szCs w:val="24"/>
          <w:lang w:val="en-US"/>
        </w:rPr>
        <w:t>i</w:t>
      </w:r>
      <w:r w:rsidR="00F94690" w:rsidRPr="0021030B">
        <w:rPr>
          <w:rFonts w:cs="Times New Roman"/>
          <w:szCs w:val="24"/>
          <w:lang w:val="en-US"/>
        </w:rPr>
        <w:t>n neuromuscular performance (p &gt; 0.05), although medium effect size</w:t>
      </w:r>
      <w:r w:rsidR="00014736" w:rsidRPr="0021030B">
        <w:rPr>
          <w:rFonts w:cs="Times New Roman"/>
          <w:szCs w:val="24"/>
          <w:lang w:val="en-US"/>
        </w:rPr>
        <w:t>s</w:t>
      </w:r>
      <w:r w:rsidR="00F94690" w:rsidRPr="0021030B">
        <w:rPr>
          <w:rFonts w:cs="Times New Roman"/>
          <w:szCs w:val="24"/>
          <w:lang w:val="en-US"/>
        </w:rPr>
        <w:t xml:space="preserve"> were found </w:t>
      </w:r>
      <w:r w:rsidR="00702EC4" w:rsidRPr="0021030B">
        <w:rPr>
          <w:rFonts w:cs="Times New Roman"/>
          <w:szCs w:val="24"/>
          <w:lang w:val="en-US"/>
        </w:rPr>
        <w:t>for</w:t>
      </w:r>
      <w:r w:rsidR="00722143" w:rsidRPr="0021030B">
        <w:rPr>
          <w:rFonts w:cs="Times New Roman"/>
          <w:szCs w:val="24"/>
          <w:lang w:val="en-US"/>
        </w:rPr>
        <w:t xml:space="preserve"> the </w:t>
      </w:r>
      <w:r w:rsidR="00F94690" w:rsidRPr="0021030B">
        <w:rPr>
          <w:rFonts w:cs="Times New Roman"/>
          <w:szCs w:val="24"/>
          <w:lang w:val="en-US"/>
        </w:rPr>
        <w:t>H-SQ</w:t>
      </w:r>
      <w:r w:rsidR="00722143" w:rsidRPr="0021030B">
        <w:rPr>
          <w:rFonts w:cs="Times New Roman"/>
          <w:szCs w:val="24"/>
          <w:lang w:val="en-US"/>
        </w:rPr>
        <w:t xml:space="preserve"> exercise </w:t>
      </w:r>
      <w:r w:rsidR="00F94690" w:rsidRPr="0021030B">
        <w:rPr>
          <w:rFonts w:cs="Times New Roman"/>
          <w:szCs w:val="24"/>
          <w:lang w:val="en-US"/>
        </w:rPr>
        <w:t>(ES = 0.</w:t>
      </w:r>
      <w:r w:rsidR="00FE10C2" w:rsidRPr="0021030B">
        <w:rPr>
          <w:rFonts w:cs="Times New Roman"/>
          <w:szCs w:val="24"/>
          <w:lang w:val="en-US"/>
        </w:rPr>
        <w:t>33</w:t>
      </w:r>
      <w:r w:rsidR="00B9079B" w:rsidRPr="0021030B">
        <w:rPr>
          <w:rFonts w:cs="Times New Roman"/>
          <w:szCs w:val="24"/>
          <w:lang w:val="en-US"/>
        </w:rPr>
        <w:t xml:space="preserve"> to </w:t>
      </w:r>
      <w:r w:rsidR="00F94690" w:rsidRPr="0021030B">
        <w:rPr>
          <w:rFonts w:cs="Times New Roman"/>
          <w:szCs w:val="24"/>
          <w:lang w:val="en-US"/>
        </w:rPr>
        <w:t>0.48</w:t>
      </w:r>
      <w:r w:rsidR="00014736" w:rsidRPr="0021030B">
        <w:rPr>
          <w:rFonts w:cs="Times New Roman"/>
          <w:szCs w:val="24"/>
          <w:lang w:val="en-US"/>
        </w:rPr>
        <w:t xml:space="preserve">). </w:t>
      </w:r>
      <w:r w:rsidR="000753BE" w:rsidRPr="0021030B">
        <w:rPr>
          <w:rFonts w:cs="Times New Roman"/>
          <w:szCs w:val="24"/>
          <w:lang w:val="en-US"/>
        </w:rPr>
        <w:t>T</w:t>
      </w:r>
      <w:r w:rsidR="00F9017D" w:rsidRPr="0021030B">
        <w:rPr>
          <w:rFonts w:cs="Times New Roman"/>
          <w:szCs w:val="24"/>
          <w:lang w:val="en-US"/>
        </w:rPr>
        <w:t xml:space="preserve">he </w:t>
      </w:r>
      <w:r w:rsidR="00BC2F12" w:rsidRPr="0021030B">
        <w:rPr>
          <w:rFonts w:cs="Times New Roman"/>
          <w:szCs w:val="24"/>
          <w:lang w:val="en-US"/>
        </w:rPr>
        <w:t>C</w:t>
      </w:r>
      <w:r w:rsidR="00F9017D" w:rsidRPr="0021030B">
        <w:rPr>
          <w:rFonts w:cs="Times New Roman"/>
          <w:szCs w:val="24"/>
          <w:lang w:val="en-US"/>
        </w:rPr>
        <w:t>ontrol</w:t>
      </w:r>
      <w:r w:rsidR="000753BE" w:rsidRPr="0021030B">
        <w:rPr>
          <w:rFonts w:cs="Times New Roman"/>
          <w:szCs w:val="24"/>
          <w:lang w:val="en-US"/>
        </w:rPr>
        <w:t>s</w:t>
      </w:r>
      <w:r w:rsidR="00F9017D" w:rsidRPr="0021030B">
        <w:rPr>
          <w:rFonts w:cs="Times New Roman"/>
          <w:szCs w:val="24"/>
          <w:lang w:val="en-US"/>
        </w:rPr>
        <w:t xml:space="preserve"> </w:t>
      </w:r>
      <w:r w:rsidR="000753BE" w:rsidRPr="0021030B">
        <w:rPr>
          <w:rFonts w:cs="Times New Roman"/>
          <w:szCs w:val="24"/>
          <w:lang w:val="en-US"/>
        </w:rPr>
        <w:t xml:space="preserve">declined </w:t>
      </w:r>
      <w:r w:rsidR="00014736" w:rsidRPr="0021030B">
        <w:rPr>
          <w:rFonts w:cs="Times New Roman"/>
          <w:szCs w:val="24"/>
          <w:lang w:val="en-US"/>
        </w:rPr>
        <w:t xml:space="preserve">on </w:t>
      </w:r>
      <w:r w:rsidR="001368E7" w:rsidRPr="0021030B">
        <w:rPr>
          <w:rFonts w:cs="Times New Roman"/>
          <w:szCs w:val="24"/>
          <w:lang w:val="en-US"/>
        </w:rPr>
        <w:t>all</w:t>
      </w:r>
      <w:r w:rsidR="00F9017D" w:rsidRPr="0021030B">
        <w:rPr>
          <w:rFonts w:cs="Times New Roman"/>
          <w:szCs w:val="24"/>
          <w:lang w:val="en-US"/>
        </w:rPr>
        <w:t xml:space="preserve"> the</w:t>
      </w:r>
      <w:r w:rsidR="00014736" w:rsidRPr="0021030B">
        <w:rPr>
          <w:rFonts w:cs="Times New Roman"/>
          <w:szCs w:val="24"/>
          <w:lang w:val="en-US"/>
        </w:rPr>
        <w:t xml:space="preserve"> neuromuscular </w:t>
      </w:r>
      <w:r w:rsidR="008612AC" w:rsidRPr="0021030B">
        <w:rPr>
          <w:rFonts w:cs="Times New Roman"/>
          <w:szCs w:val="24"/>
          <w:lang w:val="en-US"/>
        </w:rPr>
        <w:t>parameters</w:t>
      </w:r>
      <w:r w:rsidR="00F9017D" w:rsidRPr="0021030B">
        <w:rPr>
          <w:rFonts w:cs="Times New Roman"/>
          <w:szCs w:val="24"/>
          <w:lang w:val="en-US"/>
        </w:rPr>
        <w:t xml:space="preserve">, mainly on the 1RM and 1RM/BM performance (p &lt; 0.05; </w:t>
      </w:r>
      <w:r w:rsidR="003C43D8" w:rsidRPr="0021030B">
        <w:rPr>
          <w:rFonts w:cs="Times New Roman"/>
          <w:szCs w:val="24"/>
          <w:lang w:val="en-US"/>
        </w:rPr>
        <w:t>-</w:t>
      </w:r>
      <w:r w:rsidR="00F9017D" w:rsidRPr="0021030B">
        <w:rPr>
          <w:rFonts w:cs="Times New Roman"/>
          <w:szCs w:val="24"/>
          <w:lang w:val="en-US"/>
        </w:rPr>
        <w:t>8.1</w:t>
      </w:r>
      <w:r w:rsidR="00B9079B" w:rsidRPr="0021030B">
        <w:rPr>
          <w:rFonts w:cs="Times New Roman"/>
          <w:szCs w:val="24"/>
          <w:lang w:val="en-US"/>
        </w:rPr>
        <w:t xml:space="preserve"> to </w:t>
      </w:r>
      <w:r w:rsidR="003C43D8" w:rsidRPr="0021030B">
        <w:rPr>
          <w:rFonts w:cs="Times New Roman"/>
          <w:szCs w:val="24"/>
          <w:lang w:val="en-US"/>
        </w:rPr>
        <w:t>-</w:t>
      </w:r>
      <w:r w:rsidR="00F9017D" w:rsidRPr="0021030B">
        <w:rPr>
          <w:rFonts w:cs="Times New Roman"/>
          <w:szCs w:val="24"/>
          <w:lang w:val="en-US"/>
        </w:rPr>
        <w:t>13.8</w:t>
      </w:r>
      <w:r w:rsidR="00F97F2E" w:rsidRPr="0021030B">
        <w:rPr>
          <w:rFonts w:cs="Times New Roman"/>
          <w:szCs w:val="24"/>
          <w:lang w:val="en-US"/>
        </w:rPr>
        <w:t>%</w:t>
      </w:r>
      <w:r w:rsidR="00F9017D" w:rsidRPr="0021030B">
        <w:rPr>
          <w:rFonts w:cs="Times New Roman"/>
          <w:szCs w:val="24"/>
          <w:lang w:val="en-US"/>
        </w:rPr>
        <w:t>; ES = 0.9</w:t>
      </w:r>
      <w:r w:rsidR="00CB4EDD" w:rsidRPr="0021030B">
        <w:rPr>
          <w:rFonts w:cs="Times New Roman"/>
          <w:szCs w:val="24"/>
          <w:lang w:val="en-US"/>
        </w:rPr>
        <w:t>5</w:t>
      </w:r>
      <w:r w:rsidR="00F9017D" w:rsidRPr="0021030B">
        <w:rPr>
          <w:rFonts w:cs="Times New Roman"/>
          <w:szCs w:val="24"/>
          <w:lang w:val="en-US"/>
        </w:rPr>
        <w:t xml:space="preserve"> </w:t>
      </w:r>
      <w:r w:rsidR="00B9079B" w:rsidRPr="0021030B">
        <w:rPr>
          <w:rFonts w:cs="Times New Roman"/>
          <w:szCs w:val="24"/>
          <w:lang w:val="en-US"/>
        </w:rPr>
        <w:t>to</w:t>
      </w:r>
      <w:r w:rsidR="00F9017D" w:rsidRPr="0021030B">
        <w:rPr>
          <w:rFonts w:cs="Times New Roman"/>
          <w:szCs w:val="24"/>
          <w:lang w:val="en-US"/>
        </w:rPr>
        <w:t xml:space="preserve"> 1.32)</w:t>
      </w:r>
      <w:r w:rsidR="000753BE" w:rsidRPr="0021030B">
        <w:rPr>
          <w:rFonts w:cs="Times New Roman"/>
          <w:szCs w:val="24"/>
          <w:lang w:val="en-US"/>
        </w:rPr>
        <w:t>.</w:t>
      </w:r>
      <w:r w:rsidR="008612AC" w:rsidRPr="0021030B">
        <w:rPr>
          <w:rFonts w:cs="Times New Roman"/>
          <w:szCs w:val="24"/>
          <w:lang w:val="en-US"/>
        </w:rPr>
        <w:t xml:space="preserve"> </w:t>
      </w:r>
    </w:p>
    <w:p w14:paraId="712F82AF" w14:textId="4E92BD31" w:rsidR="00A314BD" w:rsidRPr="0021030B" w:rsidRDefault="00B314B9" w:rsidP="00E747BE">
      <w:pPr>
        <w:spacing w:line="480" w:lineRule="auto"/>
        <w:ind w:firstLine="708"/>
        <w:rPr>
          <w:rFonts w:cs="Times New Roman"/>
          <w:szCs w:val="24"/>
          <w:lang w:val="en-US"/>
        </w:rPr>
      </w:pPr>
      <w:bookmarkStart w:id="1" w:name="_Hlk4599295"/>
      <w:r w:rsidRPr="0021030B">
        <w:rPr>
          <w:rFonts w:cs="Times New Roman"/>
          <w:szCs w:val="24"/>
          <w:lang w:val="en-US"/>
        </w:rPr>
        <w:t>Comparisons between the three groups of training in absolute (Table 2) and relative terms (Supplementary Material 1) revealed that the greater the squat depth, the higher the increments in strength (F-SQ&gt; P-SQ&gt; H-SQ). However, i</w:t>
      </w:r>
      <w:r w:rsidR="00744772" w:rsidRPr="0021030B">
        <w:rPr>
          <w:rFonts w:cs="Times New Roman"/>
          <w:szCs w:val="24"/>
          <w:lang w:val="en-US"/>
        </w:rPr>
        <w:t>ndividuals in</w:t>
      </w:r>
      <w:r w:rsidR="000C126E" w:rsidRPr="0021030B">
        <w:rPr>
          <w:rFonts w:cs="Times New Roman"/>
          <w:szCs w:val="24"/>
          <w:lang w:val="en-US"/>
        </w:rPr>
        <w:t xml:space="preserve"> all three </w:t>
      </w:r>
      <w:r w:rsidR="00744772" w:rsidRPr="0021030B">
        <w:rPr>
          <w:rFonts w:cs="Times New Roman"/>
          <w:szCs w:val="24"/>
          <w:lang w:val="en-US"/>
        </w:rPr>
        <w:t>training groups improved significantly more at the specific depth at which they trained</w:t>
      </w:r>
      <w:r w:rsidR="008612AC" w:rsidRPr="0021030B">
        <w:rPr>
          <w:rFonts w:cs="Times New Roman"/>
          <w:szCs w:val="24"/>
          <w:lang w:val="en-US"/>
        </w:rPr>
        <w:t xml:space="preserve"> (i.e., F-SQ for F-SQ group, P-SQ for P-SQ group, and H</w:t>
      </w:r>
      <w:r w:rsidR="00AB19A2" w:rsidRPr="0021030B">
        <w:rPr>
          <w:rFonts w:cs="Times New Roman"/>
          <w:szCs w:val="24"/>
          <w:lang w:val="en-US"/>
        </w:rPr>
        <w:t>-</w:t>
      </w:r>
      <w:r w:rsidR="008612AC" w:rsidRPr="0021030B">
        <w:rPr>
          <w:rFonts w:cs="Times New Roman"/>
          <w:szCs w:val="24"/>
          <w:lang w:val="en-US"/>
        </w:rPr>
        <w:t>SQ for H</w:t>
      </w:r>
      <w:r w:rsidR="00AB19A2" w:rsidRPr="0021030B">
        <w:rPr>
          <w:rFonts w:cs="Times New Roman"/>
          <w:szCs w:val="24"/>
          <w:lang w:val="en-US"/>
        </w:rPr>
        <w:t>-</w:t>
      </w:r>
      <w:r w:rsidR="008612AC" w:rsidRPr="0021030B">
        <w:rPr>
          <w:rFonts w:cs="Times New Roman"/>
          <w:szCs w:val="24"/>
          <w:lang w:val="en-US"/>
        </w:rPr>
        <w:t>SQ</w:t>
      </w:r>
      <w:r w:rsidR="008E18A4" w:rsidRPr="0021030B">
        <w:rPr>
          <w:rFonts w:cs="Times New Roman"/>
          <w:szCs w:val="24"/>
          <w:lang w:val="en-US"/>
        </w:rPr>
        <w:t xml:space="preserve"> group</w:t>
      </w:r>
      <w:r w:rsidRPr="0021030B">
        <w:rPr>
          <w:rFonts w:cs="Times New Roman"/>
          <w:szCs w:val="24"/>
          <w:lang w:val="en-US"/>
        </w:rPr>
        <w:t>, p &lt; 0.05; Table 2 and Supplementary Material 1</w:t>
      </w:r>
      <w:r w:rsidR="008612AC" w:rsidRPr="0021030B">
        <w:rPr>
          <w:rFonts w:cs="Times New Roman"/>
          <w:szCs w:val="24"/>
          <w:lang w:val="en-US"/>
        </w:rPr>
        <w:t>)</w:t>
      </w:r>
      <w:r w:rsidR="008E18A4" w:rsidRPr="0021030B">
        <w:rPr>
          <w:rFonts w:cs="Times New Roman"/>
          <w:szCs w:val="24"/>
          <w:lang w:val="en-US"/>
        </w:rPr>
        <w:t>.</w:t>
      </w:r>
      <w:r w:rsidR="001F00AD" w:rsidRPr="0021030B">
        <w:rPr>
          <w:rFonts w:cs="Times New Roman"/>
          <w:szCs w:val="24"/>
          <w:lang w:val="en-US"/>
        </w:rPr>
        <w:t xml:space="preserve"> </w:t>
      </w:r>
      <w:bookmarkStart w:id="2" w:name="_Hlk4600622"/>
      <w:bookmarkEnd w:id="1"/>
      <w:r w:rsidR="00285C9B" w:rsidRPr="0021030B">
        <w:rPr>
          <w:rFonts w:cs="Times New Roman"/>
          <w:szCs w:val="24"/>
          <w:lang w:val="en-US"/>
        </w:rPr>
        <w:t>Increments in f</w:t>
      </w:r>
      <w:r w:rsidR="00A314BD" w:rsidRPr="0021030B">
        <w:rPr>
          <w:rFonts w:cs="Times New Roman"/>
          <w:szCs w:val="24"/>
          <w:lang w:val="en-US"/>
        </w:rPr>
        <w:t>unctional performance (Table 3) in WGT</w:t>
      </w:r>
      <w:r w:rsidR="00A314BD" w:rsidRPr="0021030B">
        <w:rPr>
          <w:rFonts w:cs="Times New Roman"/>
          <w:szCs w:val="24"/>
          <w:vertAlign w:val="subscript"/>
          <w:lang w:val="en-US"/>
        </w:rPr>
        <w:t>PEAK</w:t>
      </w:r>
      <w:r w:rsidR="00A314BD" w:rsidRPr="0021030B">
        <w:rPr>
          <w:rFonts w:cs="Times New Roman"/>
          <w:szCs w:val="24"/>
          <w:lang w:val="en-US"/>
        </w:rPr>
        <w:t>, WGT</w:t>
      </w:r>
      <w:r w:rsidR="00A314BD" w:rsidRPr="0021030B">
        <w:rPr>
          <w:rFonts w:cs="Times New Roman"/>
          <w:szCs w:val="24"/>
          <w:vertAlign w:val="subscript"/>
          <w:lang w:val="en-US"/>
        </w:rPr>
        <w:t>MEAN</w:t>
      </w:r>
      <w:r w:rsidR="00A314BD" w:rsidRPr="0021030B">
        <w:rPr>
          <w:rFonts w:cs="Times New Roman"/>
          <w:szCs w:val="24"/>
          <w:lang w:val="en-US"/>
        </w:rPr>
        <w:t xml:space="preserve"> and CMJ </w:t>
      </w:r>
      <w:r w:rsidR="00285C9B" w:rsidRPr="0021030B">
        <w:rPr>
          <w:rFonts w:cs="Times New Roman"/>
          <w:szCs w:val="24"/>
          <w:lang w:val="en-US"/>
        </w:rPr>
        <w:t xml:space="preserve">were </w:t>
      </w:r>
      <w:r w:rsidR="00A314BD" w:rsidRPr="0021030B">
        <w:rPr>
          <w:rFonts w:cs="Times New Roman"/>
          <w:szCs w:val="24"/>
          <w:lang w:val="en-US"/>
        </w:rPr>
        <w:t xml:space="preserve">superior in F-SQ </w:t>
      </w:r>
      <w:bookmarkEnd w:id="2"/>
      <w:r w:rsidR="00A314BD" w:rsidRPr="0021030B">
        <w:rPr>
          <w:rFonts w:cs="Times New Roman"/>
          <w:szCs w:val="24"/>
          <w:lang w:val="en-US"/>
        </w:rPr>
        <w:t>(4.3</w:t>
      </w:r>
      <w:r w:rsidR="00B9079B" w:rsidRPr="0021030B">
        <w:rPr>
          <w:rFonts w:cs="Times New Roman"/>
          <w:szCs w:val="24"/>
          <w:lang w:val="en-US"/>
        </w:rPr>
        <w:t xml:space="preserve"> to </w:t>
      </w:r>
      <w:r w:rsidR="00A314BD" w:rsidRPr="0021030B">
        <w:rPr>
          <w:rFonts w:cs="Times New Roman"/>
          <w:szCs w:val="24"/>
          <w:lang w:val="en-US"/>
        </w:rPr>
        <w:t>12.8</w:t>
      </w:r>
      <w:r w:rsidR="00B9079B" w:rsidRPr="0021030B">
        <w:rPr>
          <w:rFonts w:cs="Times New Roman"/>
          <w:szCs w:val="24"/>
          <w:lang w:val="en-US"/>
        </w:rPr>
        <w:t xml:space="preserve">%; ES = 0.35 to </w:t>
      </w:r>
      <w:r w:rsidR="00A314BD" w:rsidRPr="0021030B">
        <w:rPr>
          <w:rFonts w:cs="Times New Roman"/>
          <w:szCs w:val="24"/>
          <w:lang w:val="en-US"/>
        </w:rPr>
        <w:t>0.85) and P-SQ (3.8</w:t>
      </w:r>
      <w:r w:rsidR="00B9079B" w:rsidRPr="0021030B">
        <w:rPr>
          <w:rFonts w:cs="Times New Roman"/>
          <w:szCs w:val="24"/>
          <w:lang w:val="en-US"/>
        </w:rPr>
        <w:t xml:space="preserve"> to </w:t>
      </w:r>
      <w:r w:rsidR="00A314BD" w:rsidRPr="0021030B">
        <w:rPr>
          <w:rFonts w:cs="Times New Roman"/>
          <w:szCs w:val="24"/>
          <w:lang w:val="en-US"/>
        </w:rPr>
        <w:t>9.0%; ES = 0.15</w:t>
      </w:r>
      <w:r w:rsidR="00B9079B" w:rsidRPr="0021030B">
        <w:rPr>
          <w:rFonts w:cs="Times New Roman"/>
          <w:szCs w:val="24"/>
          <w:lang w:val="en-US"/>
        </w:rPr>
        <w:t xml:space="preserve"> to </w:t>
      </w:r>
      <w:r w:rsidR="00A314BD" w:rsidRPr="0021030B">
        <w:rPr>
          <w:rFonts w:cs="Times New Roman"/>
          <w:szCs w:val="24"/>
          <w:lang w:val="en-US"/>
        </w:rPr>
        <w:t>0.5</w:t>
      </w:r>
      <w:r w:rsidR="00AA0335" w:rsidRPr="0021030B">
        <w:rPr>
          <w:rFonts w:cs="Times New Roman"/>
          <w:szCs w:val="24"/>
          <w:lang w:val="en-US"/>
        </w:rPr>
        <w:t>6</w:t>
      </w:r>
      <w:r w:rsidR="00A314BD" w:rsidRPr="0021030B">
        <w:rPr>
          <w:rFonts w:cs="Times New Roman"/>
          <w:szCs w:val="24"/>
          <w:lang w:val="en-US"/>
        </w:rPr>
        <w:t>) compared to H-SQ (-1.2</w:t>
      </w:r>
      <w:r w:rsidR="00B9079B" w:rsidRPr="0021030B">
        <w:rPr>
          <w:rFonts w:cs="Times New Roman"/>
          <w:szCs w:val="24"/>
          <w:lang w:val="en-US"/>
        </w:rPr>
        <w:t xml:space="preserve"> to </w:t>
      </w:r>
      <w:r w:rsidR="00A314BD" w:rsidRPr="0021030B">
        <w:rPr>
          <w:rFonts w:cs="Times New Roman"/>
          <w:szCs w:val="24"/>
          <w:lang w:val="en-US"/>
        </w:rPr>
        <w:t>5.3%; ES =</w:t>
      </w:r>
      <w:r w:rsidR="00BC0859" w:rsidRPr="0021030B">
        <w:rPr>
          <w:rFonts w:cs="Times New Roman"/>
          <w:szCs w:val="24"/>
          <w:lang w:val="en-US"/>
        </w:rPr>
        <w:t xml:space="preserve"> </w:t>
      </w:r>
      <w:r w:rsidR="00A314BD" w:rsidRPr="0021030B">
        <w:rPr>
          <w:rFonts w:cs="Times New Roman"/>
          <w:szCs w:val="24"/>
          <w:lang w:val="en-US"/>
        </w:rPr>
        <w:t>0.11</w:t>
      </w:r>
      <w:r w:rsidR="00B9079B" w:rsidRPr="0021030B">
        <w:rPr>
          <w:rFonts w:cs="Times New Roman"/>
          <w:szCs w:val="24"/>
          <w:lang w:val="en-US"/>
        </w:rPr>
        <w:t xml:space="preserve"> to </w:t>
      </w:r>
      <w:r w:rsidR="00A314BD" w:rsidRPr="0021030B">
        <w:rPr>
          <w:rFonts w:cs="Times New Roman"/>
          <w:szCs w:val="24"/>
          <w:lang w:val="en-US"/>
        </w:rPr>
        <w:t>0.28). Records for Time 0-20 m test were improved for F-SQ (-2.4%; ES =</w:t>
      </w:r>
      <w:r w:rsidR="00B9079B" w:rsidRPr="0021030B">
        <w:rPr>
          <w:rFonts w:cs="Times New Roman"/>
          <w:szCs w:val="24"/>
          <w:lang w:val="en-US"/>
        </w:rPr>
        <w:t xml:space="preserve"> </w:t>
      </w:r>
      <w:r w:rsidR="00A314BD" w:rsidRPr="0021030B">
        <w:rPr>
          <w:rFonts w:cs="Times New Roman"/>
          <w:szCs w:val="24"/>
          <w:lang w:val="en-US"/>
        </w:rPr>
        <w:t>0.48) and P-SQ (-1.0%; ES =</w:t>
      </w:r>
      <w:r w:rsidR="00B9079B" w:rsidRPr="0021030B">
        <w:rPr>
          <w:rFonts w:cs="Times New Roman"/>
          <w:szCs w:val="24"/>
          <w:lang w:val="en-US"/>
        </w:rPr>
        <w:t xml:space="preserve"> </w:t>
      </w:r>
      <w:r w:rsidR="00A314BD" w:rsidRPr="0021030B">
        <w:rPr>
          <w:rFonts w:cs="Times New Roman"/>
          <w:szCs w:val="24"/>
          <w:lang w:val="en-US"/>
        </w:rPr>
        <w:t>0.30), while H-S</w:t>
      </w:r>
      <w:r w:rsidR="00AA0335" w:rsidRPr="0021030B">
        <w:rPr>
          <w:rFonts w:cs="Times New Roman"/>
          <w:szCs w:val="24"/>
          <w:lang w:val="en-US"/>
        </w:rPr>
        <w:t>Q remained unchanged (&lt;0.1%; ES &lt;</w:t>
      </w:r>
      <w:r w:rsidR="00A314BD" w:rsidRPr="0021030B">
        <w:rPr>
          <w:rFonts w:cs="Times New Roman"/>
          <w:szCs w:val="24"/>
          <w:lang w:val="en-US"/>
        </w:rPr>
        <w:t xml:space="preserve">0.01). </w:t>
      </w:r>
    </w:p>
    <w:p w14:paraId="6F639C41" w14:textId="3F98FED2" w:rsidR="0024616D" w:rsidRPr="0021030B" w:rsidRDefault="00745129" w:rsidP="00F52A7E">
      <w:pPr>
        <w:spacing w:line="480" w:lineRule="auto"/>
        <w:ind w:firstLine="708"/>
        <w:rPr>
          <w:rFonts w:cs="Times New Roman"/>
          <w:szCs w:val="24"/>
          <w:lang w:val="en-US"/>
        </w:rPr>
      </w:pPr>
      <w:r w:rsidRPr="0021030B">
        <w:rPr>
          <w:rFonts w:cs="Times New Roman"/>
          <w:szCs w:val="24"/>
          <w:lang w:val="en-US"/>
        </w:rPr>
        <w:t>T</w:t>
      </w:r>
      <w:r w:rsidR="008B052A" w:rsidRPr="0021030B">
        <w:rPr>
          <w:rFonts w:cs="Times New Roman"/>
          <w:szCs w:val="24"/>
          <w:lang w:val="en-US"/>
        </w:rPr>
        <w:t xml:space="preserve">he three experimental groups perceived significant increases (p &lt; 0.05) in the pain index </w:t>
      </w:r>
      <w:r w:rsidRPr="0021030B">
        <w:rPr>
          <w:rFonts w:cs="Times New Roman"/>
          <w:szCs w:val="24"/>
          <w:lang w:val="en-US"/>
        </w:rPr>
        <w:t>after the intervention</w:t>
      </w:r>
      <w:r w:rsidR="00B237EF" w:rsidRPr="0021030B">
        <w:rPr>
          <w:rFonts w:cs="Times New Roman"/>
          <w:szCs w:val="24"/>
          <w:lang w:val="en-US"/>
        </w:rPr>
        <w:t xml:space="preserve"> </w:t>
      </w:r>
      <w:r w:rsidRPr="0021030B">
        <w:rPr>
          <w:rFonts w:cs="Times New Roman"/>
          <w:szCs w:val="24"/>
          <w:lang w:val="en-US"/>
        </w:rPr>
        <w:t>(Table 4).</w:t>
      </w:r>
      <w:r w:rsidR="00B237EF" w:rsidRPr="0021030B">
        <w:rPr>
          <w:rFonts w:cs="Times New Roman"/>
          <w:szCs w:val="24"/>
          <w:lang w:val="en-US"/>
        </w:rPr>
        <w:t xml:space="preserve"> Increments in pain were </w:t>
      </w:r>
      <w:r w:rsidR="004D32DC" w:rsidRPr="0021030B">
        <w:rPr>
          <w:rFonts w:cs="Times New Roman"/>
          <w:szCs w:val="24"/>
          <w:lang w:val="en-US"/>
        </w:rPr>
        <w:t>moderately similar for F-SQ and P-SQ</w:t>
      </w:r>
      <w:r w:rsidR="00B237EF" w:rsidRPr="0021030B">
        <w:rPr>
          <w:rFonts w:cs="Times New Roman"/>
          <w:szCs w:val="24"/>
          <w:lang w:val="en-US"/>
        </w:rPr>
        <w:t xml:space="preserve"> </w:t>
      </w:r>
      <w:r w:rsidR="00975E86" w:rsidRPr="0021030B">
        <w:rPr>
          <w:rFonts w:cs="Times New Roman"/>
          <w:szCs w:val="24"/>
          <w:lang w:val="en-US"/>
        </w:rPr>
        <w:t xml:space="preserve">groups </w:t>
      </w:r>
      <w:r w:rsidR="00B237EF" w:rsidRPr="0021030B">
        <w:rPr>
          <w:rFonts w:cs="Times New Roman"/>
          <w:szCs w:val="24"/>
          <w:lang w:val="en-US"/>
        </w:rPr>
        <w:t>(ES</w:t>
      </w:r>
      <w:r w:rsidR="00975E86" w:rsidRPr="0021030B">
        <w:rPr>
          <w:rFonts w:cs="Times New Roman"/>
          <w:szCs w:val="24"/>
          <w:lang w:val="en-US"/>
        </w:rPr>
        <w:t xml:space="preserve"> </w:t>
      </w:r>
      <w:r w:rsidR="004D32DC" w:rsidRPr="0021030B">
        <w:rPr>
          <w:rFonts w:cs="Times New Roman"/>
          <w:szCs w:val="24"/>
          <w:lang w:val="en-US"/>
        </w:rPr>
        <w:t>=</w:t>
      </w:r>
      <w:r w:rsidR="00B237EF" w:rsidRPr="0021030B">
        <w:rPr>
          <w:rFonts w:cs="Times New Roman"/>
          <w:szCs w:val="24"/>
          <w:lang w:val="en-US"/>
        </w:rPr>
        <w:t xml:space="preserve"> </w:t>
      </w:r>
      <w:r w:rsidR="004D32DC" w:rsidRPr="0021030B">
        <w:rPr>
          <w:rFonts w:cs="Times New Roman"/>
          <w:szCs w:val="24"/>
          <w:lang w:val="en-US"/>
        </w:rPr>
        <w:t>0.79</w:t>
      </w:r>
      <w:r w:rsidR="00B9079B" w:rsidRPr="0021030B">
        <w:rPr>
          <w:rFonts w:cs="Times New Roman"/>
          <w:szCs w:val="24"/>
          <w:lang w:val="en-US"/>
        </w:rPr>
        <w:t xml:space="preserve"> to </w:t>
      </w:r>
      <w:r w:rsidR="00B237EF" w:rsidRPr="0021030B">
        <w:rPr>
          <w:rFonts w:cs="Times New Roman"/>
          <w:szCs w:val="24"/>
          <w:lang w:val="en-US"/>
        </w:rPr>
        <w:t>0.84</w:t>
      </w:r>
      <w:r w:rsidR="004D32DC" w:rsidRPr="0021030B">
        <w:rPr>
          <w:rFonts w:cs="Times New Roman"/>
          <w:szCs w:val="24"/>
          <w:lang w:val="en-US"/>
        </w:rPr>
        <w:t xml:space="preserve">) but </w:t>
      </w:r>
      <w:r w:rsidR="00975E86" w:rsidRPr="0021030B">
        <w:rPr>
          <w:rFonts w:cs="Times New Roman"/>
          <w:szCs w:val="24"/>
          <w:lang w:val="en-US"/>
        </w:rPr>
        <w:t xml:space="preserve">more </w:t>
      </w:r>
      <w:r w:rsidR="004D32DC" w:rsidRPr="0021030B">
        <w:rPr>
          <w:rFonts w:cs="Times New Roman"/>
          <w:szCs w:val="24"/>
          <w:lang w:val="en-US"/>
        </w:rPr>
        <w:t>acute for</w:t>
      </w:r>
      <w:r w:rsidR="00B237EF" w:rsidRPr="0021030B">
        <w:rPr>
          <w:rFonts w:cs="Times New Roman"/>
          <w:szCs w:val="24"/>
          <w:lang w:val="en-US"/>
        </w:rPr>
        <w:t xml:space="preserve"> H-SQ </w:t>
      </w:r>
      <w:r w:rsidR="004D32DC" w:rsidRPr="0021030B">
        <w:rPr>
          <w:rFonts w:cs="Times New Roman"/>
          <w:szCs w:val="24"/>
          <w:lang w:val="en-US"/>
        </w:rPr>
        <w:t>(ES</w:t>
      </w:r>
      <w:r w:rsidR="00975E86" w:rsidRPr="0021030B">
        <w:rPr>
          <w:rFonts w:cs="Times New Roman"/>
          <w:szCs w:val="24"/>
          <w:lang w:val="en-US"/>
        </w:rPr>
        <w:t xml:space="preserve"> </w:t>
      </w:r>
      <w:r w:rsidR="004D32DC" w:rsidRPr="0021030B">
        <w:rPr>
          <w:rFonts w:cs="Times New Roman"/>
          <w:szCs w:val="24"/>
          <w:lang w:val="en-US"/>
        </w:rPr>
        <w:t>=</w:t>
      </w:r>
      <w:r w:rsidR="00975E86" w:rsidRPr="0021030B">
        <w:rPr>
          <w:rFonts w:cs="Times New Roman"/>
          <w:szCs w:val="24"/>
          <w:lang w:val="en-US"/>
        </w:rPr>
        <w:t xml:space="preserve"> </w:t>
      </w:r>
      <w:r w:rsidR="00B237EF" w:rsidRPr="0021030B">
        <w:rPr>
          <w:rFonts w:cs="Times New Roman"/>
          <w:szCs w:val="24"/>
          <w:lang w:val="en-US"/>
        </w:rPr>
        <w:t>1.62)</w:t>
      </w:r>
      <w:r w:rsidR="00975E86" w:rsidRPr="0021030B">
        <w:rPr>
          <w:rFonts w:cs="Times New Roman"/>
          <w:szCs w:val="24"/>
          <w:lang w:val="en-US"/>
        </w:rPr>
        <w:t>. T</w:t>
      </w:r>
      <w:r w:rsidR="008B052A" w:rsidRPr="0021030B">
        <w:rPr>
          <w:rFonts w:cs="Times New Roman"/>
          <w:szCs w:val="24"/>
          <w:lang w:val="en-US"/>
        </w:rPr>
        <w:t xml:space="preserve">he H-SQ group </w:t>
      </w:r>
      <w:r w:rsidR="00975E86" w:rsidRPr="0021030B">
        <w:rPr>
          <w:rFonts w:cs="Times New Roman"/>
          <w:szCs w:val="24"/>
          <w:lang w:val="en-US"/>
        </w:rPr>
        <w:t xml:space="preserve">was the only </w:t>
      </w:r>
      <w:r w:rsidR="00664516" w:rsidRPr="0021030B">
        <w:rPr>
          <w:rFonts w:cs="Times New Roman"/>
          <w:szCs w:val="24"/>
          <w:lang w:val="en-US"/>
        </w:rPr>
        <w:t xml:space="preserve">one </w:t>
      </w:r>
      <w:r w:rsidR="00975E86" w:rsidRPr="0021030B">
        <w:rPr>
          <w:rFonts w:cs="Times New Roman"/>
          <w:szCs w:val="24"/>
          <w:lang w:val="en-US"/>
        </w:rPr>
        <w:t xml:space="preserve">that reported </w:t>
      </w:r>
      <w:r w:rsidR="008B052A" w:rsidRPr="0021030B">
        <w:rPr>
          <w:rFonts w:cs="Times New Roman"/>
          <w:szCs w:val="24"/>
          <w:lang w:val="en-US"/>
        </w:rPr>
        <w:t xml:space="preserve">significant increases (p &lt; 0.05) in the </w:t>
      </w:r>
      <w:r w:rsidR="008B5976" w:rsidRPr="0021030B">
        <w:rPr>
          <w:rFonts w:cs="Times New Roman"/>
          <w:szCs w:val="24"/>
          <w:lang w:val="en-US"/>
        </w:rPr>
        <w:t xml:space="preserve">stiffness </w:t>
      </w:r>
      <w:r w:rsidR="008B052A" w:rsidRPr="0021030B">
        <w:rPr>
          <w:rFonts w:cs="Times New Roman"/>
          <w:szCs w:val="24"/>
          <w:lang w:val="en-US"/>
        </w:rPr>
        <w:t xml:space="preserve">and </w:t>
      </w:r>
      <w:r w:rsidR="008B5976" w:rsidRPr="0021030B">
        <w:rPr>
          <w:rFonts w:cs="Times New Roman"/>
          <w:szCs w:val="24"/>
          <w:lang w:val="en-US"/>
        </w:rPr>
        <w:t>p</w:t>
      </w:r>
      <w:r w:rsidR="008B052A" w:rsidRPr="0021030B">
        <w:rPr>
          <w:rFonts w:cs="Times New Roman"/>
          <w:szCs w:val="24"/>
          <w:lang w:val="en-US"/>
        </w:rPr>
        <w:t xml:space="preserve">hysical </w:t>
      </w:r>
      <w:r w:rsidR="008B5976" w:rsidRPr="0021030B">
        <w:rPr>
          <w:rFonts w:cs="Times New Roman"/>
          <w:szCs w:val="24"/>
          <w:lang w:val="en-US"/>
        </w:rPr>
        <w:t>f</w:t>
      </w:r>
      <w:r w:rsidR="008B052A" w:rsidRPr="0021030B">
        <w:rPr>
          <w:rFonts w:cs="Times New Roman"/>
          <w:szCs w:val="24"/>
          <w:lang w:val="en-US"/>
        </w:rPr>
        <w:t>unction</w:t>
      </w:r>
      <w:r w:rsidR="008B5976" w:rsidRPr="0021030B">
        <w:rPr>
          <w:rFonts w:cs="Times New Roman"/>
          <w:szCs w:val="24"/>
          <w:lang w:val="en-US"/>
        </w:rPr>
        <w:t>al disability</w:t>
      </w:r>
      <w:r w:rsidR="008B052A" w:rsidRPr="0021030B">
        <w:rPr>
          <w:rFonts w:cs="Times New Roman"/>
          <w:szCs w:val="24"/>
          <w:lang w:val="en-US"/>
        </w:rPr>
        <w:t xml:space="preserve"> indexes (ES = 1.21 </w:t>
      </w:r>
      <w:r w:rsidR="00B9079B" w:rsidRPr="0021030B">
        <w:rPr>
          <w:rFonts w:cs="Times New Roman"/>
          <w:szCs w:val="24"/>
          <w:lang w:val="en-US"/>
        </w:rPr>
        <w:t>to</w:t>
      </w:r>
      <w:r w:rsidR="008B052A" w:rsidRPr="0021030B">
        <w:rPr>
          <w:rFonts w:cs="Times New Roman"/>
          <w:szCs w:val="24"/>
          <w:lang w:val="en-US"/>
        </w:rPr>
        <w:t xml:space="preserve"> 0.87)</w:t>
      </w:r>
      <w:r w:rsidR="00975E86" w:rsidRPr="0021030B">
        <w:rPr>
          <w:rFonts w:cs="Times New Roman"/>
          <w:szCs w:val="24"/>
          <w:lang w:val="en-US"/>
        </w:rPr>
        <w:t xml:space="preserve"> and the </w:t>
      </w:r>
      <w:r w:rsidR="00975E86" w:rsidRPr="0021030B">
        <w:rPr>
          <w:rFonts w:cs="Times New Roman"/>
          <w:szCs w:val="24"/>
          <w:lang w:val="en-US"/>
        </w:rPr>
        <w:lastRenderedPageBreak/>
        <w:t xml:space="preserve">WOMAC questionnaire </w:t>
      </w:r>
      <w:r w:rsidR="000D66A6" w:rsidRPr="0021030B">
        <w:rPr>
          <w:rFonts w:cs="Times New Roman"/>
          <w:szCs w:val="24"/>
          <w:lang w:val="en-US"/>
        </w:rPr>
        <w:t>t</w:t>
      </w:r>
      <w:r w:rsidR="00975E86" w:rsidRPr="0021030B">
        <w:rPr>
          <w:rFonts w:cs="Times New Roman"/>
          <w:szCs w:val="24"/>
          <w:lang w:val="en-US"/>
        </w:rPr>
        <w:t xml:space="preserve">otal </w:t>
      </w:r>
      <w:r w:rsidR="000D66A6" w:rsidRPr="0021030B">
        <w:rPr>
          <w:rFonts w:cs="Times New Roman"/>
          <w:szCs w:val="24"/>
          <w:lang w:val="en-US"/>
        </w:rPr>
        <w:t>s</w:t>
      </w:r>
      <w:r w:rsidR="00975E86" w:rsidRPr="0021030B">
        <w:rPr>
          <w:rFonts w:cs="Times New Roman"/>
          <w:szCs w:val="24"/>
          <w:lang w:val="en-US"/>
        </w:rPr>
        <w:t xml:space="preserve">core (ES = 1.03) </w:t>
      </w:r>
      <w:r w:rsidR="008B052A" w:rsidRPr="0021030B">
        <w:rPr>
          <w:rFonts w:cs="Times New Roman"/>
          <w:szCs w:val="24"/>
          <w:lang w:val="en-US"/>
        </w:rPr>
        <w:t>at the end of the intervention</w:t>
      </w:r>
      <w:r w:rsidR="003D3D83" w:rsidRPr="0021030B">
        <w:rPr>
          <w:rFonts w:cs="Times New Roman"/>
          <w:szCs w:val="24"/>
          <w:lang w:val="en-US"/>
        </w:rPr>
        <w:t>.</w:t>
      </w:r>
      <w:r w:rsidR="008B052A" w:rsidRPr="0021030B">
        <w:rPr>
          <w:rFonts w:cs="Times New Roman"/>
          <w:szCs w:val="24"/>
          <w:lang w:val="en-US"/>
        </w:rPr>
        <w:t xml:space="preserve"> </w:t>
      </w:r>
      <w:r w:rsidR="00975E86" w:rsidRPr="0021030B">
        <w:rPr>
          <w:rFonts w:cs="Times New Roman"/>
          <w:szCs w:val="24"/>
          <w:lang w:val="en-US"/>
        </w:rPr>
        <w:t>T</w:t>
      </w:r>
      <w:r w:rsidR="00A87DAC" w:rsidRPr="0021030B">
        <w:rPr>
          <w:rFonts w:cs="Times New Roman"/>
          <w:szCs w:val="24"/>
          <w:lang w:val="en-US"/>
        </w:rPr>
        <w:t xml:space="preserve">he </w:t>
      </w:r>
      <w:r w:rsidR="003D3D83" w:rsidRPr="0021030B">
        <w:rPr>
          <w:rFonts w:cs="Times New Roman"/>
          <w:szCs w:val="24"/>
          <w:lang w:val="en-US"/>
        </w:rPr>
        <w:t>C</w:t>
      </w:r>
      <w:r w:rsidR="00975E86" w:rsidRPr="0021030B">
        <w:rPr>
          <w:rFonts w:cs="Times New Roman"/>
          <w:szCs w:val="24"/>
          <w:lang w:val="en-US"/>
        </w:rPr>
        <w:t xml:space="preserve">ontrols </w:t>
      </w:r>
      <w:r w:rsidR="00664516" w:rsidRPr="0021030B">
        <w:rPr>
          <w:rFonts w:cs="Times New Roman"/>
          <w:szCs w:val="24"/>
          <w:lang w:val="en-US"/>
        </w:rPr>
        <w:t xml:space="preserve">went down </w:t>
      </w:r>
      <w:r w:rsidR="00842166" w:rsidRPr="0021030B">
        <w:rPr>
          <w:rFonts w:cs="Times New Roman"/>
          <w:szCs w:val="24"/>
          <w:lang w:val="en-US"/>
        </w:rPr>
        <w:t>in all</w:t>
      </w:r>
      <w:r w:rsidR="00A87DAC" w:rsidRPr="0021030B">
        <w:rPr>
          <w:rFonts w:cs="Times New Roman"/>
          <w:szCs w:val="24"/>
          <w:lang w:val="en-US"/>
        </w:rPr>
        <w:t xml:space="preserve"> the score</w:t>
      </w:r>
      <w:r w:rsidR="00842166" w:rsidRPr="0021030B">
        <w:rPr>
          <w:rFonts w:cs="Times New Roman"/>
          <w:szCs w:val="24"/>
          <w:lang w:val="en-US"/>
        </w:rPr>
        <w:t xml:space="preserve">s </w:t>
      </w:r>
      <w:r w:rsidR="00A87DAC" w:rsidRPr="0021030B">
        <w:rPr>
          <w:rFonts w:cs="Times New Roman"/>
          <w:szCs w:val="24"/>
          <w:lang w:val="en-US"/>
        </w:rPr>
        <w:t xml:space="preserve">(ES = 0.45). </w:t>
      </w:r>
      <w:r w:rsidR="00941DBE" w:rsidRPr="0021030B">
        <w:rPr>
          <w:rFonts w:cs="Times New Roman"/>
          <w:szCs w:val="24"/>
          <w:lang w:val="en-US"/>
        </w:rPr>
        <w:t>Controls decreased in every test.</w:t>
      </w:r>
    </w:p>
    <w:p w14:paraId="14B857B5" w14:textId="2211E461" w:rsidR="00DA6D44" w:rsidRPr="0021030B" w:rsidRDefault="009B55C8" w:rsidP="00F52A7E">
      <w:pPr>
        <w:spacing w:line="480" w:lineRule="auto"/>
        <w:rPr>
          <w:rFonts w:cs="Times New Roman"/>
          <w:b/>
          <w:szCs w:val="24"/>
          <w:lang w:val="en-US"/>
        </w:rPr>
      </w:pPr>
      <w:r w:rsidRPr="0021030B">
        <w:rPr>
          <w:rFonts w:cs="Times New Roman"/>
          <w:b/>
          <w:szCs w:val="24"/>
          <w:lang w:val="en-US"/>
        </w:rPr>
        <w:t xml:space="preserve">Discussion </w:t>
      </w:r>
    </w:p>
    <w:p w14:paraId="3FA51AE6" w14:textId="786060A6" w:rsidR="000A4FFF" w:rsidRPr="0021030B" w:rsidRDefault="000A4FFF" w:rsidP="00E747BE">
      <w:pPr>
        <w:spacing w:line="480" w:lineRule="auto"/>
        <w:ind w:firstLine="708"/>
        <w:rPr>
          <w:rFonts w:cs="Times New Roman"/>
          <w:szCs w:val="24"/>
          <w:lang w:val="en-US"/>
        </w:rPr>
      </w:pPr>
      <w:r w:rsidRPr="0021030B">
        <w:rPr>
          <w:rFonts w:cs="Times New Roman"/>
          <w:szCs w:val="24"/>
          <w:lang w:val="en-US"/>
        </w:rPr>
        <w:t xml:space="preserve">The main findings of the current study </w:t>
      </w:r>
      <w:r w:rsidR="00043791" w:rsidRPr="0021030B">
        <w:rPr>
          <w:rFonts w:cs="Times New Roman"/>
          <w:szCs w:val="24"/>
          <w:lang w:val="en-US"/>
        </w:rPr>
        <w:t>were: i)</w:t>
      </w:r>
      <w:r w:rsidRPr="0021030B">
        <w:rPr>
          <w:rFonts w:cs="Times New Roman"/>
          <w:szCs w:val="24"/>
          <w:lang w:val="en-US"/>
        </w:rPr>
        <w:t xml:space="preserve"> </w:t>
      </w:r>
      <w:r w:rsidR="005B0AB9" w:rsidRPr="0021030B">
        <w:rPr>
          <w:rFonts w:cs="Times New Roman"/>
          <w:szCs w:val="24"/>
          <w:lang w:val="en-US"/>
        </w:rPr>
        <w:t>T</w:t>
      </w:r>
      <w:r w:rsidR="00043791" w:rsidRPr="0021030B">
        <w:rPr>
          <w:rFonts w:cs="Times New Roman"/>
          <w:szCs w:val="24"/>
          <w:lang w:val="en-US"/>
        </w:rPr>
        <w:t xml:space="preserve">he F-SQ exercise </w:t>
      </w:r>
      <w:r w:rsidR="005B0AB9" w:rsidRPr="0021030B">
        <w:rPr>
          <w:rFonts w:cs="Times New Roman"/>
          <w:szCs w:val="24"/>
          <w:lang w:val="en-US"/>
        </w:rPr>
        <w:t xml:space="preserve">was the only one that </w:t>
      </w:r>
      <w:r w:rsidR="00043791" w:rsidRPr="0021030B">
        <w:rPr>
          <w:rFonts w:cs="Times New Roman"/>
          <w:szCs w:val="24"/>
          <w:lang w:val="en-US"/>
        </w:rPr>
        <w:t xml:space="preserve">produced significant improvements in </w:t>
      </w:r>
      <w:r w:rsidR="003106CF" w:rsidRPr="0021030B">
        <w:rPr>
          <w:rFonts w:cs="Times New Roman"/>
          <w:szCs w:val="24"/>
          <w:lang w:val="en-US"/>
        </w:rPr>
        <w:t xml:space="preserve">all </w:t>
      </w:r>
      <w:r w:rsidR="00043791" w:rsidRPr="0021030B">
        <w:rPr>
          <w:rFonts w:cs="Times New Roman"/>
          <w:szCs w:val="24"/>
          <w:lang w:val="en-US"/>
        </w:rPr>
        <w:t>neuromuscular</w:t>
      </w:r>
      <w:r w:rsidR="00DA4936" w:rsidRPr="0021030B">
        <w:rPr>
          <w:rFonts w:cs="Times New Roman"/>
          <w:szCs w:val="24"/>
          <w:lang w:val="en-US"/>
        </w:rPr>
        <w:t xml:space="preserve"> </w:t>
      </w:r>
      <w:r w:rsidR="005B0AB9" w:rsidRPr="0021030B">
        <w:rPr>
          <w:rFonts w:cs="Times New Roman"/>
          <w:szCs w:val="24"/>
          <w:lang w:val="en-US"/>
        </w:rPr>
        <w:t>performance</w:t>
      </w:r>
      <w:r w:rsidR="003106CF" w:rsidRPr="0021030B">
        <w:rPr>
          <w:rFonts w:cs="Times New Roman"/>
          <w:szCs w:val="24"/>
          <w:lang w:val="en-US"/>
        </w:rPr>
        <w:t xml:space="preserve"> parameters</w:t>
      </w:r>
      <w:r w:rsidR="005B0AB9" w:rsidRPr="0021030B">
        <w:rPr>
          <w:rFonts w:cs="Times New Roman"/>
          <w:szCs w:val="24"/>
          <w:lang w:val="en-US"/>
        </w:rPr>
        <w:t xml:space="preserve"> </w:t>
      </w:r>
      <w:r w:rsidR="00043791" w:rsidRPr="0021030B">
        <w:rPr>
          <w:rFonts w:cs="Times New Roman"/>
          <w:szCs w:val="24"/>
          <w:lang w:val="en-US"/>
        </w:rPr>
        <w:t xml:space="preserve">for the three </w:t>
      </w:r>
      <w:r w:rsidR="00767078" w:rsidRPr="0021030B">
        <w:rPr>
          <w:rFonts w:cs="Times New Roman"/>
          <w:szCs w:val="24"/>
          <w:lang w:val="en-US"/>
        </w:rPr>
        <w:t xml:space="preserve">squat variations </w:t>
      </w:r>
      <w:r w:rsidR="00E72657" w:rsidRPr="0021030B">
        <w:rPr>
          <w:rFonts w:cs="Times New Roman"/>
          <w:szCs w:val="24"/>
          <w:lang w:val="en-US"/>
        </w:rPr>
        <w:t xml:space="preserve"> (F-SQ, P-SQ and H-SQ) after 10 weeks of RT, </w:t>
      </w:r>
      <w:r w:rsidR="00D77418" w:rsidRPr="0021030B">
        <w:rPr>
          <w:rFonts w:cs="Times New Roman"/>
          <w:szCs w:val="24"/>
          <w:lang w:val="en-US"/>
        </w:rPr>
        <w:t xml:space="preserve">while </w:t>
      </w:r>
      <w:r w:rsidR="00384BAC" w:rsidRPr="0021030B">
        <w:rPr>
          <w:rFonts w:cs="Times New Roman"/>
          <w:szCs w:val="24"/>
          <w:lang w:val="en-US"/>
        </w:rPr>
        <w:t xml:space="preserve">P-SQ </w:t>
      </w:r>
      <w:r w:rsidR="00D70051" w:rsidRPr="0021030B">
        <w:rPr>
          <w:rFonts w:cs="Times New Roman"/>
          <w:szCs w:val="24"/>
          <w:lang w:val="en-US"/>
        </w:rPr>
        <w:t>group obtained</w:t>
      </w:r>
      <w:r w:rsidR="00384BAC" w:rsidRPr="0021030B">
        <w:rPr>
          <w:rFonts w:cs="Times New Roman"/>
          <w:szCs w:val="24"/>
          <w:lang w:val="en-US"/>
        </w:rPr>
        <w:t xml:space="preserve"> the second </w:t>
      </w:r>
      <w:r w:rsidR="00D70051" w:rsidRPr="0021030B">
        <w:rPr>
          <w:rFonts w:cs="Times New Roman"/>
          <w:szCs w:val="24"/>
          <w:lang w:val="en-US"/>
        </w:rPr>
        <w:t xml:space="preserve">best </w:t>
      </w:r>
      <w:r w:rsidR="009B3510" w:rsidRPr="0021030B">
        <w:rPr>
          <w:rFonts w:cs="Times New Roman"/>
          <w:szCs w:val="24"/>
          <w:lang w:val="en-US"/>
        </w:rPr>
        <w:t>results,</w:t>
      </w:r>
      <w:r w:rsidR="00D70051" w:rsidRPr="0021030B">
        <w:rPr>
          <w:rFonts w:cs="Times New Roman"/>
          <w:szCs w:val="24"/>
          <w:lang w:val="en-US"/>
        </w:rPr>
        <w:t xml:space="preserve"> </w:t>
      </w:r>
      <w:r w:rsidR="00BB6BDA" w:rsidRPr="0021030B">
        <w:rPr>
          <w:rFonts w:cs="Times New Roman"/>
          <w:szCs w:val="24"/>
          <w:lang w:val="en-US"/>
        </w:rPr>
        <w:t>i</w:t>
      </w:r>
      <w:r w:rsidR="00E72657" w:rsidRPr="0021030B">
        <w:rPr>
          <w:rFonts w:cs="Times New Roman"/>
          <w:szCs w:val="24"/>
          <w:lang w:val="en-US"/>
        </w:rPr>
        <w:t xml:space="preserve">i) </w:t>
      </w:r>
      <w:r w:rsidR="006E1414" w:rsidRPr="0021030B">
        <w:rPr>
          <w:rFonts w:cs="Times New Roman"/>
          <w:szCs w:val="24"/>
          <w:lang w:val="en-US"/>
        </w:rPr>
        <w:t xml:space="preserve">moderate </w:t>
      </w:r>
      <w:r w:rsidR="00CA3A03" w:rsidRPr="0021030B">
        <w:rPr>
          <w:rFonts w:cs="Times New Roman"/>
          <w:szCs w:val="24"/>
          <w:lang w:val="en-US"/>
        </w:rPr>
        <w:t xml:space="preserve">to high </w:t>
      </w:r>
      <w:r w:rsidR="00DF29CC" w:rsidRPr="0021030B">
        <w:rPr>
          <w:rFonts w:cs="Times New Roman"/>
          <w:szCs w:val="24"/>
          <w:lang w:val="en-US"/>
        </w:rPr>
        <w:t xml:space="preserve">increments in functional performance were observed only after F-SQ </w:t>
      </w:r>
      <w:r w:rsidR="00CA3A03" w:rsidRPr="0021030B">
        <w:rPr>
          <w:rFonts w:cs="Times New Roman"/>
          <w:szCs w:val="24"/>
          <w:lang w:val="en-US"/>
        </w:rPr>
        <w:t xml:space="preserve">and P-SQ </w:t>
      </w:r>
      <w:r w:rsidR="00DF29CC" w:rsidRPr="0021030B">
        <w:rPr>
          <w:rFonts w:cs="Times New Roman"/>
          <w:szCs w:val="24"/>
          <w:lang w:val="en-US"/>
        </w:rPr>
        <w:t>training</w:t>
      </w:r>
      <w:r w:rsidR="00CA1A47" w:rsidRPr="0021030B">
        <w:rPr>
          <w:rFonts w:cs="Times New Roman"/>
          <w:szCs w:val="24"/>
          <w:lang w:val="en-US"/>
        </w:rPr>
        <w:t>, i</w:t>
      </w:r>
      <w:r w:rsidR="00D77418" w:rsidRPr="0021030B">
        <w:rPr>
          <w:rFonts w:cs="Times New Roman"/>
          <w:szCs w:val="24"/>
          <w:lang w:val="en-US"/>
        </w:rPr>
        <w:t>ii</w:t>
      </w:r>
      <w:r w:rsidR="00CA1A47" w:rsidRPr="0021030B">
        <w:rPr>
          <w:rFonts w:cs="Times New Roman"/>
          <w:szCs w:val="24"/>
          <w:lang w:val="en-US"/>
        </w:rPr>
        <w:t xml:space="preserve">) </w:t>
      </w:r>
      <w:r w:rsidR="00664516" w:rsidRPr="0021030B">
        <w:rPr>
          <w:rFonts w:cs="Times New Roman"/>
          <w:szCs w:val="24"/>
          <w:lang w:val="en-US"/>
        </w:rPr>
        <w:t>intervention</w:t>
      </w:r>
      <w:r w:rsidR="00CA1A47" w:rsidRPr="0021030B">
        <w:rPr>
          <w:rFonts w:cs="Times New Roman"/>
          <w:szCs w:val="24"/>
          <w:lang w:val="en-US"/>
        </w:rPr>
        <w:t xml:space="preserve"> with H-SQ produced </w:t>
      </w:r>
      <w:r w:rsidR="009B3510" w:rsidRPr="0021030B">
        <w:rPr>
          <w:rFonts w:cs="Times New Roman"/>
          <w:szCs w:val="24"/>
          <w:lang w:val="en-US"/>
        </w:rPr>
        <w:t>the wo</w:t>
      </w:r>
      <w:r w:rsidR="00E948BD" w:rsidRPr="0021030B">
        <w:rPr>
          <w:rFonts w:cs="Times New Roman"/>
          <w:szCs w:val="24"/>
          <w:lang w:val="en-US"/>
        </w:rPr>
        <w:t>rst</w:t>
      </w:r>
      <w:r w:rsidR="00715B6D" w:rsidRPr="0021030B">
        <w:rPr>
          <w:rFonts w:cs="Times New Roman"/>
          <w:szCs w:val="24"/>
          <w:lang w:val="en-US"/>
        </w:rPr>
        <w:t xml:space="preserve"> results in</w:t>
      </w:r>
      <w:r w:rsidR="00E948BD" w:rsidRPr="0021030B">
        <w:rPr>
          <w:rFonts w:cs="Times New Roman"/>
          <w:szCs w:val="24"/>
          <w:lang w:val="en-US"/>
        </w:rPr>
        <w:t xml:space="preserve"> </w:t>
      </w:r>
      <w:r w:rsidR="000B4144" w:rsidRPr="0021030B">
        <w:rPr>
          <w:rFonts w:cs="Times New Roman"/>
          <w:szCs w:val="24"/>
          <w:lang w:val="en-US"/>
        </w:rPr>
        <w:t xml:space="preserve">both </w:t>
      </w:r>
      <w:r w:rsidR="00E948BD" w:rsidRPr="0021030B">
        <w:rPr>
          <w:rFonts w:cs="Times New Roman"/>
          <w:szCs w:val="24"/>
          <w:lang w:val="en-US"/>
        </w:rPr>
        <w:t>neuromuscular</w:t>
      </w:r>
      <w:r w:rsidR="00CA3A03" w:rsidRPr="0021030B">
        <w:rPr>
          <w:rFonts w:cs="Times New Roman"/>
          <w:szCs w:val="24"/>
          <w:lang w:val="en-US"/>
        </w:rPr>
        <w:t xml:space="preserve"> and functional</w:t>
      </w:r>
      <w:r w:rsidR="00E948BD" w:rsidRPr="0021030B">
        <w:rPr>
          <w:rFonts w:cs="Times New Roman"/>
          <w:szCs w:val="24"/>
          <w:lang w:val="en-US"/>
        </w:rPr>
        <w:t xml:space="preserve"> performa</w:t>
      </w:r>
      <w:r w:rsidR="0096044B" w:rsidRPr="0021030B">
        <w:rPr>
          <w:rFonts w:cs="Times New Roman"/>
          <w:szCs w:val="24"/>
          <w:lang w:val="en-US"/>
        </w:rPr>
        <w:t xml:space="preserve">nce, </w:t>
      </w:r>
      <w:r w:rsidR="00D77418" w:rsidRPr="0021030B">
        <w:rPr>
          <w:rFonts w:cs="Times New Roman"/>
          <w:szCs w:val="24"/>
          <w:lang w:val="en-US"/>
        </w:rPr>
        <w:t>iv</w:t>
      </w:r>
      <w:r w:rsidR="000C126E" w:rsidRPr="0021030B">
        <w:rPr>
          <w:rFonts w:cs="Times New Roman"/>
          <w:szCs w:val="24"/>
          <w:lang w:val="en-US"/>
        </w:rPr>
        <w:t xml:space="preserve">) individuals in all three training groups improved significantly more at the specific </w:t>
      </w:r>
      <w:r w:rsidR="00327F47" w:rsidRPr="0021030B">
        <w:rPr>
          <w:rFonts w:cs="Times New Roman"/>
          <w:szCs w:val="24"/>
          <w:lang w:val="en-US"/>
        </w:rPr>
        <w:t xml:space="preserve">SQ </w:t>
      </w:r>
      <w:r w:rsidR="000C126E" w:rsidRPr="0021030B">
        <w:rPr>
          <w:rFonts w:cs="Times New Roman"/>
          <w:szCs w:val="24"/>
          <w:lang w:val="en-US"/>
        </w:rPr>
        <w:t xml:space="preserve">at which they trained, </w:t>
      </w:r>
      <w:r w:rsidR="00B23293" w:rsidRPr="0021030B">
        <w:rPr>
          <w:rFonts w:cs="Times New Roman"/>
          <w:szCs w:val="24"/>
          <w:lang w:val="en-US"/>
        </w:rPr>
        <w:t xml:space="preserve">v) </w:t>
      </w:r>
      <w:r w:rsidR="00715B6D" w:rsidRPr="0021030B">
        <w:rPr>
          <w:rFonts w:cs="Times New Roman"/>
          <w:szCs w:val="24"/>
          <w:lang w:val="en-US"/>
        </w:rPr>
        <w:t xml:space="preserve">the three groups reported a moderate rise in </w:t>
      </w:r>
      <w:r w:rsidR="00E52644" w:rsidRPr="0021030B">
        <w:rPr>
          <w:rFonts w:cs="Times New Roman"/>
          <w:szCs w:val="24"/>
          <w:lang w:val="en-US"/>
        </w:rPr>
        <w:t xml:space="preserve">pain perception scores following the 10-week RT program, but the H-SQ experienced </w:t>
      </w:r>
      <w:r w:rsidR="00446051" w:rsidRPr="0021030B">
        <w:rPr>
          <w:rFonts w:cs="Times New Roman"/>
          <w:szCs w:val="24"/>
          <w:lang w:val="en-US"/>
        </w:rPr>
        <w:t xml:space="preserve">an acute increase in </w:t>
      </w:r>
      <w:r w:rsidR="001B058A" w:rsidRPr="0021030B">
        <w:rPr>
          <w:rFonts w:cs="Times New Roman"/>
          <w:szCs w:val="24"/>
          <w:lang w:val="en-US"/>
        </w:rPr>
        <w:t>pain, stiff</w:t>
      </w:r>
      <w:r w:rsidR="008B5976" w:rsidRPr="0021030B">
        <w:rPr>
          <w:rFonts w:cs="Times New Roman"/>
          <w:szCs w:val="24"/>
          <w:lang w:val="en-US"/>
        </w:rPr>
        <w:t>ness</w:t>
      </w:r>
      <w:r w:rsidR="001B058A" w:rsidRPr="0021030B">
        <w:rPr>
          <w:rFonts w:cs="Times New Roman"/>
          <w:szCs w:val="24"/>
          <w:lang w:val="en-US"/>
        </w:rPr>
        <w:t xml:space="preserve"> and physical function</w:t>
      </w:r>
      <w:r w:rsidR="008B5976" w:rsidRPr="0021030B">
        <w:rPr>
          <w:rFonts w:cs="Times New Roman"/>
          <w:szCs w:val="24"/>
          <w:lang w:val="en-US"/>
        </w:rPr>
        <w:t>al</w:t>
      </w:r>
      <w:r w:rsidR="001B058A" w:rsidRPr="0021030B">
        <w:rPr>
          <w:rFonts w:cs="Times New Roman"/>
          <w:szCs w:val="24"/>
          <w:lang w:val="en-US"/>
        </w:rPr>
        <w:t xml:space="preserve"> </w:t>
      </w:r>
      <w:r w:rsidR="008B5976" w:rsidRPr="0021030B">
        <w:rPr>
          <w:rFonts w:cs="Times New Roman"/>
          <w:szCs w:val="24"/>
          <w:lang w:val="en-US"/>
        </w:rPr>
        <w:t xml:space="preserve">disability </w:t>
      </w:r>
      <w:r w:rsidR="001B058A" w:rsidRPr="0021030B">
        <w:rPr>
          <w:rFonts w:cs="Times New Roman"/>
          <w:szCs w:val="24"/>
          <w:lang w:val="en-US"/>
        </w:rPr>
        <w:t xml:space="preserve">indexes, </w:t>
      </w:r>
      <w:r w:rsidR="007274FA" w:rsidRPr="0021030B">
        <w:rPr>
          <w:rFonts w:cs="Times New Roman"/>
          <w:szCs w:val="24"/>
          <w:lang w:val="en-US"/>
        </w:rPr>
        <w:t xml:space="preserve">and </w:t>
      </w:r>
      <w:r w:rsidR="00717DF0" w:rsidRPr="0021030B">
        <w:rPr>
          <w:rFonts w:cs="Times New Roman"/>
          <w:szCs w:val="24"/>
          <w:lang w:val="en-US"/>
        </w:rPr>
        <w:t xml:space="preserve">vi) </w:t>
      </w:r>
      <w:r w:rsidR="002A31D0" w:rsidRPr="0021030B">
        <w:rPr>
          <w:rFonts w:cs="Times New Roman"/>
          <w:szCs w:val="24"/>
          <w:lang w:val="en-US"/>
        </w:rPr>
        <w:t>ten weeks of RT cess</w:t>
      </w:r>
      <w:r w:rsidR="004A6763" w:rsidRPr="0021030B">
        <w:rPr>
          <w:rFonts w:cs="Times New Roman"/>
          <w:szCs w:val="24"/>
          <w:lang w:val="en-US"/>
        </w:rPr>
        <w:t>at</w:t>
      </w:r>
      <w:r w:rsidR="002A31D0" w:rsidRPr="0021030B">
        <w:rPr>
          <w:rFonts w:cs="Times New Roman"/>
          <w:szCs w:val="24"/>
          <w:lang w:val="en-US"/>
        </w:rPr>
        <w:t>ion</w:t>
      </w:r>
      <w:r w:rsidR="000C7F03" w:rsidRPr="0021030B">
        <w:rPr>
          <w:rFonts w:cs="Times New Roman"/>
          <w:szCs w:val="24"/>
          <w:lang w:val="en-US"/>
        </w:rPr>
        <w:t xml:space="preserve"> in this kind of highly-trained athletes</w:t>
      </w:r>
      <w:r w:rsidR="009D2201" w:rsidRPr="0021030B">
        <w:rPr>
          <w:rFonts w:cs="Times New Roman"/>
          <w:szCs w:val="24"/>
          <w:lang w:val="en-US"/>
        </w:rPr>
        <w:t xml:space="preserve"> (control</w:t>
      </w:r>
      <w:r w:rsidR="00A021D3" w:rsidRPr="0021030B">
        <w:rPr>
          <w:rFonts w:cs="Times New Roman"/>
          <w:szCs w:val="24"/>
          <w:lang w:val="en-US"/>
        </w:rPr>
        <w:t xml:space="preserve"> group</w:t>
      </w:r>
      <w:r w:rsidR="009D2201" w:rsidRPr="0021030B">
        <w:rPr>
          <w:rFonts w:cs="Times New Roman"/>
          <w:szCs w:val="24"/>
          <w:lang w:val="en-US"/>
        </w:rPr>
        <w:t>)</w:t>
      </w:r>
      <w:r w:rsidR="002A31D0" w:rsidRPr="0021030B">
        <w:rPr>
          <w:rFonts w:cs="Times New Roman"/>
          <w:szCs w:val="24"/>
          <w:lang w:val="en-US"/>
        </w:rPr>
        <w:t xml:space="preserve"> </w:t>
      </w:r>
      <w:r w:rsidR="007274FA" w:rsidRPr="0021030B">
        <w:rPr>
          <w:rFonts w:cs="Times New Roman"/>
          <w:szCs w:val="24"/>
          <w:lang w:val="en-US"/>
        </w:rPr>
        <w:t xml:space="preserve">significantly </w:t>
      </w:r>
      <w:r w:rsidR="005720A7" w:rsidRPr="0021030B">
        <w:rPr>
          <w:rFonts w:cs="Times New Roman"/>
          <w:szCs w:val="24"/>
          <w:lang w:val="en-US"/>
        </w:rPr>
        <w:t>reduced</w:t>
      </w:r>
      <w:r w:rsidR="002A31D0" w:rsidRPr="0021030B">
        <w:rPr>
          <w:rFonts w:cs="Times New Roman"/>
          <w:szCs w:val="24"/>
          <w:lang w:val="en-US"/>
        </w:rPr>
        <w:t xml:space="preserve"> </w:t>
      </w:r>
      <w:r w:rsidR="005720A7" w:rsidRPr="0021030B">
        <w:rPr>
          <w:rFonts w:cs="Times New Roman"/>
          <w:szCs w:val="24"/>
          <w:lang w:val="en-US"/>
        </w:rPr>
        <w:t>all the neuromuscular and functional strength performance</w:t>
      </w:r>
      <w:r w:rsidR="000B4144" w:rsidRPr="0021030B">
        <w:rPr>
          <w:rFonts w:cs="Times New Roman"/>
          <w:szCs w:val="24"/>
          <w:lang w:val="en-US"/>
        </w:rPr>
        <w:t>, mainly against high loads</w:t>
      </w:r>
      <w:r w:rsidR="005720A7" w:rsidRPr="0021030B">
        <w:rPr>
          <w:rFonts w:cs="Times New Roman"/>
          <w:szCs w:val="24"/>
          <w:lang w:val="en-US"/>
        </w:rPr>
        <w:t xml:space="preserve">. </w:t>
      </w:r>
      <w:r w:rsidR="00752836" w:rsidRPr="0021030B">
        <w:rPr>
          <w:rFonts w:cs="Times New Roman"/>
          <w:szCs w:val="24"/>
          <w:lang w:val="en-US"/>
        </w:rPr>
        <w:t>These findings confirm</w:t>
      </w:r>
      <w:r w:rsidR="00551BDE" w:rsidRPr="0021030B">
        <w:rPr>
          <w:rFonts w:cs="Times New Roman"/>
          <w:szCs w:val="24"/>
          <w:lang w:val="en-US"/>
        </w:rPr>
        <w:t xml:space="preserve"> </w:t>
      </w:r>
      <w:r w:rsidR="00223420" w:rsidRPr="0021030B">
        <w:rPr>
          <w:rFonts w:cs="Times New Roman"/>
          <w:szCs w:val="24"/>
          <w:lang w:val="en-US"/>
        </w:rPr>
        <w:t>that F-SQ</w:t>
      </w:r>
      <w:r w:rsidR="00BB6BDA" w:rsidRPr="0021030B">
        <w:rPr>
          <w:rFonts w:cs="Times New Roman"/>
          <w:szCs w:val="24"/>
          <w:lang w:val="en-US"/>
        </w:rPr>
        <w:t xml:space="preserve"> and P-SQ</w:t>
      </w:r>
      <w:r w:rsidR="00223420" w:rsidRPr="0021030B">
        <w:rPr>
          <w:rFonts w:cs="Times New Roman"/>
          <w:szCs w:val="24"/>
          <w:lang w:val="en-US"/>
        </w:rPr>
        <w:t xml:space="preserve">, </w:t>
      </w:r>
      <w:r w:rsidR="00106385" w:rsidRPr="0021030B">
        <w:rPr>
          <w:rFonts w:cs="Times New Roman"/>
          <w:szCs w:val="24"/>
          <w:lang w:val="en-US"/>
        </w:rPr>
        <w:t>with</w:t>
      </w:r>
      <w:r w:rsidR="00664516" w:rsidRPr="0021030B">
        <w:rPr>
          <w:rFonts w:cs="Times New Roman"/>
          <w:szCs w:val="24"/>
          <w:lang w:val="en-US"/>
        </w:rPr>
        <w:t xml:space="preserve"> </w:t>
      </w:r>
      <w:r w:rsidR="00223420" w:rsidRPr="0021030B">
        <w:rPr>
          <w:rFonts w:cs="Times New Roman"/>
          <w:szCs w:val="24"/>
          <w:lang w:val="en-US"/>
        </w:rPr>
        <w:t>correct technique</w:t>
      </w:r>
      <w:r w:rsidR="000C7F03" w:rsidRPr="0021030B">
        <w:rPr>
          <w:rFonts w:cs="Times New Roman"/>
          <w:szCs w:val="24"/>
          <w:lang w:val="en-US"/>
        </w:rPr>
        <w:t xml:space="preserve"> and </w:t>
      </w:r>
      <w:r w:rsidR="00223420" w:rsidRPr="0021030B">
        <w:rPr>
          <w:rFonts w:cs="Times New Roman"/>
          <w:szCs w:val="24"/>
          <w:lang w:val="en-US"/>
        </w:rPr>
        <w:t>proper loads</w:t>
      </w:r>
      <w:r w:rsidR="00934264" w:rsidRPr="0021030B">
        <w:rPr>
          <w:rFonts w:cs="Times New Roman"/>
          <w:szCs w:val="24"/>
          <w:lang w:val="en-US"/>
        </w:rPr>
        <w:t xml:space="preserve">, </w:t>
      </w:r>
      <w:r w:rsidR="00BB6BDA" w:rsidRPr="0021030B">
        <w:rPr>
          <w:rFonts w:cs="Times New Roman"/>
          <w:szCs w:val="24"/>
          <w:lang w:val="en-US"/>
        </w:rPr>
        <w:t>are</w:t>
      </w:r>
      <w:r w:rsidR="00934264" w:rsidRPr="0021030B">
        <w:rPr>
          <w:rFonts w:cs="Times New Roman"/>
          <w:szCs w:val="24"/>
          <w:lang w:val="en-US"/>
        </w:rPr>
        <w:t xml:space="preserve"> </w:t>
      </w:r>
      <w:r w:rsidR="000C783D" w:rsidRPr="0021030B">
        <w:rPr>
          <w:rFonts w:cs="Times New Roman"/>
          <w:szCs w:val="24"/>
          <w:lang w:val="en-US"/>
        </w:rPr>
        <w:t>the</w:t>
      </w:r>
      <w:r w:rsidR="00934264" w:rsidRPr="0021030B">
        <w:rPr>
          <w:rFonts w:cs="Times New Roman"/>
          <w:szCs w:val="24"/>
          <w:lang w:val="en-US"/>
        </w:rPr>
        <w:t xml:space="preserve"> safe</w:t>
      </w:r>
      <w:r w:rsidR="00664516" w:rsidRPr="0021030B">
        <w:rPr>
          <w:rFonts w:cs="Times New Roman"/>
          <w:szCs w:val="24"/>
          <w:lang w:val="en-US"/>
        </w:rPr>
        <w:t>st</w:t>
      </w:r>
      <w:r w:rsidR="000C783D" w:rsidRPr="0021030B">
        <w:rPr>
          <w:rFonts w:cs="Times New Roman"/>
          <w:szCs w:val="24"/>
          <w:lang w:val="en-US"/>
        </w:rPr>
        <w:t xml:space="preserve"> and mo</w:t>
      </w:r>
      <w:r w:rsidR="00664516" w:rsidRPr="0021030B">
        <w:rPr>
          <w:rFonts w:cs="Times New Roman"/>
          <w:szCs w:val="24"/>
          <w:lang w:val="en-US"/>
        </w:rPr>
        <w:t>st</w:t>
      </w:r>
      <w:r w:rsidR="000C783D" w:rsidRPr="0021030B">
        <w:rPr>
          <w:rFonts w:cs="Times New Roman"/>
          <w:szCs w:val="24"/>
          <w:lang w:val="en-US"/>
        </w:rPr>
        <w:t xml:space="preserve"> effective</w:t>
      </w:r>
      <w:r w:rsidR="00934264" w:rsidRPr="0021030B">
        <w:rPr>
          <w:rFonts w:cs="Times New Roman"/>
          <w:szCs w:val="24"/>
          <w:lang w:val="en-US"/>
        </w:rPr>
        <w:t xml:space="preserve"> </w:t>
      </w:r>
      <w:r w:rsidR="00DF1E18" w:rsidRPr="0021030B">
        <w:rPr>
          <w:rFonts w:cs="Times New Roman"/>
          <w:szCs w:val="24"/>
          <w:lang w:val="en-US"/>
        </w:rPr>
        <w:t>exercise</w:t>
      </w:r>
      <w:r w:rsidR="00BB6BDA" w:rsidRPr="0021030B">
        <w:rPr>
          <w:rFonts w:cs="Times New Roman"/>
          <w:szCs w:val="24"/>
          <w:lang w:val="en-US"/>
        </w:rPr>
        <w:t>s</w:t>
      </w:r>
      <w:r w:rsidR="00934264" w:rsidRPr="0021030B">
        <w:rPr>
          <w:rFonts w:cs="Times New Roman"/>
          <w:szCs w:val="24"/>
          <w:lang w:val="en-US"/>
        </w:rPr>
        <w:t xml:space="preserve"> to improve strength</w:t>
      </w:r>
      <w:r w:rsidR="000C7F03" w:rsidRPr="0021030B">
        <w:rPr>
          <w:rFonts w:cs="Times New Roman"/>
          <w:szCs w:val="24"/>
          <w:lang w:val="en-US"/>
        </w:rPr>
        <w:t xml:space="preserve"> and functional performance</w:t>
      </w:r>
      <w:r w:rsidR="00DF1E18" w:rsidRPr="0021030B">
        <w:rPr>
          <w:rFonts w:cs="Times New Roman"/>
          <w:szCs w:val="24"/>
          <w:lang w:val="en-US"/>
        </w:rPr>
        <w:t xml:space="preserve"> in well-trained athletes.</w:t>
      </w:r>
      <w:r w:rsidR="00934264" w:rsidRPr="0021030B">
        <w:rPr>
          <w:rFonts w:cs="Times New Roman"/>
          <w:szCs w:val="24"/>
          <w:lang w:val="en-US"/>
        </w:rPr>
        <w:t xml:space="preserve"> </w:t>
      </w:r>
    </w:p>
    <w:p w14:paraId="375042FF" w14:textId="20ADA16F" w:rsidR="000C7F03" w:rsidRPr="0021030B" w:rsidRDefault="00B202B3" w:rsidP="00F52A7E">
      <w:pPr>
        <w:spacing w:line="480" w:lineRule="auto"/>
        <w:ind w:firstLine="708"/>
        <w:rPr>
          <w:rFonts w:cs="Times New Roman"/>
          <w:bCs/>
          <w:szCs w:val="24"/>
          <w:lang w:val="en-US"/>
        </w:rPr>
      </w:pPr>
      <w:r w:rsidRPr="0021030B">
        <w:rPr>
          <w:rFonts w:cs="Times New Roman"/>
          <w:szCs w:val="24"/>
          <w:lang w:val="en-US"/>
        </w:rPr>
        <w:t xml:space="preserve">Evidence supports the recommendation </w:t>
      </w:r>
      <w:r w:rsidR="0031316E" w:rsidRPr="0021030B">
        <w:rPr>
          <w:rFonts w:cs="Times New Roman"/>
          <w:szCs w:val="24"/>
          <w:lang w:val="en-US"/>
        </w:rPr>
        <w:t xml:space="preserve">that </w:t>
      </w:r>
      <w:r w:rsidR="00352CAC" w:rsidRPr="0021030B">
        <w:rPr>
          <w:rFonts w:cs="Times New Roman"/>
          <w:szCs w:val="24"/>
          <w:lang w:val="en-US"/>
        </w:rPr>
        <w:t xml:space="preserve">training at </w:t>
      </w:r>
      <w:r w:rsidR="0031316E" w:rsidRPr="0021030B">
        <w:rPr>
          <w:rFonts w:cs="Times New Roman"/>
          <w:szCs w:val="24"/>
          <w:lang w:val="en-US"/>
        </w:rPr>
        <w:t xml:space="preserve">deeper </w:t>
      </w:r>
      <w:r w:rsidR="00327F47" w:rsidRPr="0021030B">
        <w:rPr>
          <w:rFonts w:cs="Times New Roman"/>
          <w:szCs w:val="24"/>
          <w:lang w:val="en-US"/>
        </w:rPr>
        <w:t>ROM</w:t>
      </w:r>
      <w:r w:rsidR="00B22575" w:rsidRPr="0021030B">
        <w:rPr>
          <w:rFonts w:cs="Times New Roman"/>
          <w:szCs w:val="24"/>
          <w:lang w:val="en-US"/>
        </w:rPr>
        <w:t xml:space="preserve"> (</w:t>
      </w:r>
      <w:r w:rsidR="006C3BEF" w:rsidRPr="0021030B">
        <w:rPr>
          <w:rFonts w:cs="Times New Roman"/>
          <w:bCs/>
          <w:szCs w:val="24"/>
          <w:lang w:val="en-US"/>
        </w:rPr>
        <w:t>F-SQ and P-SQ</w:t>
      </w:r>
      <w:r w:rsidR="00B22575" w:rsidRPr="0021030B">
        <w:rPr>
          <w:rFonts w:cs="Times New Roman"/>
          <w:szCs w:val="24"/>
          <w:lang w:val="en-US"/>
        </w:rPr>
        <w:t xml:space="preserve">) </w:t>
      </w:r>
      <w:r w:rsidR="00352CAC" w:rsidRPr="0021030B">
        <w:rPr>
          <w:rFonts w:cs="Times New Roman"/>
          <w:szCs w:val="24"/>
          <w:lang w:val="en-US"/>
        </w:rPr>
        <w:t>elicit</w:t>
      </w:r>
      <w:r w:rsidR="00DB37FD" w:rsidRPr="0021030B">
        <w:rPr>
          <w:rFonts w:cs="Times New Roman"/>
          <w:szCs w:val="24"/>
          <w:lang w:val="en-US"/>
        </w:rPr>
        <w:t>s</w:t>
      </w:r>
      <w:r w:rsidR="0031316E" w:rsidRPr="0021030B">
        <w:rPr>
          <w:rFonts w:cs="Times New Roman"/>
          <w:szCs w:val="24"/>
          <w:lang w:val="en-US"/>
        </w:rPr>
        <w:t xml:space="preserve"> the greatest </w:t>
      </w:r>
      <w:r w:rsidR="00C16510" w:rsidRPr="0021030B">
        <w:rPr>
          <w:rFonts w:cs="Times New Roman"/>
          <w:bCs/>
          <w:szCs w:val="24"/>
          <w:lang w:val="en-US"/>
        </w:rPr>
        <w:t xml:space="preserve">neuromuscular strength </w:t>
      </w:r>
      <w:r w:rsidR="0031316E" w:rsidRPr="0021030B">
        <w:rPr>
          <w:rFonts w:cs="Times New Roman"/>
          <w:szCs w:val="24"/>
          <w:lang w:val="en-US"/>
        </w:rPr>
        <w:t>adaptations</w:t>
      </w:r>
      <w:r w:rsidR="006C3BEF" w:rsidRPr="0021030B">
        <w:rPr>
          <w:rFonts w:cs="Times New Roman"/>
          <w:szCs w:val="24"/>
          <w:lang w:val="en-US"/>
        </w:rPr>
        <w:t xml:space="preserve"> following prolonged</w:t>
      </w:r>
      <w:r w:rsidR="000C7F03" w:rsidRPr="0021030B">
        <w:rPr>
          <w:rFonts w:cs="Times New Roman"/>
          <w:szCs w:val="24"/>
          <w:lang w:val="en-US"/>
        </w:rPr>
        <w:t xml:space="preserve"> (</w:t>
      </w:r>
      <w:r w:rsidR="00C91985" w:rsidRPr="0021030B">
        <w:rPr>
          <w:rFonts w:cs="Times New Roman"/>
          <w:szCs w:val="24"/>
          <w:lang w:val="en-US"/>
        </w:rPr>
        <w:t>10</w:t>
      </w:r>
      <w:r w:rsidR="000C7F03" w:rsidRPr="0021030B">
        <w:rPr>
          <w:rFonts w:cs="Times New Roman"/>
          <w:szCs w:val="24"/>
          <w:lang w:val="en-US"/>
        </w:rPr>
        <w:t>-</w:t>
      </w:r>
      <w:r w:rsidR="00C91985" w:rsidRPr="0021030B">
        <w:rPr>
          <w:rFonts w:cs="Times New Roman"/>
          <w:szCs w:val="24"/>
          <w:lang w:val="en-US"/>
        </w:rPr>
        <w:t>12</w:t>
      </w:r>
      <w:r w:rsidR="000C7F03" w:rsidRPr="0021030B">
        <w:rPr>
          <w:rFonts w:cs="Times New Roman"/>
          <w:szCs w:val="24"/>
          <w:lang w:val="en-US"/>
        </w:rPr>
        <w:t xml:space="preserve"> w</w:t>
      </w:r>
      <w:r w:rsidR="00142CF5" w:rsidRPr="0021030B">
        <w:rPr>
          <w:rFonts w:cs="Times New Roman"/>
          <w:szCs w:val="24"/>
          <w:lang w:val="en-US"/>
        </w:rPr>
        <w:t>ee</w:t>
      </w:r>
      <w:r w:rsidR="000C7F03" w:rsidRPr="0021030B">
        <w:rPr>
          <w:rFonts w:cs="Times New Roman"/>
          <w:szCs w:val="24"/>
          <w:lang w:val="en-US"/>
        </w:rPr>
        <w:t>ks)</w:t>
      </w:r>
      <w:r w:rsidR="006C3BEF" w:rsidRPr="0021030B">
        <w:rPr>
          <w:rFonts w:cs="Times New Roman"/>
          <w:szCs w:val="24"/>
          <w:lang w:val="en-US"/>
        </w:rPr>
        <w:t xml:space="preserve"> RT programs</w:t>
      </w:r>
      <w:r w:rsidR="00287520" w:rsidRPr="0021030B">
        <w:rPr>
          <w:rFonts w:cs="Times New Roman"/>
          <w:szCs w:val="24"/>
          <w:lang w:val="en-US"/>
        </w:rPr>
        <w:t xml:space="preserve"> </w:t>
      </w:r>
      <w:r w:rsidR="0090253E" w:rsidRPr="0021030B">
        <w:rPr>
          <w:rFonts w:cs="Times New Roman"/>
          <w:bCs/>
          <w:szCs w:val="24"/>
          <w:lang w:val="en-US"/>
        </w:rPr>
        <w:fldChar w:fldCharType="begin" w:fldLock="1"/>
      </w:r>
      <w:r w:rsidR="00E42B44" w:rsidRPr="0021030B">
        <w:rPr>
          <w:rFonts w:cs="Times New Roman"/>
          <w:bCs/>
          <w:szCs w:val="24"/>
          <w:lang w:val="en-US"/>
        </w:rPr>
        <w:instrText>ADDIN CSL_CITATION {"citationItems":[{"id":"ITEM-1","itemData":{"DOI":"10.1519/JSC.0b013e31824ede62","ISBN":"1533-4287","ISSN":"10648011","PMID":"22344055","abstract":"It is unclear if increases in 1 repetition maximum (1RM) in quarter squats result in higher gains compared with full depth squats in isometric force production and vertical jump performance. The aim of the research projects was to compare the effects of different squat variants on the development of 1RM and their transfer effects to Countermovement jump (CMJ) and squat jump (SJ) height, maximal voluntary contraction (MVC), and maximal rate of force development (MRFD). Twenty-three women and 36 men (mean age: 24.11 ± 2.88 years) were parallelized into 3 groups based on their CMJ height: deep front squats (FSQ, n = 20), deep back squats (BSQ, n = 20), and quarter back squats (BSQ¼, n = 19). In addition, a control group (C, n = 16) existed (mean age: 24.38 ± 0.50 years). Experimental groups trained 2 d·wk for 10 weeks with a strength-power block periodization, which produced significant (p ≤ 0.05) gains of the specific squat 1RM. The FSQ and BSQ attained significant (p ≤ 0.05) elevations in SJ and CMJ without any interaction effects between both groups (p ≥ 0.05). The BSQ¼ and C did not reveal any significant changes of SJ and CMJ. The FSQ and BSQ had significantly higher SJ scores over C (p ≤ 0.05). The BSQ did not feature any significant group difference to BSQ¼ (p = 0.116) in SJ, whereas FSQ showed a trend toward higher SJ heights over BSQ¼ (p = 0.052). The FSQ and BSQ presented significantly (p ≤ 0.05) higher CMJ heights over BSQ¼ and C. Posttest in MVC and MRFD demonstrated no significant changes for BSQ. Significant declines in MRFD for FSQ in the right leg (p ≤ 0.05) without any interaction effects for MVC and MRFD between both FSQ and BSQ were found. Training of BSQ¼ resulted in significantly (p ≤ 0.05) lower MRFD and MVC values in contrast to FSQ and BSQ. Quarter squat training elicited significant (p ≤ 0.05) transfer losses into the isometric maximal and explosive strength behavior. These findings therefore contest the concept of superior angle-specific transfer effects. Deep front and back squats guarantee performance-enhancing transfer effects of dynamic maximal strength to dynamic speed-strength capacity of hip and knee extensors compared with quarter squats.","author":[{"dropping-particle":"","family":"Hartmann","given":"Hagen","non-dropping-particle":"","parse-names":false,"suffix":""},{"dropping-particle":"","family":"Wirth","given":"Klaus","non-dropping-particle":"","parse-names":false,"suffix":""},{"dropping-particle":"","family":"Klusemann","given":"Markus","non-dropping-particle":"","parse-names":false,"suffix":""},{"dropping-particle":"","family":"Dalic","given":"Josip","non-dropping-particle":"","parse-names":false,"suffix":""},{"dropping-particle":"","family":"Matuschek","given":"Claus","non-dropping-particle":"","parse-names":false,"suffix":""},{"dropping-particle":"","family":"Schmidtbleicher","given":"Dietmar","non-dropping-particle":"","parse-names":false,"suffix":""}],"container-title":"Journal of Strength and Conditioning Research","id":"ITEM-1","issue":"12","issued":{"date-parts":[["2012"]]},"page":"3243-3261","title":"Influence of squatting depth on jumping performance","type":"article-journal","volume":"26"},"uris":["http://www.mendeley.com/documents/?uuid=ce9ea4bc-5e26-45c8-902b-9c30b347d8dc","http://www.mendeley.com/documents/?uuid=56478392-7915-4c8e-868a-dda34f47bf72"]},{"id":"ITEM-2","itemData":{"DOI":"10.1007/s00421-013-2642-7","ISSN":"1439-6319","author":[{"dropping-particle":"","family":"Bloomquist","given":"K.","non-dropping-particle":"","parse-names":false,"suffix":""},{"dropping-particle":"","family":"Langberg","given":"Henning","non-dropping-particle":"","parse-names":false,"suffix":""},{"dropping-particle":"","family":"Karlsen","given":"Stine","non-dropping-particle":"","parse-names":false,"suffix":""},{"dropping-particle":"","family":"Madsgaard","given":"S.","non-dropping-particle":"","parse-names":false,"suffix":""},{"dropping-particle":"","family":"Boesen","given":"M.","non-dropping-particle":"","parse-names":false,"suffix":""},{"dropping-particle":"","family":"Raastad","given":"Truls","non-dropping-particle":"","parse-names":false,"suffix":""}],"id":"ITEM-2","issue":"8","issued":{"date-parts":[["2013","8","20"]]},"page":"2133-2142","title":"Effect of range of motion in heavy load squatting on muscle and tendon adaptations","type":"article-journal","volume":"113"},"uris":["http://www.mendeley.com/documents/?uuid=8a4119ea-2592-4721-a9e2-52d9d2cf1e43"]}],"mendeley":{"formattedCitation":"(Bloomquist et al., 2013; Hartmann et al., 2012)","plainTextFormattedCitation":"(Bloomquist et al., 2013; Hartmann et al., 2012)","previouslyFormattedCitation":"(Bloomquist et al., 2013; Hartmann et al., 2012)"},"properties":{"noteIndex":0},"schema":"https://github.com/citation-style-language/schema/raw/master/csl-citation.json"}</w:instrText>
      </w:r>
      <w:r w:rsidR="0090253E" w:rsidRPr="0021030B">
        <w:rPr>
          <w:rFonts w:cs="Times New Roman"/>
          <w:bCs/>
          <w:szCs w:val="24"/>
          <w:lang w:val="en-US"/>
        </w:rPr>
        <w:fldChar w:fldCharType="separate"/>
      </w:r>
      <w:r w:rsidR="00E42B44" w:rsidRPr="0021030B">
        <w:rPr>
          <w:rFonts w:cs="Times New Roman"/>
          <w:bCs/>
          <w:noProof/>
          <w:szCs w:val="24"/>
          <w:lang w:val="en-US"/>
        </w:rPr>
        <w:t>(Bloomquist et al., 2013; Hartmann et al., 2012)</w:t>
      </w:r>
      <w:r w:rsidR="0090253E" w:rsidRPr="0021030B">
        <w:rPr>
          <w:rFonts w:cs="Times New Roman"/>
          <w:bCs/>
          <w:szCs w:val="24"/>
          <w:lang w:val="en-US"/>
        </w:rPr>
        <w:fldChar w:fldCharType="end"/>
      </w:r>
      <w:r w:rsidR="0090253E" w:rsidRPr="0021030B">
        <w:rPr>
          <w:rFonts w:cs="Times New Roman"/>
          <w:bCs/>
          <w:szCs w:val="24"/>
          <w:lang w:val="en-US"/>
        </w:rPr>
        <w:t>.</w:t>
      </w:r>
      <w:r w:rsidR="00A412D2" w:rsidRPr="0021030B">
        <w:rPr>
          <w:rFonts w:cs="Times New Roman"/>
          <w:bCs/>
          <w:szCs w:val="24"/>
          <w:lang w:val="en-US"/>
        </w:rPr>
        <w:t xml:space="preserve"> </w:t>
      </w:r>
      <w:r w:rsidR="00F56D7F" w:rsidRPr="0021030B">
        <w:rPr>
          <w:rFonts w:cs="Times New Roman"/>
          <w:bCs/>
          <w:szCs w:val="24"/>
          <w:lang w:val="en-US"/>
        </w:rPr>
        <w:t>Other</w:t>
      </w:r>
      <w:r w:rsidR="00D95F91" w:rsidRPr="0021030B">
        <w:rPr>
          <w:rFonts w:cs="Times New Roman"/>
          <w:bCs/>
          <w:szCs w:val="24"/>
          <w:lang w:val="en-US"/>
        </w:rPr>
        <w:t xml:space="preserve"> authors</w:t>
      </w:r>
      <w:r w:rsidR="00F56D7F" w:rsidRPr="0021030B">
        <w:rPr>
          <w:rFonts w:cs="Times New Roman"/>
          <w:bCs/>
          <w:szCs w:val="24"/>
          <w:lang w:val="en-US"/>
        </w:rPr>
        <w:t xml:space="preserve">, in contrast, </w:t>
      </w:r>
      <w:r w:rsidR="00DB37FD" w:rsidRPr="0021030B">
        <w:rPr>
          <w:rFonts w:cs="Times New Roman"/>
          <w:bCs/>
          <w:szCs w:val="24"/>
          <w:lang w:val="en-US"/>
        </w:rPr>
        <w:t>suggest</w:t>
      </w:r>
      <w:r w:rsidR="00B22575" w:rsidRPr="0021030B">
        <w:rPr>
          <w:rFonts w:cs="Times New Roman"/>
          <w:bCs/>
          <w:szCs w:val="24"/>
          <w:lang w:val="en-US"/>
        </w:rPr>
        <w:t xml:space="preserve"> high</w:t>
      </w:r>
      <w:r w:rsidR="00DB37FD" w:rsidRPr="0021030B">
        <w:rPr>
          <w:rFonts w:cs="Times New Roman"/>
          <w:bCs/>
          <w:szCs w:val="24"/>
          <w:lang w:val="en-US"/>
        </w:rPr>
        <w:t>er</w:t>
      </w:r>
      <w:r w:rsidR="00B22575" w:rsidRPr="0021030B">
        <w:rPr>
          <w:rFonts w:cs="Times New Roman"/>
          <w:bCs/>
          <w:szCs w:val="24"/>
          <w:lang w:val="en-US"/>
        </w:rPr>
        <w:t xml:space="preserve"> improvements after </w:t>
      </w:r>
      <w:r w:rsidR="006C3BEF" w:rsidRPr="0021030B">
        <w:rPr>
          <w:rFonts w:cs="Times New Roman"/>
          <w:bCs/>
          <w:szCs w:val="24"/>
          <w:lang w:val="en-US"/>
        </w:rPr>
        <w:t>1</w:t>
      </w:r>
      <w:r w:rsidR="00675B94" w:rsidRPr="0021030B">
        <w:rPr>
          <w:rFonts w:cs="Times New Roman"/>
          <w:bCs/>
          <w:szCs w:val="24"/>
          <w:lang w:val="en-US"/>
        </w:rPr>
        <w:t>6</w:t>
      </w:r>
      <w:r w:rsidR="006C3BEF" w:rsidRPr="0021030B">
        <w:rPr>
          <w:rFonts w:cs="Times New Roman"/>
          <w:bCs/>
          <w:szCs w:val="24"/>
          <w:lang w:val="en-US"/>
        </w:rPr>
        <w:t>-w</w:t>
      </w:r>
      <w:r w:rsidR="00142CF5" w:rsidRPr="0021030B">
        <w:rPr>
          <w:rFonts w:cs="Times New Roman"/>
          <w:bCs/>
          <w:szCs w:val="24"/>
          <w:lang w:val="en-US"/>
        </w:rPr>
        <w:t>ee</w:t>
      </w:r>
      <w:r w:rsidR="000C7F03" w:rsidRPr="0021030B">
        <w:rPr>
          <w:rFonts w:cs="Times New Roman"/>
          <w:bCs/>
          <w:szCs w:val="24"/>
          <w:lang w:val="en-US"/>
        </w:rPr>
        <w:t>k</w:t>
      </w:r>
      <w:r w:rsidR="006C3BEF" w:rsidRPr="0021030B">
        <w:rPr>
          <w:rFonts w:cs="Times New Roman"/>
          <w:bCs/>
          <w:szCs w:val="24"/>
          <w:lang w:val="en-US"/>
        </w:rPr>
        <w:t xml:space="preserve"> of periodized RT</w:t>
      </w:r>
      <w:r w:rsidR="00B87150" w:rsidRPr="0021030B">
        <w:rPr>
          <w:rFonts w:cs="Times New Roman"/>
          <w:bCs/>
          <w:szCs w:val="24"/>
          <w:lang w:val="en-US"/>
        </w:rPr>
        <w:t xml:space="preserve"> at </w:t>
      </w:r>
      <w:r w:rsidR="00840216" w:rsidRPr="0021030B">
        <w:rPr>
          <w:rFonts w:cs="Times New Roman"/>
          <w:bCs/>
          <w:szCs w:val="24"/>
          <w:lang w:val="en-US"/>
        </w:rPr>
        <w:t xml:space="preserve">shorter ROM </w:t>
      </w:r>
      <w:r w:rsidR="00693390" w:rsidRPr="0021030B">
        <w:rPr>
          <w:rFonts w:cs="Times New Roman"/>
          <w:bCs/>
          <w:szCs w:val="24"/>
          <w:lang w:val="en-US"/>
        </w:rPr>
        <w:t xml:space="preserve">such as </w:t>
      </w:r>
      <w:r w:rsidR="00744772" w:rsidRPr="0021030B">
        <w:rPr>
          <w:rFonts w:cs="Times New Roman"/>
          <w:bCs/>
          <w:szCs w:val="24"/>
          <w:lang w:val="en-US"/>
        </w:rPr>
        <w:t>the quarter squat</w:t>
      </w:r>
      <w:r w:rsidR="00C16510" w:rsidRPr="0021030B">
        <w:rPr>
          <w:rFonts w:cs="Times New Roman"/>
          <w:bCs/>
          <w:szCs w:val="24"/>
          <w:lang w:val="en-US"/>
        </w:rPr>
        <w:t xml:space="preserve"> </w:t>
      </w:r>
      <w:r w:rsidR="00840216" w:rsidRPr="0021030B">
        <w:rPr>
          <w:rFonts w:cs="Times New Roman"/>
          <w:bCs/>
          <w:szCs w:val="24"/>
          <w:lang w:val="en-US"/>
        </w:rPr>
        <w:fldChar w:fldCharType="begin" w:fldLock="1"/>
      </w:r>
      <w:r w:rsidR="00E42B44" w:rsidRPr="0021030B">
        <w:rPr>
          <w:rFonts w:cs="Times New Roman"/>
          <w:bCs/>
          <w:szCs w:val="24"/>
          <w:lang w:val="en-US"/>
        </w:rPr>
        <w:instrText>ADDIN CSL_CITATION {"citationItems":[{"id":"ITEM-1","itemData":{"DOI":"https://doi.org/10.1515/humo-2016-0006","author":[{"dropping-particle":"","family":"Rhea","given":"M R","non-dropping-particle":"","parse-names":false,"suffix":""},{"dropping-particle":"","family":"Kenn","given":"J G","non-dropping-particle":"","parse-names":false,"suffix":""},{"dropping-particle":"","family":"Peterson","given":"M D","non-dropping-particle":"","parse-names":false,"suffix":""},{"dropping-particle":"","family":"Massey","given":"D","non-dropping-particle":"","parse-names":false,"suffix":""}],"container-title":"Human Movement","id":"ITEM-1","issue":"1","issued":{"date-parts":[["2016"]]},"page":"43-49","title":"Joint-angle specific strength adaptations influence improvements in power in highly trained athletes","type":"article-journal","volume":"17"},"uris":["http://www.mendeley.com/documents/?uuid=05743d8a-ad56-49c1-a65c-1ebb2d52a0a5"]}],"mendeley":{"formattedCitation":"(Rhea et al., 2016)","plainTextFormattedCitation":"(Rhea et al., 2016)","previouslyFormattedCitation":"(Rhea et al., 2016)"},"properties":{"noteIndex":0},"schema":"https://github.com/citation-style-language/schema/raw/master/csl-citation.json"}</w:instrText>
      </w:r>
      <w:r w:rsidR="00840216" w:rsidRPr="0021030B">
        <w:rPr>
          <w:rFonts w:cs="Times New Roman"/>
          <w:bCs/>
          <w:szCs w:val="24"/>
          <w:lang w:val="en-US"/>
        </w:rPr>
        <w:fldChar w:fldCharType="separate"/>
      </w:r>
      <w:r w:rsidR="00E42B44" w:rsidRPr="0021030B">
        <w:rPr>
          <w:rFonts w:cs="Times New Roman"/>
          <w:bCs/>
          <w:noProof/>
          <w:szCs w:val="24"/>
          <w:lang w:val="en-US"/>
        </w:rPr>
        <w:t>(Rhea et al., 2016)</w:t>
      </w:r>
      <w:r w:rsidR="00840216" w:rsidRPr="0021030B">
        <w:rPr>
          <w:rFonts w:cs="Times New Roman"/>
          <w:bCs/>
          <w:szCs w:val="24"/>
          <w:lang w:val="en-US"/>
        </w:rPr>
        <w:fldChar w:fldCharType="end"/>
      </w:r>
      <w:r w:rsidR="00B87150" w:rsidRPr="0021030B">
        <w:rPr>
          <w:rFonts w:cs="Times New Roman"/>
          <w:bCs/>
          <w:szCs w:val="24"/>
          <w:lang w:val="en-US"/>
        </w:rPr>
        <w:t>.</w:t>
      </w:r>
      <w:r w:rsidR="00C16510" w:rsidRPr="0021030B">
        <w:rPr>
          <w:rFonts w:cs="Times New Roman"/>
          <w:bCs/>
          <w:szCs w:val="24"/>
          <w:lang w:val="en-US"/>
        </w:rPr>
        <w:t xml:space="preserve"> </w:t>
      </w:r>
      <w:r w:rsidR="00A412D2" w:rsidRPr="0021030B">
        <w:rPr>
          <w:rFonts w:cs="Times New Roman"/>
          <w:bCs/>
          <w:szCs w:val="24"/>
          <w:lang w:val="en-US"/>
        </w:rPr>
        <w:t xml:space="preserve">Our findings corroborate </w:t>
      </w:r>
      <w:r w:rsidR="00F56D7F" w:rsidRPr="0021030B">
        <w:rPr>
          <w:rFonts w:cs="Times New Roman"/>
          <w:bCs/>
          <w:szCs w:val="24"/>
          <w:lang w:val="en-US"/>
        </w:rPr>
        <w:t>the first</w:t>
      </w:r>
      <w:r w:rsidR="00A412D2" w:rsidRPr="0021030B">
        <w:rPr>
          <w:rFonts w:cs="Times New Roman"/>
          <w:bCs/>
          <w:szCs w:val="24"/>
          <w:lang w:val="en-US"/>
        </w:rPr>
        <w:t xml:space="preserve"> assumption and demonstrate that </w:t>
      </w:r>
      <w:r w:rsidR="0007439C" w:rsidRPr="0021030B">
        <w:rPr>
          <w:rFonts w:cs="Times New Roman"/>
          <w:bCs/>
          <w:szCs w:val="24"/>
          <w:lang w:val="en-US"/>
        </w:rPr>
        <w:t>F-SQ</w:t>
      </w:r>
      <w:r w:rsidR="00143A60" w:rsidRPr="0021030B">
        <w:rPr>
          <w:rFonts w:cs="Times New Roman"/>
          <w:bCs/>
          <w:szCs w:val="24"/>
          <w:lang w:val="en-US"/>
        </w:rPr>
        <w:t xml:space="preserve"> </w:t>
      </w:r>
      <w:r w:rsidR="0007439C" w:rsidRPr="0021030B">
        <w:rPr>
          <w:rFonts w:cs="Times New Roman"/>
          <w:bCs/>
          <w:szCs w:val="24"/>
          <w:lang w:val="en-US"/>
        </w:rPr>
        <w:t xml:space="preserve">and </w:t>
      </w:r>
      <w:r w:rsidR="00C16510" w:rsidRPr="0021030B">
        <w:rPr>
          <w:rFonts w:cs="Times New Roman"/>
          <w:bCs/>
          <w:szCs w:val="24"/>
          <w:lang w:val="en-US"/>
        </w:rPr>
        <w:t>P</w:t>
      </w:r>
      <w:r w:rsidR="0007439C" w:rsidRPr="0021030B">
        <w:rPr>
          <w:rFonts w:cs="Times New Roman"/>
          <w:bCs/>
          <w:szCs w:val="24"/>
          <w:lang w:val="en-US"/>
        </w:rPr>
        <w:t xml:space="preserve">-SQ </w:t>
      </w:r>
      <w:r w:rsidR="000D3EF8" w:rsidRPr="0021030B">
        <w:rPr>
          <w:rFonts w:cs="Times New Roman"/>
          <w:bCs/>
          <w:szCs w:val="24"/>
          <w:lang w:val="en-US"/>
        </w:rPr>
        <w:t xml:space="preserve">are </w:t>
      </w:r>
      <w:r w:rsidR="007F08F9" w:rsidRPr="0021030B">
        <w:rPr>
          <w:rFonts w:cs="Times New Roman"/>
          <w:bCs/>
          <w:szCs w:val="24"/>
          <w:lang w:val="en-US"/>
        </w:rPr>
        <w:t xml:space="preserve">the </w:t>
      </w:r>
      <w:r w:rsidR="003D5E21" w:rsidRPr="0021030B">
        <w:rPr>
          <w:rFonts w:cs="Times New Roman"/>
          <w:bCs/>
          <w:szCs w:val="24"/>
          <w:lang w:val="en-US"/>
        </w:rPr>
        <w:t>best</w:t>
      </w:r>
      <w:r w:rsidR="007F08F9" w:rsidRPr="0021030B">
        <w:rPr>
          <w:rFonts w:cs="Times New Roman"/>
          <w:bCs/>
          <w:szCs w:val="24"/>
          <w:lang w:val="en-US"/>
        </w:rPr>
        <w:t xml:space="preserve"> and second</w:t>
      </w:r>
      <w:r w:rsidR="003D5E21" w:rsidRPr="0021030B">
        <w:rPr>
          <w:rFonts w:cs="Times New Roman"/>
          <w:bCs/>
          <w:szCs w:val="24"/>
          <w:lang w:val="en-US"/>
        </w:rPr>
        <w:t>-best</w:t>
      </w:r>
      <w:r w:rsidR="007F08F9" w:rsidRPr="0021030B">
        <w:rPr>
          <w:rFonts w:cs="Times New Roman"/>
          <w:bCs/>
          <w:szCs w:val="24"/>
          <w:lang w:val="en-US"/>
        </w:rPr>
        <w:t xml:space="preserve"> </w:t>
      </w:r>
      <w:r w:rsidR="00BA7B90" w:rsidRPr="0021030B">
        <w:rPr>
          <w:rFonts w:cs="Times New Roman"/>
          <w:bCs/>
          <w:szCs w:val="24"/>
          <w:lang w:val="en-US"/>
        </w:rPr>
        <w:t xml:space="preserve">exercises </w:t>
      </w:r>
      <w:r w:rsidR="00BA7B90" w:rsidRPr="0021030B">
        <w:rPr>
          <w:rFonts w:cs="Times New Roman"/>
          <w:bCs/>
          <w:szCs w:val="24"/>
          <w:lang w:val="en-US"/>
        </w:rPr>
        <w:lastRenderedPageBreak/>
        <w:t>for</w:t>
      </w:r>
      <w:r w:rsidR="000D3EF8" w:rsidRPr="0021030B">
        <w:rPr>
          <w:rFonts w:cs="Times New Roman"/>
          <w:bCs/>
          <w:szCs w:val="24"/>
          <w:lang w:val="en-US"/>
        </w:rPr>
        <w:t xml:space="preserve"> increasing</w:t>
      </w:r>
      <w:r w:rsidR="0007439C" w:rsidRPr="0021030B">
        <w:rPr>
          <w:rFonts w:cs="Times New Roman"/>
          <w:bCs/>
          <w:szCs w:val="24"/>
          <w:lang w:val="en-US"/>
        </w:rPr>
        <w:t xml:space="preserve"> </w:t>
      </w:r>
      <w:r w:rsidR="000D3EF8" w:rsidRPr="0021030B">
        <w:rPr>
          <w:rFonts w:cs="Times New Roman"/>
          <w:bCs/>
          <w:szCs w:val="24"/>
          <w:lang w:val="en-US"/>
        </w:rPr>
        <w:t xml:space="preserve">neuromuscular </w:t>
      </w:r>
      <w:r w:rsidR="00A412D2" w:rsidRPr="0021030B">
        <w:rPr>
          <w:rFonts w:cs="Times New Roman"/>
          <w:bCs/>
          <w:szCs w:val="24"/>
          <w:lang w:val="en-US"/>
        </w:rPr>
        <w:t>strength</w:t>
      </w:r>
      <w:r w:rsidR="00E82AD4" w:rsidRPr="0021030B">
        <w:rPr>
          <w:rFonts w:cs="Times New Roman"/>
          <w:bCs/>
          <w:szCs w:val="24"/>
          <w:lang w:val="en-US"/>
        </w:rPr>
        <w:t>,</w:t>
      </w:r>
      <w:r w:rsidR="00476DA9" w:rsidRPr="0021030B">
        <w:rPr>
          <w:rFonts w:cs="Times New Roman"/>
          <w:bCs/>
          <w:szCs w:val="24"/>
          <w:lang w:val="en-US"/>
        </w:rPr>
        <w:t xml:space="preserve"> </w:t>
      </w:r>
      <w:r w:rsidR="00A530FC" w:rsidRPr="0021030B">
        <w:rPr>
          <w:rFonts w:cs="Times New Roman"/>
          <w:bCs/>
          <w:szCs w:val="24"/>
          <w:lang w:val="en-US"/>
        </w:rPr>
        <w:t xml:space="preserve">both </w:t>
      </w:r>
      <w:r w:rsidR="002D699C" w:rsidRPr="0021030B">
        <w:rPr>
          <w:rFonts w:cs="Times New Roman"/>
          <w:bCs/>
          <w:szCs w:val="24"/>
          <w:lang w:val="en-US"/>
        </w:rPr>
        <w:t xml:space="preserve">at </w:t>
      </w:r>
      <w:r w:rsidR="00A530FC" w:rsidRPr="0021030B">
        <w:rPr>
          <w:rFonts w:cs="Times New Roman"/>
          <w:szCs w:val="24"/>
          <w:lang w:val="en-US"/>
        </w:rPr>
        <w:t xml:space="preserve">maximal (1RM) and </w:t>
      </w:r>
      <w:r w:rsidR="002D699C" w:rsidRPr="0021030B">
        <w:rPr>
          <w:rFonts w:cs="Times New Roman"/>
          <w:bCs/>
          <w:szCs w:val="24"/>
          <w:lang w:val="en-US"/>
        </w:rPr>
        <w:t xml:space="preserve">submaximal </w:t>
      </w:r>
      <w:r w:rsidR="00B03CBC" w:rsidRPr="0021030B">
        <w:rPr>
          <w:rFonts w:cs="Times New Roman"/>
          <w:bCs/>
          <w:szCs w:val="24"/>
          <w:lang w:val="en-US"/>
        </w:rPr>
        <w:t>low (&lt;50% 1RM) and high (&gt;50% 1RM) loads</w:t>
      </w:r>
      <w:r w:rsidR="00680BA5" w:rsidRPr="0021030B">
        <w:rPr>
          <w:rFonts w:cs="Times New Roman"/>
          <w:bCs/>
          <w:szCs w:val="24"/>
          <w:lang w:val="en-US"/>
        </w:rPr>
        <w:t xml:space="preserve">. </w:t>
      </w:r>
      <w:r w:rsidR="006B7430" w:rsidRPr="0021030B">
        <w:rPr>
          <w:rFonts w:cs="Times New Roman"/>
          <w:bCs/>
          <w:szCs w:val="24"/>
          <w:lang w:val="en-US"/>
        </w:rPr>
        <w:t xml:space="preserve">More importantly, working at these angles </w:t>
      </w:r>
      <w:r w:rsidR="00AC057B" w:rsidRPr="0021030B">
        <w:rPr>
          <w:rFonts w:cs="Times New Roman"/>
          <w:bCs/>
          <w:szCs w:val="24"/>
          <w:lang w:val="en-US"/>
        </w:rPr>
        <w:t xml:space="preserve">produced </w:t>
      </w:r>
      <w:r w:rsidR="00255F64" w:rsidRPr="0021030B">
        <w:rPr>
          <w:rFonts w:cs="Times New Roman"/>
          <w:bCs/>
          <w:szCs w:val="24"/>
          <w:lang w:val="en-US"/>
        </w:rPr>
        <w:t xml:space="preserve">moderate to high </w:t>
      </w:r>
      <w:r w:rsidR="00AC057B" w:rsidRPr="0021030B">
        <w:rPr>
          <w:rFonts w:cs="Times New Roman"/>
          <w:bCs/>
          <w:szCs w:val="24"/>
          <w:lang w:val="en-US"/>
        </w:rPr>
        <w:t xml:space="preserve">increases in </w:t>
      </w:r>
      <w:r w:rsidR="00255F64" w:rsidRPr="0021030B">
        <w:rPr>
          <w:rFonts w:cs="Times New Roman"/>
          <w:bCs/>
          <w:szCs w:val="24"/>
          <w:lang w:val="en-US"/>
        </w:rPr>
        <w:t xml:space="preserve">1RM, 1RM/BM and MPV </w:t>
      </w:r>
      <w:r w:rsidR="00252CD6" w:rsidRPr="0021030B">
        <w:rPr>
          <w:rFonts w:cs="Times New Roman"/>
          <w:bCs/>
          <w:szCs w:val="24"/>
          <w:lang w:val="en-US"/>
        </w:rPr>
        <w:t>on</w:t>
      </w:r>
      <w:r w:rsidR="00B510AE" w:rsidRPr="0021030B">
        <w:rPr>
          <w:rFonts w:cs="Times New Roman"/>
          <w:bCs/>
          <w:szCs w:val="24"/>
          <w:lang w:val="en-US"/>
        </w:rPr>
        <w:t xml:space="preserve"> </w:t>
      </w:r>
      <w:r w:rsidR="00252CD6" w:rsidRPr="0021030B">
        <w:rPr>
          <w:rFonts w:cs="Times New Roman"/>
          <w:bCs/>
          <w:szCs w:val="24"/>
          <w:lang w:val="en-US"/>
        </w:rPr>
        <w:t xml:space="preserve">the three </w:t>
      </w:r>
      <w:r w:rsidR="00327F47" w:rsidRPr="0021030B">
        <w:rPr>
          <w:rFonts w:cs="Times New Roman"/>
          <w:bCs/>
          <w:szCs w:val="24"/>
          <w:lang w:val="en-US"/>
        </w:rPr>
        <w:t xml:space="preserve">SQ </w:t>
      </w:r>
      <w:r w:rsidR="00252CD6" w:rsidRPr="0021030B">
        <w:rPr>
          <w:rFonts w:cs="Times New Roman"/>
          <w:bCs/>
          <w:szCs w:val="24"/>
          <w:lang w:val="en-US"/>
        </w:rPr>
        <w:t>depths</w:t>
      </w:r>
      <w:r w:rsidR="00B510AE" w:rsidRPr="0021030B">
        <w:rPr>
          <w:rFonts w:cs="Times New Roman"/>
          <w:bCs/>
          <w:szCs w:val="24"/>
          <w:lang w:val="en-US"/>
        </w:rPr>
        <w:t>.</w:t>
      </w:r>
      <w:r w:rsidR="00252CD6" w:rsidRPr="0021030B">
        <w:rPr>
          <w:rFonts w:cs="Times New Roman"/>
          <w:bCs/>
          <w:szCs w:val="24"/>
          <w:lang w:val="en-US"/>
        </w:rPr>
        <w:t xml:space="preserve"> </w:t>
      </w:r>
      <w:r w:rsidR="00E841F3" w:rsidRPr="0021030B">
        <w:rPr>
          <w:rFonts w:cs="Times New Roman"/>
          <w:bCs/>
          <w:szCs w:val="24"/>
          <w:lang w:val="en-US"/>
        </w:rPr>
        <w:t>I</w:t>
      </w:r>
      <w:r w:rsidR="00111523" w:rsidRPr="0021030B">
        <w:rPr>
          <w:rFonts w:cs="Times New Roman"/>
          <w:bCs/>
          <w:szCs w:val="24"/>
          <w:lang w:val="en-US"/>
        </w:rPr>
        <w:t xml:space="preserve">n </w:t>
      </w:r>
      <w:r w:rsidR="00E841F3" w:rsidRPr="0021030B">
        <w:rPr>
          <w:rFonts w:cs="Times New Roman"/>
          <w:bCs/>
          <w:szCs w:val="24"/>
          <w:lang w:val="en-US"/>
        </w:rPr>
        <w:t>turn</w:t>
      </w:r>
      <w:r w:rsidR="00111523" w:rsidRPr="0021030B">
        <w:rPr>
          <w:rFonts w:cs="Times New Roman"/>
          <w:bCs/>
          <w:szCs w:val="24"/>
          <w:lang w:val="en-US"/>
        </w:rPr>
        <w:t xml:space="preserve">, </w:t>
      </w:r>
      <w:r w:rsidR="00B375BF" w:rsidRPr="0021030B">
        <w:rPr>
          <w:rFonts w:cs="Times New Roman"/>
          <w:bCs/>
          <w:szCs w:val="24"/>
          <w:lang w:val="en-US"/>
        </w:rPr>
        <w:t>training at</w:t>
      </w:r>
      <w:r w:rsidR="00111523" w:rsidRPr="0021030B">
        <w:rPr>
          <w:rFonts w:cs="Times New Roman"/>
          <w:bCs/>
          <w:szCs w:val="24"/>
          <w:lang w:val="en-US"/>
        </w:rPr>
        <w:t xml:space="preserve"> shorter ROM such as the H-SQ (90º</w:t>
      </w:r>
      <w:r w:rsidR="002973EA" w:rsidRPr="0021030B">
        <w:rPr>
          <w:rFonts w:cs="Times New Roman"/>
          <w:bCs/>
          <w:szCs w:val="24"/>
          <w:lang w:val="en-US"/>
        </w:rPr>
        <w:t xml:space="preserve"> knee angle</w:t>
      </w:r>
      <w:r w:rsidR="00111523" w:rsidRPr="0021030B">
        <w:rPr>
          <w:rFonts w:cs="Times New Roman"/>
          <w:bCs/>
          <w:szCs w:val="24"/>
          <w:lang w:val="en-US"/>
        </w:rPr>
        <w:t xml:space="preserve">) resulted in </w:t>
      </w:r>
      <w:r w:rsidR="006B7430" w:rsidRPr="0021030B">
        <w:rPr>
          <w:rFonts w:cs="Times New Roman"/>
          <w:bCs/>
          <w:szCs w:val="24"/>
          <w:lang w:val="en-US"/>
        </w:rPr>
        <w:t>lower performance increments and the worst transfer</w:t>
      </w:r>
      <w:r w:rsidR="00E841F3" w:rsidRPr="0021030B">
        <w:rPr>
          <w:rFonts w:cs="Times New Roman"/>
          <w:bCs/>
          <w:szCs w:val="24"/>
          <w:lang w:val="en-US"/>
        </w:rPr>
        <w:t xml:space="preserve"> </w:t>
      </w:r>
      <w:r w:rsidR="006B7430" w:rsidRPr="0021030B">
        <w:rPr>
          <w:rFonts w:cs="Times New Roman"/>
          <w:bCs/>
          <w:szCs w:val="24"/>
          <w:lang w:val="en-US"/>
        </w:rPr>
        <w:t>to</w:t>
      </w:r>
      <w:r w:rsidR="00E841F3" w:rsidRPr="0021030B">
        <w:rPr>
          <w:rFonts w:cs="Times New Roman"/>
          <w:bCs/>
          <w:szCs w:val="24"/>
          <w:lang w:val="en-US"/>
        </w:rPr>
        <w:t xml:space="preserve"> </w:t>
      </w:r>
      <w:r w:rsidR="00CB4E5B" w:rsidRPr="0021030B">
        <w:rPr>
          <w:rFonts w:cs="Times New Roman"/>
          <w:bCs/>
          <w:szCs w:val="24"/>
          <w:lang w:val="en-US"/>
        </w:rPr>
        <w:t>other</w:t>
      </w:r>
      <w:r w:rsidR="00E841F3" w:rsidRPr="0021030B">
        <w:rPr>
          <w:rFonts w:cs="Times New Roman"/>
          <w:bCs/>
          <w:szCs w:val="24"/>
          <w:lang w:val="en-US"/>
        </w:rPr>
        <w:t xml:space="preserve"> depths.</w:t>
      </w:r>
      <w:r w:rsidR="00CB4E5B" w:rsidRPr="0021030B">
        <w:rPr>
          <w:rFonts w:cs="Times New Roman"/>
          <w:bCs/>
          <w:szCs w:val="24"/>
          <w:lang w:val="en-US"/>
        </w:rPr>
        <w:t xml:space="preserve"> </w:t>
      </w:r>
    </w:p>
    <w:p w14:paraId="108DB274" w14:textId="7DB90962" w:rsidR="00612FA4" w:rsidRPr="0021030B" w:rsidRDefault="008C206E" w:rsidP="30ED40BD">
      <w:pPr>
        <w:spacing w:line="480" w:lineRule="auto"/>
        <w:ind w:firstLine="708"/>
        <w:rPr>
          <w:rFonts w:cs="Times New Roman"/>
          <w:szCs w:val="24"/>
          <w:lang w:val="en-US"/>
        </w:rPr>
      </w:pPr>
      <w:bookmarkStart w:id="3" w:name="_Hlk4583963"/>
      <w:r w:rsidRPr="0021030B">
        <w:rPr>
          <w:rFonts w:cs="Times New Roman"/>
          <w:szCs w:val="24"/>
          <w:lang w:val="en-US"/>
        </w:rPr>
        <w:t xml:space="preserve">An </w:t>
      </w:r>
      <w:r w:rsidR="00180DE6" w:rsidRPr="0021030B">
        <w:rPr>
          <w:rFonts w:cs="Times New Roman"/>
          <w:szCs w:val="24"/>
          <w:lang w:val="en-US"/>
        </w:rPr>
        <w:t>innovative</w:t>
      </w:r>
      <w:r w:rsidRPr="0021030B">
        <w:rPr>
          <w:rFonts w:cs="Times New Roman"/>
          <w:szCs w:val="24"/>
          <w:lang w:val="en-US"/>
        </w:rPr>
        <w:t xml:space="preserve"> aspect of the present study is</w:t>
      </w:r>
      <w:r w:rsidR="00BE2F6C" w:rsidRPr="0021030B">
        <w:rPr>
          <w:rFonts w:cs="Times New Roman"/>
          <w:szCs w:val="24"/>
          <w:lang w:val="en-US"/>
        </w:rPr>
        <w:t xml:space="preserve"> </w:t>
      </w:r>
      <w:r w:rsidRPr="0021030B">
        <w:rPr>
          <w:rFonts w:cs="Times New Roman"/>
          <w:szCs w:val="24"/>
          <w:lang w:val="en-US"/>
        </w:rPr>
        <w:t xml:space="preserve">the </w:t>
      </w:r>
      <w:r w:rsidR="00680BA5" w:rsidRPr="0021030B">
        <w:rPr>
          <w:rFonts w:cs="Times New Roman"/>
          <w:szCs w:val="24"/>
          <w:lang w:val="en-US"/>
        </w:rPr>
        <w:t>use</w:t>
      </w:r>
      <w:r w:rsidR="00A01418" w:rsidRPr="0021030B">
        <w:rPr>
          <w:rFonts w:cs="Times New Roman"/>
          <w:szCs w:val="24"/>
          <w:lang w:val="en-US"/>
        </w:rPr>
        <w:t xml:space="preserve"> of</w:t>
      </w:r>
      <w:r w:rsidR="00680BA5" w:rsidRPr="0021030B">
        <w:rPr>
          <w:rFonts w:cs="Times New Roman"/>
          <w:szCs w:val="24"/>
          <w:lang w:val="en-US"/>
        </w:rPr>
        <w:t xml:space="preserve"> </w:t>
      </w:r>
      <w:r w:rsidR="00AE0254" w:rsidRPr="0021030B">
        <w:rPr>
          <w:rFonts w:cs="Times New Roman"/>
          <w:szCs w:val="24"/>
          <w:lang w:val="en-US"/>
        </w:rPr>
        <w:t xml:space="preserve">velocity-based resistance training methods to </w:t>
      </w:r>
      <w:r w:rsidRPr="0021030B">
        <w:rPr>
          <w:rFonts w:cs="Times New Roman"/>
          <w:szCs w:val="24"/>
          <w:lang w:val="en-US"/>
        </w:rPr>
        <w:t xml:space="preserve">control </w:t>
      </w:r>
      <w:r w:rsidR="00AE0254" w:rsidRPr="0021030B">
        <w:rPr>
          <w:rFonts w:cs="Times New Roman"/>
          <w:szCs w:val="24"/>
          <w:lang w:val="en-US"/>
        </w:rPr>
        <w:t xml:space="preserve">that </w:t>
      </w:r>
      <w:bookmarkStart w:id="4" w:name="_Hlk4600002"/>
      <w:r w:rsidR="00AE0254" w:rsidRPr="0021030B">
        <w:rPr>
          <w:rFonts w:cs="Times New Roman"/>
          <w:szCs w:val="24"/>
          <w:lang w:val="en-US"/>
        </w:rPr>
        <w:t xml:space="preserve">every </w:t>
      </w:r>
      <w:r w:rsidRPr="0021030B">
        <w:rPr>
          <w:rFonts w:cs="Times New Roman"/>
          <w:szCs w:val="24"/>
          <w:lang w:val="en-US"/>
        </w:rPr>
        <w:t xml:space="preserve">squat </w:t>
      </w:r>
      <w:r w:rsidR="00135133" w:rsidRPr="0021030B">
        <w:rPr>
          <w:rFonts w:cs="Times New Roman"/>
          <w:szCs w:val="24"/>
          <w:lang w:val="en-US"/>
        </w:rPr>
        <w:t xml:space="preserve">repetition </w:t>
      </w:r>
      <w:r w:rsidRPr="0021030B">
        <w:rPr>
          <w:rFonts w:cs="Times New Roman"/>
          <w:szCs w:val="24"/>
          <w:lang w:val="en-US"/>
        </w:rPr>
        <w:t xml:space="preserve">was </w:t>
      </w:r>
      <w:r w:rsidR="00AE0254" w:rsidRPr="0021030B">
        <w:rPr>
          <w:rFonts w:cs="Times New Roman"/>
          <w:szCs w:val="24"/>
          <w:lang w:val="en-US"/>
        </w:rPr>
        <w:t>executed at the programmed load intensity</w:t>
      </w:r>
      <w:r w:rsidR="00180DE6" w:rsidRPr="0021030B">
        <w:rPr>
          <w:rFonts w:cs="Times New Roman"/>
          <w:szCs w:val="24"/>
          <w:lang w:val="en-US"/>
        </w:rPr>
        <w:t xml:space="preserve"> </w:t>
      </w:r>
      <w:bookmarkEnd w:id="3"/>
      <w:bookmarkEnd w:id="4"/>
      <w:r w:rsidR="00BC0290" w:rsidRPr="0021030B">
        <w:rPr>
          <w:rFonts w:cs="Times New Roman"/>
          <w:szCs w:val="24"/>
        </w:rPr>
        <w:fldChar w:fldCharType="begin" w:fldLock="1"/>
      </w:r>
      <w:r w:rsidR="00E42B44" w:rsidRPr="0021030B">
        <w:rPr>
          <w:rFonts w:cs="Times New Roman"/>
          <w:bCs/>
          <w:szCs w:val="24"/>
          <w:lang w:val="en-US"/>
        </w:rPr>
        <w:instrText>ADDIN CSL_CITATION {"citationItems":[{"id":"ITEM-1","itemData":{"DOI":"10.1055/s-0030-1248333","ISBN":"01724622","ISSN":"01724622","PMID":"20180176","abstract":"This study examined the possibility of using movement velocity as an indicator of relative load in the bench press (BP) exercise. One hundred and twenty strength-trained males performed a test (T1) with increasing loads for the individual determination of the one-repetition maximum (1RM) and full load-velocity profile. Fifty-six subjects performed the test on a second occasion (T2) following 6 weeks of training. A very close relationship between mean propulsive velocity (MPV) and load (%1RM) was observed (R (2)=0.98). Mean velocity attained with 1RM was 0.16+/-0.04 m x s(-1) and was found to influence the MPV attained with each %1RM. Despite a mean increase of 9.3% in 1RM from T1 to T2, MPV for each %1RM remained stable. Stability in the load-velocity relationship was also confirmed regardless of individual relative strength. These results confirm an inextricable relationship between relative load and MPV in the BP that makes it possible to: 1) evaluate maximal strength without the need to perform a 1RM test, or test of maximum number of repetitions to failure (XRM); 2) determine the %1RM that is being used as soon as the first repetition with any given load is performed; 3) prescribe and monitor training load according to velocity, instead of percentages of 1RM or XRM.","author":[{"dropping-particle":"","family":"González-Badillo","given":"Juan José","non-dropping-particle":"","parse-names":false,"suffix":""},{"dropping-particle":"","family":"Sánchez-Medina","given":"Luis","non-dropping-particle":"","parse-names":false,"suffix":""}],"container-title":"International journal of sports medicine","id":"ITEM-1","issue":"5","issued":{"date-parts":[["2010"]]},"page":"347-352","publisher":"© Georg Thieme Verlag KG Stuttgart· New York","title":"Movement velocity as a measure of loading intensity in resistance training","type":"article-journal","volume":"31"},"uris":["http://www.mendeley.com/documents/?uuid=926493ab-cf77-494a-aa2d-00442125b256"]}],"mendeley":{"formattedCitation":"(González-Badillo &amp; Sánchez-Medina, 2010)","plainTextFormattedCitation":"(González-Badillo &amp; Sánchez-Medina, 2010)","previouslyFormattedCitation":"(González-Badillo &amp; Sánchez-Medina, 2010)"},"properties":{"noteIndex":0},"schema":"https://github.com/citation-style-language/schema/raw/master/csl-citation.json"}</w:instrText>
      </w:r>
      <w:r w:rsidR="00BC0290" w:rsidRPr="0021030B">
        <w:rPr>
          <w:rFonts w:cs="Times New Roman"/>
          <w:bCs/>
          <w:szCs w:val="24"/>
          <w:lang w:val="en-US"/>
        </w:rPr>
        <w:fldChar w:fldCharType="separate"/>
      </w:r>
      <w:r w:rsidR="00E42B44" w:rsidRPr="0021030B">
        <w:rPr>
          <w:rFonts w:cs="Times New Roman"/>
          <w:noProof/>
          <w:szCs w:val="24"/>
          <w:lang w:val="en-US"/>
        </w:rPr>
        <w:t>(González-Badillo &amp; Sánchez-Medina, 2010)</w:t>
      </w:r>
      <w:r w:rsidR="00BC0290" w:rsidRPr="0021030B">
        <w:rPr>
          <w:rFonts w:cs="Times New Roman"/>
          <w:szCs w:val="24"/>
        </w:rPr>
        <w:fldChar w:fldCharType="end"/>
      </w:r>
      <w:r w:rsidR="00AE0254" w:rsidRPr="0021030B">
        <w:rPr>
          <w:rFonts w:cs="Times New Roman"/>
          <w:szCs w:val="24"/>
          <w:lang w:val="en-US"/>
        </w:rPr>
        <w:t>.</w:t>
      </w:r>
      <w:r w:rsidR="0065769B" w:rsidRPr="0021030B">
        <w:rPr>
          <w:rFonts w:cs="Times New Roman"/>
          <w:szCs w:val="24"/>
          <w:lang w:val="en-US"/>
        </w:rPr>
        <w:t xml:space="preserve"> </w:t>
      </w:r>
      <w:r w:rsidR="004312F8" w:rsidRPr="0021030B">
        <w:rPr>
          <w:rFonts w:cs="Times New Roman"/>
          <w:szCs w:val="24"/>
          <w:lang w:val="en-US"/>
        </w:rPr>
        <w:t>Although p</w:t>
      </w:r>
      <w:r w:rsidR="00E069BA" w:rsidRPr="0021030B">
        <w:rPr>
          <w:rFonts w:cs="Times New Roman"/>
          <w:szCs w:val="24"/>
          <w:lang w:val="en-US"/>
        </w:rPr>
        <w:t xml:space="preserve">revious </w:t>
      </w:r>
      <w:r w:rsidR="004312F8" w:rsidRPr="0021030B">
        <w:rPr>
          <w:rFonts w:cs="Times New Roman"/>
          <w:szCs w:val="24"/>
          <w:lang w:val="en-US"/>
        </w:rPr>
        <w:t>interventions</w:t>
      </w:r>
      <w:r w:rsidR="00E069BA" w:rsidRPr="0021030B">
        <w:rPr>
          <w:rFonts w:cs="Times New Roman"/>
          <w:szCs w:val="24"/>
          <w:lang w:val="en-US"/>
        </w:rPr>
        <w:t xml:space="preserve"> used a similar system to </w:t>
      </w:r>
      <w:r w:rsidR="004312F8" w:rsidRPr="0021030B">
        <w:rPr>
          <w:rFonts w:cs="Times New Roman"/>
          <w:szCs w:val="24"/>
          <w:lang w:val="en-US"/>
        </w:rPr>
        <w:t>monitor</w:t>
      </w:r>
      <w:r w:rsidR="00E069BA" w:rsidRPr="0021030B">
        <w:rPr>
          <w:rFonts w:cs="Times New Roman"/>
          <w:szCs w:val="24"/>
          <w:lang w:val="en-US"/>
        </w:rPr>
        <w:t xml:space="preserve"> the alterations in </w:t>
      </w:r>
      <w:r w:rsidR="00654F43" w:rsidRPr="0021030B">
        <w:rPr>
          <w:rFonts w:cs="Times New Roman"/>
          <w:szCs w:val="24"/>
          <w:lang w:val="en-US"/>
        </w:rPr>
        <w:t>velocity</w:t>
      </w:r>
      <w:r w:rsidR="00E069BA" w:rsidRPr="0021030B">
        <w:rPr>
          <w:rFonts w:cs="Times New Roman"/>
          <w:szCs w:val="24"/>
          <w:lang w:val="en-US"/>
        </w:rPr>
        <w:t xml:space="preserve"> of </w:t>
      </w:r>
      <w:r w:rsidR="00327F47" w:rsidRPr="0021030B">
        <w:rPr>
          <w:rFonts w:cs="Times New Roman"/>
          <w:szCs w:val="24"/>
          <w:lang w:val="en-US"/>
        </w:rPr>
        <w:t xml:space="preserve">SQ </w:t>
      </w:r>
      <w:r w:rsidR="00E069BA" w:rsidRPr="0021030B">
        <w:rPr>
          <w:rFonts w:cs="Times New Roman"/>
          <w:szCs w:val="24"/>
          <w:lang w:val="en-US"/>
        </w:rPr>
        <w:t xml:space="preserve">movement </w:t>
      </w:r>
      <w:r w:rsidR="00E069BA" w:rsidRPr="0021030B">
        <w:rPr>
          <w:rFonts w:cs="Times New Roman"/>
          <w:szCs w:val="24"/>
        </w:rPr>
        <w:fldChar w:fldCharType="begin" w:fldLock="1"/>
      </w:r>
      <w:r w:rsidR="00E42B44" w:rsidRPr="0021030B">
        <w:rPr>
          <w:rFonts w:cs="Times New Roman"/>
          <w:bCs/>
          <w:szCs w:val="24"/>
          <w:lang w:val="en-US"/>
        </w:rPr>
        <w:instrText>ADDIN CSL_CITATION {"citationItems":[{"id":"ITEM-1","itemData":{"DOI":"10.1519/JSC.0b013e3181b3e1b6","ISBN":"1533-4287","ISSN":"15334287","PMID":"19858751","abstract":"The purpose of this study was to assess the effect of heavy/slow movements and variable resistance training on peak power and strength development. Forty-eight National Collegiate Athletic Association (NCAA) Division I athletes (age: 21.4 +/- 2.1 years, all men) were recruited for this 12-week training intervention study. Maximum strength and jumping power were assessed before and after the training program. Athletes were randomly assigned to 1 of 3 training groups: heavy resistance/slow movement (Slow), lighter resistance and fast movement (Fast), or fast movements with accommodated resistance (FACC). All training groups performed similar training programs comprising free weight resistance training with lower-body compound exercises. The only difference among the training interventions was the speed at which subjects performed the squat exercise and the use of bands (Slow group: 0.2-0.4 meters/second; Fast group: 0.6-0.8 meters/second; FACC group trained 0.6-0.8 meters/second with the addition of accommodated resistance in the form of large elastic bands). Post-test data revealed a significant difference between power improvements between the Slow and FACC groups (p = 0.02). Percent increases and effect sizes (ES) demonstrated a much greater treatment effect in the FACC group (17.8%, ES = 1.06) with the Fast group (11.0%, ES = 0.80) adapting more than the Slow group (4.8%, ES = 0.28). The FACC and Slow groups improved strength comparatively (FACC: 9.44%, ES = 1.10; Slow: 9.59%, ES = 1.08). The Fast group improved strength considerably less, 3.20% with an effect size of only 0.38. Variable resistance training with elastic bands appears to provide greater performance benefits with regard to peak force and peak power than heavy, slow resistance exercise. Sports conditioning professionals can utilize bands, and high-speed contractions, to increase power development.","author":[{"dropping-particle":"","family":"Rhea","given":"M R","non-dropping-particle":"","parse-names":false,"suffix":""},{"dropping-particle":"","family":"Kenn","given":"Joseph G.","non-dropping-particle":"","parse-names":false,"suffix":""},{"dropping-particle":"","family":"Dermody","given":"Bryan M.","non-dropping-particle":"","parse-names":false,"suffix":""}],"container-title":"Journal of strength and conditioning research / National Strength &amp; Conditioning Association","id":"ITEM-1","issue":"9","issued":{"date-parts":[["2009","12"]]},"page":"2645-2650","title":"Alterations in speed of squat movement and the use of accommodated resistance among college athletes training for power.","type":"article-journal","volume":"23"},"uris":["http://www.mendeley.com/documents/?uuid=e7a62a05-e45c-3960-b4b5-6d5d16d2e421","http://www.mendeley.com/documents/?uuid=3424f710-79cc-4def-9e70-293cf416c7a3"]}],"mendeley":{"formattedCitation":"(Rhea, Kenn, &amp; Dermody, 2009)","plainTextFormattedCitation":"(Rhea, Kenn, &amp; Dermody, 2009)","previouslyFormattedCitation":"(Rhea, Kenn, &amp; Dermody, 2009)"},"properties":{"noteIndex":0},"schema":"https://github.com/citation-style-language/schema/raw/master/csl-citation.json"}</w:instrText>
      </w:r>
      <w:r w:rsidR="00E069BA" w:rsidRPr="0021030B">
        <w:rPr>
          <w:rFonts w:cs="Times New Roman"/>
          <w:bCs/>
          <w:szCs w:val="24"/>
          <w:lang w:val="en-US"/>
        </w:rPr>
        <w:fldChar w:fldCharType="separate"/>
      </w:r>
      <w:r w:rsidR="00E42B44" w:rsidRPr="0021030B">
        <w:rPr>
          <w:rFonts w:cs="Times New Roman"/>
          <w:noProof/>
          <w:szCs w:val="24"/>
          <w:lang w:val="en-US"/>
        </w:rPr>
        <w:t>(Rhea, Kenn, &amp; Dermody, 2009)</w:t>
      </w:r>
      <w:r w:rsidR="00E069BA" w:rsidRPr="0021030B">
        <w:rPr>
          <w:rFonts w:cs="Times New Roman"/>
          <w:szCs w:val="24"/>
        </w:rPr>
        <w:fldChar w:fldCharType="end"/>
      </w:r>
      <w:r w:rsidR="00E069BA" w:rsidRPr="0021030B">
        <w:rPr>
          <w:rFonts w:cs="Times New Roman"/>
          <w:szCs w:val="24"/>
          <w:lang w:val="en-US"/>
        </w:rPr>
        <w:t xml:space="preserve">, </w:t>
      </w:r>
      <w:r w:rsidR="00D009F8" w:rsidRPr="0021030B">
        <w:rPr>
          <w:rFonts w:cs="Times New Roman"/>
          <w:szCs w:val="24"/>
          <w:lang w:val="en-US"/>
        </w:rPr>
        <w:t>this is the first</w:t>
      </w:r>
      <w:r w:rsidR="00E069BA" w:rsidRPr="0021030B">
        <w:rPr>
          <w:rFonts w:cs="Times New Roman"/>
          <w:szCs w:val="24"/>
          <w:lang w:val="en-US"/>
        </w:rPr>
        <w:t xml:space="preserve"> study</w:t>
      </w:r>
      <w:r w:rsidR="00D009F8" w:rsidRPr="0021030B">
        <w:rPr>
          <w:rFonts w:cs="Times New Roman"/>
          <w:szCs w:val="24"/>
          <w:lang w:val="en-US"/>
        </w:rPr>
        <w:t xml:space="preserve"> testing </w:t>
      </w:r>
      <w:r w:rsidR="00826185" w:rsidRPr="0021030B">
        <w:rPr>
          <w:rFonts w:cs="Times New Roman"/>
          <w:szCs w:val="24"/>
          <w:lang w:val="en-US"/>
        </w:rPr>
        <w:t xml:space="preserve">changes in </w:t>
      </w:r>
      <w:r w:rsidR="00D009F8" w:rsidRPr="0021030B">
        <w:rPr>
          <w:rFonts w:cs="Times New Roman"/>
          <w:szCs w:val="24"/>
          <w:lang w:val="en-US"/>
        </w:rPr>
        <w:t xml:space="preserve">neuromuscular strength at different </w:t>
      </w:r>
      <w:r w:rsidR="00327F47" w:rsidRPr="0021030B">
        <w:rPr>
          <w:rFonts w:cs="Times New Roman"/>
          <w:szCs w:val="24"/>
          <w:lang w:val="en-US"/>
        </w:rPr>
        <w:t xml:space="preserve">SQ </w:t>
      </w:r>
      <w:r w:rsidR="00D009F8" w:rsidRPr="0021030B">
        <w:rPr>
          <w:rFonts w:cs="Times New Roman"/>
          <w:szCs w:val="24"/>
          <w:lang w:val="en-US"/>
        </w:rPr>
        <w:t>depths</w:t>
      </w:r>
      <w:r w:rsidR="00180DE6" w:rsidRPr="0021030B">
        <w:rPr>
          <w:rFonts w:cs="Times New Roman"/>
          <w:szCs w:val="24"/>
          <w:lang w:val="en-US"/>
        </w:rPr>
        <w:t>,</w:t>
      </w:r>
      <w:r w:rsidR="00D009F8" w:rsidRPr="0021030B">
        <w:rPr>
          <w:rFonts w:cs="Times New Roman"/>
          <w:szCs w:val="24"/>
          <w:lang w:val="en-US"/>
        </w:rPr>
        <w:t xml:space="preserve"> </w:t>
      </w:r>
      <w:r w:rsidR="00826185" w:rsidRPr="0021030B">
        <w:rPr>
          <w:rFonts w:cs="Times New Roman"/>
          <w:szCs w:val="24"/>
          <w:lang w:val="en-US"/>
        </w:rPr>
        <w:t xml:space="preserve">including an individual workload adjustment prior to each lift. This was possible </w:t>
      </w:r>
      <w:r w:rsidR="00CF724E" w:rsidRPr="0021030B">
        <w:rPr>
          <w:rFonts w:cs="Times New Roman"/>
          <w:szCs w:val="24"/>
          <w:lang w:val="en-US"/>
        </w:rPr>
        <w:t xml:space="preserve">by </w:t>
      </w:r>
      <w:r w:rsidR="00826185" w:rsidRPr="0021030B">
        <w:rPr>
          <w:rFonts w:cs="Times New Roman"/>
          <w:szCs w:val="24"/>
          <w:lang w:val="en-US"/>
        </w:rPr>
        <w:t xml:space="preserve">using the recently published </w:t>
      </w:r>
      <w:r w:rsidR="00E879F4" w:rsidRPr="0021030B">
        <w:rPr>
          <w:rFonts w:cs="Times New Roman"/>
          <w:szCs w:val="24"/>
          <w:lang w:val="en-US"/>
        </w:rPr>
        <w:t xml:space="preserve">relationships between relative load (% 1RM) and MPV for the three </w:t>
      </w:r>
      <w:r w:rsidR="00327F47" w:rsidRPr="0021030B">
        <w:rPr>
          <w:rFonts w:cs="Times New Roman"/>
          <w:szCs w:val="24"/>
          <w:lang w:val="en-US"/>
        </w:rPr>
        <w:t xml:space="preserve">SQ </w:t>
      </w:r>
      <w:r w:rsidR="00E879F4" w:rsidRPr="0021030B">
        <w:rPr>
          <w:rFonts w:cs="Times New Roman"/>
          <w:szCs w:val="24"/>
          <w:lang w:val="en-US"/>
        </w:rPr>
        <w:t xml:space="preserve">variations </w:t>
      </w:r>
      <w:r w:rsidR="00871052" w:rsidRPr="0021030B">
        <w:rPr>
          <w:rFonts w:cs="Times New Roman"/>
          <w:szCs w:val="24"/>
        </w:rPr>
        <w:fldChar w:fldCharType="begin" w:fldLock="1"/>
      </w:r>
      <w:r w:rsidR="00E42B44" w:rsidRPr="0021030B">
        <w:rPr>
          <w:rFonts w:cs="Times New Roman"/>
          <w:bCs/>
          <w:szCs w:val="24"/>
          <w:lang w:val="en-US"/>
        </w:rPr>
        <w:instrText>ADDIN CSL_CITATION {"citationItems":[{"id":"ITEM-1","itemData":{"DOI":"10.1080/02640414.2018.1544187","ISBN":"1466-447X (Electronic) 0264-0414 (Linking)","ISSN":"0264-0414","PMID":"30426840","abstract":"This study aimed to compare the load-velocity and load-power relationships of three common variations of the squat exercise. 52 strength-trained males performed a progressive loading test up to the one-repetition maximum (1RM) in the full (F-SQ), parallel (P-SQ) and half (H-SQ) squat, conducted in random order on separate days. Bar velocity and vertical force were measured by means of a linear velocity transducer time-synchronized with a force platform. The relative load that maximized power output (Pmax) was analyzed using three outcome measures: mean concentric (MP), mean propulsive (MPP) and peak power (PP), while also including or excluding body mass in force calculations. 1RM was significantly different between exercises. Load-velocity and load-power relationships were significantly different between the F-SQ, P-SQ and H-SQ variations. Close relationships (R2 = 0.92-0.96) between load (%1RM) and bar velocity were found and they were specific for each squat variation, with faster velocities the greater the squat depth. Unlike the F-SQ and P-SQ, no sticking region was observed for the H-SQ when lifting high loads. The Pmax corresponded to a broad load range and was greatly influenced by how force output is calculated (including or excluding body mass) as well as the exact outcome variable used (MP, MPP, PP).","author":[{"dropping-particle":"","family":"Martínez-Cava","given":"Alejandro","non-dropping-particle":"","parse-names":false,"suffix":""},{"dropping-particle":"","family":"Morán-Navarro","given":"Ricardo","non-dropping-particle":"","parse-names":false,"suffix":""},{"dropping-particle":"","family":"Sánchez-Medina","given":"Luis","non-dropping-particle":"","parse-names":false,"suffix":""},{"dropping-particle":"","family":"González-Badillo","given":"Juan José","non-dropping-particle":"","parse-names":false,"suffix":""},{"dropping-particle":"","family":"Pallarés","given":"Jesús G.","non-dropping-particle":"","parse-names":false,"suffix":""}],"container-title":"Journal of Sports Sciences","id":"ITEM-1","issued":{"date-parts":[["2018"]]},"page":"1-9","title":"Velocity- and power-load relationships in the half, parallel and full back squat","type":"article-journal"},"uris":["http://www.mendeley.com/documents/?uuid=05a3228f-b4c3-4140-a84c-c87360b70550","http://www.mendeley.com/documents/?uuid=537000b3-bec2-46a1-853d-7888a95caf4f"]}],"mendeley":{"formattedCitation":"(Martínez-Cava et al., 2018)","plainTextFormattedCitation":"(Martínez-Cava et al., 2018)","previouslyFormattedCitation":"(Martínez-Cava et al., 2018)"},"properties":{"noteIndex":0},"schema":"https://github.com/citation-style-language/schema/raw/master/csl-citation.json"}</w:instrText>
      </w:r>
      <w:r w:rsidR="00871052" w:rsidRPr="0021030B">
        <w:rPr>
          <w:rFonts w:cs="Times New Roman"/>
          <w:bCs/>
          <w:szCs w:val="24"/>
          <w:lang w:val="en-US"/>
        </w:rPr>
        <w:fldChar w:fldCharType="separate"/>
      </w:r>
      <w:r w:rsidR="00E42B44" w:rsidRPr="0021030B">
        <w:rPr>
          <w:rFonts w:cs="Times New Roman"/>
          <w:noProof/>
          <w:szCs w:val="24"/>
          <w:lang w:val="en-US"/>
        </w:rPr>
        <w:t>(Martínez-Cava et al., 2018)</w:t>
      </w:r>
      <w:r w:rsidR="00871052" w:rsidRPr="0021030B">
        <w:rPr>
          <w:rFonts w:cs="Times New Roman"/>
          <w:szCs w:val="24"/>
        </w:rPr>
        <w:fldChar w:fldCharType="end"/>
      </w:r>
      <w:r w:rsidR="00871052" w:rsidRPr="0021030B">
        <w:rPr>
          <w:rFonts w:cs="Times New Roman"/>
          <w:szCs w:val="24"/>
          <w:lang w:val="en-US"/>
        </w:rPr>
        <w:t>.</w:t>
      </w:r>
      <w:r w:rsidR="00E879F4" w:rsidRPr="0021030B">
        <w:rPr>
          <w:rFonts w:cs="Times New Roman"/>
          <w:szCs w:val="24"/>
          <w:lang w:val="en-US"/>
        </w:rPr>
        <w:t xml:space="preserve"> </w:t>
      </w:r>
      <w:r w:rsidR="000B7810" w:rsidRPr="0021030B">
        <w:rPr>
          <w:rFonts w:cs="Times New Roman"/>
          <w:szCs w:val="24"/>
          <w:lang w:val="en-US"/>
        </w:rPr>
        <w:t>Th</w:t>
      </w:r>
      <w:r w:rsidR="00DE18D7" w:rsidRPr="0021030B">
        <w:rPr>
          <w:rFonts w:cs="Times New Roman"/>
          <w:szCs w:val="24"/>
          <w:lang w:val="en-US"/>
        </w:rPr>
        <w:t xml:space="preserve">e </w:t>
      </w:r>
      <w:r w:rsidR="00DD4044" w:rsidRPr="0021030B">
        <w:rPr>
          <w:rFonts w:cs="Times New Roman"/>
          <w:szCs w:val="24"/>
          <w:lang w:val="en-US"/>
        </w:rPr>
        <w:t xml:space="preserve">use of </w:t>
      </w:r>
      <w:r w:rsidR="00CB346F" w:rsidRPr="0021030B">
        <w:rPr>
          <w:rFonts w:cs="Times New Roman"/>
          <w:szCs w:val="24"/>
          <w:lang w:val="en-US"/>
        </w:rPr>
        <w:t xml:space="preserve">velocity-based </w:t>
      </w:r>
      <w:r w:rsidR="00835219" w:rsidRPr="0021030B">
        <w:rPr>
          <w:rFonts w:cs="Times New Roman"/>
          <w:szCs w:val="24"/>
          <w:lang w:val="en-US"/>
        </w:rPr>
        <w:t>devices</w:t>
      </w:r>
      <w:r w:rsidR="00CB346F" w:rsidRPr="0021030B">
        <w:rPr>
          <w:rFonts w:cs="Times New Roman"/>
          <w:szCs w:val="24"/>
          <w:lang w:val="en-US"/>
        </w:rPr>
        <w:t xml:space="preserve"> and force-velocity calculations </w:t>
      </w:r>
      <w:r w:rsidR="00DD4044" w:rsidRPr="0021030B">
        <w:rPr>
          <w:rFonts w:cs="Times New Roman"/>
          <w:szCs w:val="24"/>
          <w:lang w:val="en-US"/>
        </w:rPr>
        <w:t xml:space="preserve">to </w:t>
      </w:r>
      <w:r w:rsidR="007C37E6" w:rsidRPr="0021030B">
        <w:rPr>
          <w:rFonts w:cs="Times New Roman"/>
          <w:szCs w:val="24"/>
          <w:lang w:val="en-US"/>
        </w:rPr>
        <w:t xml:space="preserve">accurately </w:t>
      </w:r>
      <w:r w:rsidR="30ED40BD" w:rsidRPr="0021030B">
        <w:rPr>
          <w:rFonts w:cs="Times New Roman"/>
          <w:szCs w:val="24"/>
          <w:lang w:val="en-US"/>
        </w:rPr>
        <w:t xml:space="preserve">determine </w:t>
      </w:r>
      <w:r w:rsidR="000B7810" w:rsidRPr="0021030B">
        <w:rPr>
          <w:rFonts w:cs="Times New Roman"/>
          <w:szCs w:val="24"/>
          <w:lang w:val="en-US"/>
        </w:rPr>
        <w:t xml:space="preserve">the individual </w:t>
      </w:r>
      <w:r w:rsidR="007C37E6" w:rsidRPr="0021030B">
        <w:rPr>
          <w:rFonts w:cs="Times New Roman"/>
          <w:szCs w:val="24"/>
          <w:lang w:val="en-US"/>
        </w:rPr>
        <w:t>load intensity</w:t>
      </w:r>
      <w:r w:rsidR="000B7810" w:rsidRPr="0021030B">
        <w:rPr>
          <w:rFonts w:cs="Times New Roman"/>
          <w:szCs w:val="24"/>
          <w:lang w:val="en-US"/>
        </w:rPr>
        <w:t xml:space="preserve"> at each lift is a main contribution of the present paper</w:t>
      </w:r>
      <w:r w:rsidR="00180DE6" w:rsidRPr="0021030B">
        <w:rPr>
          <w:rFonts w:cs="Times New Roman"/>
          <w:szCs w:val="24"/>
          <w:lang w:val="en-US"/>
        </w:rPr>
        <w:t>,</w:t>
      </w:r>
      <w:r w:rsidR="000B7810" w:rsidRPr="0021030B">
        <w:rPr>
          <w:rFonts w:cs="Times New Roman"/>
          <w:szCs w:val="24"/>
          <w:lang w:val="en-US"/>
        </w:rPr>
        <w:t xml:space="preserve"> and encourages </w:t>
      </w:r>
      <w:r w:rsidR="00CF724E" w:rsidRPr="0021030B">
        <w:rPr>
          <w:rFonts w:cs="Times New Roman"/>
          <w:szCs w:val="24"/>
          <w:lang w:val="en-US"/>
        </w:rPr>
        <w:t>future</w:t>
      </w:r>
      <w:r w:rsidR="000B7810" w:rsidRPr="0021030B">
        <w:rPr>
          <w:rFonts w:cs="Times New Roman"/>
          <w:szCs w:val="24"/>
          <w:lang w:val="en-US"/>
        </w:rPr>
        <w:t xml:space="preserve"> </w:t>
      </w:r>
      <w:r w:rsidR="00AF0417" w:rsidRPr="0021030B">
        <w:rPr>
          <w:rFonts w:cs="Times New Roman"/>
          <w:szCs w:val="24"/>
          <w:lang w:val="en-US"/>
        </w:rPr>
        <w:t xml:space="preserve">studies </w:t>
      </w:r>
      <w:r w:rsidR="00032368" w:rsidRPr="0021030B">
        <w:rPr>
          <w:rFonts w:cs="Times New Roman"/>
          <w:szCs w:val="24"/>
          <w:lang w:val="en-US"/>
        </w:rPr>
        <w:t xml:space="preserve">to </w:t>
      </w:r>
      <w:r w:rsidR="00CF724E" w:rsidRPr="0021030B">
        <w:rPr>
          <w:rFonts w:cs="Times New Roman"/>
          <w:szCs w:val="24"/>
          <w:lang w:val="en-US"/>
        </w:rPr>
        <w:t>replicate and extend these findings.</w:t>
      </w:r>
    </w:p>
    <w:p w14:paraId="707DFB30" w14:textId="6057A5B0" w:rsidR="0053158A" w:rsidRPr="0021030B" w:rsidRDefault="0041080A" w:rsidP="00F52A7E">
      <w:pPr>
        <w:spacing w:line="480" w:lineRule="auto"/>
        <w:ind w:firstLine="708"/>
        <w:rPr>
          <w:rFonts w:cs="Times New Roman"/>
          <w:bCs/>
          <w:szCs w:val="24"/>
          <w:lang w:val="en-US"/>
        </w:rPr>
      </w:pPr>
      <w:r w:rsidRPr="0021030B">
        <w:rPr>
          <w:rFonts w:cs="Times New Roman"/>
          <w:szCs w:val="24"/>
          <w:lang w:val="en-US"/>
        </w:rPr>
        <w:t>Some authors pointed out</w:t>
      </w:r>
      <w:r w:rsidR="00FE6B70" w:rsidRPr="0021030B">
        <w:rPr>
          <w:rFonts w:cs="Times New Roman"/>
          <w:szCs w:val="24"/>
          <w:lang w:val="en-US"/>
        </w:rPr>
        <w:t xml:space="preserve"> that </w:t>
      </w:r>
      <w:r w:rsidR="00FB0AC0" w:rsidRPr="0021030B">
        <w:rPr>
          <w:rFonts w:cs="Times New Roman"/>
          <w:szCs w:val="24"/>
          <w:lang w:val="en-US"/>
        </w:rPr>
        <w:t>greate</w:t>
      </w:r>
      <w:r w:rsidR="00DB444C" w:rsidRPr="0021030B">
        <w:rPr>
          <w:rFonts w:cs="Times New Roman"/>
          <w:szCs w:val="24"/>
          <w:lang w:val="en-US"/>
        </w:rPr>
        <w:t>r</w:t>
      </w:r>
      <w:r w:rsidR="00FB0AC0" w:rsidRPr="0021030B">
        <w:rPr>
          <w:rFonts w:cs="Times New Roman"/>
          <w:szCs w:val="24"/>
          <w:lang w:val="en-US"/>
        </w:rPr>
        <w:t xml:space="preserve"> improvement </w:t>
      </w:r>
      <w:r w:rsidR="00DB444C" w:rsidRPr="0021030B">
        <w:rPr>
          <w:rFonts w:cs="Times New Roman"/>
          <w:szCs w:val="24"/>
          <w:lang w:val="en-US"/>
        </w:rPr>
        <w:t xml:space="preserve">and adaptations </w:t>
      </w:r>
      <w:r w:rsidR="007C7DA6" w:rsidRPr="0021030B">
        <w:rPr>
          <w:rFonts w:cs="Times New Roman"/>
          <w:szCs w:val="24"/>
          <w:lang w:val="en-US"/>
        </w:rPr>
        <w:t>would occur</w:t>
      </w:r>
      <w:r w:rsidR="00FE6B70" w:rsidRPr="0021030B">
        <w:rPr>
          <w:rFonts w:cs="Times New Roman"/>
          <w:szCs w:val="24"/>
          <w:lang w:val="en-US"/>
        </w:rPr>
        <w:t xml:space="preserve"> </w:t>
      </w:r>
      <w:r w:rsidR="00FB0AC0" w:rsidRPr="0021030B">
        <w:rPr>
          <w:rFonts w:cs="Times New Roman"/>
          <w:szCs w:val="24"/>
          <w:lang w:val="en-US"/>
        </w:rPr>
        <w:t xml:space="preserve">at the </w:t>
      </w:r>
      <w:r w:rsidR="00DB444C" w:rsidRPr="0021030B">
        <w:rPr>
          <w:rFonts w:cs="Times New Roman"/>
          <w:szCs w:val="24"/>
          <w:lang w:val="en-US"/>
        </w:rPr>
        <w:t xml:space="preserve">specific </w:t>
      </w:r>
      <w:r w:rsidR="00FB0AC0" w:rsidRPr="0021030B">
        <w:rPr>
          <w:rFonts w:cs="Times New Roman"/>
          <w:szCs w:val="24"/>
          <w:lang w:val="en-US"/>
        </w:rPr>
        <w:t>angle</w:t>
      </w:r>
      <w:r w:rsidR="00DB444C" w:rsidRPr="0021030B">
        <w:rPr>
          <w:rFonts w:cs="Times New Roman"/>
          <w:szCs w:val="24"/>
          <w:lang w:val="en-US"/>
        </w:rPr>
        <w:t xml:space="preserve"> and ROM</w:t>
      </w:r>
      <w:r w:rsidR="00FB0AC0" w:rsidRPr="0021030B">
        <w:rPr>
          <w:rFonts w:cs="Times New Roman"/>
          <w:szCs w:val="24"/>
          <w:lang w:val="en-US"/>
        </w:rPr>
        <w:t xml:space="preserve"> of training</w:t>
      </w:r>
      <w:r w:rsidR="00FE6B70" w:rsidRPr="0021030B">
        <w:rPr>
          <w:rFonts w:cs="Times New Roman"/>
          <w:szCs w:val="24"/>
          <w:lang w:val="en-US"/>
        </w:rPr>
        <w:t xml:space="preserve"> </w:t>
      </w:r>
      <w:r w:rsidR="00D02C6C" w:rsidRPr="0021030B">
        <w:rPr>
          <w:rFonts w:cs="Times New Roman"/>
          <w:szCs w:val="24"/>
          <w:lang w:val="en-US"/>
        </w:rPr>
        <w:fldChar w:fldCharType="begin" w:fldLock="1"/>
      </w:r>
      <w:r w:rsidR="00E42B44" w:rsidRPr="0021030B">
        <w:rPr>
          <w:rFonts w:cs="Times New Roman"/>
          <w:szCs w:val="24"/>
          <w:lang w:val="en-US"/>
        </w:rPr>
        <w:instrText>ADDIN CSL_CITATION {"citationItems":[{"id":"ITEM-1","itemData":{"DOI":"10.1519/00124278-200008000-00001","ISBN":"10648011","ISSN":"10648011","abstract":"Young, previously untrained healthy men (n = 10) and women (n = 8) completed 9 weeks of periodized, machine-based squat training to determine if manipulating range of motion would have a differential effect on vertical jumping ability and related measures. Subjects were pretested and then randomly assigned to 1 of 3 groups: (a) deep squats (n = 6), (b) shallow squats (n = 6), and (c) controls (n = 6). Training took place 3 days per week. Pre- and posttesting included standing (RVJ) and depth (DVJ) vertical jumps for distance; machine deep and shallow squats for 1RM (1 repetition maximum) relative strength; and velocity-controlled squats at 0.51 m.s-1 for relative peak force and at 1.43 m.s-1 for relative peak power. Based on ANCOVA posttest results, the training protocols were ineffective in eliciting improved performance (p &gt; 0.05) in VJ, slow-velocity squatting force, and moderately fast squatting power when performance was compared with the performance of control subjects. Conversely, the group training with deep squats was the only group to perform significantly (p &lt; 0.05) better than controls for 1RM shallow squats and significantly (p &lt; 0.05) better than both shallow-squat and control groups for 1RM deep squats. Furthermore, the coefficient of transfer for deep squats to both RVJ (2.32) and DVJ (1.68) was substantially greater than for shallow squats(0.31 and 0.11, respectively). It was concluded that deep-squat training appears to elicit the best improvement for both shallow- and deep-squatting performance. However, 9 weeks of machine-based, periodized squat training, regardless of depth, does not appear to appreciably enhance slow-velocity squatting force, moderately fast squatting power, or vertical jumping distance in previously untrained men and women.","author":[{"dropping-particle":"","family":"Weiss","given":"Lawrence W.","non-dropping-particle":"","parse-names":false,"suffix":""},{"dropping-particle":"","family":"Fry","given":"Andrew C.","non-dropping-particle":"","parse-names":false,"suffix":""},{"dropping-particle":"","family":"Wood","given":"Larry E.","non-dropping-particle":"","parse-names":false,"suffix":""},{"dropping-particle":"","family":"Relyea","given":"George E.","non-dropping-particle":"","parse-names":false,"suffix":""},{"dropping-particle":"","family":"Melton","given":"Charlie","non-dropping-particle":"","parse-names":false,"suffix":""}],"container-title":"Journal of Strength and Conditioning Research","id":"ITEM-1","issue":"3","issued":{"date-parts":[["2000"]]},"page":"241-247","title":"Comparative Effects of Deep Versus Shallow Squat and Leg-Press Training on Vertical Jumping Ability and Related Factors","type":"article-journal","volume":"14"},"uris":["http://www.mendeley.com/documents/?uuid=fccb4e9e-7fdf-44cc-8486-e25049026bb3","http://www.mendeley.com/documents/?uuid=03d54db3-b42f-4c1c-87f7-27ef9729f56b"]},{"id":"ITEM-2","itemData":{"ISBN":"0736056289","author":[{"dropping-particle":"","family":"Zatsiorsky","given":"Vladimir M","non-dropping-particle":"","parse-names":false,"suffix":""},{"dropping-particle":"","family":"Kraemer","given":"William J","non-dropping-particle":"","parse-names":false,"suffix":""}],"id":"ITEM-2","issued":{"date-parts":[["2006"]]},"publisher":"Human Kinetics","title":"Science and practice of strength training","type":"book"},"uris":["http://www.mendeley.com/documents/?uuid=dc07768c-9635-4343-b90c-34a34293f840"]},{"id":"ITEM-3","itemData":{"DOI":"https://doi.org/10.1515/humo-2016-0006","author":[{"dropping-particle":"","family":"Rhea","given":"M R","non-dropping-particle":"","parse-names":false,"suffix":""},{"dropping-particle":"","family":"Kenn","given":"J G","non-dropping-particle":"","parse-names":false,"suffix":""},{"dropping-particle":"","family":"Peterson","given":"M D","non-dropping-particle":"","parse-names":false,"suffix":""},{"dropping-particle":"","family":"Massey","given":"D","non-dropping-particle":"","parse-names":false,"suffix":""}],"container-title":"Human Movement","id":"ITEM-3","issue":"1","issued":{"date-parts":[["2016"]]},"page":"43-49","title":"Joint-angle specific strength adaptations influence improvements in power in highly trained athletes","type":"article-journal","volume":"17"},"uris":["http://www.mendeley.com/documents/?uuid=05743d8a-ad56-49c1-a65c-1ebb2d52a0a5"]}],"mendeley":{"formattedCitation":"(Rhea et al., 2016; Weiss, Fry, Wood, Relyea, &amp; Melton, 2000; Zatsiorsky &amp; Kraemer, 2006)","plainTextFormattedCitation":"(Rhea et al., 2016; Weiss, Fry, Wood, Relyea, &amp; Melton, 2000; Zatsiorsky &amp; Kraemer, 2006)","previouslyFormattedCitation":"(Rhea et al., 2016; Weiss, Fry, Wood, Relyea, &amp; Melton, 2000; Zatsiorsky &amp; Kraemer, 2006)"},"properties":{"noteIndex":0},"schema":"https://github.com/citation-style-language/schema/raw/master/csl-citation.json"}</w:instrText>
      </w:r>
      <w:r w:rsidR="00D02C6C" w:rsidRPr="0021030B">
        <w:rPr>
          <w:rFonts w:cs="Times New Roman"/>
          <w:szCs w:val="24"/>
          <w:lang w:val="en-US"/>
        </w:rPr>
        <w:fldChar w:fldCharType="separate"/>
      </w:r>
      <w:r w:rsidR="00E42B44" w:rsidRPr="0021030B">
        <w:rPr>
          <w:rFonts w:cs="Times New Roman"/>
          <w:noProof/>
          <w:szCs w:val="24"/>
          <w:lang w:val="en-US"/>
        </w:rPr>
        <w:t>(Rhea et al., 2016; Weiss, Fry, Wood, Relyea, &amp; Melton, 2000; Zatsiorsky &amp; Kraemer, 2006)</w:t>
      </w:r>
      <w:r w:rsidR="00D02C6C" w:rsidRPr="0021030B">
        <w:rPr>
          <w:rFonts w:cs="Times New Roman"/>
          <w:szCs w:val="24"/>
          <w:lang w:val="en-US"/>
        </w:rPr>
        <w:fldChar w:fldCharType="end"/>
      </w:r>
      <w:r w:rsidR="00FB0AC0" w:rsidRPr="0021030B">
        <w:rPr>
          <w:rFonts w:cs="Times New Roman"/>
          <w:szCs w:val="24"/>
          <w:lang w:val="en-US"/>
        </w:rPr>
        <w:t>.</w:t>
      </w:r>
      <w:r w:rsidR="00D02C6C" w:rsidRPr="0021030B">
        <w:rPr>
          <w:rFonts w:cs="Times New Roman"/>
          <w:szCs w:val="24"/>
          <w:lang w:val="en-US"/>
        </w:rPr>
        <w:t xml:space="preserve"> </w:t>
      </w:r>
      <w:r w:rsidR="008D77F4" w:rsidRPr="0021030B">
        <w:rPr>
          <w:rFonts w:cs="Times New Roman"/>
          <w:szCs w:val="24"/>
          <w:lang w:val="en-US"/>
        </w:rPr>
        <w:t>Our finding</w:t>
      </w:r>
      <w:r w:rsidR="00335495" w:rsidRPr="0021030B">
        <w:rPr>
          <w:rFonts w:cs="Times New Roman"/>
          <w:szCs w:val="24"/>
          <w:lang w:val="en-US"/>
        </w:rPr>
        <w:t>s</w:t>
      </w:r>
      <w:r w:rsidR="008D77F4" w:rsidRPr="0021030B">
        <w:rPr>
          <w:rFonts w:cs="Times New Roman"/>
          <w:szCs w:val="24"/>
          <w:lang w:val="en-US"/>
        </w:rPr>
        <w:t xml:space="preserve"> partly support this </w:t>
      </w:r>
      <w:r w:rsidR="0054596D" w:rsidRPr="0021030B">
        <w:rPr>
          <w:rFonts w:cs="Times New Roman"/>
          <w:szCs w:val="24"/>
          <w:lang w:val="en-US"/>
        </w:rPr>
        <w:t>argument</w:t>
      </w:r>
      <w:r w:rsidR="008D77F4" w:rsidRPr="0021030B">
        <w:rPr>
          <w:rFonts w:cs="Times New Roman"/>
          <w:szCs w:val="24"/>
          <w:lang w:val="en-US"/>
        </w:rPr>
        <w:t xml:space="preserve"> b</w:t>
      </w:r>
      <w:r w:rsidR="00335495" w:rsidRPr="0021030B">
        <w:rPr>
          <w:rFonts w:cs="Times New Roman"/>
          <w:szCs w:val="24"/>
          <w:lang w:val="en-US"/>
        </w:rPr>
        <w:t xml:space="preserve">y </w:t>
      </w:r>
      <w:r w:rsidR="00E77124" w:rsidRPr="0021030B">
        <w:rPr>
          <w:rFonts w:cs="Times New Roman"/>
          <w:szCs w:val="24"/>
          <w:lang w:val="en-US"/>
        </w:rPr>
        <w:t xml:space="preserve">showing </w:t>
      </w:r>
      <w:r w:rsidR="004A4B9B" w:rsidRPr="0021030B">
        <w:rPr>
          <w:rFonts w:cs="Times New Roman"/>
          <w:szCs w:val="24"/>
          <w:lang w:val="en-US"/>
        </w:rPr>
        <w:t xml:space="preserve">the </w:t>
      </w:r>
      <w:r w:rsidR="00E77124" w:rsidRPr="0021030B">
        <w:rPr>
          <w:rFonts w:cs="Times New Roman"/>
          <w:szCs w:val="24"/>
          <w:lang w:val="en-US"/>
        </w:rPr>
        <w:t>high</w:t>
      </w:r>
      <w:r w:rsidR="004A4B9B" w:rsidRPr="0021030B">
        <w:rPr>
          <w:rFonts w:cs="Times New Roman"/>
          <w:szCs w:val="24"/>
          <w:lang w:val="en-US"/>
        </w:rPr>
        <w:t>est</w:t>
      </w:r>
      <w:r w:rsidR="00E77124" w:rsidRPr="0021030B">
        <w:rPr>
          <w:rFonts w:cs="Times New Roman"/>
          <w:szCs w:val="24"/>
          <w:lang w:val="en-US"/>
        </w:rPr>
        <w:t xml:space="preserve"> </w:t>
      </w:r>
      <w:r w:rsidR="008D77F4" w:rsidRPr="0021030B">
        <w:rPr>
          <w:rFonts w:cs="Times New Roman"/>
          <w:szCs w:val="24"/>
          <w:lang w:val="en-US"/>
        </w:rPr>
        <w:t xml:space="preserve">increments </w:t>
      </w:r>
      <w:r w:rsidR="00E77124" w:rsidRPr="0021030B">
        <w:rPr>
          <w:rFonts w:cs="Times New Roman"/>
          <w:szCs w:val="24"/>
          <w:lang w:val="en-US"/>
        </w:rPr>
        <w:t xml:space="preserve">in </w:t>
      </w:r>
      <w:r w:rsidR="00335495" w:rsidRPr="0021030B">
        <w:rPr>
          <w:rFonts w:cs="Times New Roman"/>
          <w:szCs w:val="24"/>
          <w:lang w:val="en-US"/>
        </w:rPr>
        <w:t xml:space="preserve">neuromuscular performance at each group </w:t>
      </w:r>
      <w:r w:rsidR="00327F47" w:rsidRPr="0021030B">
        <w:rPr>
          <w:rFonts w:cs="Times New Roman"/>
          <w:szCs w:val="24"/>
          <w:lang w:val="en-US"/>
        </w:rPr>
        <w:t xml:space="preserve">SQ </w:t>
      </w:r>
      <w:r w:rsidR="00335495" w:rsidRPr="0021030B">
        <w:rPr>
          <w:rFonts w:cs="Times New Roman"/>
          <w:szCs w:val="24"/>
          <w:lang w:val="en-US"/>
        </w:rPr>
        <w:t>depth. However,</w:t>
      </w:r>
      <w:r w:rsidR="00CC01F6" w:rsidRPr="0021030B">
        <w:rPr>
          <w:rFonts w:cs="Times New Roman"/>
          <w:szCs w:val="24"/>
          <w:lang w:val="en-US"/>
        </w:rPr>
        <w:t xml:space="preserve"> according to our data,</w:t>
      </w:r>
      <w:r w:rsidR="00335495" w:rsidRPr="0021030B">
        <w:rPr>
          <w:rFonts w:cs="Times New Roman"/>
          <w:szCs w:val="24"/>
          <w:lang w:val="en-US"/>
        </w:rPr>
        <w:t xml:space="preserve"> </w:t>
      </w:r>
      <w:r w:rsidR="00EB6419" w:rsidRPr="0021030B">
        <w:rPr>
          <w:rFonts w:cs="Times New Roman"/>
          <w:szCs w:val="24"/>
          <w:lang w:val="en-US"/>
        </w:rPr>
        <w:t xml:space="preserve">the deeper the </w:t>
      </w:r>
      <w:r w:rsidR="00327F47" w:rsidRPr="0021030B">
        <w:rPr>
          <w:rFonts w:cs="Times New Roman"/>
          <w:szCs w:val="24"/>
          <w:lang w:val="en-US"/>
        </w:rPr>
        <w:t xml:space="preserve">SQ </w:t>
      </w:r>
      <w:r w:rsidR="00CC01F6" w:rsidRPr="0021030B">
        <w:rPr>
          <w:rFonts w:cs="Times New Roman"/>
          <w:szCs w:val="24"/>
          <w:lang w:val="en-US"/>
        </w:rPr>
        <w:t>was</w:t>
      </w:r>
      <w:r w:rsidR="00EB6419" w:rsidRPr="0021030B">
        <w:rPr>
          <w:rFonts w:cs="Times New Roman"/>
          <w:szCs w:val="24"/>
          <w:lang w:val="en-US"/>
        </w:rPr>
        <w:t>, the greater the increments</w:t>
      </w:r>
      <w:r w:rsidR="00CC01F6" w:rsidRPr="0021030B">
        <w:rPr>
          <w:rFonts w:cs="Times New Roman"/>
          <w:szCs w:val="24"/>
          <w:lang w:val="en-US"/>
        </w:rPr>
        <w:t xml:space="preserve"> were</w:t>
      </w:r>
      <w:r w:rsidR="00761747" w:rsidRPr="0021030B">
        <w:rPr>
          <w:rFonts w:cs="Times New Roman"/>
          <w:szCs w:val="24"/>
          <w:lang w:val="en-US"/>
        </w:rPr>
        <w:t xml:space="preserve"> </w:t>
      </w:r>
      <w:r w:rsidR="005C323A" w:rsidRPr="0021030B">
        <w:rPr>
          <w:rFonts w:cs="Times New Roman"/>
          <w:szCs w:val="24"/>
          <w:lang w:val="en-US"/>
        </w:rPr>
        <w:t>at</w:t>
      </w:r>
      <w:r w:rsidR="00590E4D" w:rsidRPr="0021030B">
        <w:rPr>
          <w:rFonts w:cs="Times New Roman"/>
          <w:szCs w:val="24"/>
          <w:lang w:val="en-US"/>
        </w:rPr>
        <w:t xml:space="preserve"> all the variations. This means that</w:t>
      </w:r>
      <w:r w:rsidR="00333442" w:rsidRPr="0021030B">
        <w:rPr>
          <w:rFonts w:cs="Times New Roman"/>
          <w:szCs w:val="24"/>
          <w:lang w:val="en-US"/>
        </w:rPr>
        <w:t xml:space="preserve"> </w:t>
      </w:r>
      <w:bookmarkStart w:id="5" w:name="_Hlk4601472"/>
      <w:r w:rsidR="00333442" w:rsidRPr="0021030B">
        <w:rPr>
          <w:rFonts w:cs="Times New Roman"/>
          <w:szCs w:val="24"/>
          <w:lang w:val="en-US"/>
        </w:rPr>
        <w:t xml:space="preserve">training at </w:t>
      </w:r>
      <w:r w:rsidR="00590E4D" w:rsidRPr="0021030B">
        <w:rPr>
          <w:rFonts w:cs="Times New Roman"/>
          <w:szCs w:val="24"/>
          <w:lang w:val="en-US"/>
        </w:rPr>
        <w:t xml:space="preserve">F-SQ </w:t>
      </w:r>
      <w:r w:rsidR="00333442" w:rsidRPr="0021030B">
        <w:rPr>
          <w:rFonts w:cs="Times New Roman"/>
          <w:szCs w:val="24"/>
          <w:lang w:val="en-US"/>
        </w:rPr>
        <w:t>produced greater (or at least equal) gains in strength at any of the three squats variations (</w:t>
      </w:r>
      <w:r w:rsidR="005C323A" w:rsidRPr="0021030B">
        <w:rPr>
          <w:rFonts w:cs="Times New Roman"/>
          <w:szCs w:val="24"/>
          <w:lang w:val="en-US"/>
        </w:rPr>
        <w:t xml:space="preserve">F-SQ, </w:t>
      </w:r>
      <w:r w:rsidR="00590E4D" w:rsidRPr="0021030B">
        <w:rPr>
          <w:rFonts w:cs="Times New Roman"/>
          <w:szCs w:val="24"/>
          <w:lang w:val="en-US"/>
        </w:rPr>
        <w:t>P-SQ and H-SQ</w:t>
      </w:r>
      <w:r w:rsidR="00333442" w:rsidRPr="0021030B">
        <w:rPr>
          <w:rFonts w:cs="Times New Roman"/>
          <w:szCs w:val="24"/>
          <w:lang w:val="en-US"/>
        </w:rPr>
        <w:t>)</w:t>
      </w:r>
      <w:r w:rsidR="00590E4D" w:rsidRPr="0021030B">
        <w:rPr>
          <w:rFonts w:cs="Times New Roman"/>
          <w:szCs w:val="24"/>
          <w:lang w:val="en-US"/>
        </w:rPr>
        <w:t xml:space="preserve"> </w:t>
      </w:r>
      <w:r w:rsidR="00333442" w:rsidRPr="0021030B">
        <w:rPr>
          <w:rFonts w:cs="Times New Roman"/>
          <w:szCs w:val="24"/>
          <w:lang w:val="en-US"/>
        </w:rPr>
        <w:t xml:space="preserve">compared to </w:t>
      </w:r>
      <w:r w:rsidR="00C11580" w:rsidRPr="0021030B">
        <w:rPr>
          <w:rFonts w:cs="Times New Roman"/>
          <w:szCs w:val="24"/>
          <w:lang w:val="en-US"/>
        </w:rPr>
        <w:t>the group</w:t>
      </w:r>
      <w:r w:rsidR="002C0534" w:rsidRPr="0021030B">
        <w:rPr>
          <w:rFonts w:cs="Times New Roman"/>
          <w:szCs w:val="24"/>
          <w:lang w:val="en-US"/>
        </w:rPr>
        <w:t>s</w:t>
      </w:r>
      <w:r w:rsidR="00C11580" w:rsidRPr="0021030B">
        <w:rPr>
          <w:rFonts w:cs="Times New Roman"/>
          <w:szCs w:val="24"/>
          <w:lang w:val="en-US"/>
        </w:rPr>
        <w:t xml:space="preserve"> that trained at these angles</w:t>
      </w:r>
      <w:bookmarkEnd w:id="5"/>
      <w:r w:rsidR="00C11580" w:rsidRPr="0021030B">
        <w:rPr>
          <w:rFonts w:cs="Times New Roman"/>
          <w:szCs w:val="24"/>
          <w:lang w:val="en-US"/>
        </w:rPr>
        <w:t xml:space="preserve">. </w:t>
      </w:r>
      <w:r w:rsidR="002C0534" w:rsidRPr="0021030B">
        <w:rPr>
          <w:rFonts w:cs="Times New Roman"/>
          <w:szCs w:val="24"/>
          <w:lang w:val="en-US"/>
        </w:rPr>
        <w:t xml:space="preserve">Likewise, the P-SQ </w:t>
      </w:r>
      <w:r w:rsidR="005C323A" w:rsidRPr="0021030B">
        <w:rPr>
          <w:rFonts w:cs="Times New Roman"/>
          <w:szCs w:val="24"/>
          <w:lang w:val="en-US"/>
        </w:rPr>
        <w:t xml:space="preserve">obtained </w:t>
      </w:r>
      <w:r w:rsidR="005C323A" w:rsidRPr="0021030B">
        <w:rPr>
          <w:rFonts w:cs="Times New Roman"/>
          <w:szCs w:val="24"/>
          <w:lang w:val="en-US"/>
        </w:rPr>
        <w:lastRenderedPageBreak/>
        <w:t>better results than H-SQ at the three variations.</w:t>
      </w:r>
      <w:r w:rsidR="00EA407B" w:rsidRPr="0021030B">
        <w:rPr>
          <w:rFonts w:cs="Times New Roman"/>
          <w:szCs w:val="24"/>
          <w:lang w:val="en-US"/>
        </w:rPr>
        <w:t xml:space="preserve"> </w:t>
      </w:r>
      <w:r w:rsidR="00785465" w:rsidRPr="0021030B">
        <w:rPr>
          <w:rFonts w:cs="Times New Roman"/>
          <w:bCs/>
          <w:szCs w:val="24"/>
          <w:lang w:val="en-US"/>
        </w:rPr>
        <w:t xml:space="preserve">More importantly, </w:t>
      </w:r>
      <w:r w:rsidR="00C277CE" w:rsidRPr="0021030B">
        <w:rPr>
          <w:rFonts w:cs="Times New Roman"/>
          <w:bCs/>
          <w:szCs w:val="24"/>
          <w:lang w:val="en-US"/>
        </w:rPr>
        <w:t xml:space="preserve">training at deeper </w:t>
      </w:r>
      <w:r w:rsidR="00327F47" w:rsidRPr="0021030B">
        <w:rPr>
          <w:rFonts w:cs="Times New Roman"/>
          <w:bCs/>
          <w:szCs w:val="24"/>
          <w:lang w:val="en-US"/>
        </w:rPr>
        <w:t>SQ</w:t>
      </w:r>
      <w:r w:rsidR="00C277CE" w:rsidRPr="0021030B">
        <w:rPr>
          <w:rFonts w:cs="Times New Roman"/>
          <w:bCs/>
          <w:szCs w:val="24"/>
          <w:lang w:val="en-US"/>
        </w:rPr>
        <w:t xml:space="preserve"> gave rise to </w:t>
      </w:r>
      <w:r w:rsidR="009C719C" w:rsidRPr="0021030B">
        <w:rPr>
          <w:rFonts w:cs="Times New Roman"/>
          <w:bCs/>
          <w:szCs w:val="24"/>
          <w:lang w:val="en-US"/>
        </w:rPr>
        <w:t xml:space="preserve">moderate to high </w:t>
      </w:r>
      <w:r w:rsidR="00D1702F" w:rsidRPr="0021030B">
        <w:rPr>
          <w:rFonts w:cs="Times New Roman"/>
          <w:bCs/>
          <w:szCs w:val="24"/>
          <w:lang w:val="en-US"/>
        </w:rPr>
        <w:t xml:space="preserve">functional </w:t>
      </w:r>
      <w:r w:rsidR="0063056D" w:rsidRPr="0021030B">
        <w:rPr>
          <w:rFonts w:cs="Times New Roman"/>
          <w:bCs/>
          <w:szCs w:val="24"/>
          <w:lang w:val="en-US"/>
        </w:rPr>
        <w:t>improvements</w:t>
      </w:r>
      <w:r w:rsidR="00C277CE" w:rsidRPr="0021030B">
        <w:rPr>
          <w:rFonts w:cs="Times New Roman"/>
          <w:bCs/>
          <w:szCs w:val="24"/>
          <w:lang w:val="en-US"/>
        </w:rPr>
        <w:t xml:space="preserve"> in </w:t>
      </w:r>
      <w:r w:rsidR="00785465" w:rsidRPr="0021030B">
        <w:rPr>
          <w:rFonts w:cs="Times New Roman"/>
          <w:bCs/>
          <w:szCs w:val="24"/>
          <w:lang w:val="en-US"/>
        </w:rPr>
        <w:t>jump</w:t>
      </w:r>
      <w:r w:rsidR="00C277CE" w:rsidRPr="0021030B">
        <w:rPr>
          <w:rFonts w:cs="Times New Roman"/>
          <w:bCs/>
          <w:szCs w:val="24"/>
          <w:lang w:val="en-US"/>
        </w:rPr>
        <w:t xml:space="preserve"> </w:t>
      </w:r>
      <w:r w:rsidR="009C719C" w:rsidRPr="0021030B">
        <w:rPr>
          <w:rFonts w:cs="Times New Roman"/>
          <w:bCs/>
          <w:szCs w:val="24"/>
          <w:lang w:val="en-US"/>
        </w:rPr>
        <w:t xml:space="preserve">(CMJ) </w:t>
      </w:r>
      <w:r w:rsidR="00C277CE" w:rsidRPr="0021030B">
        <w:rPr>
          <w:rFonts w:cs="Times New Roman"/>
          <w:bCs/>
          <w:szCs w:val="24"/>
          <w:lang w:val="en-US"/>
        </w:rPr>
        <w:t>and</w:t>
      </w:r>
      <w:r w:rsidR="00785465" w:rsidRPr="0021030B">
        <w:rPr>
          <w:rFonts w:cs="Times New Roman"/>
          <w:bCs/>
          <w:szCs w:val="24"/>
          <w:lang w:val="en-US"/>
        </w:rPr>
        <w:t xml:space="preserve"> </w:t>
      </w:r>
      <w:r w:rsidR="00471074" w:rsidRPr="0021030B">
        <w:rPr>
          <w:rFonts w:cs="Times New Roman"/>
          <w:bCs/>
          <w:szCs w:val="24"/>
          <w:lang w:val="en-US"/>
        </w:rPr>
        <w:t xml:space="preserve">running </w:t>
      </w:r>
      <w:r w:rsidR="00785465" w:rsidRPr="0021030B">
        <w:rPr>
          <w:rFonts w:cs="Times New Roman"/>
          <w:bCs/>
          <w:szCs w:val="24"/>
          <w:lang w:val="en-US"/>
        </w:rPr>
        <w:t xml:space="preserve">acceleration </w:t>
      </w:r>
      <w:r w:rsidR="009C719C" w:rsidRPr="0021030B">
        <w:rPr>
          <w:rFonts w:cs="Times New Roman"/>
          <w:bCs/>
          <w:szCs w:val="24"/>
          <w:lang w:val="en-US"/>
        </w:rPr>
        <w:t>(Time 0-20 m).</w:t>
      </w:r>
      <w:r w:rsidR="00D1702F" w:rsidRPr="0021030B">
        <w:rPr>
          <w:rFonts w:cs="Times New Roman"/>
          <w:bCs/>
          <w:szCs w:val="24"/>
          <w:lang w:val="en-US"/>
        </w:rPr>
        <w:t xml:space="preserve"> Although these changes were not significant</w:t>
      </w:r>
      <w:r w:rsidR="000F33D6" w:rsidRPr="0021030B">
        <w:rPr>
          <w:rFonts w:cs="Times New Roman"/>
          <w:bCs/>
          <w:szCs w:val="24"/>
          <w:lang w:val="en-US"/>
        </w:rPr>
        <w:t>, the percent</w:t>
      </w:r>
      <w:r w:rsidR="00471074" w:rsidRPr="0021030B">
        <w:rPr>
          <w:rFonts w:cs="Times New Roman"/>
          <w:bCs/>
          <w:szCs w:val="24"/>
          <w:lang w:val="en-US"/>
        </w:rPr>
        <w:t>ages</w:t>
      </w:r>
      <w:r w:rsidR="000F33D6" w:rsidRPr="0021030B">
        <w:rPr>
          <w:rFonts w:cs="Times New Roman"/>
          <w:bCs/>
          <w:szCs w:val="24"/>
          <w:lang w:val="en-US"/>
        </w:rPr>
        <w:t xml:space="preserve"> of change and effect sizes obtained after the intervention </w:t>
      </w:r>
      <w:r w:rsidR="00E51413" w:rsidRPr="0021030B">
        <w:rPr>
          <w:rFonts w:cs="Times New Roman"/>
          <w:bCs/>
          <w:szCs w:val="24"/>
          <w:lang w:val="en-US"/>
        </w:rPr>
        <w:t xml:space="preserve">clearly denote a greater impact on functional capacity for the </w:t>
      </w:r>
      <w:r w:rsidR="00E51413" w:rsidRPr="0021030B">
        <w:rPr>
          <w:rFonts w:cs="Times New Roman"/>
          <w:szCs w:val="24"/>
          <w:lang w:val="en-US"/>
        </w:rPr>
        <w:t xml:space="preserve">F-SQ and P-SQ group. </w:t>
      </w:r>
      <w:r w:rsidR="002F54DE" w:rsidRPr="0021030B">
        <w:rPr>
          <w:rFonts w:cs="Times New Roman"/>
          <w:szCs w:val="24"/>
          <w:lang w:val="en-US"/>
        </w:rPr>
        <w:t>Th</w:t>
      </w:r>
      <w:r w:rsidR="00156560" w:rsidRPr="0021030B">
        <w:rPr>
          <w:rFonts w:cs="Times New Roman"/>
          <w:szCs w:val="24"/>
          <w:lang w:val="en-US"/>
        </w:rPr>
        <w:t>ese</w:t>
      </w:r>
      <w:r w:rsidR="002F54DE" w:rsidRPr="0021030B">
        <w:rPr>
          <w:rFonts w:cs="Times New Roman"/>
          <w:szCs w:val="24"/>
          <w:lang w:val="en-US"/>
        </w:rPr>
        <w:t xml:space="preserve"> results </w:t>
      </w:r>
      <w:r w:rsidR="00A9270C" w:rsidRPr="0021030B">
        <w:rPr>
          <w:rFonts w:cs="Times New Roman"/>
          <w:szCs w:val="24"/>
          <w:lang w:val="en-US"/>
        </w:rPr>
        <w:t>confirm those reported in</w:t>
      </w:r>
      <w:r w:rsidR="002F54DE" w:rsidRPr="0021030B">
        <w:rPr>
          <w:rFonts w:cs="Times New Roman"/>
          <w:szCs w:val="24"/>
          <w:lang w:val="en-US"/>
        </w:rPr>
        <w:t xml:space="preserve"> previous</w:t>
      </w:r>
      <w:r w:rsidR="00156560" w:rsidRPr="0021030B">
        <w:rPr>
          <w:rFonts w:cs="Times New Roman"/>
          <w:szCs w:val="24"/>
          <w:lang w:val="en-US"/>
        </w:rPr>
        <w:t xml:space="preserve"> studies </w:t>
      </w:r>
      <w:r w:rsidR="002F54DE" w:rsidRPr="0021030B">
        <w:rPr>
          <w:rFonts w:cs="Times New Roman"/>
          <w:szCs w:val="24"/>
          <w:lang w:val="en-US"/>
        </w:rPr>
        <w:fldChar w:fldCharType="begin" w:fldLock="1"/>
      </w:r>
      <w:r w:rsidR="00E42B44" w:rsidRPr="0021030B">
        <w:rPr>
          <w:rFonts w:cs="Times New Roman"/>
          <w:szCs w:val="24"/>
          <w:lang w:val="en-US"/>
        </w:rPr>
        <w:instrText>ADDIN CSL_CITATION {"citationItems":[{"id":"ITEM-1","itemData":{"DOI":"10.1519/JSC.0b013e31824ede62","ISBN":"1533-4287","ISSN":"10648011","PMID":"22344055","abstract":"It is unclear if increases in 1 repetition maximum (1RM) in quarter squats result in higher gains compared with full depth squats in isometric force production and vertical jump performance. The aim of the research projects was to compare the effects of different squat variants on the development of 1RM and their transfer effects to Countermovement jump (CMJ) and squat jump (SJ) height, maximal voluntary contraction (MVC), and maximal rate of force development (MRFD). Twenty-three women and 36 men (mean age: 24.11 ± 2.88 years) were parallelized into 3 groups based on their CMJ height: deep front squats (FSQ, n = 20), deep back squats (BSQ, n = 20), and quarter back squats (BSQ¼, n = 19). In addition, a control group (C, n = 16) existed (mean age: 24.38 ± 0.50 years). Experimental groups trained 2 d·wk for 10 weeks with a strength-power block periodization, which produced significant (p ≤ 0.05) gains of the specific squat 1RM. The FSQ and BSQ attained significant (p ≤ 0.05) elevations in SJ and CMJ without any interaction effects between both groups (p ≥ 0.05). The BSQ¼ and C did not reveal any significant changes of SJ and CMJ. The FSQ and BSQ had significantly higher SJ scores over C (p ≤ 0.05). The BSQ did not feature any significant group difference to BSQ¼ (p = 0.116) in SJ, whereas FSQ showed a trend toward higher SJ heights over BSQ¼ (p = 0.052). The FSQ and BSQ presented significantly (p ≤ 0.05) higher CMJ heights over BSQ¼ and C. Posttest in MVC and MRFD demonstrated no significant changes for BSQ. Significant declines in MRFD for FSQ in the right leg (p ≤ 0.05) without any interaction effects for MVC and MRFD between both FSQ and BSQ were found. Training of BSQ¼ resulted in significantly (p ≤ 0.05) lower MRFD and MVC values in contrast to FSQ and BSQ. Quarter squat training elicited significant (p ≤ 0.05) transfer losses into the isometric maximal and explosive strength behavior. These findings therefore contest the concept of superior angle-specific transfer effects. Deep front and back squats guarantee performance-enhancing transfer effects of dynamic maximal strength to dynamic speed-strength capacity of hip and knee extensors compared with quarter squats.","author":[{"dropping-particle":"","family":"Hartmann","given":"Hagen","non-dropping-particle":"","parse-names":false,"suffix":""},{"dropping-particle":"","family":"Wirth","given":"Klaus","non-dropping-particle":"","parse-names":false,"suffix":""},{"dropping-particle":"","family":"Klusemann","given":"Markus","non-dropping-particle":"","parse-names":false,"suffix":""},{"dropping-particle":"","family":"Dalic","given":"Josip","non-dropping-particle":"","parse-names":false,"suffix":""},{"dropping-particle":"","family":"Matuschek","given":"Claus","non-dropping-particle":"","parse-names":false,"suffix":""},{"dropping-particle":"","family":"Schmidtbleicher","given":"Dietmar","non-dropping-particle":"","parse-names":false,"suffix":""}],"container-title":"Journal of Strength and Conditioning Research","id":"ITEM-1","issue":"12","issued":{"date-parts":[["2012"]]},"page":"3243-3261","title":"Influence of squatting depth on jumping performance","type":"article-journal","volume":"26"},"uris":["http://www.mendeley.com/documents/?uuid=ce9ea4bc-5e26-45c8-902b-9c30b347d8dc","http://www.mendeley.com/documents/?uuid=56478392-7915-4c8e-868a-dda34f47bf72"]},{"id":"ITEM-2","itemData":{"DOI":"10.1007/s00421-013-2642-7","ISSN":"1439-6319","author":[{"dropping-particle":"","family":"Bloomquist","given":"K.","non-dropping-particle":"","parse-names":false,"suffix":""},{"dropping-particle":"","family":"Langberg","given":"Henning","non-dropping-particle":"","parse-names":false,"suffix":""},{"dropping-particle":"","family":"Karlsen","given":"Stine","non-dropping-particle":"","parse-names":false,"suffix":""},{"dropping-particle":"","family":"Madsgaard","given":"S.","non-dropping-particle":"","parse-names":false,"suffix":""},{"dropping-particle":"","family":"Boesen","given":"M.","non-dropping-particle":"","parse-names":false,"suffix":""},{"dropping-particle":"","family":"Raastad","given":"Truls","non-dropping-particle":"","parse-names":false,"suffix":""}],"id":"ITEM-2","issue":"8","issued":{"date-parts":[["2013","8","20"]]},"page":"2133-2142","title":"Effect of range of motion in heavy load squatting on muscle and tendon adaptations","type":"article-journal","volume":"113"},"uris":["http://www.mendeley.com/documents/?uuid=8a4119ea-2592-4721-a9e2-52d9d2cf1e43"]}],"mendeley":{"formattedCitation":"(Bloomquist et al., 2013; Hartmann et al., 2012)","plainTextFormattedCitation":"(Bloomquist et al., 2013; Hartmann et al., 2012)","previouslyFormattedCitation":"(Bloomquist et al., 2013; Hartmann et al., 2012)"},"properties":{"noteIndex":0},"schema":"https://github.com/citation-style-language/schema/raw/master/csl-citation.json"}</w:instrText>
      </w:r>
      <w:r w:rsidR="002F54DE" w:rsidRPr="0021030B">
        <w:rPr>
          <w:rFonts w:cs="Times New Roman"/>
          <w:szCs w:val="24"/>
          <w:lang w:val="en-US"/>
        </w:rPr>
        <w:fldChar w:fldCharType="separate"/>
      </w:r>
      <w:r w:rsidR="00E42B44" w:rsidRPr="0021030B">
        <w:rPr>
          <w:rFonts w:cs="Times New Roman"/>
          <w:noProof/>
          <w:szCs w:val="24"/>
          <w:lang w:val="en-US"/>
        </w:rPr>
        <w:t>(Bloomquist et al., 2013; Hartmann et al., 2012)</w:t>
      </w:r>
      <w:r w:rsidR="002F54DE" w:rsidRPr="0021030B">
        <w:rPr>
          <w:rFonts w:cs="Times New Roman"/>
          <w:szCs w:val="24"/>
          <w:lang w:val="en-US"/>
        </w:rPr>
        <w:fldChar w:fldCharType="end"/>
      </w:r>
      <w:r w:rsidR="00156560" w:rsidRPr="0021030B">
        <w:rPr>
          <w:rFonts w:cs="Times New Roman"/>
          <w:szCs w:val="24"/>
          <w:lang w:val="en-US"/>
        </w:rPr>
        <w:t xml:space="preserve">. </w:t>
      </w:r>
      <w:r w:rsidR="00A36A35" w:rsidRPr="0021030B">
        <w:rPr>
          <w:rFonts w:cs="Times New Roman"/>
          <w:szCs w:val="24"/>
          <w:lang w:val="en-US"/>
        </w:rPr>
        <w:t xml:space="preserve">In addition, </w:t>
      </w:r>
      <w:r w:rsidR="00156560" w:rsidRPr="0021030B">
        <w:rPr>
          <w:rFonts w:cs="Times New Roman"/>
          <w:szCs w:val="24"/>
          <w:lang w:val="en-US"/>
        </w:rPr>
        <w:t xml:space="preserve">the present paper </w:t>
      </w:r>
      <w:r w:rsidR="00A36A35" w:rsidRPr="0021030B">
        <w:rPr>
          <w:rFonts w:cs="Times New Roman"/>
          <w:szCs w:val="24"/>
          <w:lang w:val="en-US"/>
        </w:rPr>
        <w:t xml:space="preserve">contributes by </w:t>
      </w:r>
      <w:r w:rsidR="00F70702" w:rsidRPr="0021030B">
        <w:rPr>
          <w:rFonts w:cs="Times New Roman"/>
          <w:szCs w:val="24"/>
          <w:lang w:val="en-US"/>
        </w:rPr>
        <w:t xml:space="preserve">identifying increments in anaerobic capacity and </w:t>
      </w:r>
      <w:r w:rsidR="000C7F03" w:rsidRPr="0021030B">
        <w:rPr>
          <w:rFonts w:cs="Times New Roman"/>
          <w:szCs w:val="24"/>
          <w:lang w:val="en-US"/>
        </w:rPr>
        <w:t>lower</w:t>
      </w:r>
      <w:r w:rsidR="00F70702" w:rsidRPr="0021030B">
        <w:rPr>
          <w:rFonts w:cs="Times New Roman"/>
          <w:szCs w:val="24"/>
          <w:lang w:val="en-US"/>
        </w:rPr>
        <w:t xml:space="preserve">-body </w:t>
      </w:r>
      <w:r w:rsidR="000C7F03" w:rsidRPr="0021030B">
        <w:rPr>
          <w:rFonts w:cs="Times New Roman"/>
          <w:szCs w:val="24"/>
          <w:lang w:val="en-US"/>
        </w:rPr>
        <w:t>local muscle endurance</w:t>
      </w:r>
      <w:r w:rsidR="00F70702" w:rsidRPr="0021030B">
        <w:rPr>
          <w:rFonts w:cs="Times New Roman"/>
          <w:szCs w:val="24"/>
          <w:lang w:val="en-US"/>
        </w:rPr>
        <w:t xml:space="preserve"> (Wingate test)</w:t>
      </w:r>
      <w:r w:rsidR="00F40340" w:rsidRPr="0021030B">
        <w:rPr>
          <w:rFonts w:cs="Times New Roman"/>
          <w:szCs w:val="24"/>
          <w:lang w:val="en-US"/>
        </w:rPr>
        <w:t xml:space="preserve"> </w:t>
      </w:r>
      <w:r w:rsidR="009026B7" w:rsidRPr="0021030B">
        <w:rPr>
          <w:rFonts w:cs="Times New Roman"/>
          <w:szCs w:val="24"/>
          <w:lang w:val="en-US"/>
        </w:rPr>
        <w:t xml:space="preserve">only </w:t>
      </w:r>
      <w:r w:rsidR="00F40340" w:rsidRPr="0021030B">
        <w:rPr>
          <w:rFonts w:cs="Times New Roman"/>
          <w:szCs w:val="24"/>
          <w:lang w:val="en-US"/>
        </w:rPr>
        <w:t xml:space="preserve">after training at deeper </w:t>
      </w:r>
      <w:r w:rsidR="00327F47" w:rsidRPr="0021030B">
        <w:rPr>
          <w:rFonts w:cs="Times New Roman"/>
          <w:szCs w:val="24"/>
          <w:lang w:val="en-US"/>
        </w:rPr>
        <w:t>SQ</w:t>
      </w:r>
      <w:r w:rsidR="00F40340" w:rsidRPr="0021030B">
        <w:rPr>
          <w:rFonts w:cs="Times New Roman"/>
          <w:szCs w:val="24"/>
          <w:lang w:val="en-US"/>
        </w:rPr>
        <w:t xml:space="preserve"> (F-SQ, P-SQ).</w:t>
      </w:r>
      <w:r w:rsidR="009026B7" w:rsidRPr="0021030B">
        <w:rPr>
          <w:rFonts w:cs="Times New Roman"/>
          <w:szCs w:val="24"/>
          <w:lang w:val="en-US"/>
        </w:rPr>
        <w:t xml:space="preserve"> Altogether, these findings indicate that</w:t>
      </w:r>
      <w:r w:rsidR="00CE6E34" w:rsidRPr="0021030B">
        <w:rPr>
          <w:rFonts w:cs="Times New Roman"/>
          <w:szCs w:val="24"/>
          <w:lang w:val="en-US"/>
        </w:rPr>
        <w:t>,</w:t>
      </w:r>
      <w:r w:rsidR="009026B7" w:rsidRPr="0021030B">
        <w:rPr>
          <w:rFonts w:cs="Times New Roman"/>
          <w:szCs w:val="24"/>
          <w:lang w:val="en-US"/>
        </w:rPr>
        <w:t xml:space="preserve"> among the studied variations, </w:t>
      </w:r>
      <w:r w:rsidR="009E2F96" w:rsidRPr="0021030B">
        <w:rPr>
          <w:rFonts w:cs="Times New Roman"/>
          <w:szCs w:val="24"/>
          <w:lang w:val="en-US"/>
        </w:rPr>
        <w:t xml:space="preserve">the F-SQ and P-SQ training </w:t>
      </w:r>
      <w:r w:rsidR="00237398" w:rsidRPr="0021030B">
        <w:rPr>
          <w:rFonts w:cs="Times New Roman"/>
          <w:szCs w:val="24"/>
          <w:lang w:val="en-US"/>
        </w:rPr>
        <w:t>produced</w:t>
      </w:r>
      <w:r w:rsidR="009E2F96" w:rsidRPr="0021030B">
        <w:rPr>
          <w:rFonts w:cs="Times New Roman"/>
          <w:szCs w:val="24"/>
          <w:lang w:val="en-US"/>
        </w:rPr>
        <w:t xml:space="preserve"> the greatest </w:t>
      </w:r>
      <w:r w:rsidR="00237398" w:rsidRPr="0021030B">
        <w:rPr>
          <w:rFonts w:cs="Times New Roman"/>
          <w:szCs w:val="24"/>
          <w:lang w:val="en-US"/>
        </w:rPr>
        <w:t xml:space="preserve">transfer to other ROM and the greatest </w:t>
      </w:r>
      <w:r w:rsidR="009E2F96" w:rsidRPr="0021030B">
        <w:rPr>
          <w:rFonts w:cs="Times New Roman"/>
          <w:szCs w:val="24"/>
          <w:lang w:val="en-US"/>
        </w:rPr>
        <w:t>functional adaptations</w:t>
      </w:r>
      <w:r w:rsidR="005C3CBB" w:rsidRPr="0021030B">
        <w:rPr>
          <w:rFonts w:cs="Times New Roman"/>
          <w:bCs/>
          <w:szCs w:val="24"/>
          <w:lang w:val="en-US"/>
        </w:rPr>
        <w:t>.</w:t>
      </w:r>
      <w:r w:rsidR="00785465" w:rsidRPr="0021030B">
        <w:rPr>
          <w:rFonts w:cs="Times New Roman"/>
          <w:bCs/>
          <w:szCs w:val="24"/>
          <w:lang w:val="en-US"/>
        </w:rPr>
        <w:t xml:space="preserve"> </w:t>
      </w:r>
      <w:r w:rsidR="0053158A" w:rsidRPr="0021030B">
        <w:rPr>
          <w:rFonts w:cs="Times New Roman"/>
          <w:bCs/>
          <w:szCs w:val="24"/>
          <w:lang w:val="en-US"/>
        </w:rPr>
        <w:t xml:space="preserve">Therefore, </w:t>
      </w:r>
      <w:r w:rsidR="00CB4EB1" w:rsidRPr="0021030B">
        <w:rPr>
          <w:rFonts w:cs="Times New Roman"/>
          <w:bCs/>
          <w:szCs w:val="24"/>
          <w:lang w:val="en-US"/>
        </w:rPr>
        <w:t xml:space="preserve">the </w:t>
      </w:r>
      <w:r w:rsidR="003F65CA" w:rsidRPr="0021030B">
        <w:rPr>
          <w:rFonts w:cs="Times New Roman"/>
          <w:bCs/>
          <w:szCs w:val="24"/>
          <w:lang w:val="en-US"/>
        </w:rPr>
        <w:t>recommendation</w:t>
      </w:r>
      <w:r w:rsidR="00CB4EB1" w:rsidRPr="0021030B">
        <w:rPr>
          <w:rFonts w:cs="Times New Roman"/>
          <w:bCs/>
          <w:szCs w:val="24"/>
          <w:lang w:val="en-US"/>
        </w:rPr>
        <w:t xml:space="preserve"> that training at a specific ROM will result in better </w:t>
      </w:r>
      <w:r w:rsidR="00697647" w:rsidRPr="0021030B">
        <w:rPr>
          <w:rFonts w:cs="Times New Roman"/>
          <w:bCs/>
          <w:szCs w:val="24"/>
          <w:lang w:val="en-US"/>
        </w:rPr>
        <w:t>performance</w:t>
      </w:r>
      <w:r w:rsidR="00CB4EB1" w:rsidRPr="0021030B">
        <w:rPr>
          <w:rFonts w:cs="Times New Roman"/>
          <w:bCs/>
          <w:szCs w:val="24"/>
          <w:lang w:val="en-US"/>
        </w:rPr>
        <w:t xml:space="preserve"> </w:t>
      </w:r>
      <w:r w:rsidR="00697647" w:rsidRPr="0021030B">
        <w:rPr>
          <w:rFonts w:cs="Times New Roman"/>
          <w:bCs/>
          <w:szCs w:val="24"/>
          <w:lang w:val="en-US"/>
        </w:rPr>
        <w:t xml:space="preserve">on similar </w:t>
      </w:r>
      <w:r w:rsidR="00BF4CF3" w:rsidRPr="0021030B">
        <w:rPr>
          <w:rFonts w:cs="Times New Roman"/>
          <w:bCs/>
          <w:szCs w:val="24"/>
          <w:lang w:val="en-US"/>
        </w:rPr>
        <w:t>movements</w:t>
      </w:r>
      <w:r w:rsidR="00CB4EB1" w:rsidRPr="0021030B">
        <w:rPr>
          <w:rFonts w:cs="Times New Roman"/>
          <w:bCs/>
          <w:szCs w:val="24"/>
          <w:lang w:val="en-US"/>
        </w:rPr>
        <w:t xml:space="preserve"> needs to be revised.</w:t>
      </w:r>
    </w:p>
    <w:p w14:paraId="45B14A3D" w14:textId="307A5DC3" w:rsidR="00D47236" w:rsidRPr="0021030B" w:rsidRDefault="00CA1ECF" w:rsidP="00F52A7E">
      <w:pPr>
        <w:spacing w:line="480" w:lineRule="auto"/>
        <w:ind w:firstLine="708"/>
        <w:rPr>
          <w:rFonts w:cs="Times New Roman"/>
          <w:bCs/>
          <w:szCs w:val="24"/>
          <w:lang w:val="en-US"/>
        </w:rPr>
      </w:pPr>
      <w:r w:rsidRPr="0021030B">
        <w:rPr>
          <w:rFonts w:cs="Times New Roman"/>
          <w:szCs w:val="24"/>
          <w:lang w:val="en-US"/>
        </w:rPr>
        <w:t xml:space="preserve">The </w:t>
      </w:r>
      <w:r w:rsidR="000661F7" w:rsidRPr="0021030B">
        <w:rPr>
          <w:rFonts w:cs="Times New Roman"/>
          <w:szCs w:val="24"/>
          <w:lang w:val="en-US"/>
        </w:rPr>
        <w:t xml:space="preserve">novel </w:t>
      </w:r>
      <w:r w:rsidRPr="0021030B">
        <w:rPr>
          <w:rFonts w:cs="Times New Roman"/>
          <w:szCs w:val="24"/>
          <w:lang w:val="en-US"/>
        </w:rPr>
        <w:t xml:space="preserve">analysis of pain, stiffness and </w:t>
      </w:r>
      <w:r w:rsidR="008B5976" w:rsidRPr="0021030B">
        <w:rPr>
          <w:rFonts w:cs="Times New Roman"/>
          <w:szCs w:val="24"/>
          <w:lang w:val="en-US"/>
        </w:rPr>
        <w:t>physical functional disability</w:t>
      </w:r>
      <w:r w:rsidRPr="0021030B">
        <w:rPr>
          <w:rFonts w:cs="Times New Roman"/>
          <w:szCs w:val="24"/>
          <w:lang w:val="en-US"/>
        </w:rPr>
        <w:t xml:space="preserve"> </w:t>
      </w:r>
      <w:r w:rsidR="00327F47" w:rsidRPr="0021030B">
        <w:rPr>
          <w:rFonts w:cs="Times New Roman"/>
          <w:szCs w:val="24"/>
          <w:lang w:val="en-US"/>
        </w:rPr>
        <w:t>after SQ training</w:t>
      </w:r>
      <w:r w:rsidR="000661F7" w:rsidRPr="0021030B">
        <w:rPr>
          <w:rFonts w:cs="Times New Roman"/>
          <w:szCs w:val="24"/>
          <w:lang w:val="en-US"/>
        </w:rPr>
        <w:t xml:space="preserve"> </w:t>
      </w:r>
      <w:r w:rsidR="00ED6CC5" w:rsidRPr="0021030B">
        <w:rPr>
          <w:rFonts w:cs="Times New Roman"/>
          <w:szCs w:val="24"/>
          <w:lang w:val="en-US"/>
        </w:rPr>
        <w:t xml:space="preserve">are of importance </w:t>
      </w:r>
      <w:r w:rsidR="00124CE0" w:rsidRPr="0021030B">
        <w:rPr>
          <w:rFonts w:cs="Times New Roman"/>
          <w:szCs w:val="24"/>
          <w:lang w:val="en-US"/>
        </w:rPr>
        <w:t>in the</w:t>
      </w:r>
      <w:r w:rsidR="004C0673" w:rsidRPr="0021030B">
        <w:rPr>
          <w:rFonts w:cs="Times New Roman"/>
          <w:szCs w:val="24"/>
          <w:lang w:val="en-US"/>
        </w:rPr>
        <w:t xml:space="preserve"> </w:t>
      </w:r>
      <w:r w:rsidR="00CC0541" w:rsidRPr="0021030B">
        <w:rPr>
          <w:rFonts w:cs="Times New Roman"/>
          <w:szCs w:val="24"/>
          <w:lang w:val="en-US"/>
        </w:rPr>
        <w:t>inter</w:t>
      </w:r>
      <w:r w:rsidRPr="0021030B">
        <w:rPr>
          <w:rFonts w:cs="Times New Roman"/>
          <w:szCs w:val="24"/>
          <w:lang w:val="en-US"/>
        </w:rPr>
        <w:t>pretation of these finding</w:t>
      </w:r>
      <w:r w:rsidR="00ED6CC5" w:rsidRPr="0021030B">
        <w:rPr>
          <w:rFonts w:cs="Times New Roman"/>
          <w:szCs w:val="24"/>
          <w:lang w:val="en-US"/>
        </w:rPr>
        <w:t>s.</w:t>
      </w:r>
      <w:r w:rsidR="00EC64D7" w:rsidRPr="0021030B">
        <w:rPr>
          <w:rFonts w:cs="Times New Roman"/>
          <w:szCs w:val="24"/>
          <w:lang w:val="en-US"/>
        </w:rPr>
        <w:t xml:space="preserve"> </w:t>
      </w:r>
      <w:r w:rsidR="00110131" w:rsidRPr="0021030B">
        <w:rPr>
          <w:rFonts w:cs="Times New Roman"/>
          <w:szCs w:val="24"/>
          <w:lang w:val="en-US"/>
        </w:rPr>
        <w:t xml:space="preserve">Contrary to popular belief, </w:t>
      </w:r>
      <w:r w:rsidR="00415181" w:rsidRPr="0021030B">
        <w:rPr>
          <w:rFonts w:cs="Times New Roman"/>
          <w:szCs w:val="24"/>
          <w:lang w:val="en-US"/>
        </w:rPr>
        <w:t xml:space="preserve">SQ </w:t>
      </w:r>
      <w:r w:rsidR="009F6063" w:rsidRPr="0021030B">
        <w:rPr>
          <w:rFonts w:cs="Times New Roman"/>
          <w:szCs w:val="24"/>
          <w:lang w:val="en-US"/>
        </w:rPr>
        <w:t xml:space="preserve">depths </w:t>
      </w:r>
      <w:r w:rsidR="00415181" w:rsidRPr="0021030B">
        <w:rPr>
          <w:rFonts w:cs="Times New Roman"/>
          <w:szCs w:val="24"/>
          <w:lang w:val="en-US"/>
        </w:rPr>
        <w:t>&lt;</w:t>
      </w:r>
      <w:r w:rsidR="00065A58" w:rsidRPr="0021030B">
        <w:rPr>
          <w:rFonts w:cs="Times New Roman"/>
          <w:szCs w:val="24"/>
          <w:lang w:val="en-US"/>
        </w:rPr>
        <w:t xml:space="preserve"> </w:t>
      </w:r>
      <w:r w:rsidR="00503333" w:rsidRPr="0021030B">
        <w:rPr>
          <w:rFonts w:cs="Times New Roman"/>
          <w:szCs w:val="24"/>
          <w:lang w:val="en-US"/>
        </w:rPr>
        <w:t xml:space="preserve">90º </w:t>
      </w:r>
      <w:r w:rsidR="00503333" w:rsidRPr="0021030B">
        <w:rPr>
          <w:rFonts w:cs="Times New Roman"/>
          <w:bCs/>
          <w:szCs w:val="24"/>
          <w:lang w:val="en-US"/>
        </w:rPr>
        <w:t>of knee flexion</w:t>
      </w:r>
      <w:r w:rsidR="001E271A" w:rsidRPr="0021030B">
        <w:rPr>
          <w:rFonts w:cs="Times New Roman"/>
          <w:bCs/>
          <w:szCs w:val="24"/>
          <w:lang w:val="en-US"/>
        </w:rPr>
        <w:t xml:space="preserve"> </w:t>
      </w:r>
      <w:r w:rsidR="008C012D" w:rsidRPr="0021030B">
        <w:rPr>
          <w:rFonts w:cs="Times New Roman"/>
          <w:bCs/>
          <w:szCs w:val="24"/>
          <w:lang w:val="en-US"/>
        </w:rPr>
        <w:t>should be use</w:t>
      </w:r>
      <w:r w:rsidR="00BD3DB3" w:rsidRPr="0021030B">
        <w:rPr>
          <w:rFonts w:cs="Times New Roman"/>
          <w:bCs/>
          <w:szCs w:val="24"/>
          <w:lang w:val="en-US"/>
        </w:rPr>
        <w:t>d</w:t>
      </w:r>
      <w:r w:rsidR="008C012D" w:rsidRPr="0021030B">
        <w:rPr>
          <w:rFonts w:cs="Times New Roman"/>
          <w:bCs/>
          <w:szCs w:val="24"/>
          <w:lang w:val="en-US"/>
        </w:rPr>
        <w:t xml:space="preserve"> </w:t>
      </w:r>
      <w:r w:rsidR="00110131" w:rsidRPr="0021030B">
        <w:rPr>
          <w:rFonts w:cs="Times New Roman"/>
          <w:bCs/>
          <w:szCs w:val="24"/>
          <w:lang w:val="en-US"/>
        </w:rPr>
        <w:t xml:space="preserve">rather than shorter ROM </w:t>
      </w:r>
      <w:r w:rsidR="00B17DAE" w:rsidRPr="0021030B">
        <w:rPr>
          <w:rFonts w:cs="Times New Roman"/>
          <w:bCs/>
          <w:szCs w:val="24"/>
          <w:lang w:val="en-US"/>
        </w:rPr>
        <w:t>to</w:t>
      </w:r>
      <w:r w:rsidR="008C012D" w:rsidRPr="0021030B">
        <w:rPr>
          <w:rFonts w:cs="Times New Roman"/>
          <w:bCs/>
          <w:szCs w:val="24"/>
          <w:lang w:val="en-US"/>
        </w:rPr>
        <w:t xml:space="preserve"> </w:t>
      </w:r>
      <w:r w:rsidR="00BD3DB3" w:rsidRPr="0021030B">
        <w:rPr>
          <w:rFonts w:cs="Times New Roman"/>
          <w:bCs/>
          <w:szCs w:val="24"/>
          <w:lang w:val="en-US"/>
        </w:rPr>
        <w:t>reduce the amount of stress supported by muscle-tendon units and ligaments</w:t>
      </w:r>
      <w:r w:rsidR="00317AE7" w:rsidRPr="0021030B">
        <w:rPr>
          <w:rFonts w:cs="Times New Roman"/>
          <w:bCs/>
          <w:szCs w:val="24"/>
          <w:lang w:val="en-US"/>
        </w:rPr>
        <w:t xml:space="preserve"> </w:t>
      </w:r>
      <w:r w:rsidR="00317AE7" w:rsidRPr="0021030B">
        <w:rPr>
          <w:rFonts w:cs="Times New Roman"/>
          <w:bCs/>
          <w:szCs w:val="24"/>
          <w:lang w:val="en-US"/>
        </w:rPr>
        <w:fldChar w:fldCharType="begin" w:fldLock="1"/>
      </w:r>
      <w:r w:rsidR="00E42B44" w:rsidRPr="0021030B">
        <w:rPr>
          <w:rFonts w:cs="Times New Roman"/>
          <w:bCs/>
          <w:szCs w:val="24"/>
          <w:lang w:val="en-US"/>
        </w:rPr>
        <w:instrText>ADDIN CSL_CITATION {"citationItems":[{"id":"ITEM-1","itemData":{"DOI":"10.3390/jfmk1020254","ISSN":"2411-5142","abstract":"For the development of speed strength in professional sports, “specific” strength training in the half or the quarter squat have been recommended. Due to the better lever ratios, higher loads have to be used to induce the necessary training stimuli compared to the deep squat. Therefore, intradiscal pressure and compressive forces on vertebral bodies increase. Calculated compressive forces for the L3/L4 vertebral segment were revealed to be 6–10-fold bodyweight when the half or the quarter squat was performed with 0.8–1.6-fold bodyweight. After 10 weeks of training, physical education students have even been able to lift 3.89-fold bodyweight in the one repetition maximum (1-RM) of the quarter squat. The presented dependence of squatting depth, load and their influence on the spinal column have not been discussed before. A search for relevant scientific literature was conducted using PubMed. Concerns about increased risk of injuries in the deep squat have been disproven by plenty of cross-sectional studies with professional athletes. On the contrary, the comparably supramaximal weight loads in the half and the quarter squat should be regarded as increasing injury risks caused by the higher shear and compressive forces in the vertebral column. Therefore, we come to the conclusion that the half and the quarter squat should not further be recommended.","author":[{"dropping-particle":"","family":"Hartmann","given":"Hagen","non-dropping-particle":"","parse-names":false,"suffix":""},{"dropping-particle":"","family":"Wirth","given":"Klaus","non-dropping-particle":"","parse-names":false,"suffix":""},{"dropping-particle":"","family":"Mickel","given":"Christoph","non-dropping-particle":"","parse-names":false,"suffix":""},{"dropping-particle":"","family":"Keiner","given":"Michael","non-dropping-particle":"","parse-names":false,"suffix":""},{"dropping-particle":"","family":"Sander","given":"Andre","non-dropping-particle":"","parse-names":false,"suffix":""},{"dropping-particle":"","family":"Yaghobi","given":"Dennis","non-dropping-particle":"","parse-names":false,"suffix":""},{"dropping-particle":"","family":"Hartmann","given":"Hagen","non-dropping-particle":"","parse-names":false,"suffix":""},{"dropping-particle":"","family":"Wirth","given":"Klaus","non-dropping-particle":"","parse-names":false,"suffix":""},{"dropping-particle":"","family":"Mickel","given":"Christoph","non-dropping-particle":"","parse-names":false,"suffix":""},{"dropping-particle":"","family":"Keiner","given":"Michael","non-dropping-particle":"","parse-names":false,"suffix":""},{"dropping-particle":"","family":"Sander","given":"Andre","non-dropping-particle":"","parse-names":false,"suffix":""},{"dropping-particle":"","family":"Yaghobi","given":"Dennis","non-dropping-particle":"","parse-names":false,"suffix":""}],"container-title":"Journal of Functional Morphology and Kinesiology","id":"ITEM-1","issue":"2","issued":{"date-parts":[["2016","6","16"]]},"page":"254-268","publisher":"Multidisciplinary Digital Publishing Institute","title":"Stress for Vertebral Bodies and Intervertebral Discs with Respect to Squatting Depth","type":"article-journal","volume":"1"},"uris":["http://www.mendeley.com/documents/?uuid=300a6961-907f-3f7b-8111-8e782e4f0baa","http://www.mendeley.com/documents/?uuid=bbc1d474-c6d5-4bf1-90db-384a555e1fbb"]},{"id":"ITEM-2","itemData":{"DOI":"10.1519/JSC.0b013e31824ede62","ISBN":"1533-4287","ISSN":"10648011","PMID":"22344055","abstract":"It is unclear if increases in 1 repetition maximum (1RM) in quarter squats result in higher gains compared with full depth squats in isometric force production and vertical jump performance. The aim of the research projects was to compare the effects of different squat variants on the development of 1RM and their transfer effects to Countermovement jump (CMJ) and squat jump (SJ) height, maximal voluntary contraction (MVC), and maximal rate of force development (MRFD). Twenty-three women and 36 men (mean age: 24.11 ± 2.88 years) were parallelized into 3 groups based on their CMJ height: deep front squats (FSQ, n = 20), deep back squats (BSQ, n = 20), and quarter back squats (BSQ¼, n = 19). In addition, a control group (C, n = 16) existed (mean age: 24.38 ± 0.50 years). Experimental groups trained 2 d·wk for 10 weeks with a strength-power block periodization, which produced significant (p ≤ 0.05) gains of the specific squat 1RM. The FSQ and BSQ attained significant (p ≤ 0.05) elevations in SJ and CMJ without any interaction effects between both groups (p ≥ 0.05). The BSQ¼ and C did not reveal any significant changes of SJ and CMJ. The FSQ and BSQ had significantly higher SJ scores over C (p ≤ 0.05). The BSQ did not feature any significant group difference to BSQ¼ (p = 0.116) in SJ, whereas FSQ showed a trend toward higher SJ heights over BSQ¼ (p = 0.052). The FSQ and BSQ presented significantly (p ≤ 0.05) higher CMJ heights over BSQ¼ and C. Posttest in MVC and MRFD demonstrated no significant changes for BSQ. Significant declines in MRFD for FSQ in the right leg (p ≤ 0.05) without any interaction effects for MVC and MRFD between both FSQ and BSQ were found. Training of BSQ¼ resulted in significantly (p ≤ 0.05) lower MRFD and MVC values in contrast to FSQ and BSQ. Quarter squat training elicited significant (p ≤ 0.05) transfer losses into the isometric maximal and explosive strength behavior. These findings therefore contest the concept of superior angle-specific transfer effects. Deep front and back squats guarantee performance-enhancing transfer effects of dynamic maximal strength to dynamic speed-strength capacity of hip and knee extensors compared with quarter squats.","author":[{"dropping-particle":"","family":"Hartmann","given":"Hagen","non-dropping-particle":"","parse-names":false,"suffix":""},{"dropping-particle":"","family":"Wirth","given":"Klaus","non-dropping-particle":"","parse-names":false,"suffix":""},{"dropping-particle":"","family":"Klusemann","given":"Markus","non-dropping-particle":"","parse-names":false,"suffix":""},{"dropping-particle":"","family":"Dalic","given":"Josip","non-dropping-particle":"","parse-names":false,"suffix":""},{"dropping-particle":"","family":"Matuschek","given":"Claus","non-dropping-particle":"","parse-names":false,"suffix":""},{"dropping-particle":"","family":"Schmidtbleicher","given":"Dietmar","non-dropping-particle":"","parse-names":false,"suffix":""}],"container-title":"Journal of Strength and Conditioning Research","id":"ITEM-2","issue":"12","issued":{"date-parts":[["2012"]]},"page":"3243-3261","title":"Influence of squatting depth on jumping performance","type":"article-journal","volume":"26"},"uris":["http://www.mendeley.com/documents/?uuid=ce9ea4bc-5e26-45c8-902b-9c30b347d8dc","http://www.mendeley.com/documents/?uuid=56478392-7915-4c8e-868a-dda34f47bf72"]}],"mendeley":{"formattedCitation":"(Hartmann et al., 2012, 2016)","plainTextFormattedCitation":"(Hartmann et al., 2012, 2016)","previouslyFormattedCitation":"(Hartmann et al., 2012, 2016)"},"properties":{"noteIndex":0},"schema":"https://github.com/citation-style-language/schema/raw/master/csl-citation.json"}</w:instrText>
      </w:r>
      <w:r w:rsidR="00317AE7" w:rsidRPr="0021030B">
        <w:rPr>
          <w:rFonts w:cs="Times New Roman"/>
          <w:bCs/>
          <w:szCs w:val="24"/>
          <w:lang w:val="en-US"/>
        </w:rPr>
        <w:fldChar w:fldCharType="separate"/>
      </w:r>
      <w:r w:rsidR="00E42B44" w:rsidRPr="0021030B">
        <w:rPr>
          <w:rFonts w:cs="Times New Roman"/>
          <w:bCs/>
          <w:noProof/>
          <w:szCs w:val="24"/>
          <w:lang w:val="en-US"/>
        </w:rPr>
        <w:t>(Hartmann et al., 2012, 2016)</w:t>
      </w:r>
      <w:r w:rsidR="00317AE7" w:rsidRPr="0021030B">
        <w:rPr>
          <w:rFonts w:cs="Times New Roman"/>
          <w:bCs/>
          <w:szCs w:val="24"/>
          <w:lang w:val="en-US"/>
        </w:rPr>
        <w:fldChar w:fldCharType="end"/>
      </w:r>
      <w:r w:rsidR="002E63CF" w:rsidRPr="0021030B">
        <w:rPr>
          <w:rFonts w:cs="Times New Roman"/>
          <w:bCs/>
          <w:szCs w:val="24"/>
          <w:lang w:val="en-US"/>
        </w:rPr>
        <w:t>.</w:t>
      </w:r>
      <w:r w:rsidR="0088394E" w:rsidRPr="0021030B">
        <w:rPr>
          <w:rFonts w:cs="Times New Roman"/>
          <w:bCs/>
          <w:szCs w:val="24"/>
          <w:lang w:val="en-US"/>
        </w:rPr>
        <w:t xml:space="preserve"> </w:t>
      </w:r>
      <w:r w:rsidR="00317AE7" w:rsidRPr="0021030B">
        <w:rPr>
          <w:rFonts w:cs="Times New Roman"/>
          <w:bCs/>
          <w:szCs w:val="24"/>
          <w:lang w:val="en-US"/>
        </w:rPr>
        <w:t xml:space="preserve">This idea is </w:t>
      </w:r>
      <w:r w:rsidR="00122E65" w:rsidRPr="0021030B">
        <w:rPr>
          <w:rFonts w:cs="Times New Roman"/>
          <w:bCs/>
          <w:szCs w:val="24"/>
          <w:lang w:val="en-US"/>
        </w:rPr>
        <w:t xml:space="preserve">consistent with </w:t>
      </w:r>
      <w:r w:rsidR="008E7CD4" w:rsidRPr="0021030B">
        <w:rPr>
          <w:rFonts w:cs="Times New Roman"/>
          <w:bCs/>
          <w:szCs w:val="24"/>
          <w:lang w:val="en-US"/>
        </w:rPr>
        <w:t>previous</w:t>
      </w:r>
      <w:r w:rsidR="00122E65" w:rsidRPr="0021030B">
        <w:rPr>
          <w:rFonts w:cs="Times New Roman"/>
          <w:bCs/>
          <w:szCs w:val="24"/>
          <w:lang w:val="en-US"/>
        </w:rPr>
        <w:t xml:space="preserve"> </w:t>
      </w:r>
      <w:r w:rsidR="0076703C" w:rsidRPr="0021030B">
        <w:rPr>
          <w:rFonts w:cs="Times New Roman"/>
          <w:bCs/>
          <w:szCs w:val="24"/>
          <w:lang w:val="en-US"/>
        </w:rPr>
        <w:t>stud</w:t>
      </w:r>
      <w:r w:rsidR="008E7CD4" w:rsidRPr="0021030B">
        <w:rPr>
          <w:rFonts w:cs="Times New Roman"/>
          <w:bCs/>
          <w:szCs w:val="24"/>
          <w:lang w:val="en-US"/>
        </w:rPr>
        <w:t>ies</w:t>
      </w:r>
      <w:r w:rsidR="0076703C" w:rsidRPr="0021030B">
        <w:rPr>
          <w:rFonts w:cs="Times New Roman"/>
          <w:bCs/>
          <w:szCs w:val="24"/>
          <w:lang w:val="en-US"/>
        </w:rPr>
        <w:t xml:space="preserve"> reporting th</w:t>
      </w:r>
      <w:r w:rsidR="00BF1B75" w:rsidRPr="0021030B">
        <w:rPr>
          <w:rFonts w:cs="Times New Roman"/>
          <w:bCs/>
          <w:szCs w:val="24"/>
          <w:lang w:val="en-US"/>
        </w:rPr>
        <w:t xml:space="preserve">at </w:t>
      </w:r>
      <w:r w:rsidR="00E02D3E" w:rsidRPr="0021030B">
        <w:rPr>
          <w:rFonts w:cs="Times New Roman"/>
          <w:bCs/>
          <w:szCs w:val="24"/>
          <w:lang w:val="en-US"/>
        </w:rPr>
        <w:t xml:space="preserve">shorter ROM </w:t>
      </w:r>
      <w:r w:rsidR="00DB2E72" w:rsidRPr="0021030B">
        <w:rPr>
          <w:rFonts w:cs="Times New Roman"/>
          <w:bCs/>
          <w:szCs w:val="24"/>
          <w:lang w:val="en-US"/>
        </w:rPr>
        <w:t>&gt;70</w:t>
      </w:r>
      <w:r w:rsidR="00E02D3E" w:rsidRPr="0021030B">
        <w:rPr>
          <w:rFonts w:cs="Times New Roman"/>
          <w:bCs/>
          <w:szCs w:val="24"/>
          <w:lang w:val="en-US"/>
        </w:rPr>
        <w:t>º knee flexion preclude</w:t>
      </w:r>
      <w:r w:rsidR="00317AE7" w:rsidRPr="0021030B">
        <w:rPr>
          <w:rFonts w:cs="Times New Roman"/>
          <w:bCs/>
          <w:szCs w:val="24"/>
          <w:lang w:val="en-US"/>
        </w:rPr>
        <w:t xml:space="preserve"> athletes </w:t>
      </w:r>
      <w:r w:rsidR="0088394E" w:rsidRPr="0021030B">
        <w:rPr>
          <w:rFonts w:cs="Times New Roman"/>
          <w:bCs/>
          <w:szCs w:val="24"/>
          <w:lang w:val="en-US"/>
        </w:rPr>
        <w:t>reach</w:t>
      </w:r>
      <w:r w:rsidR="00317AE7" w:rsidRPr="0021030B">
        <w:rPr>
          <w:rFonts w:cs="Times New Roman"/>
          <w:bCs/>
          <w:szCs w:val="24"/>
          <w:lang w:val="en-US"/>
        </w:rPr>
        <w:t>ing</w:t>
      </w:r>
      <w:r w:rsidR="0088394E" w:rsidRPr="0021030B">
        <w:rPr>
          <w:rFonts w:cs="Times New Roman"/>
          <w:bCs/>
          <w:szCs w:val="24"/>
          <w:lang w:val="en-US"/>
        </w:rPr>
        <w:t xml:space="preserve"> a </w:t>
      </w:r>
      <w:r w:rsidR="00A44757" w:rsidRPr="0021030B">
        <w:rPr>
          <w:rFonts w:cs="Times New Roman"/>
          <w:bCs/>
          <w:szCs w:val="24"/>
          <w:lang w:val="en-US"/>
        </w:rPr>
        <w:t xml:space="preserve">poor mechanical force position </w:t>
      </w:r>
      <w:r w:rsidR="000E70D4" w:rsidRPr="0021030B">
        <w:rPr>
          <w:rFonts w:cs="Times New Roman"/>
          <w:bCs/>
          <w:szCs w:val="24"/>
          <w:lang w:val="en-US"/>
        </w:rPr>
        <w:t xml:space="preserve">(i.e., ‘sticking’ region) </w:t>
      </w:r>
      <w:r w:rsidR="00A44757" w:rsidRPr="0021030B">
        <w:rPr>
          <w:rFonts w:cs="Times New Roman"/>
          <w:bCs/>
          <w:szCs w:val="24"/>
          <w:lang w:val="en-US"/>
        </w:rPr>
        <w:t xml:space="preserve">during the concentric phase </w:t>
      </w:r>
      <w:r w:rsidR="000E70D4" w:rsidRPr="0021030B">
        <w:rPr>
          <w:rFonts w:cs="Times New Roman"/>
          <w:bCs/>
          <w:szCs w:val="24"/>
          <w:lang w:val="en-US"/>
        </w:rPr>
        <w:fldChar w:fldCharType="begin" w:fldLock="1"/>
      </w:r>
      <w:r w:rsidR="00D676D0" w:rsidRPr="0021030B">
        <w:rPr>
          <w:rFonts w:cs="Times New Roman"/>
          <w:bCs/>
          <w:szCs w:val="24"/>
          <w:lang w:val="en-US"/>
        </w:rPr>
        <w:instrText>ADDIN CSL_CITATION {"citationItems":[{"id":"ITEM-1","itemData":{"DOI":"10.1097/00005768-200106000-00019","ISSN":"0195-9131","author":[{"dropping-particle":"","family":"Escamilla","given":"R F","non-dropping-particle":"","parse-names":false,"suffix":""},{"dropping-particle":"","family":"Fleisig","given":"G S","non-dropping-particle":"","parse-names":false,"suffix":""},{"dropping-particle":"","family":"Lowry","given":"T M","non-dropping-particle":"","parse-names":false,"suffix":""},{"dropping-particle":"","family":"Barrentine","given":"S W","non-dropping-particle":"","parse-names":false,"suffix":""},{"dropping-particle":"","family":"Andrews","given":"J R","non-dropping-particle":"","parse-names":false,"suffix":""}],"container-title":"Medicine and Science in Sports and Exercise","id":"ITEM-1","issue":"6","issued":{"date-parts":[["2001"]]},"page":"984-998","title":"A three-dimensional biomechanical analysis of the squat during varying stance widths","type":"article-journal","volume":"33"},"uris":["http://www.mendeley.com/documents/?uuid=e64c7507-3fa4-476f-8182-9942a0a96db0"]},{"id":"ITEM-2","itemData":{"DOI":"10.1080/02640414.2018.1544187","ISBN":"1466-447X (Electronic) 0264-0414 (Linking)","ISSN":"0264-0414","PMID":"30426840","abstract":"This study aimed to compare the load-velocity and load-power relationships of three common variations of the squat exercise. 52 strength-trained males performed a progressive loading test up to the one-repetition maximum (1RM) in the full (F-SQ), parallel (P-SQ) and half (H-SQ) squat, conducted in random order on separate days. Bar velocity and vertical force were measured by means of a linear velocity transducer time-synchronized with a force platform. The relative load that maximized power output (Pmax) was analyzed using three outcome measures: mean concentric (MP), mean propulsive (MPP) and peak power (PP), while also including or excluding body mass in force calculations. 1RM was significantly different between exercises. Load-velocity and load-power relationships were significantly different between the F-SQ, P-SQ and H-SQ variations. Close relationships (R2 = 0.92-0.96) between load (%1RM) and bar velocity were found and they were specific for each squat variation, with faster velocities the greater the squat depth. Unlike the F-SQ and P-SQ, no sticking region was observed for the H-SQ when lifting high loads. The Pmax corresponded to a broad load range and was greatly influenced by how force output is calculated (including or excluding body mass) as well as the exact outcome variable used (MP, MPP, PP).","author":[{"dropping-particle":"","family":"Martínez-Cava","given":"Alejandro","non-dropping-particle":"","parse-names":false,"suffix":""},{"dropping-particle":"","family":"Morán-Navarro","given":"Ricardo","non-dropping-particle":"","parse-names":false,"suffix":""},{"dropping-particle":"","family":"Sánchez-Medina","given":"Luis","non-dropping-particle":"","parse-names":false,"suffix":""},{"dropping-particle":"","family":"González-Badillo","given":"Juan José","non-dropping-particle":"","parse-names":false,"suffix":""},{"dropping-particle":"","family":"Pallarés","given":"Jesús G.","non-dropping-particle":"","parse-names":false,"suffix":""}],"container-title":"Journal of Sports Sciences","id":"ITEM-2","issued":{"date-parts":[["2018"]]},"page":"1-9","title":"Velocity- and power-load relationships in the half, parallel and full back squat","type":"article-journal"},"uris":["http://www.mendeley.com/documents/?uuid=05a3228f-b4c3-4140-a84c-c87360b70550","http://www.mendeley.com/documents/?uuid=537000b3-bec2-46a1-853d-7888a95caf4f"]}],"mendeley":{"formattedCitation":"(Escamilla et al., 2001; Martínez-Cava et al., 2018)","plainTextFormattedCitation":"(Escamilla et al., 2001; Martínez-Cava et al., 2018)","previouslyFormattedCitation":"(Escamilla et al., 2001; Martínez-Cava et al., 2018)"},"properties":{"noteIndex":0},"schema":"https://github.com/citation-style-language/schema/raw/master/csl-citation.json"}</w:instrText>
      </w:r>
      <w:r w:rsidR="000E70D4" w:rsidRPr="0021030B">
        <w:rPr>
          <w:rFonts w:cs="Times New Roman"/>
          <w:bCs/>
          <w:szCs w:val="24"/>
          <w:lang w:val="en-US"/>
        </w:rPr>
        <w:fldChar w:fldCharType="separate"/>
      </w:r>
      <w:r w:rsidR="00553332" w:rsidRPr="0021030B">
        <w:rPr>
          <w:rFonts w:cs="Times New Roman"/>
          <w:bCs/>
          <w:noProof/>
          <w:szCs w:val="24"/>
          <w:lang w:val="en-US"/>
        </w:rPr>
        <w:t>(Escamilla et al., 2001; Martínez-Cava et al., 2018)</w:t>
      </w:r>
      <w:r w:rsidR="000E70D4" w:rsidRPr="0021030B">
        <w:rPr>
          <w:rFonts w:cs="Times New Roman"/>
          <w:bCs/>
          <w:szCs w:val="24"/>
          <w:lang w:val="en-US"/>
        </w:rPr>
        <w:fldChar w:fldCharType="end"/>
      </w:r>
      <w:r w:rsidR="000E70D4" w:rsidRPr="0021030B">
        <w:rPr>
          <w:rFonts w:cs="Times New Roman"/>
          <w:bCs/>
          <w:szCs w:val="24"/>
          <w:lang w:val="en-US"/>
        </w:rPr>
        <w:t xml:space="preserve">. This false ‘advantage’ </w:t>
      </w:r>
      <w:r w:rsidR="006836BE" w:rsidRPr="0021030B">
        <w:rPr>
          <w:rFonts w:cs="Times New Roman"/>
          <w:bCs/>
          <w:szCs w:val="24"/>
          <w:lang w:val="en-US"/>
        </w:rPr>
        <w:t xml:space="preserve">of shorter ROM (e.g., H-SQ, quarter squat) </w:t>
      </w:r>
      <w:r w:rsidR="000E70D4" w:rsidRPr="0021030B">
        <w:rPr>
          <w:rFonts w:cs="Times New Roman"/>
          <w:bCs/>
          <w:szCs w:val="24"/>
          <w:lang w:val="en-US"/>
        </w:rPr>
        <w:t xml:space="preserve">results in </w:t>
      </w:r>
      <w:r w:rsidR="00011998" w:rsidRPr="0021030B">
        <w:rPr>
          <w:rFonts w:cs="Times New Roman"/>
          <w:bCs/>
          <w:szCs w:val="24"/>
          <w:lang w:val="en-US"/>
        </w:rPr>
        <w:t>huge</w:t>
      </w:r>
      <w:r w:rsidR="006532C0" w:rsidRPr="0021030B">
        <w:rPr>
          <w:rFonts w:cs="Times New Roman"/>
          <w:bCs/>
          <w:szCs w:val="24"/>
          <w:lang w:val="en-US"/>
        </w:rPr>
        <w:t xml:space="preserve"> </w:t>
      </w:r>
      <w:r w:rsidR="00CA15DB" w:rsidRPr="0021030B">
        <w:rPr>
          <w:rFonts w:cs="Times New Roman"/>
          <w:bCs/>
          <w:szCs w:val="24"/>
          <w:lang w:val="en-US"/>
        </w:rPr>
        <w:t>increments in</w:t>
      </w:r>
      <w:r w:rsidR="000E70D4" w:rsidRPr="0021030B">
        <w:rPr>
          <w:rFonts w:cs="Times New Roman"/>
          <w:bCs/>
          <w:szCs w:val="24"/>
          <w:lang w:val="en-US"/>
        </w:rPr>
        <w:t xml:space="preserve"> </w:t>
      </w:r>
      <w:r w:rsidR="00CA15DB" w:rsidRPr="0021030B">
        <w:rPr>
          <w:rFonts w:cs="Times New Roman"/>
          <w:bCs/>
          <w:szCs w:val="24"/>
          <w:lang w:val="en-US"/>
        </w:rPr>
        <w:t>the weight loads that can be lifted</w:t>
      </w:r>
      <w:r w:rsidR="009A5F98" w:rsidRPr="0021030B">
        <w:rPr>
          <w:rFonts w:cs="Times New Roman"/>
          <w:bCs/>
          <w:szCs w:val="24"/>
          <w:lang w:val="en-US"/>
        </w:rPr>
        <w:t xml:space="preserve"> </w:t>
      </w:r>
      <w:r w:rsidR="007A0FB4" w:rsidRPr="0021030B">
        <w:rPr>
          <w:rFonts w:cs="Times New Roman"/>
          <w:bCs/>
          <w:szCs w:val="24"/>
          <w:lang w:val="en-US"/>
        </w:rPr>
        <w:t xml:space="preserve">at the same relative load (% 1RM) </w:t>
      </w:r>
      <w:r w:rsidR="009A5F98" w:rsidRPr="0021030B">
        <w:rPr>
          <w:rFonts w:cs="Times New Roman"/>
          <w:bCs/>
          <w:szCs w:val="24"/>
          <w:lang w:val="en-US"/>
        </w:rPr>
        <w:t xml:space="preserve">and </w:t>
      </w:r>
      <w:r w:rsidR="005B1BB7" w:rsidRPr="0021030B">
        <w:rPr>
          <w:rFonts w:cs="Times New Roman"/>
          <w:bCs/>
          <w:szCs w:val="24"/>
          <w:lang w:val="en-US"/>
        </w:rPr>
        <w:t>the</w:t>
      </w:r>
      <w:r w:rsidR="009A5F98" w:rsidRPr="0021030B">
        <w:rPr>
          <w:rFonts w:cs="Times New Roman"/>
          <w:bCs/>
          <w:szCs w:val="24"/>
          <w:lang w:val="en-US"/>
        </w:rPr>
        <w:t xml:space="preserve"> consequent stress </w:t>
      </w:r>
      <w:r w:rsidR="005B1BB7" w:rsidRPr="0021030B">
        <w:rPr>
          <w:rFonts w:cs="Times New Roman"/>
          <w:bCs/>
          <w:szCs w:val="24"/>
          <w:lang w:val="en-US"/>
        </w:rPr>
        <w:t>produced on the body</w:t>
      </w:r>
      <w:r w:rsidR="00011998" w:rsidRPr="0021030B">
        <w:rPr>
          <w:rFonts w:cs="Times New Roman"/>
          <w:bCs/>
          <w:szCs w:val="24"/>
          <w:lang w:val="en-US"/>
        </w:rPr>
        <w:t xml:space="preserve">. For example, </w:t>
      </w:r>
      <w:r w:rsidR="007A0FB4" w:rsidRPr="0021030B">
        <w:rPr>
          <w:rFonts w:cs="Times New Roman"/>
          <w:bCs/>
          <w:szCs w:val="24"/>
          <w:lang w:val="en-US"/>
        </w:rPr>
        <w:t xml:space="preserve">80% 1RM </w:t>
      </w:r>
      <w:r w:rsidR="001037FA" w:rsidRPr="0021030B">
        <w:rPr>
          <w:rFonts w:cs="Times New Roman"/>
          <w:bCs/>
          <w:szCs w:val="24"/>
          <w:lang w:val="en-US"/>
        </w:rPr>
        <w:t xml:space="preserve">loads for </w:t>
      </w:r>
      <w:r w:rsidR="00311D98" w:rsidRPr="0021030B">
        <w:rPr>
          <w:rFonts w:cs="Times New Roman"/>
          <w:bCs/>
          <w:szCs w:val="24"/>
          <w:lang w:val="en-US"/>
        </w:rPr>
        <w:t xml:space="preserve">H-SQ (90º knee angle) </w:t>
      </w:r>
      <w:r w:rsidR="001037FA" w:rsidRPr="0021030B">
        <w:rPr>
          <w:rFonts w:cs="Times New Roman"/>
          <w:bCs/>
          <w:szCs w:val="24"/>
          <w:lang w:val="en-US"/>
        </w:rPr>
        <w:t xml:space="preserve">could increase </w:t>
      </w:r>
      <w:r w:rsidR="00311D98" w:rsidRPr="0021030B">
        <w:rPr>
          <w:rFonts w:cs="Times New Roman"/>
          <w:bCs/>
          <w:szCs w:val="24"/>
          <w:lang w:val="en-US"/>
        </w:rPr>
        <w:t xml:space="preserve">1.5-fold </w:t>
      </w:r>
      <w:r w:rsidR="007A0FB4" w:rsidRPr="0021030B">
        <w:rPr>
          <w:rFonts w:cs="Times New Roman"/>
          <w:bCs/>
          <w:szCs w:val="24"/>
          <w:lang w:val="en-US"/>
        </w:rPr>
        <w:t>(70</w:t>
      </w:r>
      <w:r w:rsidR="007F436F" w:rsidRPr="0021030B">
        <w:rPr>
          <w:rFonts w:cs="Times New Roman"/>
          <w:bCs/>
          <w:szCs w:val="24"/>
          <w:lang w:val="en-US"/>
        </w:rPr>
        <w:t xml:space="preserve"> kg vs. 1</w:t>
      </w:r>
      <w:r w:rsidR="007A0FB4" w:rsidRPr="0021030B">
        <w:rPr>
          <w:rFonts w:cs="Times New Roman"/>
          <w:bCs/>
          <w:szCs w:val="24"/>
          <w:lang w:val="en-US"/>
        </w:rPr>
        <w:t>05</w:t>
      </w:r>
      <w:r w:rsidR="007F436F" w:rsidRPr="0021030B">
        <w:rPr>
          <w:rFonts w:cs="Times New Roman"/>
          <w:bCs/>
          <w:szCs w:val="24"/>
          <w:lang w:val="en-US"/>
        </w:rPr>
        <w:t xml:space="preserve"> kg) </w:t>
      </w:r>
      <w:r w:rsidR="001037FA" w:rsidRPr="0021030B">
        <w:rPr>
          <w:rFonts w:cs="Times New Roman"/>
          <w:bCs/>
          <w:szCs w:val="24"/>
          <w:lang w:val="en-US"/>
        </w:rPr>
        <w:t xml:space="preserve">compared to F-SQ </w:t>
      </w:r>
      <w:r w:rsidR="00311D98" w:rsidRPr="0021030B">
        <w:rPr>
          <w:rFonts w:cs="Times New Roman"/>
          <w:bCs/>
          <w:szCs w:val="24"/>
          <w:lang w:val="en-US"/>
        </w:rPr>
        <w:t xml:space="preserve">in strength-trained athletes </w:t>
      </w:r>
      <w:r w:rsidR="00311D98" w:rsidRPr="0021030B">
        <w:rPr>
          <w:rFonts w:cs="Times New Roman"/>
          <w:bCs/>
          <w:szCs w:val="24"/>
          <w:lang w:val="en-US"/>
        </w:rPr>
        <w:fldChar w:fldCharType="begin" w:fldLock="1"/>
      </w:r>
      <w:r w:rsidR="00E42B44" w:rsidRPr="0021030B">
        <w:rPr>
          <w:rFonts w:cs="Times New Roman"/>
          <w:bCs/>
          <w:szCs w:val="24"/>
          <w:lang w:val="en-US"/>
        </w:rPr>
        <w:instrText>ADDIN CSL_CITATION {"citationItems":[{"id":"ITEM-1","itemData":{"DOI":"10.1080/02640414.2018.1544187","ISBN":"1466-447X (Electronic) 0264-0414 (Linking)","ISSN":"0264-0414","PMID":"30426840","abstract":"This study aimed to compare the load-velocity and load-power relationships of three common variations of the squat exercise. 52 strength-trained males performed a progressive loading test up to the one-repetition maximum (1RM) in the full (F-SQ), parallel (P-SQ) and half (H-SQ) squat, conducted in random order on separate days. Bar velocity and vertical force were measured by means of a linear velocity transducer time-synchronized with a force platform. The relative load that maximized power output (Pmax) was analyzed using three outcome measures: mean concentric (MP), mean propulsive (MPP) and peak power (PP), while also including or excluding body mass in force calculations. 1RM was significantly different between exercises. Load-velocity and load-power relationships were significantly different between the F-SQ, P-SQ and H-SQ variations. Close relationships (R2 = 0.92-0.96) between load (%1RM) and bar velocity were found and they were specific for each squat variation, with faster velocities the greater the squat depth. Unlike the F-SQ and P-SQ, no sticking region was observed for the H-SQ when lifting high loads. The Pmax corresponded to a broad load range and was greatly influenced by how force output is calculated (including or excluding body mass) as well as the exact outcome variable used (MP, MPP, PP).","author":[{"dropping-particle":"","family":"Martínez-Cava","given":"Alejandro","non-dropping-particle":"","parse-names":false,"suffix":""},{"dropping-particle":"","family":"Morán-Navarro","given":"Ricardo","non-dropping-particle":"","parse-names":false,"suffix":""},{"dropping-particle":"","family":"Sánchez-Medina","given":"Luis","non-dropping-particle":"","parse-names":false,"suffix":""},{"dropping-particle":"","family":"González-Badillo","given":"Juan José","non-dropping-particle":"","parse-names":false,"suffix":""},{"dropping-particle":"","family":"Pallarés","given":"Jesús G.","non-dropping-particle":"","parse-names":false,"suffix":""}],"container-title":"Journal of Sports Sciences","id":"ITEM-1","issued":{"date-parts":[["2018"]]},"page":"1-9","title":"Velocity- and power-load relationships in the half, parallel and full back squat","type":"article-journal"},"uris":["http://www.mendeley.com/documents/?uuid=05a3228f-b4c3-4140-a84c-c87360b70550","http://www.mendeley.com/documents/?uuid=537000b3-bec2-46a1-853d-7888a95caf4f"]}],"mendeley":{"formattedCitation":"(Martínez-Cava et al., 2018)","plainTextFormattedCitation":"(Martínez-Cava et al., 2018)","previouslyFormattedCitation":"(Martínez-Cava et al., 2018)"},"properties":{"noteIndex":0},"schema":"https://github.com/citation-style-language/schema/raw/master/csl-citation.json"}</w:instrText>
      </w:r>
      <w:r w:rsidR="00311D98" w:rsidRPr="0021030B">
        <w:rPr>
          <w:rFonts w:cs="Times New Roman"/>
          <w:bCs/>
          <w:szCs w:val="24"/>
          <w:lang w:val="en-US"/>
        </w:rPr>
        <w:fldChar w:fldCharType="separate"/>
      </w:r>
      <w:r w:rsidR="00E42B44" w:rsidRPr="0021030B">
        <w:rPr>
          <w:rFonts w:cs="Times New Roman"/>
          <w:bCs/>
          <w:noProof/>
          <w:szCs w:val="24"/>
          <w:lang w:val="en-US"/>
        </w:rPr>
        <w:t>(Martínez-Cava et al., 2018)</w:t>
      </w:r>
      <w:r w:rsidR="00311D98" w:rsidRPr="0021030B">
        <w:rPr>
          <w:rFonts w:cs="Times New Roman"/>
          <w:bCs/>
          <w:szCs w:val="24"/>
          <w:lang w:val="en-US"/>
        </w:rPr>
        <w:fldChar w:fldCharType="end"/>
      </w:r>
      <w:r w:rsidR="001037FA" w:rsidRPr="0021030B">
        <w:rPr>
          <w:rFonts w:cs="Times New Roman"/>
          <w:bCs/>
          <w:szCs w:val="24"/>
          <w:lang w:val="en-US"/>
        </w:rPr>
        <w:t>.</w:t>
      </w:r>
      <w:r w:rsidR="007A0FB4" w:rsidRPr="0021030B">
        <w:rPr>
          <w:rFonts w:cs="Times New Roman"/>
          <w:bCs/>
          <w:szCs w:val="24"/>
          <w:lang w:val="en-US"/>
        </w:rPr>
        <w:t xml:space="preserve"> </w:t>
      </w:r>
      <w:r w:rsidR="00040A73" w:rsidRPr="0021030B">
        <w:rPr>
          <w:rFonts w:cs="Times New Roman"/>
          <w:bCs/>
          <w:szCs w:val="24"/>
          <w:lang w:val="en-US"/>
        </w:rPr>
        <w:t xml:space="preserve">In the current study, </w:t>
      </w:r>
      <w:r w:rsidR="00040A73" w:rsidRPr="0021030B">
        <w:rPr>
          <w:rFonts w:cs="Times New Roman"/>
          <w:bCs/>
          <w:szCs w:val="24"/>
          <w:lang w:val="en-US"/>
        </w:rPr>
        <w:lastRenderedPageBreak/>
        <w:t xml:space="preserve">while all groups trained at the same relative load (60-80% 1RM), the absolute </w:t>
      </w:r>
      <w:r w:rsidR="00DB744C" w:rsidRPr="0021030B">
        <w:rPr>
          <w:rFonts w:cs="Times New Roman"/>
          <w:bCs/>
          <w:szCs w:val="24"/>
          <w:lang w:val="en-US"/>
        </w:rPr>
        <w:t>weight lifted</w:t>
      </w:r>
      <w:r w:rsidR="00040A73" w:rsidRPr="0021030B">
        <w:rPr>
          <w:rFonts w:cs="Times New Roman"/>
          <w:bCs/>
          <w:szCs w:val="24"/>
          <w:lang w:val="en-US"/>
        </w:rPr>
        <w:t xml:space="preserve"> for the H-SQ group (~70-100 kg) </w:t>
      </w:r>
      <w:r w:rsidR="004D75E6" w:rsidRPr="0021030B">
        <w:rPr>
          <w:rFonts w:cs="Times New Roman"/>
          <w:bCs/>
          <w:szCs w:val="24"/>
          <w:lang w:val="en-US"/>
        </w:rPr>
        <w:t xml:space="preserve">were ~50% higher </w:t>
      </w:r>
      <w:r w:rsidR="00040A73" w:rsidRPr="0021030B">
        <w:rPr>
          <w:rFonts w:cs="Times New Roman"/>
          <w:bCs/>
          <w:szCs w:val="24"/>
          <w:lang w:val="en-US"/>
        </w:rPr>
        <w:t xml:space="preserve">than F-SQ and P-SQ (~50-70kg). </w:t>
      </w:r>
      <w:r w:rsidR="00AD0985" w:rsidRPr="0021030B">
        <w:rPr>
          <w:rFonts w:cs="Times New Roman"/>
          <w:bCs/>
          <w:szCs w:val="24"/>
          <w:lang w:val="en-US"/>
        </w:rPr>
        <w:t>Furthermore, o</w:t>
      </w:r>
      <w:r w:rsidR="006836BE" w:rsidRPr="0021030B">
        <w:rPr>
          <w:rFonts w:cs="Times New Roman"/>
          <w:bCs/>
          <w:szCs w:val="24"/>
          <w:lang w:val="en-US"/>
        </w:rPr>
        <w:t xml:space="preserve">ur data from </w:t>
      </w:r>
      <w:r w:rsidR="00180DE6" w:rsidRPr="0021030B">
        <w:rPr>
          <w:rFonts w:cs="Times New Roman"/>
          <w:bCs/>
          <w:szCs w:val="24"/>
          <w:lang w:val="en-US"/>
        </w:rPr>
        <w:t xml:space="preserve">the </w:t>
      </w:r>
      <w:r w:rsidR="006836BE" w:rsidRPr="0021030B">
        <w:rPr>
          <w:rFonts w:cs="Times New Roman"/>
          <w:bCs/>
          <w:szCs w:val="24"/>
          <w:lang w:val="en-US"/>
        </w:rPr>
        <w:t>WOMAC questionnaire demonstrate</w:t>
      </w:r>
      <w:r w:rsidR="009F142E" w:rsidRPr="0021030B">
        <w:rPr>
          <w:rFonts w:cs="Times New Roman"/>
          <w:bCs/>
          <w:szCs w:val="24"/>
          <w:lang w:val="en-US"/>
        </w:rPr>
        <w:t>d</w:t>
      </w:r>
      <w:r w:rsidR="006836BE" w:rsidRPr="0021030B">
        <w:rPr>
          <w:rFonts w:cs="Times New Roman"/>
          <w:bCs/>
          <w:szCs w:val="24"/>
          <w:lang w:val="en-US"/>
        </w:rPr>
        <w:t xml:space="preserve"> that this</w:t>
      </w:r>
      <w:r w:rsidR="00E86DCD" w:rsidRPr="0021030B">
        <w:rPr>
          <w:rFonts w:cs="Times New Roman"/>
          <w:bCs/>
          <w:szCs w:val="24"/>
          <w:lang w:val="en-US"/>
        </w:rPr>
        <w:t xml:space="preserve"> load</w:t>
      </w:r>
      <w:r w:rsidR="006836BE" w:rsidRPr="0021030B">
        <w:rPr>
          <w:rFonts w:cs="Times New Roman"/>
          <w:bCs/>
          <w:szCs w:val="24"/>
          <w:lang w:val="en-US"/>
        </w:rPr>
        <w:t xml:space="preserve"> increment </w:t>
      </w:r>
      <w:r w:rsidR="00913BAD" w:rsidRPr="0021030B">
        <w:rPr>
          <w:rFonts w:cs="Times New Roman"/>
          <w:bCs/>
          <w:szCs w:val="24"/>
          <w:lang w:val="en-US"/>
        </w:rPr>
        <w:t xml:space="preserve">in the H-SQ </w:t>
      </w:r>
      <w:r w:rsidR="009F142E" w:rsidRPr="0021030B">
        <w:rPr>
          <w:rFonts w:cs="Times New Roman"/>
          <w:bCs/>
          <w:szCs w:val="24"/>
          <w:lang w:val="en-US"/>
        </w:rPr>
        <w:t>was</w:t>
      </w:r>
      <w:r w:rsidR="006836BE" w:rsidRPr="0021030B">
        <w:rPr>
          <w:rFonts w:cs="Times New Roman"/>
          <w:bCs/>
          <w:szCs w:val="24"/>
          <w:lang w:val="en-US"/>
        </w:rPr>
        <w:t xml:space="preserve"> accompanied by greater pain, stiffness and physical functional disability</w:t>
      </w:r>
      <w:r w:rsidR="00E86DCD" w:rsidRPr="0021030B">
        <w:rPr>
          <w:rFonts w:cs="Times New Roman"/>
          <w:bCs/>
          <w:szCs w:val="24"/>
          <w:lang w:val="en-US"/>
        </w:rPr>
        <w:t xml:space="preserve">. </w:t>
      </w:r>
      <w:r w:rsidR="00AD0985" w:rsidRPr="0021030B">
        <w:rPr>
          <w:rFonts w:cs="Times New Roman"/>
          <w:bCs/>
          <w:szCs w:val="24"/>
          <w:lang w:val="en-US"/>
        </w:rPr>
        <w:t>It is worth mentioning that</w:t>
      </w:r>
      <w:r w:rsidR="00CE3CCF" w:rsidRPr="0021030B">
        <w:rPr>
          <w:rFonts w:cs="Times New Roman"/>
          <w:bCs/>
          <w:szCs w:val="24"/>
          <w:lang w:val="en-US"/>
        </w:rPr>
        <w:t xml:space="preserve"> </w:t>
      </w:r>
      <w:r w:rsidR="00656933" w:rsidRPr="0021030B">
        <w:rPr>
          <w:rFonts w:cs="Times New Roman"/>
          <w:bCs/>
          <w:szCs w:val="24"/>
          <w:lang w:val="en-US"/>
        </w:rPr>
        <w:t xml:space="preserve">two dropouts occurred </w:t>
      </w:r>
      <w:r w:rsidR="00917D52" w:rsidRPr="0021030B">
        <w:rPr>
          <w:rFonts w:cs="Times New Roman"/>
          <w:bCs/>
          <w:szCs w:val="24"/>
          <w:lang w:val="en-US"/>
        </w:rPr>
        <w:t xml:space="preserve">following </w:t>
      </w:r>
      <w:r w:rsidR="00180DE6" w:rsidRPr="0021030B">
        <w:rPr>
          <w:rFonts w:cs="Times New Roman"/>
          <w:bCs/>
          <w:szCs w:val="24"/>
          <w:lang w:val="en-US"/>
        </w:rPr>
        <w:t>the</w:t>
      </w:r>
      <w:r w:rsidR="00656933" w:rsidRPr="0021030B">
        <w:rPr>
          <w:rFonts w:cs="Times New Roman"/>
          <w:bCs/>
          <w:szCs w:val="24"/>
          <w:lang w:val="en-US"/>
        </w:rPr>
        <w:t xml:space="preserve"> H-SQ </w:t>
      </w:r>
      <w:r w:rsidR="00917D52" w:rsidRPr="0021030B">
        <w:rPr>
          <w:rFonts w:cs="Times New Roman"/>
          <w:bCs/>
          <w:szCs w:val="24"/>
          <w:lang w:val="en-US"/>
        </w:rPr>
        <w:t>intervention</w:t>
      </w:r>
      <w:r w:rsidR="00917D52" w:rsidRPr="0021030B">
        <w:rPr>
          <w:rFonts w:cs="Times New Roman"/>
          <w:szCs w:val="24"/>
          <w:lang w:val="en-US"/>
        </w:rPr>
        <w:t xml:space="preserve"> </w:t>
      </w:r>
      <w:r w:rsidR="00656933" w:rsidRPr="0021030B">
        <w:rPr>
          <w:rFonts w:cs="Times New Roman"/>
          <w:szCs w:val="24"/>
          <w:lang w:val="en-US"/>
        </w:rPr>
        <w:t>due to important cervical pain and complaints</w:t>
      </w:r>
      <w:r w:rsidR="007D7909" w:rsidRPr="0021030B">
        <w:rPr>
          <w:rFonts w:cs="Times New Roman"/>
          <w:szCs w:val="24"/>
          <w:lang w:val="en-US"/>
        </w:rPr>
        <w:t xml:space="preserve">. </w:t>
      </w:r>
      <w:r w:rsidR="009F142E" w:rsidRPr="0021030B">
        <w:rPr>
          <w:rFonts w:cs="Times New Roman"/>
          <w:szCs w:val="24"/>
          <w:lang w:val="en-US"/>
        </w:rPr>
        <w:t>T</w:t>
      </w:r>
      <w:r w:rsidR="009F142E" w:rsidRPr="0021030B">
        <w:rPr>
          <w:rFonts w:cs="Times New Roman"/>
          <w:bCs/>
          <w:szCs w:val="24"/>
          <w:lang w:val="en-US"/>
        </w:rPr>
        <w:t xml:space="preserve">his negative impact however was drastically reduced </w:t>
      </w:r>
      <w:r w:rsidR="00D4520D" w:rsidRPr="0021030B">
        <w:rPr>
          <w:rFonts w:cs="Times New Roman"/>
          <w:bCs/>
          <w:szCs w:val="24"/>
          <w:lang w:val="en-US"/>
        </w:rPr>
        <w:t>if training at</w:t>
      </w:r>
      <w:r w:rsidR="009F142E" w:rsidRPr="0021030B">
        <w:rPr>
          <w:rFonts w:cs="Times New Roman"/>
          <w:bCs/>
          <w:szCs w:val="24"/>
          <w:lang w:val="en-US"/>
        </w:rPr>
        <w:t xml:space="preserve"> deeper </w:t>
      </w:r>
      <w:r w:rsidR="00415181" w:rsidRPr="0021030B">
        <w:rPr>
          <w:rFonts w:cs="Times New Roman"/>
          <w:bCs/>
          <w:szCs w:val="24"/>
          <w:lang w:val="en-US"/>
        </w:rPr>
        <w:t xml:space="preserve">ROM </w:t>
      </w:r>
      <w:r w:rsidR="009F142E" w:rsidRPr="0021030B">
        <w:rPr>
          <w:rFonts w:cs="Times New Roman"/>
          <w:bCs/>
          <w:szCs w:val="24"/>
          <w:lang w:val="en-US"/>
        </w:rPr>
        <w:t xml:space="preserve">(F-SQ and </w:t>
      </w:r>
      <w:r w:rsidR="002F0862" w:rsidRPr="0021030B">
        <w:rPr>
          <w:rFonts w:cs="Times New Roman"/>
          <w:bCs/>
          <w:szCs w:val="24"/>
          <w:lang w:val="en-US"/>
        </w:rPr>
        <w:t>P</w:t>
      </w:r>
      <w:r w:rsidR="009F142E" w:rsidRPr="0021030B">
        <w:rPr>
          <w:rFonts w:cs="Times New Roman"/>
          <w:bCs/>
          <w:szCs w:val="24"/>
          <w:lang w:val="en-US"/>
        </w:rPr>
        <w:t>-SQ</w:t>
      </w:r>
      <w:r w:rsidR="00917D52" w:rsidRPr="0021030B">
        <w:rPr>
          <w:rFonts w:cs="Times New Roman"/>
          <w:bCs/>
          <w:szCs w:val="24"/>
          <w:lang w:val="en-US"/>
        </w:rPr>
        <w:t xml:space="preserve"> groups</w:t>
      </w:r>
      <w:r w:rsidR="009F142E" w:rsidRPr="0021030B">
        <w:rPr>
          <w:rFonts w:cs="Times New Roman"/>
          <w:bCs/>
          <w:szCs w:val="24"/>
          <w:lang w:val="en-US"/>
        </w:rPr>
        <w:t>)</w:t>
      </w:r>
      <w:r w:rsidR="00D47236" w:rsidRPr="0021030B">
        <w:rPr>
          <w:rFonts w:cs="Times New Roman"/>
          <w:bCs/>
          <w:szCs w:val="24"/>
          <w:lang w:val="en-US"/>
        </w:rPr>
        <w:t xml:space="preserve">. </w:t>
      </w:r>
      <w:r w:rsidR="00AD0985" w:rsidRPr="0021030B">
        <w:rPr>
          <w:rFonts w:cs="Times New Roman"/>
          <w:bCs/>
          <w:szCs w:val="24"/>
          <w:lang w:val="en-US"/>
        </w:rPr>
        <w:t>Altogether, t</w:t>
      </w:r>
      <w:r w:rsidR="00C9605B" w:rsidRPr="0021030B">
        <w:rPr>
          <w:rFonts w:cs="Times New Roman"/>
          <w:bCs/>
          <w:szCs w:val="24"/>
          <w:lang w:val="en-US"/>
        </w:rPr>
        <w:t xml:space="preserve">hese findings </w:t>
      </w:r>
      <w:r w:rsidR="00AD0985" w:rsidRPr="0021030B">
        <w:rPr>
          <w:rFonts w:cs="Times New Roman"/>
          <w:bCs/>
          <w:szCs w:val="24"/>
          <w:lang w:val="en-US"/>
        </w:rPr>
        <w:t xml:space="preserve">may explain the lower injury rate </w:t>
      </w:r>
      <w:r w:rsidR="00917D52" w:rsidRPr="0021030B">
        <w:rPr>
          <w:rFonts w:cs="Times New Roman"/>
          <w:bCs/>
          <w:szCs w:val="24"/>
          <w:lang w:val="en-US"/>
        </w:rPr>
        <w:t>detected in long-term epidemiological in</w:t>
      </w:r>
      <w:r w:rsidR="00AD0985" w:rsidRPr="0021030B">
        <w:rPr>
          <w:rFonts w:cs="Times New Roman"/>
          <w:bCs/>
          <w:szCs w:val="24"/>
          <w:lang w:val="en-US"/>
        </w:rPr>
        <w:t xml:space="preserve"> </w:t>
      </w:r>
      <w:r w:rsidR="000666F5" w:rsidRPr="0021030B">
        <w:rPr>
          <w:rFonts w:cs="Times New Roman"/>
          <w:bCs/>
          <w:szCs w:val="24"/>
          <w:lang w:val="en-US"/>
        </w:rPr>
        <w:t>competitive weightlifters compared to other disciplines</w:t>
      </w:r>
      <w:r w:rsidR="004C67D9" w:rsidRPr="0021030B">
        <w:rPr>
          <w:rFonts w:cs="Times New Roman"/>
          <w:bCs/>
          <w:szCs w:val="24"/>
          <w:lang w:val="en-US"/>
        </w:rPr>
        <w:t xml:space="preserve"> </w:t>
      </w:r>
      <w:r w:rsidR="004C67D9" w:rsidRPr="0021030B">
        <w:rPr>
          <w:rFonts w:cs="Times New Roman"/>
          <w:bCs/>
          <w:szCs w:val="24"/>
          <w:lang w:val="en-US"/>
        </w:rPr>
        <w:fldChar w:fldCharType="begin" w:fldLock="1"/>
      </w:r>
      <w:r w:rsidR="00137A7D" w:rsidRPr="0021030B">
        <w:rPr>
          <w:rFonts w:cs="Times New Roman"/>
          <w:bCs/>
          <w:szCs w:val="24"/>
          <w:lang w:val="en-US"/>
        </w:rPr>
        <w:instrText>ADDIN CSL_CITATION {"citationItems":[{"id":"ITEM-1","itemData":{"ISBN":"1064-8011","ISSN":"1064-8011","PMID":"2285","abstract":"This paper discusses statistics derived from surveys and competitions. Analyses of previous publications and comparative data from other studies appear to contradict a general view that weight training is safer than weightlifting, when the latter is defined according to the International Weightlifting Federation's rulebook. Both activities appear to be safer than many other sports. The age group considered is largely school age.","author":[{"dropping-particle":"","family":"Hamill","given":"Brian P","non-dropping-particle":"","parse-names":false,"suffix":""}],"container-title":"Journal of Strength and Conditioning Research","id":"ITEM-1","issue":"1","issued":{"date-parts":[["1994"]]},"page":"53-57","title":"Relative Safety of Weightlifting and Weight Training","type":"article-journal","volume":"8"},"uris":["http://www.mendeley.com/documents/?uuid=7f48ca7e-3974-44ec-99d7-c8f1f0ac9e00"]}],"mendeley":{"formattedCitation":"(Hamill, 1994)","plainTextFormattedCitation":"(Hamill, 1994)","previouslyFormattedCitation":"(Hamill, 1994)"},"properties":{"noteIndex":0},"schema":"https://github.com/citation-style-language/schema/raw/master/csl-citation.json"}</w:instrText>
      </w:r>
      <w:r w:rsidR="004C67D9" w:rsidRPr="0021030B">
        <w:rPr>
          <w:rFonts w:cs="Times New Roman"/>
          <w:bCs/>
          <w:szCs w:val="24"/>
          <w:lang w:val="en-US"/>
        </w:rPr>
        <w:fldChar w:fldCharType="separate"/>
      </w:r>
      <w:r w:rsidR="00E42B44" w:rsidRPr="0021030B">
        <w:rPr>
          <w:rFonts w:cs="Times New Roman"/>
          <w:bCs/>
          <w:noProof/>
          <w:szCs w:val="24"/>
          <w:lang w:val="en-US"/>
        </w:rPr>
        <w:t>(Hamill, 1994)</w:t>
      </w:r>
      <w:r w:rsidR="004C67D9" w:rsidRPr="0021030B">
        <w:rPr>
          <w:rFonts w:cs="Times New Roman"/>
          <w:bCs/>
          <w:szCs w:val="24"/>
          <w:lang w:val="en-US"/>
        </w:rPr>
        <w:fldChar w:fldCharType="end"/>
      </w:r>
      <w:r w:rsidR="004C67D9" w:rsidRPr="0021030B">
        <w:rPr>
          <w:rFonts w:cs="Times New Roman"/>
          <w:bCs/>
          <w:szCs w:val="24"/>
          <w:lang w:val="en-US"/>
        </w:rPr>
        <w:t>, primarily in</w:t>
      </w:r>
      <w:r w:rsidR="00180DE6" w:rsidRPr="0021030B">
        <w:rPr>
          <w:rFonts w:cs="Times New Roman"/>
          <w:bCs/>
          <w:szCs w:val="24"/>
          <w:lang w:val="en-US"/>
        </w:rPr>
        <w:t xml:space="preserve"> the</w:t>
      </w:r>
      <w:r w:rsidR="004C67D9" w:rsidRPr="0021030B">
        <w:rPr>
          <w:rFonts w:cs="Times New Roman"/>
          <w:bCs/>
          <w:szCs w:val="24"/>
          <w:lang w:val="en-US"/>
        </w:rPr>
        <w:t xml:space="preserve"> low</w:t>
      </w:r>
      <w:r w:rsidR="00180DE6" w:rsidRPr="0021030B">
        <w:rPr>
          <w:rFonts w:cs="Times New Roman"/>
          <w:bCs/>
          <w:szCs w:val="24"/>
          <w:lang w:val="en-US"/>
        </w:rPr>
        <w:t>er</w:t>
      </w:r>
      <w:r w:rsidR="004C67D9" w:rsidRPr="0021030B">
        <w:rPr>
          <w:rFonts w:cs="Times New Roman"/>
          <w:bCs/>
          <w:szCs w:val="24"/>
          <w:lang w:val="en-US"/>
        </w:rPr>
        <w:t xml:space="preserve"> back </w:t>
      </w:r>
      <w:r w:rsidR="000F2033" w:rsidRPr="0021030B">
        <w:rPr>
          <w:rFonts w:cs="Times New Roman"/>
          <w:bCs/>
          <w:szCs w:val="24"/>
          <w:lang w:val="en-US"/>
        </w:rPr>
        <w:fldChar w:fldCharType="begin" w:fldLock="1"/>
      </w:r>
      <w:r w:rsidR="00E42B44" w:rsidRPr="0021030B">
        <w:rPr>
          <w:rFonts w:cs="Times New Roman"/>
          <w:bCs/>
          <w:szCs w:val="24"/>
          <w:lang w:val="en-US"/>
        </w:rPr>
        <w:instrText>ADDIN CSL_CITATION {"citationItems":[{"id":"ITEM-1","itemData":{"DOI":"10.1097/00005768-199805001-00298","ISBN":"1062-6050 (Print)\\r1062-6050 (Linking)","ISSN":"10626050","PMID":"16558570","abstract":"Objective: To determine injury types, natures, anatomical locations, recommended amount of time missed, and injury rates during weightlifting training. Design and Seffing: We collected and analyzed medical injury records of resident athletes and during numerous training camps to generate an injury profile. Subjects: Elite US male weightlifters who were injured during training at the United States Olympic Training Centers. Measurements: United States Olympic Training Center weightlifting injury reports from a 6-year period were analyzed. Data were expressed as percentages and were analyzed via x2 tests. Results: The back (primarily low back), knees, and shoulders accounted for the most significant number of injuries (64.8%). The types of injuries most prevalent in this study were strains A s weightlifting becomes increasingly popular, safety is a growing concern.1 2 The lifts in the sport of weight-lifting emphasize explosive muscular power,2'3 an es-sential property of many sports.4 As a result, weightlifting-related exercises are often a training tool to enhance performance for numerous other sports.45 In the literature, weightlifting is often termed Olympic-style weightlifting, in contrast with power lifting, body building, or general weight training.6 Weightlifting consists of the snatch and the clean and jerk lifts (Figures 1 and 2). Power lifting consists of the squat, dead lift, and bench press. Body building's primary concern is muscle hypertrophy, whereas many other types of athletes employ general weight training. Weight training consists of general body conditioning, as well as sport-specific strength and power training with free weights and machines. Injuries always concern those in athletics, and weightlifting is no exception. Injury mechanisms, prevalence, and rates provide critical information for the coach, athlete, and athletic trainer. Such information may ultimately help to provide a","author":[{"dropping-particle":"","family":"Calhoon","given":"Gregg","non-dropping-particle":"","parse-names":false,"suffix":""},{"dropping-particle":"","family":"Fry","given":"Andrew C.","non-dropping-particle":"","parse-names":false,"suffix":""}],"container-title":"Journal of Athletic Training","id":"ITEM-1","issue":"3","issued":{"date-parts":[["1999","7"]]},"page":"232-238","title":"Injury Rates and Profiles of Elite Competitive Weightlifters","type":"article-journal","volume":"34"},"uris":["http://www.mendeley.com/documents/?uuid=0b98d52f-541e-3f84-93d5-766193823592"]}],"mendeley":{"formattedCitation":"(Calhoon &amp; Fry, 1999)","plainTextFormattedCitation":"(Calhoon &amp; Fry, 1999)","previouslyFormattedCitation":"(Calhoon &amp; Fry, 1999)"},"properties":{"noteIndex":0},"schema":"https://github.com/citation-style-language/schema/raw/master/csl-citation.json"}</w:instrText>
      </w:r>
      <w:r w:rsidR="000F2033" w:rsidRPr="0021030B">
        <w:rPr>
          <w:rFonts w:cs="Times New Roman"/>
          <w:bCs/>
          <w:szCs w:val="24"/>
          <w:lang w:val="en-US"/>
        </w:rPr>
        <w:fldChar w:fldCharType="separate"/>
      </w:r>
      <w:r w:rsidR="00E42B44" w:rsidRPr="0021030B">
        <w:rPr>
          <w:rFonts w:cs="Times New Roman"/>
          <w:bCs/>
          <w:noProof/>
          <w:szCs w:val="24"/>
          <w:lang w:val="en-US"/>
        </w:rPr>
        <w:t>(Calhoon &amp; Fry, 1999)</w:t>
      </w:r>
      <w:r w:rsidR="000F2033" w:rsidRPr="0021030B">
        <w:rPr>
          <w:rFonts w:cs="Times New Roman"/>
          <w:bCs/>
          <w:szCs w:val="24"/>
          <w:lang w:val="en-US"/>
        </w:rPr>
        <w:fldChar w:fldCharType="end"/>
      </w:r>
      <w:r w:rsidR="00296D3E" w:rsidRPr="0021030B">
        <w:rPr>
          <w:rFonts w:cs="Times New Roman"/>
          <w:bCs/>
          <w:szCs w:val="24"/>
          <w:lang w:val="en-US"/>
        </w:rPr>
        <w:t xml:space="preserve">. </w:t>
      </w:r>
      <w:r w:rsidR="00872F9F" w:rsidRPr="0021030B">
        <w:rPr>
          <w:rFonts w:cs="Times New Roman"/>
          <w:bCs/>
          <w:szCs w:val="24"/>
          <w:lang w:val="en-US"/>
        </w:rPr>
        <w:t xml:space="preserve">To explain </w:t>
      </w:r>
      <w:r w:rsidR="00393300" w:rsidRPr="0021030B">
        <w:rPr>
          <w:rFonts w:cs="Times New Roman"/>
          <w:bCs/>
          <w:szCs w:val="24"/>
          <w:lang w:val="en-US"/>
        </w:rPr>
        <w:t>these results</w:t>
      </w:r>
      <w:r w:rsidR="00180DE6" w:rsidRPr="0021030B">
        <w:rPr>
          <w:rFonts w:cs="Times New Roman"/>
          <w:bCs/>
          <w:szCs w:val="24"/>
          <w:lang w:val="en-US"/>
        </w:rPr>
        <w:t>,</w:t>
      </w:r>
      <w:r w:rsidR="00872F9F" w:rsidRPr="0021030B">
        <w:rPr>
          <w:rFonts w:cs="Times New Roman"/>
          <w:bCs/>
          <w:szCs w:val="24"/>
          <w:lang w:val="en-US"/>
        </w:rPr>
        <w:t xml:space="preserve"> </w:t>
      </w:r>
      <w:r w:rsidR="00180DE6" w:rsidRPr="0021030B">
        <w:rPr>
          <w:rFonts w:cs="Times New Roman"/>
          <w:bCs/>
          <w:szCs w:val="24"/>
          <w:lang w:val="en-US"/>
        </w:rPr>
        <w:t xml:space="preserve">it </w:t>
      </w:r>
      <w:r w:rsidR="00872F9F" w:rsidRPr="0021030B">
        <w:rPr>
          <w:rFonts w:cs="Times New Roman"/>
          <w:bCs/>
          <w:szCs w:val="24"/>
          <w:lang w:val="en-US"/>
        </w:rPr>
        <w:t xml:space="preserve">is important </w:t>
      </w:r>
      <w:r w:rsidR="00180DE6" w:rsidRPr="0021030B">
        <w:rPr>
          <w:rFonts w:cs="Times New Roman"/>
          <w:bCs/>
          <w:szCs w:val="24"/>
          <w:lang w:val="en-US"/>
        </w:rPr>
        <w:t>to c</w:t>
      </w:r>
      <w:r w:rsidR="00872F9F" w:rsidRPr="0021030B">
        <w:rPr>
          <w:rFonts w:cs="Times New Roman"/>
          <w:bCs/>
          <w:szCs w:val="24"/>
          <w:lang w:val="en-US"/>
        </w:rPr>
        <w:t xml:space="preserve">onsider </w:t>
      </w:r>
      <w:r w:rsidR="008028A3" w:rsidRPr="0021030B">
        <w:rPr>
          <w:rFonts w:cs="Times New Roman"/>
          <w:bCs/>
          <w:szCs w:val="24"/>
          <w:lang w:val="en-US"/>
        </w:rPr>
        <w:t>that</w:t>
      </w:r>
      <w:r w:rsidR="00D47236" w:rsidRPr="0021030B">
        <w:rPr>
          <w:rFonts w:cs="Times New Roman"/>
          <w:bCs/>
          <w:szCs w:val="24"/>
          <w:lang w:val="en-US"/>
        </w:rPr>
        <w:t xml:space="preserve"> </w:t>
      </w:r>
      <w:r w:rsidR="00612FE4" w:rsidRPr="0021030B">
        <w:rPr>
          <w:rFonts w:cs="Times New Roman"/>
          <w:szCs w:val="24"/>
          <w:lang w:val="en-US"/>
        </w:rPr>
        <w:t xml:space="preserve">spinal curvature </w:t>
      </w:r>
      <w:r w:rsidR="00E90832" w:rsidRPr="0021030B">
        <w:rPr>
          <w:rFonts w:cs="Times New Roman"/>
          <w:szCs w:val="24"/>
          <w:lang w:val="en-US"/>
        </w:rPr>
        <w:t>w</w:t>
      </w:r>
      <w:r w:rsidR="00E90832" w:rsidRPr="0021030B">
        <w:rPr>
          <w:rFonts w:cs="Times New Roman"/>
          <w:bCs/>
          <w:szCs w:val="24"/>
          <w:lang w:val="en-US"/>
        </w:rPr>
        <w:t>as</w:t>
      </w:r>
      <w:r w:rsidR="00612FE4" w:rsidRPr="0021030B">
        <w:rPr>
          <w:rFonts w:cs="Times New Roman"/>
          <w:bCs/>
          <w:szCs w:val="24"/>
          <w:lang w:val="en-US"/>
        </w:rPr>
        <w:t xml:space="preserve"> </w:t>
      </w:r>
      <w:r w:rsidR="00393300" w:rsidRPr="0021030B">
        <w:rPr>
          <w:rFonts w:cs="Times New Roman"/>
          <w:bCs/>
          <w:szCs w:val="24"/>
          <w:lang w:val="en-US"/>
        </w:rPr>
        <w:t xml:space="preserve">controlled prior to each lift. This </w:t>
      </w:r>
      <w:r w:rsidR="00D0362A" w:rsidRPr="0021030B">
        <w:rPr>
          <w:rFonts w:cs="Times New Roman"/>
          <w:bCs/>
          <w:szCs w:val="24"/>
          <w:lang w:val="en-US"/>
        </w:rPr>
        <w:t>novel</w:t>
      </w:r>
      <w:r w:rsidR="00393300" w:rsidRPr="0021030B">
        <w:rPr>
          <w:rFonts w:cs="Times New Roman"/>
          <w:bCs/>
          <w:szCs w:val="24"/>
          <w:lang w:val="en-US"/>
        </w:rPr>
        <w:t xml:space="preserve"> approach, combined with the </w:t>
      </w:r>
      <w:r w:rsidR="00D0362A" w:rsidRPr="0021030B">
        <w:rPr>
          <w:rFonts w:cs="Times New Roman"/>
          <w:bCs/>
          <w:szCs w:val="24"/>
          <w:lang w:val="en-US"/>
        </w:rPr>
        <w:t>pain reports, allow</w:t>
      </w:r>
      <w:r w:rsidR="00180DE6" w:rsidRPr="0021030B">
        <w:rPr>
          <w:rFonts w:cs="Times New Roman"/>
          <w:bCs/>
          <w:szCs w:val="24"/>
          <w:lang w:val="en-US"/>
        </w:rPr>
        <w:t>s</w:t>
      </w:r>
      <w:r w:rsidR="00D0362A" w:rsidRPr="0021030B">
        <w:rPr>
          <w:rFonts w:cs="Times New Roman"/>
          <w:bCs/>
          <w:szCs w:val="24"/>
          <w:lang w:val="en-US"/>
        </w:rPr>
        <w:t xml:space="preserve"> us to confirm that F-SQ and P-SQ</w:t>
      </w:r>
      <w:r w:rsidR="005A47B8" w:rsidRPr="0021030B">
        <w:rPr>
          <w:rFonts w:cs="Times New Roman"/>
          <w:bCs/>
          <w:szCs w:val="24"/>
          <w:lang w:val="en-US"/>
        </w:rPr>
        <w:t xml:space="preserve">, </w:t>
      </w:r>
      <w:r w:rsidR="00113AEE" w:rsidRPr="0021030B">
        <w:rPr>
          <w:rFonts w:cs="Times New Roman"/>
          <w:bCs/>
          <w:szCs w:val="24"/>
          <w:lang w:val="en-US"/>
        </w:rPr>
        <w:t>under</w:t>
      </w:r>
      <w:r w:rsidR="005A47B8" w:rsidRPr="0021030B">
        <w:rPr>
          <w:rFonts w:cs="Times New Roman"/>
          <w:bCs/>
          <w:szCs w:val="24"/>
          <w:lang w:val="en-US"/>
        </w:rPr>
        <w:t xml:space="preserve"> </w:t>
      </w:r>
      <w:r w:rsidR="00CA35C2" w:rsidRPr="0021030B">
        <w:rPr>
          <w:rFonts w:cs="Times New Roman"/>
          <w:bCs/>
          <w:szCs w:val="24"/>
          <w:lang w:val="en-US"/>
        </w:rPr>
        <w:t>proper</w:t>
      </w:r>
      <w:r w:rsidR="005A47B8" w:rsidRPr="0021030B">
        <w:rPr>
          <w:rFonts w:cs="Times New Roman"/>
          <w:bCs/>
          <w:szCs w:val="24"/>
          <w:lang w:val="en-US"/>
        </w:rPr>
        <w:t xml:space="preserve"> techni</w:t>
      </w:r>
      <w:r w:rsidR="00113AEE" w:rsidRPr="0021030B">
        <w:rPr>
          <w:rFonts w:cs="Times New Roman"/>
          <w:bCs/>
          <w:szCs w:val="24"/>
          <w:lang w:val="en-US"/>
        </w:rPr>
        <w:t>que</w:t>
      </w:r>
      <w:r w:rsidR="005A47B8" w:rsidRPr="0021030B">
        <w:rPr>
          <w:rFonts w:cs="Times New Roman"/>
          <w:bCs/>
          <w:szCs w:val="24"/>
          <w:lang w:val="en-US"/>
        </w:rPr>
        <w:t xml:space="preserve"> </w:t>
      </w:r>
      <w:r w:rsidR="00B326AB" w:rsidRPr="0021030B">
        <w:rPr>
          <w:rFonts w:cs="Times New Roman"/>
          <w:bCs/>
          <w:szCs w:val="24"/>
          <w:lang w:val="en-US"/>
        </w:rPr>
        <w:t xml:space="preserve">in the </w:t>
      </w:r>
      <w:r w:rsidR="005A47B8" w:rsidRPr="0021030B">
        <w:rPr>
          <w:rFonts w:cs="Times New Roman"/>
          <w:bCs/>
          <w:szCs w:val="24"/>
          <w:lang w:val="en-US"/>
        </w:rPr>
        <w:t>execution,</w:t>
      </w:r>
      <w:r w:rsidR="00D0362A" w:rsidRPr="0021030B">
        <w:rPr>
          <w:rFonts w:cs="Times New Roman"/>
          <w:bCs/>
          <w:szCs w:val="24"/>
          <w:lang w:val="en-US"/>
        </w:rPr>
        <w:t xml:space="preserve"> are safer and more efficient exercises than H-SQ</w:t>
      </w:r>
      <w:r w:rsidR="00BD213E" w:rsidRPr="0021030B">
        <w:rPr>
          <w:rFonts w:cs="Times New Roman"/>
          <w:bCs/>
          <w:szCs w:val="24"/>
          <w:lang w:val="en-US"/>
        </w:rPr>
        <w:t>.</w:t>
      </w:r>
      <w:r w:rsidR="001E3F7B" w:rsidRPr="0021030B">
        <w:rPr>
          <w:rFonts w:cs="Times New Roman"/>
          <w:bCs/>
          <w:szCs w:val="24"/>
          <w:lang w:val="en-US"/>
        </w:rPr>
        <w:t xml:space="preserve"> </w:t>
      </w:r>
      <w:r w:rsidR="008028A3" w:rsidRPr="0021030B">
        <w:rPr>
          <w:rFonts w:cs="Times New Roman"/>
          <w:bCs/>
          <w:szCs w:val="24"/>
          <w:lang w:val="en-US"/>
        </w:rPr>
        <w:t xml:space="preserve"> </w:t>
      </w:r>
    </w:p>
    <w:p w14:paraId="44440855" w14:textId="6022B19E" w:rsidR="009B36CB" w:rsidRPr="0021030B" w:rsidRDefault="00ED0889" w:rsidP="00F52A7E">
      <w:pPr>
        <w:spacing w:line="480" w:lineRule="auto"/>
        <w:ind w:firstLine="708"/>
        <w:rPr>
          <w:rFonts w:cs="Times New Roman"/>
          <w:szCs w:val="24"/>
          <w:lang w:val="en-US"/>
        </w:rPr>
      </w:pPr>
      <w:r w:rsidRPr="0021030B">
        <w:rPr>
          <w:rFonts w:cs="Times New Roman"/>
          <w:bCs/>
          <w:szCs w:val="24"/>
          <w:lang w:val="en-US"/>
        </w:rPr>
        <w:t xml:space="preserve">One last finding worthy of discussion was that </w:t>
      </w:r>
      <w:r w:rsidR="00105688" w:rsidRPr="0021030B">
        <w:rPr>
          <w:rFonts w:cs="Times New Roman"/>
          <w:szCs w:val="24"/>
          <w:lang w:val="en-US"/>
        </w:rPr>
        <w:t xml:space="preserve">10 weeks of RT </w:t>
      </w:r>
      <w:r w:rsidR="00105688" w:rsidRPr="0021030B">
        <w:rPr>
          <w:rFonts w:cs="Times New Roman"/>
          <w:bCs/>
          <w:szCs w:val="24"/>
          <w:lang w:val="en-US"/>
        </w:rPr>
        <w:t xml:space="preserve">cessation </w:t>
      </w:r>
      <w:r w:rsidR="00E90832" w:rsidRPr="0021030B">
        <w:rPr>
          <w:rFonts w:cs="Times New Roman"/>
          <w:bCs/>
          <w:szCs w:val="24"/>
          <w:lang w:val="en-US"/>
        </w:rPr>
        <w:t xml:space="preserve">severely </w:t>
      </w:r>
      <w:r w:rsidR="00180DE6" w:rsidRPr="0021030B">
        <w:rPr>
          <w:rFonts w:cs="Times New Roman"/>
          <w:bCs/>
          <w:szCs w:val="24"/>
          <w:lang w:val="en-US"/>
        </w:rPr>
        <w:t xml:space="preserve">decrease </w:t>
      </w:r>
      <w:r w:rsidR="00105688" w:rsidRPr="0021030B">
        <w:rPr>
          <w:rFonts w:cs="Times New Roman"/>
          <w:bCs/>
          <w:szCs w:val="24"/>
          <w:lang w:val="en-US"/>
        </w:rPr>
        <w:t>neuromuscular</w:t>
      </w:r>
      <w:r w:rsidR="00813233" w:rsidRPr="0021030B">
        <w:rPr>
          <w:rFonts w:cs="Times New Roman"/>
          <w:bCs/>
          <w:szCs w:val="24"/>
          <w:lang w:val="en-US"/>
        </w:rPr>
        <w:t xml:space="preserve"> </w:t>
      </w:r>
      <w:r w:rsidR="00105688" w:rsidRPr="0021030B">
        <w:rPr>
          <w:rFonts w:cs="Times New Roman"/>
          <w:bCs/>
          <w:szCs w:val="24"/>
          <w:lang w:val="en-US"/>
        </w:rPr>
        <w:t xml:space="preserve">and functional performance in </w:t>
      </w:r>
      <w:r w:rsidR="00794923" w:rsidRPr="0021030B">
        <w:rPr>
          <w:rFonts w:cs="Times New Roman"/>
          <w:bCs/>
          <w:szCs w:val="24"/>
          <w:lang w:val="en-US"/>
        </w:rPr>
        <w:t>strength-</w:t>
      </w:r>
      <w:r w:rsidR="00105688" w:rsidRPr="0021030B">
        <w:rPr>
          <w:rFonts w:cs="Times New Roman"/>
          <w:bCs/>
          <w:szCs w:val="24"/>
          <w:lang w:val="en-US"/>
        </w:rPr>
        <w:t>trained athletes</w:t>
      </w:r>
      <w:r w:rsidR="00863DE6" w:rsidRPr="0021030B">
        <w:rPr>
          <w:rFonts w:cs="Times New Roman"/>
          <w:szCs w:val="24"/>
          <w:lang w:val="en-US"/>
        </w:rPr>
        <w:t>.</w:t>
      </w:r>
      <w:r w:rsidR="00AD3E48" w:rsidRPr="0021030B">
        <w:rPr>
          <w:rFonts w:cs="Times New Roman"/>
          <w:bCs/>
          <w:szCs w:val="24"/>
          <w:lang w:val="en-US"/>
        </w:rPr>
        <w:t xml:space="preserve"> </w:t>
      </w:r>
      <w:r w:rsidR="009B36CB" w:rsidRPr="0021030B">
        <w:rPr>
          <w:rFonts w:cs="Times New Roman"/>
          <w:bCs/>
          <w:szCs w:val="24"/>
          <w:lang w:val="en-US"/>
        </w:rPr>
        <w:t>In particular, we found greater velocity reductions at high loads (MPV</w:t>
      </w:r>
      <w:r w:rsidR="009B36CB" w:rsidRPr="0021030B">
        <w:rPr>
          <w:rFonts w:cs="Times New Roman"/>
          <w:bCs/>
          <w:szCs w:val="24"/>
          <w:vertAlign w:val="subscript"/>
          <w:lang w:val="en-US"/>
        </w:rPr>
        <w:t>&gt;50%1RM</w:t>
      </w:r>
      <w:r w:rsidR="009B36CB" w:rsidRPr="0021030B">
        <w:rPr>
          <w:rFonts w:cs="Times New Roman"/>
          <w:bCs/>
          <w:szCs w:val="24"/>
          <w:lang w:val="en-US"/>
        </w:rPr>
        <w:t xml:space="preserve"> = 7.0% to 9.8%) </w:t>
      </w:r>
      <w:r w:rsidR="007117F4" w:rsidRPr="0021030B">
        <w:rPr>
          <w:rFonts w:cs="Times New Roman"/>
          <w:bCs/>
          <w:szCs w:val="24"/>
          <w:lang w:val="en-US"/>
        </w:rPr>
        <w:t>compared to</w:t>
      </w:r>
      <w:r w:rsidR="009B36CB" w:rsidRPr="0021030B">
        <w:rPr>
          <w:rFonts w:cs="Times New Roman"/>
          <w:bCs/>
          <w:szCs w:val="24"/>
          <w:lang w:val="en-US"/>
        </w:rPr>
        <w:t xml:space="preserve"> low loads (MPV</w:t>
      </w:r>
      <w:r w:rsidR="009B36CB" w:rsidRPr="0021030B">
        <w:rPr>
          <w:rFonts w:cs="Times New Roman"/>
          <w:bCs/>
          <w:szCs w:val="24"/>
          <w:vertAlign w:val="subscript"/>
          <w:lang w:val="en-US"/>
        </w:rPr>
        <w:t>&lt;50%1RM</w:t>
      </w:r>
      <w:r w:rsidR="009B36CB" w:rsidRPr="0021030B">
        <w:rPr>
          <w:rFonts w:cs="Times New Roman"/>
          <w:bCs/>
          <w:szCs w:val="24"/>
          <w:lang w:val="en-US"/>
        </w:rPr>
        <w:t xml:space="preserve"> = -3.5 to -5.3%). </w:t>
      </w:r>
      <w:r w:rsidR="00B95DE2" w:rsidRPr="0021030B">
        <w:rPr>
          <w:rFonts w:cs="Times New Roman"/>
          <w:bCs/>
          <w:szCs w:val="24"/>
          <w:lang w:val="en-US"/>
        </w:rPr>
        <w:t>Similarly,</w:t>
      </w:r>
      <w:r w:rsidR="009B36CB" w:rsidRPr="0021030B">
        <w:rPr>
          <w:rFonts w:cs="Times New Roman"/>
          <w:bCs/>
          <w:szCs w:val="24"/>
          <w:lang w:val="en-US"/>
        </w:rPr>
        <w:t xml:space="preserve"> </w:t>
      </w:r>
      <w:r w:rsidR="00B95DE2" w:rsidRPr="0021030B">
        <w:rPr>
          <w:rFonts w:cs="Times New Roman"/>
          <w:bCs/>
          <w:szCs w:val="24"/>
          <w:lang w:val="en-US"/>
        </w:rPr>
        <w:t>early</w:t>
      </w:r>
      <w:r w:rsidR="009E3AD0" w:rsidRPr="0021030B">
        <w:rPr>
          <w:rFonts w:cs="Times New Roman"/>
          <w:bCs/>
          <w:szCs w:val="24"/>
          <w:lang w:val="en-US"/>
        </w:rPr>
        <w:t xml:space="preserve"> reports </w:t>
      </w:r>
      <w:r w:rsidR="00FB359E" w:rsidRPr="0021030B">
        <w:rPr>
          <w:rFonts w:cs="Times New Roman"/>
          <w:bCs/>
          <w:szCs w:val="24"/>
          <w:lang w:val="en-US"/>
        </w:rPr>
        <w:t>showed</w:t>
      </w:r>
      <w:r w:rsidR="00027E33" w:rsidRPr="0021030B">
        <w:rPr>
          <w:rFonts w:cs="Times New Roman"/>
          <w:bCs/>
          <w:szCs w:val="24"/>
          <w:lang w:val="en-US"/>
        </w:rPr>
        <w:t xml:space="preserve"> that </w:t>
      </w:r>
      <w:r w:rsidR="0033407F" w:rsidRPr="0021030B">
        <w:rPr>
          <w:rFonts w:cs="Times New Roman"/>
          <w:bCs/>
          <w:szCs w:val="24"/>
          <w:lang w:val="en-US"/>
        </w:rPr>
        <w:t xml:space="preserve">elite athletes </w:t>
      </w:r>
      <w:r w:rsidR="00027E33" w:rsidRPr="0021030B">
        <w:rPr>
          <w:rFonts w:cs="Times New Roman"/>
          <w:bCs/>
          <w:szCs w:val="24"/>
          <w:lang w:val="en-US"/>
        </w:rPr>
        <w:t xml:space="preserve">suffered the worst </w:t>
      </w:r>
      <w:r w:rsidR="0089683A" w:rsidRPr="0021030B">
        <w:rPr>
          <w:rFonts w:cs="Times New Roman"/>
          <w:bCs/>
          <w:szCs w:val="24"/>
          <w:lang w:val="en-US"/>
        </w:rPr>
        <w:t>declines</w:t>
      </w:r>
      <w:r w:rsidR="009B36CB" w:rsidRPr="0021030B">
        <w:rPr>
          <w:rFonts w:cs="Times New Roman"/>
          <w:szCs w:val="24"/>
          <w:lang w:val="en-US"/>
        </w:rPr>
        <w:t xml:space="preserve"> </w:t>
      </w:r>
      <w:r w:rsidR="0089683A" w:rsidRPr="0021030B">
        <w:rPr>
          <w:rFonts w:cs="Times New Roman"/>
          <w:szCs w:val="24"/>
          <w:lang w:val="en-US"/>
        </w:rPr>
        <w:t xml:space="preserve">in </w:t>
      </w:r>
      <w:r w:rsidR="0033407F" w:rsidRPr="0021030B">
        <w:rPr>
          <w:rFonts w:cs="Times New Roman"/>
          <w:bCs/>
          <w:szCs w:val="24"/>
          <w:lang w:val="en-US"/>
        </w:rPr>
        <w:t>velocities at 45%</w:t>
      </w:r>
      <w:r w:rsidR="009374C5" w:rsidRPr="0021030B">
        <w:rPr>
          <w:rFonts w:cs="Times New Roman"/>
          <w:bCs/>
          <w:szCs w:val="24"/>
          <w:lang w:val="en-US"/>
        </w:rPr>
        <w:t xml:space="preserve"> </w:t>
      </w:r>
      <w:r w:rsidR="0033407F" w:rsidRPr="0021030B">
        <w:rPr>
          <w:rFonts w:cs="Times New Roman"/>
          <w:bCs/>
          <w:szCs w:val="24"/>
          <w:lang w:val="en-US"/>
        </w:rPr>
        <w:t xml:space="preserve">1RM </w:t>
      </w:r>
      <w:r w:rsidR="009456D4" w:rsidRPr="0021030B">
        <w:rPr>
          <w:rFonts w:cs="Times New Roman"/>
          <w:szCs w:val="24"/>
          <w:lang w:val="en-US"/>
        </w:rPr>
        <w:t xml:space="preserve">in bench press </w:t>
      </w:r>
      <w:r w:rsidR="000D6A94" w:rsidRPr="0021030B">
        <w:rPr>
          <w:rFonts w:cs="Times New Roman"/>
          <w:szCs w:val="24"/>
          <w:lang w:val="en-US"/>
        </w:rPr>
        <w:t>(-12.6%</w:t>
      </w:r>
      <w:r w:rsidR="009374C5" w:rsidRPr="0021030B">
        <w:rPr>
          <w:rFonts w:cs="Times New Roman"/>
          <w:szCs w:val="24"/>
          <w:lang w:val="en-US"/>
        </w:rPr>
        <w:t xml:space="preserve"> </w:t>
      </w:r>
      <w:r w:rsidR="000D6A94" w:rsidRPr="0021030B">
        <w:rPr>
          <w:rFonts w:cs="Times New Roman"/>
          <w:szCs w:val="24"/>
          <w:lang w:val="en-US"/>
        </w:rPr>
        <w:t xml:space="preserve">1RM) </w:t>
      </w:r>
      <w:r w:rsidR="009456D4" w:rsidRPr="0021030B">
        <w:rPr>
          <w:rFonts w:cs="Times New Roman"/>
          <w:szCs w:val="24"/>
          <w:lang w:val="en-US"/>
        </w:rPr>
        <w:t xml:space="preserve">and prone bench pull </w:t>
      </w:r>
      <w:r w:rsidR="000D6A94" w:rsidRPr="0021030B">
        <w:rPr>
          <w:rFonts w:cs="Times New Roman"/>
          <w:szCs w:val="24"/>
          <w:lang w:val="en-US"/>
        </w:rPr>
        <w:t>(-10.0%</w:t>
      </w:r>
      <w:r w:rsidR="009374C5" w:rsidRPr="0021030B">
        <w:rPr>
          <w:rFonts w:cs="Times New Roman"/>
          <w:szCs w:val="24"/>
          <w:lang w:val="en-US"/>
        </w:rPr>
        <w:t xml:space="preserve"> </w:t>
      </w:r>
      <w:r w:rsidR="000D6A94" w:rsidRPr="0021030B">
        <w:rPr>
          <w:rFonts w:cs="Times New Roman"/>
          <w:szCs w:val="24"/>
          <w:lang w:val="en-US"/>
        </w:rPr>
        <w:t xml:space="preserve">1RM) </w:t>
      </w:r>
      <w:r w:rsidR="009456D4" w:rsidRPr="0021030B">
        <w:rPr>
          <w:rFonts w:cs="Times New Roman"/>
          <w:szCs w:val="24"/>
          <w:lang w:val="en-US"/>
        </w:rPr>
        <w:t xml:space="preserve">resistance exercises </w:t>
      </w:r>
      <w:r w:rsidR="0089683A" w:rsidRPr="0021030B">
        <w:rPr>
          <w:rFonts w:cs="Times New Roman"/>
          <w:szCs w:val="24"/>
          <w:lang w:val="en-US"/>
        </w:rPr>
        <w:t xml:space="preserve">after </w:t>
      </w:r>
      <w:r w:rsidR="0033407F" w:rsidRPr="0021030B">
        <w:rPr>
          <w:rFonts w:cs="Times New Roman"/>
          <w:szCs w:val="24"/>
          <w:lang w:val="en-US"/>
        </w:rPr>
        <w:t xml:space="preserve">a </w:t>
      </w:r>
      <w:r w:rsidR="0089683A" w:rsidRPr="0021030B">
        <w:rPr>
          <w:rFonts w:cs="Times New Roman"/>
          <w:szCs w:val="24"/>
          <w:lang w:val="en-US"/>
        </w:rPr>
        <w:t>5-week detraining</w:t>
      </w:r>
      <w:r w:rsidR="0033407F" w:rsidRPr="0021030B">
        <w:rPr>
          <w:rFonts w:cs="Times New Roman"/>
          <w:szCs w:val="24"/>
          <w:lang w:val="en-US"/>
        </w:rPr>
        <w:t xml:space="preserve"> period</w:t>
      </w:r>
      <w:r w:rsidR="003A7FB2" w:rsidRPr="0021030B">
        <w:rPr>
          <w:rFonts w:cs="Times New Roman"/>
          <w:szCs w:val="24"/>
          <w:lang w:val="en-US"/>
        </w:rPr>
        <w:t xml:space="preserve"> </w:t>
      </w:r>
      <w:r w:rsidR="009B36CB" w:rsidRPr="0021030B">
        <w:rPr>
          <w:rFonts w:cs="Times New Roman"/>
          <w:szCs w:val="24"/>
          <w:lang w:val="en-US"/>
        </w:rPr>
        <w:fldChar w:fldCharType="begin" w:fldLock="1"/>
      </w:r>
      <w:r w:rsidR="00143630" w:rsidRPr="0021030B">
        <w:rPr>
          <w:rFonts w:cs="Times New Roman"/>
          <w:szCs w:val="24"/>
          <w:lang w:val="en-US"/>
        </w:rPr>
        <w:instrText>ADDIN CSL_CITATION {"citationItems":[{"id":"ITEM-1","itemData":{"DOI":"10.1249/MSS.0b013e3181c9228c","ISBN":"1530-0315 (Electronic)\\r0195-9131 (Linking)","ISSN":"01959131","PMID":"19997013","abstract":"PURPOSE: This study analyzed changes in neuromuscular, body composition, and endurance markers during 4 wk of tapering and subsequent 5 wk of reduced training (RT) or training cessation (TC). METHODS: Fourteen world-class kayakers were randomly assigned to either a TC (n = 7) or an RT group (n = 7). One-repetition maximum (1RM) strength, mean concentric velocity with 45% 1RM (V45%) in the bench press (BP) and prone bench pull (PBP) exercises, and body composition assessments were conducted at the start (T0) and end (T1) of a 43-wk training program, after tapering for the world championships (T2) and after TC or RT (T3). A graded exercise test on a kayak ergometer for determination of maximal oxygen uptake at T0, T1, and T3 was also performed. RESULTS: After tapering, no significant changes were observed in 1RM or V45%. TC resulted in significantly greater declines in 1RM strength (-8.9% and -7.8%, P &lt; 0.05, respectively, for BP and PBP) than those observed for RT (-3.9% and -3.4%). Decreases in V45% in BP and PBP were larger for TC (-12.6% and -10.0%) than for RT (-9.0% and -6.7%). Increases in sum of eight skinfolds were observed after both TC and RT, whereas declines in maximal aerobic power were lower for RT (-5.6%) than for TC (-11.3%). CONCLUSIONS: Short-term TC results in large decreases in maximal strength and especially V45% in highly trained athletes. These results suggest the need of performing a minimal maintenance program to avoid excessive declines in neuromuscular function in cases where a prolonged break from training is required.","author":[{"dropping-particle":"","family":"García-Pallarés","given":"Jesús","non-dropping-particle":"","parse-names":false,"suffix":""},{"dropping-particle":"","family":"Sánchez-Medina","given":"Luis","non-dropping-particle":"","parse-names":false,"suffix":""},{"dropping-particle":"","family":"Pérez","given":"Carlos Esteban","non-dropping-particle":"","parse-names":false,"suffix":""},{"dropping-particle":"","family":"Izquierdo-Gabarren","given":"Mikel","non-dropping-particle":"","parse-names":false,"suffix":""},{"dropping-particle":"","family":"Izquierdo","given":"Mikel","non-dropping-particle":"","parse-names":false,"suffix":""}],"container-title":"Medicine and Science in Sports and Exercise","id":"ITEM-1","issue":"6","issued":{"date-parts":[["2010"]]},"page":"1209-1214","publisher":"LWW","title":"Physiological effects of tapering and detraining in world-class kayakers","type":"article-journal","volume":"42"},"uris":["http://www.mendeley.com/documents/?uuid=f1ad2d72-6372-4ea9-ab6a-7f17fff0e6fd","http://www.mendeley.com/documents/?uuid=ed05f56e-ad2b-41f3-aeb4-32a0b14827e3"]}],"mendeley":{"formattedCitation":"(García-Pallarés, Sánchez-Medina, Pérez, Izquierdo-Gabarren, &amp; Izquierdo, 2010)","plainTextFormattedCitation":"(García-Pallarés, Sánchez-Medina, Pérez, Izquierdo-Gabarren, &amp; Izquierdo, 2010)","previouslyFormattedCitation":"(García-Pallarés, Sánchez-Medina, Pérez, Izquierdo-Gabarren, &amp; Izquierdo, 2010)"},"properties":{"noteIndex":0},"schema":"https://github.com/citation-style-language/schema/raw/master/csl-citation.json"}</w:instrText>
      </w:r>
      <w:r w:rsidR="009B36CB" w:rsidRPr="0021030B">
        <w:rPr>
          <w:rFonts w:cs="Times New Roman"/>
          <w:szCs w:val="24"/>
          <w:lang w:val="en-US"/>
        </w:rPr>
        <w:fldChar w:fldCharType="separate"/>
      </w:r>
      <w:r w:rsidR="005B0895" w:rsidRPr="0021030B">
        <w:rPr>
          <w:rFonts w:cs="Times New Roman"/>
          <w:noProof/>
          <w:szCs w:val="24"/>
          <w:lang w:val="en-US"/>
        </w:rPr>
        <w:t>(García-Pallarés, Sánchez-Medina, Pérez, Izquierdo-Gabarren, &amp; Izquierdo, 2010)</w:t>
      </w:r>
      <w:r w:rsidR="009B36CB" w:rsidRPr="0021030B">
        <w:rPr>
          <w:rFonts w:cs="Times New Roman"/>
          <w:szCs w:val="24"/>
          <w:lang w:val="en-US"/>
        </w:rPr>
        <w:fldChar w:fldCharType="end"/>
      </w:r>
      <w:r w:rsidR="009456D4" w:rsidRPr="0021030B">
        <w:rPr>
          <w:rFonts w:cs="Times New Roman"/>
          <w:szCs w:val="24"/>
          <w:lang w:val="en-US"/>
        </w:rPr>
        <w:t>.</w:t>
      </w:r>
      <w:r w:rsidR="00FE1889" w:rsidRPr="0021030B">
        <w:rPr>
          <w:rFonts w:cs="Times New Roman"/>
          <w:szCs w:val="24"/>
          <w:lang w:val="en-US"/>
        </w:rPr>
        <w:t xml:space="preserve"> </w:t>
      </w:r>
      <w:r w:rsidR="002B0C7B" w:rsidRPr="0021030B">
        <w:rPr>
          <w:rFonts w:cs="Times New Roman"/>
          <w:szCs w:val="24"/>
          <w:lang w:val="en-US"/>
        </w:rPr>
        <w:t xml:space="preserve">The </w:t>
      </w:r>
      <w:r w:rsidR="00180DE6" w:rsidRPr="0021030B">
        <w:rPr>
          <w:rFonts w:cs="Times New Roman"/>
          <w:szCs w:val="24"/>
          <w:lang w:val="en-US"/>
        </w:rPr>
        <w:t>fact</w:t>
      </w:r>
      <w:r w:rsidR="002B0C7B" w:rsidRPr="0021030B">
        <w:rPr>
          <w:rFonts w:cs="Times New Roman"/>
          <w:szCs w:val="24"/>
          <w:lang w:val="en-US"/>
        </w:rPr>
        <w:t xml:space="preserve"> that athletes were training at higher loads </w:t>
      </w:r>
      <w:r w:rsidR="004524B0" w:rsidRPr="0021030B">
        <w:rPr>
          <w:rFonts w:cs="Times New Roman"/>
          <w:szCs w:val="24"/>
          <w:lang w:val="en-US"/>
        </w:rPr>
        <w:t>(60-80%</w:t>
      </w:r>
      <w:r w:rsidR="009374C5" w:rsidRPr="0021030B">
        <w:rPr>
          <w:rFonts w:cs="Times New Roman"/>
          <w:szCs w:val="24"/>
          <w:lang w:val="en-US"/>
        </w:rPr>
        <w:t xml:space="preserve"> </w:t>
      </w:r>
      <w:r w:rsidR="004524B0" w:rsidRPr="0021030B">
        <w:rPr>
          <w:rFonts w:cs="Times New Roman"/>
          <w:szCs w:val="24"/>
          <w:lang w:val="en-US"/>
        </w:rPr>
        <w:t xml:space="preserve">1RM) </w:t>
      </w:r>
      <w:r w:rsidR="002B0C7B" w:rsidRPr="0021030B">
        <w:rPr>
          <w:rFonts w:cs="Times New Roman"/>
          <w:szCs w:val="24"/>
          <w:lang w:val="en-US"/>
        </w:rPr>
        <w:t>could expla</w:t>
      </w:r>
      <w:r w:rsidR="00180DE6" w:rsidRPr="0021030B">
        <w:rPr>
          <w:rFonts w:cs="Times New Roman"/>
          <w:szCs w:val="24"/>
          <w:lang w:val="en-US"/>
        </w:rPr>
        <w:t>i</w:t>
      </w:r>
      <w:r w:rsidR="002B0C7B" w:rsidRPr="0021030B">
        <w:rPr>
          <w:rFonts w:cs="Times New Roman"/>
          <w:szCs w:val="24"/>
          <w:lang w:val="en-US"/>
        </w:rPr>
        <w:t>n this particular negative impact on lower loads</w:t>
      </w:r>
      <w:r w:rsidR="00552C39" w:rsidRPr="0021030B">
        <w:rPr>
          <w:rFonts w:cs="Times New Roman"/>
          <w:szCs w:val="24"/>
          <w:lang w:val="en-US"/>
        </w:rPr>
        <w:t xml:space="preserve">, </w:t>
      </w:r>
      <w:r w:rsidR="00180DE6" w:rsidRPr="0021030B">
        <w:rPr>
          <w:rFonts w:cs="Times New Roman"/>
          <w:szCs w:val="24"/>
          <w:lang w:val="en-US"/>
        </w:rPr>
        <w:t>due to</w:t>
      </w:r>
      <w:r w:rsidR="00131345" w:rsidRPr="0021030B">
        <w:rPr>
          <w:rFonts w:cs="Times New Roman"/>
          <w:szCs w:val="24"/>
          <w:lang w:val="en-US"/>
        </w:rPr>
        <w:t xml:space="preserve"> greater adaptations </w:t>
      </w:r>
      <w:r w:rsidR="00180DE6" w:rsidRPr="0021030B">
        <w:rPr>
          <w:rFonts w:cs="Times New Roman"/>
          <w:szCs w:val="24"/>
          <w:lang w:val="en-US"/>
        </w:rPr>
        <w:t>following</w:t>
      </w:r>
      <w:r w:rsidR="00131345" w:rsidRPr="0021030B">
        <w:rPr>
          <w:rFonts w:cs="Times New Roman"/>
          <w:szCs w:val="24"/>
          <w:lang w:val="en-US"/>
        </w:rPr>
        <w:t xml:space="preserve"> regular exposure to heavy loads </w:t>
      </w:r>
      <w:r w:rsidR="00131345" w:rsidRPr="0021030B">
        <w:rPr>
          <w:rFonts w:cs="Times New Roman"/>
          <w:szCs w:val="24"/>
          <w:lang w:val="en-US"/>
        </w:rPr>
        <w:fldChar w:fldCharType="begin" w:fldLock="1"/>
      </w:r>
      <w:r w:rsidR="00E42B44" w:rsidRPr="0021030B">
        <w:rPr>
          <w:rFonts w:cs="Times New Roman"/>
          <w:szCs w:val="24"/>
          <w:lang w:val="en-US"/>
        </w:rPr>
        <w:instrText>ADDIN CSL_CITATION {"citationItems":[{"id":"ITEM-1","itemData":{"DOI":"10.2165/00007256-200434100-00004","ISBN":"0112-1642 (Print)\\r0112-1642","ISSN":"01121642","PMID":"15335243","abstract":"Although many training variables contribute to the performance, cellular and molecular adaptations to resistance exercise, relative intensity (% 1 repetition maximum [%1RM]) appears to be an important factor. This review summarises and analyses data from numerous resistance exercise training studies that have monitored percentage fibre type, fibre type cross-sectional areas, percentage cross-sectional areas, and myosin heavy chain (MHC) isoform expression. In general, relative intensity appears to account for 18–35% of the variance for the hypertrophy response to resistance exercise. On the other hand, fibre type and MHC transitions were not related to the relative intensity used for training. When competitive lifters were compared, those typically utilising the heaviest loads (≥90% 1RM), that is weightlifters and powerlifters, exhibited a preferential hypertrophy of type II fibres when compared with body builders who appear to equally hypertrophy both type I and type II fibres. These data suggest that maximal hypertrophy occurs with loads from 80–95% 1RM","author":[{"dropping-particle":"","family":"Fry","given":"Andrew C.","non-dropping-particle":"","parse-names":false,"suffix":""}],"container-title":"Sports Medicine","id":"ITEM-1","issue":"10","issued":{"date-parts":[["2004"]]},"page":"663-679","publisher":"Springer International Publishing","title":"The role of resistance exercise intensity on muscle fibre adaptations","type":"article-journal","volume":"34"},"uris":["http://www.mendeley.com/documents/?uuid=4a19eac9-80c4-37f3-aa4f-027e8f13f301","http://www.mendeley.com/documents/?uuid=1aa1fe8d-0b50-4481-8f20-41fbafc4c005"]}],"mendeley":{"formattedCitation":"(Fry, 2004)","plainTextFormattedCitation":"(Fry, 2004)","previouslyFormattedCitation":"(Fry, 2004)"},"properties":{"noteIndex":0},"schema":"https://github.com/citation-style-language/schema/raw/master/csl-citation.json"}</w:instrText>
      </w:r>
      <w:r w:rsidR="00131345" w:rsidRPr="0021030B">
        <w:rPr>
          <w:rFonts w:cs="Times New Roman"/>
          <w:szCs w:val="24"/>
          <w:lang w:val="en-US"/>
        </w:rPr>
        <w:fldChar w:fldCharType="separate"/>
      </w:r>
      <w:r w:rsidR="00E42B44" w:rsidRPr="0021030B">
        <w:rPr>
          <w:rFonts w:cs="Times New Roman"/>
          <w:noProof/>
          <w:szCs w:val="24"/>
          <w:lang w:val="en-US"/>
        </w:rPr>
        <w:t>(Fry, 2004)</w:t>
      </w:r>
      <w:r w:rsidR="00131345" w:rsidRPr="0021030B">
        <w:rPr>
          <w:rFonts w:cs="Times New Roman"/>
          <w:szCs w:val="24"/>
          <w:lang w:val="en-US"/>
        </w:rPr>
        <w:fldChar w:fldCharType="end"/>
      </w:r>
      <w:r w:rsidR="0022014E" w:rsidRPr="0021030B">
        <w:rPr>
          <w:rFonts w:cs="Times New Roman"/>
          <w:szCs w:val="24"/>
          <w:lang w:val="en-US"/>
        </w:rPr>
        <w:t>.</w:t>
      </w:r>
      <w:r w:rsidR="002B0C7B" w:rsidRPr="0021030B">
        <w:rPr>
          <w:rFonts w:cs="Times New Roman"/>
          <w:szCs w:val="24"/>
          <w:lang w:val="en-US"/>
        </w:rPr>
        <w:t xml:space="preserve"> </w:t>
      </w:r>
      <w:r w:rsidR="00FE1889" w:rsidRPr="0021030B">
        <w:rPr>
          <w:rFonts w:cs="Times New Roman"/>
          <w:szCs w:val="24"/>
          <w:lang w:val="en-US"/>
        </w:rPr>
        <w:t xml:space="preserve">In addition, we </w:t>
      </w:r>
      <w:r w:rsidR="00A0320B" w:rsidRPr="0021030B">
        <w:rPr>
          <w:rFonts w:cs="Times New Roman"/>
          <w:szCs w:val="24"/>
          <w:lang w:val="en-US"/>
        </w:rPr>
        <w:t>reported for the first time</w:t>
      </w:r>
      <w:r w:rsidR="00FE1889" w:rsidRPr="0021030B">
        <w:rPr>
          <w:rFonts w:cs="Times New Roman"/>
          <w:szCs w:val="24"/>
          <w:lang w:val="en-US"/>
        </w:rPr>
        <w:t xml:space="preserve"> reductions in functional performance</w:t>
      </w:r>
      <w:r w:rsidR="003C4B9C" w:rsidRPr="0021030B">
        <w:rPr>
          <w:rFonts w:cs="Times New Roman"/>
          <w:szCs w:val="24"/>
          <w:lang w:val="en-US"/>
        </w:rPr>
        <w:t xml:space="preserve">, finding </w:t>
      </w:r>
      <w:r w:rsidR="00BA30DA" w:rsidRPr="0021030B">
        <w:rPr>
          <w:rFonts w:cs="Times New Roman"/>
          <w:szCs w:val="24"/>
          <w:lang w:val="en-US"/>
        </w:rPr>
        <w:t>~</w:t>
      </w:r>
      <w:r w:rsidR="003C4B9C" w:rsidRPr="0021030B">
        <w:rPr>
          <w:rFonts w:cs="Times New Roman"/>
          <w:szCs w:val="24"/>
          <w:lang w:val="en-US"/>
        </w:rPr>
        <w:t>1.</w:t>
      </w:r>
      <w:r w:rsidR="00BA30DA" w:rsidRPr="0021030B">
        <w:rPr>
          <w:rFonts w:cs="Times New Roman"/>
          <w:szCs w:val="24"/>
          <w:lang w:val="en-US"/>
        </w:rPr>
        <w:t>3</w:t>
      </w:r>
      <w:r w:rsidR="003C4B9C" w:rsidRPr="0021030B">
        <w:rPr>
          <w:rFonts w:cs="Times New Roman"/>
          <w:szCs w:val="24"/>
          <w:lang w:val="en-US"/>
        </w:rPr>
        <w:t xml:space="preserve"> cm</w:t>
      </w:r>
      <w:r w:rsidR="005D1916" w:rsidRPr="0021030B">
        <w:rPr>
          <w:rFonts w:cs="Times New Roman"/>
          <w:szCs w:val="24"/>
          <w:lang w:val="en-US"/>
        </w:rPr>
        <w:t xml:space="preserve"> </w:t>
      </w:r>
      <w:r w:rsidR="003C4B9C" w:rsidRPr="0021030B">
        <w:rPr>
          <w:rFonts w:cs="Times New Roman"/>
          <w:szCs w:val="24"/>
          <w:lang w:val="en-US"/>
        </w:rPr>
        <w:t xml:space="preserve">less </w:t>
      </w:r>
      <w:r w:rsidR="003C4B9C" w:rsidRPr="0021030B">
        <w:rPr>
          <w:rFonts w:cs="Times New Roman"/>
          <w:szCs w:val="24"/>
          <w:lang w:val="en-US"/>
        </w:rPr>
        <w:lastRenderedPageBreak/>
        <w:t xml:space="preserve">jumping height </w:t>
      </w:r>
      <w:r w:rsidR="00BA30DA" w:rsidRPr="0021030B">
        <w:rPr>
          <w:rFonts w:cs="Times New Roman"/>
          <w:szCs w:val="24"/>
          <w:lang w:val="en-US"/>
        </w:rPr>
        <w:t xml:space="preserve">and </w:t>
      </w:r>
      <w:r w:rsidR="00062815" w:rsidRPr="0021030B">
        <w:rPr>
          <w:rFonts w:cs="Times New Roman"/>
          <w:szCs w:val="24"/>
          <w:lang w:val="en-US"/>
        </w:rPr>
        <w:t xml:space="preserve">0.5 s slower sprinting </w:t>
      </w:r>
      <w:r w:rsidR="00A0320B" w:rsidRPr="0021030B">
        <w:rPr>
          <w:rFonts w:cs="Times New Roman"/>
          <w:szCs w:val="24"/>
          <w:lang w:val="en-US"/>
        </w:rPr>
        <w:t>after 10-week detraining</w:t>
      </w:r>
      <w:r w:rsidR="00EF5518" w:rsidRPr="0021030B">
        <w:rPr>
          <w:rFonts w:cs="Times New Roman"/>
          <w:szCs w:val="24"/>
          <w:lang w:val="en-US"/>
        </w:rPr>
        <w:t>.</w:t>
      </w:r>
      <w:r w:rsidR="00BA30DA" w:rsidRPr="0021030B">
        <w:rPr>
          <w:rFonts w:cs="Times New Roman"/>
          <w:szCs w:val="24"/>
          <w:lang w:val="en-US"/>
        </w:rPr>
        <w:t xml:space="preserve"> </w:t>
      </w:r>
      <w:r w:rsidR="002106D3" w:rsidRPr="0021030B">
        <w:rPr>
          <w:rFonts w:cs="Times New Roman"/>
          <w:szCs w:val="24"/>
          <w:lang w:val="en-US"/>
        </w:rPr>
        <w:t xml:space="preserve">These </w:t>
      </w:r>
      <w:r w:rsidR="006920DA" w:rsidRPr="0021030B">
        <w:rPr>
          <w:rFonts w:cs="Times New Roman"/>
          <w:szCs w:val="24"/>
          <w:lang w:val="en-US"/>
        </w:rPr>
        <w:t xml:space="preserve">results </w:t>
      </w:r>
      <w:r w:rsidR="0016725C" w:rsidRPr="0021030B">
        <w:rPr>
          <w:rFonts w:cs="Times New Roman"/>
          <w:szCs w:val="24"/>
          <w:lang w:val="en-US"/>
        </w:rPr>
        <w:t xml:space="preserve">highlight </w:t>
      </w:r>
      <w:r w:rsidR="006920DA" w:rsidRPr="0021030B">
        <w:rPr>
          <w:rFonts w:cs="Times New Roman"/>
          <w:szCs w:val="24"/>
          <w:lang w:val="en-US"/>
        </w:rPr>
        <w:t xml:space="preserve">the </w:t>
      </w:r>
      <w:r w:rsidR="0016725C" w:rsidRPr="0021030B">
        <w:rPr>
          <w:rFonts w:cs="Times New Roman"/>
          <w:szCs w:val="24"/>
          <w:lang w:val="en-US"/>
        </w:rPr>
        <w:t>importance</w:t>
      </w:r>
      <w:r w:rsidR="006920DA" w:rsidRPr="0021030B">
        <w:rPr>
          <w:rFonts w:cs="Times New Roman"/>
          <w:szCs w:val="24"/>
          <w:lang w:val="en-US"/>
        </w:rPr>
        <w:t xml:space="preserve"> of maintaining </w:t>
      </w:r>
      <w:r w:rsidR="0089244E" w:rsidRPr="0021030B">
        <w:rPr>
          <w:rFonts w:cs="Times New Roman"/>
          <w:szCs w:val="24"/>
          <w:lang w:val="en-US"/>
        </w:rPr>
        <w:t>RT program</w:t>
      </w:r>
      <w:r w:rsidR="00AB7E5B" w:rsidRPr="0021030B">
        <w:rPr>
          <w:rFonts w:cs="Times New Roman"/>
          <w:szCs w:val="24"/>
          <w:lang w:val="en-US"/>
        </w:rPr>
        <w:t>s</w:t>
      </w:r>
      <w:r w:rsidR="0016725C" w:rsidRPr="0021030B">
        <w:rPr>
          <w:rFonts w:cs="Times New Roman"/>
          <w:szCs w:val="24"/>
          <w:lang w:val="en-US"/>
        </w:rPr>
        <w:t xml:space="preserve"> </w:t>
      </w:r>
      <w:r w:rsidR="006920DA" w:rsidRPr="0021030B">
        <w:rPr>
          <w:rFonts w:cs="Times New Roman"/>
          <w:szCs w:val="24"/>
          <w:lang w:val="en-US"/>
        </w:rPr>
        <w:t>during transition periods</w:t>
      </w:r>
      <w:r w:rsidR="0016725C" w:rsidRPr="0021030B">
        <w:rPr>
          <w:rFonts w:cs="Times New Roman"/>
          <w:szCs w:val="24"/>
          <w:lang w:val="en-US"/>
        </w:rPr>
        <w:t xml:space="preserve"> </w:t>
      </w:r>
      <w:r w:rsidR="006920DA" w:rsidRPr="0021030B">
        <w:rPr>
          <w:rFonts w:cs="Times New Roman"/>
          <w:szCs w:val="24"/>
          <w:lang w:val="en-US"/>
        </w:rPr>
        <w:t xml:space="preserve">to minimize </w:t>
      </w:r>
      <w:r w:rsidR="0089244E" w:rsidRPr="0021030B">
        <w:rPr>
          <w:rFonts w:cs="Times New Roman"/>
          <w:szCs w:val="24"/>
          <w:lang w:val="en-US"/>
        </w:rPr>
        <w:t>excessive declines in neuromuscular and functional performance</w:t>
      </w:r>
      <w:r w:rsidR="006A1D98" w:rsidRPr="0021030B">
        <w:rPr>
          <w:rFonts w:cs="Times New Roman"/>
          <w:szCs w:val="24"/>
          <w:lang w:val="en-US"/>
        </w:rPr>
        <w:t xml:space="preserve"> </w:t>
      </w:r>
      <w:r w:rsidR="006A1D98" w:rsidRPr="0021030B">
        <w:rPr>
          <w:rFonts w:cs="Times New Roman"/>
          <w:szCs w:val="24"/>
          <w:lang w:val="en-US"/>
        </w:rPr>
        <w:fldChar w:fldCharType="begin" w:fldLock="1"/>
      </w:r>
      <w:r w:rsidR="00E42B44" w:rsidRPr="0021030B">
        <w:rPr>
          <w:rFonts w:cs="Times New Roman"/>
          <w:szCs w:val="24"/>
          <w:lang w:val="en-US"/>
        </w:rPr>
        <w:instrText>ADDIN CSL_CITATION {"citationItems":[{"id":"ITEM-1","itemData":{"DOI":"10.1249/MSS.0b013e3181c9228c","ISBN":"1530-0315 (Electronic)\\r0195-9131 (Linking)","ISSN":"01959131","PMID":"19997013","abstract":"PURPOSE: This study analyzed changes in neuromuscular, body composition, and endurance markers during 4 wk of tapering and subsequent 5 wk of reduced training (RT) or training cessation (TC). METHODS: Fourteen world-class kayakers were randomly assigned to either a TC (n = 7) or an RT group (n = 7). One-repetition maximum (1RM) strength, mean concentric velocity with 45% 1RM (V45%) in the bench press (BP) and prone bench pull (PBP) exercises, and body composition assessments were conducted at the start (T0) and end (T1) of a 43-wk training program, after tapering for the world championships (T2) and after TC or RT (T3). A graded exercise test on a kayak ergometer for determination of maximal oxygen uptake at T0, T1, and T3 was also performed. RESULTS: After tapering, no significant changes were observed in 1RM or V45%. TC resulted in significantly greater declines in 1RM strength (-8.9% and -7.8%, P &lt; 0.05, respectively, for BP and PBP) than those observed for RT (-3.9% and -3.4%). Decreases in V45% in BP and PBP were larger for TC (-12.6% and -10.0%) than for RT (-9.0% and -6.7%). Increases in sum of eight skinfolds were observed after both TC and RT, whereas declines in maximal aerobic power were lower for RT (-5.6%) than for TC (-11.3%). CONCLUSIONS: Short-term TC results in large decreases in maximal strength and especially V45% in highly trained athletes. These results suggest the need of performing a minimal maintenance program to avoid excessive declines in neuromuscular function in cases where a prolonged break from training is required.","author":[{"dropping-particle":"","family":"García-Pallarés","given":"Jesús","non-dropping-particle":"","parse-names":false,"suffix":""},{"dropping-particle":"","family":"Sánchez-Medina","given":"Luis","non-dropping-particle":"","parse-names":false,"suffix":""},{"dropping-particle":"","family":"Pérez","given":"Carlos Esteban","non-dropping-particle":"","parse-names":false,"suffix":""},{"dropping-particle":"","family":"Izquierdo-Gabarren","given":"Mikel","non-dropping-particle":"","parse-names":false,"suffix":""},{"dropping-particle":"","family":"Izquierdo","given":"Mikel","non-dropping-particle":"","parse-names":false,"suffix":""}],"container-title":"Medicine and Science in Sports and Exercise","id":"ITEM-1","issue":"6","issued":{"date-parts":[["2010"]]},"page":"1209-1214","publisher":"LWW","title":"Physiological effects of tapering and detraining in world-class kayakers","type":"article-journal","volume":"42"},"uris":["http://www.mendeley.com/documents/?uuid=ed05f56e-ad2b-41f3-aeb4-32a0b14827e3"]}],"mendeley":{"formattedCitation":"(García-Pallarés et al., 2010)","plainTextFormattedCitation":"(García-Pallarés et al., 2010)","previouslyFormattedCitation":"(García-Pallarés et al., 2010)"},"properties":{"noteIndex":0},"schema":"https://github.com/citation-style-language/schema/raw/master/csl-citation.json"}</w:instrText>
      </w:r>
      <w:r w:rsidR="006A1D98" w:rsidRPr="0021030B">
        <w:rPr>
          <w:rFonts w:cs="Times New Roman"/>
          <w:szCs w:val="24"/>
          <w:lang w:val="en-US"/>
        </w:rPr>
        <w:fldChar w:fldCharType="separate"/>
      </w:r>
      <w:r w:rsidR="00E42B44" w:rsidRPr="0021030B">
        <w:rPr>
          <w:rFonts w:cs="Times New Roman"/>
          <w:noProof/>
          <w:szCs w:val="24"/>
          <w:lang w:val="en-US"/>
        </w:rPr>
        <w:t>(García-Pallarés et al., 2010)</w:t>
      </w:r>
      <w:r w:rsidR="006A1D98" w:rsidRPr="0021030B">
        <w:rPr>
          <w:rFonts w:cs="Times New Roman"/>
          <w:szCs w:val="24"/>
          <w:lang w:val="en-US"/>
        </w:rPr>
        <w:fldChar w:fldCharType="end"/>
      </w:r>
      <w:r w:rsidR="006A1D98" w:rsidRPr="0021030B">
        <w:rPr>
          <w:rFonts w:cs="Times New Roman"/>
          <w:szCs w:val="24"/>
          <w:lang w:val="en-US"/>
        </w:rPr>
        <w:t>.</w:t>
      </w:r>
      <w:r w:rsidR="008235ED" w:rsidRPr="0021030B">
        <w:rPr>
          <w:rFonts w:cs="Times New Roman"/>
          <w:szCs w:val="24"/>
          <w:lang w:val="en-US"/>
        </w:rPr>
        <w:t xml:space="preserve"> </w:t>
      </w:r>
    </w:p>
    <w:p w14:paraId="0D24E6E8" w14:textId="59464C25" w:rsidR="005B25B3" w:rsidRPr="0021030B" w:rsidRDefault="00F548FE" w:rsidP="00F548FE">
      <w:pPr>
        <w:spacing w:line="480" w:lineRule="auto"/>
        <w:ind w:firstLine="708"/>
        <w:rPr>
          <w:rFonts w:cs="Times New Roman"/>
          <w:szCs w:val="24"/>
          <w:lang w:val="en-US"/>
        </w:rPr>
      </w:pPr>
      <w:r w:rsidRPr="0021030B">
        <w:rPr>
          <w:rFonts w:cs="Times New Roman"/>
          <w:szCs w:val="24"/>
          <w:lang w:val="en-US"/>
        </w:rPr>
        <w:t xml:space="preserve">In conclusion, </w:t>
      </w:r>
      <w:r w:rsidR="00D4283C" w:rsidRPr="0021030B">
        <w:rPr>
          <w:rFonts w:cs="Times New Roman"/>
          <w:szCs w:val="24"/>
          <w:lang w:val="en-US"/>
        </w:rPr>
        <w:t>F-SQ and P-SQ are the safe</w:t>
      </w:r>
      <w:r w:rsidR="007117F4" w:rsidRPr="0021030B">
        <w:rPr>
          <w:rFonts w:cs="Times New Roman"/>
          <w:szCs w:val="24"/>
          <w:lang w:val="en-US"/>
        </w:rPr>
        <w:t>st</w:t>
      </w:r>
      <w:r w:rsidR="00D4283C" w:rsidRPr="0021030B">
        <w:rPr>
          <w:rFonts w:cs="Times New Roman"/>
          <w:szCs w:val="24"/>
          <w:lang w:val="en-US"/>
        </w:rPr>
        <w:t xml:space="preserve"> and </w:t>
      </w:r>
      <w:r w:rsidR="007117F4" w:rsidRPr="0021030B">
        <w:rPr>
          <w:rFonts w:cs="Times New Roman"/>
          <w:szCs w:val="24"/>
          <w:lang w:val="en-US"/>
        </w:rPr>
        <w:t>most</w:t>
      </w:r>
      <w:r w:rsidR="00D4283C" w:rsidRPr="0021030B">
        <w:rPr>
          <w:rFonts w:cs="Times New Roman"/>
          <w:szCs w:val="24"/>
          <w:lang w:val="en-US"/>
        </w:rPr>
        <w:t xml:space="preserve"> effective</w:t>
      </w:r>
      <w:r w:rsidR="00E10D83" w:rsidRPr="0021030B">
        <w:rPr>
          <w:rFonts w:cs="Times New Roman"/>
          <w:szCs w:val="24"/>
          <w:lang w:val="en-US"/>
        </w:rPr>
        <w:t xml:space="preserve"> </w:t>
      </w:r>
      <w:r w:rsidR="00D4283C" w:rsidRPr="0021030B">
        <w:rPr>
          <w:rFonts w:cs="Times New Roman"/>
          <w:szCs w:val="24"/>
          <w:lang w:val="en-US"/>
        </w:rPr>
        <w:t>exercises to improve strength</w:t>
      </w:r>
      <w:r w:rsidR="00791F64" w:rsidRPr="0021030B">
        <w:rPr>
          <w:rFonts w:cs="Times New Roman"/>
          <w:szCs w:val="24"/>
          <w:lang w:val="en-US"/>
        </w:rPr>
        <w:t xml:space="preserve"> and functional performance</w:t>
      </w:r>
      <w:r w:rsidR="00D4283C" w:rsidRPr="0021030B">
        <w:rPr>
          <w:rFonts w:cs="Times New Roman"/>
          <w:szCs w:val="24"/>
          <w:lang w:val="en-US"/>
        </w:rPr>
        <w:t xml:space="preserve"> in well-trained athletes</w:t>
      </w:r>
      <w:r w:rsidR="00E10D83" w:rsidRPr="0021030B">
        <w:rPr>
          <w:rFonts w:cs="Times New Roman"/>
          <w:szCs w:val="24"/>
          <w:lang w:val="en-US"/>
        </w:rPr>
        <w:t xml:space="preserve">. </w:t>
      </w:r>
      <w:r w:rsidR="00EF6949" w:rsidRPr="0021030B">
        <w:rPr>
          <w:rFonts w:cs="Times New Roman"/>
          <w:szCs w:val="24"/>
          <w:lang w:val="en-US"/>
        </w:rPr>
        <w:t xml:space="preserve">In turn, </w:t>
      </w:r>
      <w:r w:rsidR="00E10D83" w:rsidRPr="0021030B">
        <w:rPr>
          <w:rFonts w:cs="Times New Roman"/>
          <w:szCs w:val="24"/>
          <w:lang w:val="en-US"/>
        </w:rPr>
        <w:t xml:space="preserve">H-SQ produced </w:t>
      </w:r>
      <w:r w:rsidR="00EF6949" w:rsidRPr="0021030B">
        <w:rPr>
          <w:rFonts w:cs="Times New Roman"/>
          <w:szCs w:val="24"/>
          <w:lang w:val="en-US"/>
        </w:rPr>
        <w:t>limited improvements while increasing the pain and discomfort after continued training.</w:t>
      </w:r>
      <w:r w:rsidR="004B761D" w:rsidRPr="0021030B">
        <w:rPr>
          <w:rFonts w:cs="Times New Roman"/>
          <w:szCs w:val="24"/>
          <w:lang w:val="en-US"/>
        </w:rPr>
        <w:t xml:space="preserve"> </w:t>
      </w:r>
      <w:r w:rsidR="005B0895" w:rsidRPr="0021030B">
        <w:rPr>
          <w:rFonts w:cs="Times New Roman"/>
          <w:szCs w:val="24"/>
          <w:lang w:val="en-US"/>
        </w:rPr>
        <w:t>These findings</w:t>
      </w:r>
      <w:r w:rsidR="008078EE" w:rsidRPr="0021030B">
        <w:rPr>
          <w:rFonts w:cs="Times New Roman"/>
          <w:szCs w:val="24"/>
          <w:lang w:val="en-US"/>
        </w:rPr>
        <w:t xml:space="preserve"> </w:t>
      </w:r>
      <w:r w:rsidR="008030A5" w:rsidRPr="0021030B">
        <w:rPr>
          <w:rFonts w:cs="Times New Roman"/>
          <w:szCs w:val="24"/>
          <w:lang w:val="en-US"/>
        </w:rPr>
        <w:t>questioned</w:t>
      </w:r>
      <w:r w:rsidR="00BD7090" w:rsidRPr="0021030B">
        <w:rPr>
          <w:rFonts w:cs="Times New Roman"/>
          <w:szCs w:val="24"/>
          <w:lang w:val="en-US"/>
        </w:rPr>
        <w:t xml:space="preserve"> </w:t>
      </w:r>
      <w:r w:rsidR="00D83905" w:rsidRPr="0021030B">
        <w:rPr>
          <w:rFonts w:cs="Times New Roman"/>
          <w:szCs w:val="24"/>
          <w:lang w:val="en-US"/>
        </w:rPr>
        <w:t>the recommendation that</w:t>
      </w:r>
      <w:r w:rsidR="00BD7090" w:rsidRPr="0021030B">
        <w:rPr>
          <w:rFonts w:cs="Times New Roman"/>
          <w:szCs w:val="24"/>
          <w:lang w:val="en-US"/>
        </w:rPr>
        <w:t xml:space="preserve"> </w:t>
      </w:r>
      <w:r w:rsidR="00D83905" w:rsidRPr="0021030B">
        <w:rPr>
          <w:rFonts w:cs="Times New Roman"/>
          <w:szCs w:val="24"/>
          <w:lang w:val="en-US"/>
        </w:rPr>
        <w:t xml:space="preserve">greater </w:t>
      </w:r>
      <w:r w:rsidR="00BD7090" w:rsidRPr="0021030B">
        <w:rPr>
          <w:rFonts w:cs="Times New Roman"/>
          <w:szCs w:val="24"/>
          <w:lang w:val="en-US"/>
        </w:rPr>
        <w:t>improvement and adaptations occur at the specific angle and ROM of training</w:t>
      </w:r>
      <w:r w:rsidR="00D83905" w:rsidRPr="0021030B">
        <w:rPr>
          <w:rFonts w:cs="Times New Roman"/>
          <w:szCs w:val="24"/>
          <w:lang w:val="en-US"/>
        </w:rPr>
        <w:t>.</w:t>
      </w:r>
      <w:r w:rsidR="00FC7425" w:rsidRPr="0021030B">
        <w:rPr>
          <w:rFonts w:cs="Times New Roman"/>
          <w:szCs w:val="24"/>
          <w:lang w:val="en-US"/>
        </w:rPr>
        <w:t xml:space="preserve"> </w:t>
      </w:r>
      <w:r w:rsidR="00640DD5" w:rsidRPr="0021030B">
        <w:rPr>
          <w:rFonts w:cs="Times New Roman"/>
          <w:szCs w:val="24"/>
          <w:lang w:val="en-US"/>
        </w:rPr>
        <w:t xml:space="preserve">This is the first </w:t>
      </w:r>
      <w:r w:rsidR="008235ED" w:rsidRPr="0021030B">
        <w:rPr>
          <w:rFonts w:cs="Times New Roman"/>
          <w:szCs w:val="24"/>
          <w:lang w:val="en-US"/>
        </w:rPr>
        <w:t>study</w:t>
      </w:r>
      <w:r w:rsidR="00640DD5" w:rsidRPr="0021030B">
        <w:rPr>
          <w:rFonts w:cs="Times New Roman"/>
          <w:szCs w:val="24"/>
          <w:lang w:val="en-US"/>
        </w:rPr>
        <w:t xml:space="preserve"> </w:t>
      </w:r>
      <w:r w:rsidR="0087453A" w:rsidRPr="0021030B">
        <w:rPr>
          <w:rFonts w:cs="Times New Roman"/>
          <w:szCs w:val="24"/>
          <w:lang w:val="en-US"/>
        </w:rPr>
        <w:t>combining velocity-based assessment</w:t>
      </w:r>
      <w:r w:rsidR="005B25B3" w:rsidRPr="0021030B">
        <w:rPr>
          <w:rFonts w:cs="Times New Roman"/>
          <w:szCs w:val="24"/>
          <w:lang w:val="en-US"/>
        </w:rPr>
        <w:t xml:space="preserve"> </w:t>
      </w:r>
      <w:r w:rsidR="002539FD" w:rsidRPr="0021030B">
        <w:rPr>
          <w:rFonts w:cs="Times New Roman"/>
          <w:szCs w:val="24"/>
          <w:lang w:val="en-US"/>
        </w:rPr>
        <w:t>and spinal curvature evaluation</w:t>
      </w:r>
      <w:r w:rsidR="005B0895" w:rsidRPr="0021030B">
        <w:rPr>
          <w:rFonts w:cs="Times New Roman"/>
          <w:szCs w:val="24"/>
          <w:lang w:val="en-US"/>
        </w:rPr>
        <w:t xml:space="preserve"> </w:t>
      </w:r>
      <w:r w:rsidR="00640DD5" w:rsidRPr="0021030B">
        <w:rPr>
          <w:rFonts w:cs="Times New Roman"/>
          <w:szCs w:val="24"/>
          <w:lang w:val="en-US"/>
        </w:rPr>
        <w:t>during a prolonged RT intervention</w:t>
      </w:r>
      <w:r w:rsidR="00307BA9" w:rsidRPr="0021030B">
        <w:rPr>
          <w:rFonts w:cs="Times New Roman"/>
          <w:szCs w:val="24"/>
          <w:lang w:val="en-US"/>
        </w:rPr>
        <w:t>.</w:t>
      </w:r>
      <w:r w:rsidR="005843EA" w:rsidRPr="0021030B">
        <w:rPr>
          <w:rFonts w:cs="Times New Roman"/>
          <w:szCs w:val="24"/>
          <w:lang w:val="en-US"/>
        </w:rPr>
        <w:t xml:space="preserve"> </w:t>
      </w:r>
      <w:r w:rsidR="00640DD5" w:rsidRPr="0021030B">
        <w:rPr>
          <w:rFonts w:cs="Times New Roman"/>
          <w:szCs w:val="24"/>
          <w:lang w:val="en-US"/>
        </w:rPr>
        <w:t>The thoroughness of this work encourage</w:t>
      </w:r>
      <w:r w:rsidR="002927F3" w:rsidRPr="0021030B">
        <w:rPr>
          <w:rFonts w:cs="Times New Roman"/>
          <w:szCs w:val="24"/>
          <w:lang w:val="en-US"/>
        </w:rPr>
        <w:t>s</w:t>
      </w:r>
      <w:r w:rsidR="00640DD5" w:rsidRPr="0021030B">
        <w:rPr>
          <w:rFonts w:cs="Times New Roman"/>
          <w:szCs w:val="24"/>
          <w:lang w:val="en-US"/>
        </w:rPr>
        <w:t xml:space="preserve"> future studies </w:t>
      </w:r>
      <w:r w:rsidR="008235ED" w:rsidRPr="0021030B">
        <w:rPr>
          <w:rFonts w:cs="Times New Roman"/>
          <w:szCs w:val="24"/>
          <w:lang w:val="en-US"/>
        </w:rPr>
        <w:t>to test</w:t>
      </w:r>
      <w:r w:rsidR="00640DD5" w:rsidRPr="0021030B">
        <w:rPr>
          <w:rFonts w:cs="Times New Roman"/>
          <w:szCs w:val="24"/>
          <w:lang w:val="en-US"/>
        </w:rPr>
        <w:t xml:space="preserve"> </w:t>
      </w:r>
      <w:r w:rsidR="00415181" w:rsidRPr="0021030B">
        <w:rPr>
          <w:rFonts w:cs="Times New Roman"/>
          <w:szCs w:val="24"/>
          <w:lang w:val="en-US"/>
        </w:rPr>
        <w:t xml:space="preserve">SQ </w:t>
      </w:r>
      <w:r w:rsidR="00640DD5" w:rsidRPr="0021030B">
        <w:rPr>
          <w:rFonts w:cs="Times New Roman"/>
          <w:szCs w:val="24"/>
          <w:lang w:val="en-US"/>
        </w:rPr>
        <w:t>using these methods.</w:t>
      </w:r>
    </w:p>
    <w:p w14:paraId="13C611B3" w14:textId="056E0EBE" w:rsidR="00BF0EB0" w:rsidRPr="0021030B" w:rsidRDefault="00BF0EB0" w:rsidP="00DA6D44">
      <w:pPr>
        <w:spacing w:line="360" w:lineRule="auto"/>
        <w:rPr>
          <w:rFonts w:cs="Times New Roman"/>
          <w:b/>
          <w:sz w:val="20"/>
          <w:szCs w:val="20"/>
          <w:lang w:val="en-US"/>
        </w:rPr>
      </w:pPr>
    </w:p>
    <w:p w14:paraId="0EA3942A" w14:textId="60B8273C" w:rsidR="001018D0" w:rsidRPr="0021030B" w:rsidRDefault="009B55C8" w:rsidP="00DA6D44">
      <w:pPr>
        <w:spacing w:line="360" w:lineRule="auto"/>
        <w:rPr>
          <w:rFonts w:cs="Times New Roman"/>
          <w:b/>
          <w:szCs w:val="20"/>
          <w:lang w:val="en-US"/>
        </w:rPr>
      </w:pPr>
      <w:r w:rsidRPr="0021030B">
        <w:rPr>
          <w:rFonts w:cs="Times New Roman"/>
          <w:b/>
          <w:szCs w:val="20"/>
          <w:lang w:val="en-US"/>
        </w:rPr>
        <w:t>References</w:t>
      </w:r>
    </w:p>
    <w:p w14:paraId="1CFDE3FB" w14:textId="0C42DC67" w:rsidR="00433385" w:rsidRPr="0021030B" w:rsidRDefault="0003706C" w:rsidP="00433385">
      <w:pPr>
        <w:widowControl w:val="0"/>
        <w:autoSpaceDE w:val="0"/>
        <w:autoSpaceDN w:val="0"/>
        <w:adjustRightInd w:val="0"/>
        <w:spacing w:line="240" w:lineRule="auto"/>
        <w:ind w:left="480" w:hanging="480"/>
        <w:rPr>
          <w:rFonts w:cs="Times New Roman"/>
          <w:noProof/>
          <w:szCs w:val="24"/>
        </w:rPr>
      </w:pPr>
      <w:r w:rsidRPr="0021030B">
        <w:rPr>
          <w:rFonts w:cs="Times New Roman"/>
          <w:b/>
          <w:szCs w:val="20"/>
          <w:lang w:val="en-US"/>
        </w:rPr>
        <w:fldChar w:fldCharType="begin" w:fldLock="1"/>
      </w:r>
      <w:r w:rsidRPr="0021030B">
        <w:rPr>
          <w:rFonts w:cs="Times New Roman"/>
          <w:b/>
          <w:szCs w:val="20"/>
          <w:lang w:val="en-US"/>
        </w:rPr>
        <w:instrText xml:space="preserve">ADDIN Mendeley Bibliography CSL_BIBLIOGRAPHY </w:instrText>
      </w:r>
      <w:r w:rsidRPr="0021030B">
        <w:rPr>
          <w:rFonts w:cs="Times New Roman"/>
          <w:b/>
          <w:szCs w:val="20"/>
          <w:lang w:val="en-US"/>
        </w:rPr>
        <w:fldChar w:fldCharType="separate"/>
      </w:r>
      <w:r w:rsidR="00433385" w:rsidRPr="0021030B">
        <w:rPr>
          <w:rFonts w:cs="Times New Roman"/>
          <w:noProof/>
          <w:szCs w:val="24"/>
        </w:rPr>
        <w:t xml:space="preserve">Bellamy, N., Buchanan, W. W., Goldsmith, C. H., Campbell, J., &amp; Stitt, L. W. (1988). Validation study of WOMAC: a health status instrument for measuring clinically important patient relevant outcomes to antirheumatic drug therapy in patients with osteoarthritis of the hip or knee. </w:t>
      </w:r>
      <w:r w:rsidR="00433385" w:rsidRPr="0021030B">
        <w:rPr>
          <w:rFonts w:cs="Times New Roman"/>
          <w:i/>
          <w:iCs/>
          <w:noProof/>
          <w:szCs w:val="24"/>
        </w:rPr>
        <w:t>The Journal of Rheumatology</w:t>
      </w:r>
      <w:r w:rsidR="00433385" w:rsidRPr="0021030B">
        <w:rPr>
          <w:rFonts w:cs="Times New Roman"/>
          <w:noProof/>
          <w:szCs w:val="24"/>
        </w:rPr>
        <w:t xml:space="preserve">, </w:t>
      </w:r>
      <w:r w:rsidR="00433385" w:rsidRPr="0021030B">
        <w:rPr>
          <w:rFonts w:cs="Times New Roman"/>
          <w:i/>
          <w:iCs/>
          <w:noProof/>
          <w:szCs w:val="24"/>
        </w:rPr>
        <w:t>15</w:t>
      </w:r>
      <w:r w:rsidR="00433385" w:rsidRPr="0021030B">
        <w:rPr>
          <w:rFonts w:cs="Times New Roman"/>
          <w:noProof/>
          <w:szCs w:val="24"/>
        </w:rPr>
        <w:t>(12), 1833–1840. Retrieved from http://www.ncbi.nlm.nih.gov/pubmed/3068365</w:t>
      </w:r>
    </w:p>
    <w:p w14:paraId="531FE2EF"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Bloomquist, K., Langberg, H., Karlsen, S., Madsgaard, S., Boesen, M., &amp; Raastad, T. (2013). Effect of range of motion in heavy load squatting on muscle and tendon adaptations, </w:t>
      </w:r>
      <w:r w:rsidRPr="0021030B">
        <w:rPr>
          <w:rFonts w:cs="Times New Roman"/>
          <w:i/>
          <w:iCs/>
          <w:noProof/>
          <w:szCs w:val="24"/>
        </w:rPr>
        <w:t>113</w:t>
      </w:r>
      <w:r w:rsidRPr="0021030B">
        <w:rPr>
          <w:rFonts w:cs="Times New Roman"/>
          <w:noProof/>
          <w:szCs w:val="24"/>
        </w:rPr>
        <w:t>(8), 2133–2142. https://doi.org/10.1007/s00421-013-2642-7</w:t>
      </w:r>
    </w:p>
    <w:p w14:paraId="0951C0FF"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Calhoon, G., &amp; Fry, A. C. (1999). Injury Rates and Profiles of Elite Competitive Weightlifters. </w:t>
      </w:r>
      <w:r w:rsidRPr="0021030B">
        <w:rPr>
          <w:rFonts w:cs="Times New Roman"/>
          <w:i/>
          <w:iCs/>
          <w:noProof/>
          <w:szCs w:val="24"/>
        </w:rPr>
        <w:t>Journal of Athletic Training</w:t>
      </w:r>
      <w:r w:rsidRPr="0021030B">
        <w:rPr>
          <w:rFonts w:cs="Times New Roman"/>
          <w:noProof/>
          <w:szCs w:val="24"/>
        </w:rPr>
        <w:t xml:space="preserve">, </w:t>
      </w:r>
      <w:r w:rsidRPr="0021030B">
        <w:rPr>
          <w:rFonts w:cs="Times New Roman"/>
          <w:i/>
          <w:iCs/>
          <w:noProof/>
          <w:szCs w:val="24"/>
        </w:rPr>
        <w:t>34</w:t>
      </w:r>
      <w:r w:rsidRPr="0021030B">
        <w:rPr>
          <w:rFonts w:cs="Times New Roman"/>
          <w:noProof/>
          <w:szCs w:val="24"/>
        </w:rPr>
        <w:t>(3), 232–238. https://doi.org/10.1097/00005768-199805001-00298</w:t>
      </w:r>
    </w:p>
    <w:p w14:paraId="2065A5C5"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Courel-Ibáñez, J., Martinez-Cava, A., Moran-Navarro, R., Escribano-Peñas, P., Chavarren-Cabrero, J., &amp; Gonzalez-Badillo, J. J. (2019). Reproducibility and repeatability of five different technologies for bar velocity measurement in resistance training. </w:t>
      </w:r>
      <w:r w:rsidRPr="0021030B">
        <w:rPr>
          <w:rFonts w:cs="Times New Roman"/>
          <w:i/>
          <w:iCs/>
          <w:noProof/>
          <w:szCs w:val="24"/>
        </w:rPr>
        <w:t>Annals of Biomedical Engineering</w:t>
      </w:r>
      <w:r w:rsidRPr="0021030B">
        <w:rPr>
          <w:rFonts w:cs="Times New Roman"/>
          <w:noProof/>
          <w:szCs w:val="24"/>
        </w:rPr>
        <w:t xml:space="preserve">, </w:t>
      </w:r>
      <w:r w:rsidRPr="0021030B">
        <w:rPr>
          <w:rFonts w:cs="Times New Roman"/>
          <w:i/>
          <w:iCs/>
          <w:noProof/>
          <w:szCs w:val="24"/>
        </w:rPr>
        <w:t>In press</w:t>
      </w:r>
      <w:r w:rsidRPr="0021030B">
        <w:rPr>
          <w:rFonts w:cs="Times New Roman"/>
          <w:noProof/>
          <w:szCs w:val="24"/>
        </w:rPr>
        <w:t>.</w:t>
      </w:r>
    </w:p>
    <w:p w14:paraId="769533B4"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Escamilla, R. F., Fleisig, G. S., Lowry, T. M., Barrentine, S. W., &amp; Andrews, J. R. (2001). A three-dimensional biomechanical analysis of the squat during varying stance widths. </w:t>
      </w:r>
      <w:r w:rsidRPr="0021030B">
        <w:rPr>
          <w:rFonts w:cs="Times New Roman"/>
          <w:i/>
          <w:iCs/>
          <w:noProof/>
          <w:szCs w:val="24"/>
        </w:rPr>
        <w:t>Medicine and Science in Sports and Exercise</w:t>
      </w:r>
      <w:r w:rsidRPr="0021030B">
        <w:rPr>
          <w:rFonts w:cs="Times New Roman"/>
          <w:noProof/>
          <w:szCs w:val="24"/>
        </w:rPr>
        <w:t xml:space="preserve">, </w:t>
      </w:r>
      <w:r w:rsidRPr="0021030B">
        <w:rPr>
          <w:rFonts w:cs="Times New Roman"/>
          <w:i/>
          <w:iCs/>
          <w:noProof/>
          <w:szCs w:val="24"/>
        </w:rPr>
        <w:t>33</w:t>
      </w:r>
      <w:r w:rsidRPr="0021030B">
        <w:rPr>
          <w:rFonts w:cs="Times New Roman"/>
          <w:noProof/>
          <w:szCs w:val="24"/>
        </w:rPr>
        <w:t>(6), 984–998. https://doi.org/10.1097/00005768-200106000-00019</w:t>
      </w:r>
    </w:p>
    <w:p w14:paraId="54ED88FC"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lastRenderedPageBreak/>
        <w:t xml:space="preserve">Escobar, A., Quintana, J. M., Bilbao, A., Azkárate, J., &amp; Güenaga, J. I. (2002). Validation of the Spanish Version of the WOMAC Questionnaire for Patients with Hip or Knee Osteoarthritis. </w:t>
      </w:r>
      <w:r w:rsidRPr="0021030B">
        <w:rPr>
          <w:rFonts w:cs="Times New Roman"/>
          <w:i/>
          <w:iCs/>
          <w:noProof/>
          <w:szCs w:val="24"/>
        </w:rPr>
        <w:t>Clinical Rheumatology</w:t>
      </w:r>
      <w:r w:rsidRPr="0021030B">
        <w:rPr>
          <w:rFonts w:cs="Times New Roman"/>
          <w:noProof/>
          <w:szCs w:val="24"/>
        </w:rPr>
        <w:t xml:space="preserve">, </w:t>
      </w:r>
      <w:r w:rsidRPr="0021030B">
        <w:rPr>
          <w:rFonts w:cs="Times New Roman"/>
          <w:i/>
          <w:iCs/>
          <w:noProof/>
          <w:szCs w:val="24"/>
        </w:rPr>
        <w:t>21</w:t>
      </w:r>
      <w:r w:rsidRPr="0021030B">
        <w:rPr>
          <w:rFonts w:cs="Times New Roman"/>
          <w:noProof/>
          <w:szCs w:val="24"/>
        </w:rPr>
        <w:t>(6), 466–471. https://doi.org/10.1007/s100670200117</w:t>
      </w:r>
    </w:p>
    <w:p w14:paraId="37AD0A7B"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Fry, A. C. (2004). The role of resistance exercise intensity on muscle fibre adaptations. </w:t>
      </w:r>
      <w:r w:rsidRPr="0021030B">
        <w:rPr>
          <w:rFonts w:cs="Times New Roman"/>
          <w:i/>
          <w:iCs/>
          <w:noProof/>
          <w:szCs w:val="24"/>
        </w:rPr>
        <w:t>Sports Medicine</w:t>
      </w:r>
      <w:r w:rsidRPr="0021030B">
        <w:rPr>
          <w:rFonts w:cs="Times New Roman"/>
          <w:noProof/>
          <w:szCs w:val="24"/>
        </w:rPr>
        <w:t xml:space="preserve">, </w:t>
      </w:r>
      <w:r w:rsidRPr="0021030B">
        <w:rPr>
          <w:rFonts w:cs="Times New Roman"/>
          <w:i/>
          <w:iCs/>
          <w:noProof/>
          <w:szCs w:val="24"/>
        </w:rPr>
        <w:t>34</w:t>
      </w:r>
      <w:r w:rsidRPr="0021030B">
        <w:rPr>
          <w:rFonts w:cs="Times New Roman"/>
          <w:noProof/>
          <w:szCs w:val="24"/>
        </w:rPr>
        <w:t>(10), 663–679. https://doi.org/10.2165/00007256-200434100-00004</w:t>
      </w:r>
    </w:p>
    <w:p w14:paraId="0477EFD9"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García-Pallarés, J., Sánchez-Medina, L., Pérez, C. E., Izquierdo-Gabarren, M., &amp; Izquierdo, M. (2010). Physiological effects of tapering and detraining in world-class kayakers. </w:t>
      </w:r>
      <w:r w:rsidRPr="0021030B">
        <w:rPr>
          <w:rFonts w:cs="Times New Roman"/>
          <w:i/>
          <w:iCs/>
          <w:noProof/>
          <w:szCs w:val="24"/>
        </w:rPr>
        <w:t>Medicine and Science in Sports and Exercise</w:t>
      </w:r>
      <w:r w:rsidRPr="0021030B">
        <w:rPr>
          <w:rFonts w:cs="Times New Roman"/>
          <w:noProof/>
          <w:szCs w:val="24"/>
        </w:rPr>
        <w:t xml:space="preserve">, </w:t>
      </w:r>
      <w:r w:rsidRPr="0021030B">
        <w:rPr>
          <w:rFonts w:cs="Times New Roman"/>
          <w:i/>
          <w:iCs/>
          <w:noProof/>
          <w:szCs w:val="24"/>
        </w:rPr>
        <w:t>42</w:t>
      </w:r>
      <w:r w:rsidRPr="0021030B">
        <w:rPr>
          <w:rFonts w:cs="Times New Roman"/>
          <w:noProof/>
          <w:szCs w:val="24"/>
        </w:rPr>
        <w:t>(6), 1209–1214. https://doi.org/10.1249/MSS.0b013e3181c9228c</w:t>
      </w:r>
    </w:p>
    <w:p w14:paraId="0838FF2C"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González-Badillo, J. J., &amp; Sánchez-Medina, L. (2010). Movement velocity as a measure of loading intensity in resistance training. </w:t>
      </w:r>
      <w:r w:rsidRPr="0021030B">
        <w:rPr>
          <w:rFonts w:cs="Times New Roman"/>
          <w:i/>
          <w:iCs/>
          <w:noProof/>
          <w:szCs w:val="24"/>
        </w:rPr>
        <w:t>International Journal of Sports Medicine</w:t>
      </w:r>
      <w:r w:rsidRPr="0021030B">
        <w:rPr>
          <w:rFonts w:cs="Times New Roman"/>
          <w:noProof/>
          <w:szCs w:val="24"/>
        </w:rPr>
        <w:t xml:space="preserve">, </w:t>
      </w:r>
      <w:r w:rsidRPr="0021030B">
        <w:rPr>
          <w:rFonts w:cs="Times New Roman"/>
          <w:i/>
          <w:iCs/>
          <w:noProof/>
          <w:szCs w:val="24"/>
        </w:rPr>
        <w:t>31</w:t>
      </w:r>
      <w:r w:rsidRPr="0021030B">
        <w:rPr>
          <w:rFonts w:cs="Times New Roman"/>
          <w:noProof/>
          <w:szCs w:val="24"/>
        </w:rPr>
        <w:t>(5), 347–352. https://doi.org/10.1055/s-0030-1248333</w:t>
      </w:r>
    </w:p>
    <w:p w14:paraId="0DA1FC53"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Guermazi, M., Ghroubi, S., Kassis, M., Jaziri, O., Keskes, H., Kessomtini, W., … Elleuch, M. H. (2006). Validity and reliability of Spinal Mouse® to assess lumbar flexion. </w:t>
      </w:r>
      <w:r w:rsidRPr="0021030B">
        <w:rPr>
          <w:rFonts w:cs="Times New Roman"/>
          <w:i/>
          <w:iCs/>
          <w:noProof/>
          <w:szCs w:val="24"/>
        </w:rPr>
        <w:t>Annales de Readaptation et de Medecine Physique</w:t>
      </w:r>
      <w:r w:rsidRPr="0021030B">
        <w:rPr>
          <w:rFonts w:cs="Times New Roman"/>
          <w:noProof/>
          <w:szCs w:val="24"/>
        </w:rPr>
        <w:t xml:space="preserve">, </w:t>
      </w:r>
      <w:r w:rsidRPr="0021030B">
        <w:rPr>
          <w:rFonts w:cs="Times New Roman"/>
          <w:i/>
          <w:iCs/>
          <w:noProof/>
          <w:szCs w:val="24"/>
        </w:rPr>
        <w:t>49</w:t>
      </w:r>
      <w:r w:rsidRPr="0021030B">
        <w:rPr>
          <w:rFonts w:cs="Times New Roman"/>
          <w:noProof/>
          <w:szCs w:val="24"/>
        </w:rPr>
        <w:t>(4), 172–177. https://doi.org/10.1016/j.annrmp.2006.03.001</w:t>
      </w:r>
    </w:p>
    <w:p w14:paraId="1A59BE9E"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Hamill, B. P. (1994). Relative Safety of Weightlifting and Weight Training. </w:t>
      </w:r>
      <w:r w:rsidRPr="0021030B">
        <w:rPr>
          <w:rFonts w:cs="Times New Roman"/>
          <w:i/>
          <w:iCs/>
          <w:noProof/>
          <w:szCs w:val="24"/>
        </w:rPr>
        <w:t>Journal of Strength and Conditioning Research</w:t>
      </w:r>
      <w:r w:rsidRPr="0021030B">
        <w:rPr>
          <w:rFonts w:cs="Times New Roman"/>
          <w:noProof/>
          <w:szCs w:val="24"/>
        </w:rPr>
        <w:t xml:space="preserve">, </w:t>
      </w:r>
      <w:r w:rsidRPr="0021030B">
        <w:rPr>
          <w:rFonts w:cs="Times New Roman"/>
          <w:i/>
          <w:iCs/>
          <w:noProof/>
          <w:szCs w:val="24"/>
        </w:rPr>
        <w:t>8</w:t>
      </w:r>
      <w:r w:rsidRPr="0021030B">
        <w:rPr>
          <w:rFonts w:cs="Times New Roman"/>
          <w:noProof/>
          <w:szCs w:val="24"/>
        </w:rPr>
        <w:t>(1), 53–57.</w:t>
      </w:r>
    </w:p>
    <w:p w14:paraId="7FF26B4B"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Hartmann, H., Wirth, K., &amp; Klusemann, M. (2013). Analysis of the load on the knee joint and vertebral column with changes in squatting depth and weight load. </w:t>
      </w:r>
      <w:r w:rsidRPr="0021030B">
        <w:rPr>
          <w:rFonts w:cs="Times New Roman"/>
          <w:i/>
          <w:iCs/>
          <w:noProof/>
          <w:szCs w:val="24"/>
        </w:rPr>
        <w:t>Sports Medicine</w:t>
      </w:r>
      <w:r w:rsidRPr="0021030B">
        <w:rPr>
          <w:rFonts w:cs="Times New Roman"/>
          <w:noProof/>
          <w:szCs w:val="24"/>
        </w:rPr>
        <w:t xml:space="preserve">, </w:t>
      </w:r>
      <w:r w:rsidRPr="0021030B">
        <w:rPr>
          <w:rFonts w:cs="Times New Roman"/>
          <w:i/>
          <w:iCs/>
          <w:noProof/>
          <w:szCs w:val="24"/>
        </w:rPr>
        <w:t>43</w:t>
      </w:r>
      <w:r w:rsidRPr="0021030B">
        <w:rPr>
          <w:rFonts w:cs="Times New Roman"/>
          <w:noProof/>
          <w:szCs w:val="24"/>
        </w:rPr>
        <w:t>(10), 993–1008. https://doi.org/10.1007/s40279-013-0073-6</w:t>
      </w:r>
    </w:p>
    <w:p w14:paraId="120B096B"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Hartmann, H., Wirth, K., Klusemann, M., Dalic, J., Matuschek, C., &amp; Schmidtbleicher, D. (2012). Influence of squatting depth on jumping performance. </w:t>
      </w:r>
      <w:r w:rsidRPr="0021030B">
        <w:rPr>
          <w:rFonts w:cs="Times New Roman"/>
          <w:i/>
          <w:iCs/>
          <w:noProof/>
          <w:szCs w:val="24"/>
        </w:rPr>
        <w:t>Journal of Strength and Conditioning Research</w:t>
      </w:r>
      <w:r w:rsidRPr="0021030B">
        <w:rPr>
          <w:rFonts w:cs="Times New Roman"/>
          <w:noProof/>
          <w:szCs w:val="24"/>
        </w:rPr>
        <w:t xml:space="preserve">, </w:t>
      </w:r>
      <w:r w:rsidRPr="0021030B">
        <w:rPr>
          <w:rFonts w:cs="Times New Roman"/>
          <w:i/>
          <w:iCs/>
          <w:noProof/>
          <w:szCs w:val="24"/>
        </w:rPr>
        <w:t>26</w:t>
      </w:r>
      <w:r w:rsidRPr="0021030B">
        <w:rPr>
          <w:rFonts w:cs="Times New Roman"/>
          <w:noProof/>
          <w:szCs w:val="24"/>
        </w:rPr>
        <w:t>(12), 3243–3261. https://doi.org/10.1519/JSC.0b013e31824ede62</w:t>
      </w:r>
    </w:p>
    <w:p w14:paraId="4C751A5F"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Hartmann, H., Wirth, K., Mickel, C., Keiner, M., Sander, A., Yaghobi, D., … Yaghobi, D. (2016). Stress for Vertebral Bodies and Intervertebral Discs with Respect to Squatting Depth. </w:t>
      </w:r>
      <w:r w:rsidRPr="0021030B">
        <w:rPr>
          <w:rFonts w:cs="Times New Roman"/>
          <w:i/>
          <w:iCs/>
          <w:noProof/>
          <w:szCs w:val="24"/>
        </w:rPr>
        <w:t>Journal of Functional Morphology and Kinesiology</w:t>
      </w:r>
      <w:r w:rsidRPr="0021030B">
        <w:rPr>
          <w:rFonts w:cs="Times New Roman"/>
          <w:noProof/>
          <w:szCs w:val="24"/>
        </w:rPr>
        <w:t xml:space="preserve">, </w:t>
      </w:r>
      <w:r w:rsidRPr="0021030B">
        <w:rPr>
          <w:rFonts w:cs="Times New Roman"/>
          <w:i/>
          <w:iCs/>
          <w:noProof/>
          <w:szCs w:val="24"/>
        </w:rPr>
        <w:t>1</w:t>
      </w:r>
      <w:r w:rsidRPr="0021030B">
        <w:rPr>
          <w:rFonts w:cs="Times New Roman"/>
          <w:noProof/>
          <w:szCs w:val="24"/>
        </w:rPr>
        <w:t>(2), 254–268. https://doi.org/10.3390/jfmk1020254</w:t>
      </w:r>
    </w:p>
    <w:p w14:paraId="438199CF"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Izquierdo-Gabarren, M., González De Txabarri Expósito, R., García-Pallarés, J., Sánchez-medina, L., De Villarreal, E. S., &amp; Izquierdo, M. (2010). Concurrent endurance and strength training not to failure optimizes performance gains. </w:t>
      </w:r>
      <w:r w:rsidRPr="0021030B">
        <w:rPr>
          <w:rFonts w:cs="Times New Roman"/>
          <w:i/>
          <w:iCs/>
          <w:noProof/>
          <w:szCs w:val="24"/>
        </w:rPr>
        <w:t>Medicine and Science in Sports and Exercise</w:t>
      </w:r>
      <w:r w:rsidRPr="0021030B">
        <w:rPr>
          <w:rFonts w:cs="Times New Roman"/>
          <w:noProof/>
          <w:szCs w:val="24"/>
        </w:rPr>
        <w:t xml:space="preserve">, </w:t>
      </w:r>
      <w:r w:rsidRPr="0021030B">
        <w:rPr>
          <w:rFonts w:cs="Times New Roman"/>
          <w:i/>
          <w:iCs/>
          <w:noProof/>
          <w:szCs w:val="24"/>
        </w:rPr>
        <w:t>42</w:t>
      </w:r>
      <w:r w:rsidRPr="0021030B">
        <w:rPr>
          <w:rFonts w:cs="Times New Roman"/>
          <w:noProof/>
          <w:szCs w:val="24"/>
        </w:rPr>
        <w:t>(6), 1191–1199. https://doi.org/10.1249/MSS.0b013e3181c67eec</w:t>
      </w:r>
    </w:p>
    <w:p w14:paraId="5DF6783C"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Lakens, D. (2013). Calculating and reporting effect sizes to facilitate cumulative science: A practical primer for t-tests and ANOVAs. </w:t>
      </w:r>
      <w:r w:rsidRPr="0021030B">
        <w:rPr>
          <w:rFonts w:cs="Times New Roman"/>
          <w:i/>
          <w:iCs/>
          <w:noProof/>
          <w:szCs w:val="24"/>
        </w:rPr>
        <w:t>Frontiers in Psychology</w:t>
      </w:r>
      <w:r w:rsidRPr="0021030B">
        <w:rPr>
          <w:rFonts w:cs="Times New Roman"/>
          <w:noProof/>
          <w:szCs w:val="24"/>
        </w:rPr>
        <w:t xml:space="preserve">, </w:t>
      </w:r>
      <w:r w:rsidRPr="0021030B">
        <w:rPr>
          <w:rFonts w:cs="Times New Roman"/>
          <w:i/>
          <w:iCs/>
          <w:noProof/>
          <w:szCs w:val="24"/>
        </w:rPr>
        <w:t>4</w:t>
      </w:r>
      <w:r w:rsidRPr="0021030B">
        <w:rPr>
          <w:rFonts w:cs="Times New Roman"/>
          <w:noProof/>
          <w:szCs w:val="24"/>
        </w:rPr>
        <w:t>, 863. https://doi.org/10.3389/fpsyg.2013.00863</w:t>
      </w:r>
    </w:p>
    <w:p w14:paraId="536F6E10"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Martínez-Cava, A., Morán-Navarro, R., Sánchez-Medina, L., González-Badillo, J. J., &amp; Pallarés, J. G. (2018). Velocity- and power-load relationships in the half, parallel and full back squat. </w:t>
      </w:r>
      <w:r w:rsidRPr="0021030B">
        <w:rPr>
          <w:rFonts w:cs="Times New Roman"/>
          <w:i/>
          <w:iCs/>
          <w:noProof/>
          <w:szCs w:val="24"/>
        </w:rPr>
        <w:t>Journal of Sports Sciences</w:t>
      </w:r>
      <w:r w:rsidRPr="0021030B">
        <w:rPr>
          <w:rFonts w:cs="Times New Roman"/>
          <w:noProof/>
          <w:szCs w:val="24"/>
        </w:rPr>
        <w:t>, 1–9. https://doi.org/10.1080/02640414.2018.1544187</w:t>
      </w:r>
    </w:p>
    <w:p w14:paraId="74DE349A"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lastRenderedPageBreak/>
        <w:t xml:space="preserve">Morán-Navarro, R., Pérez, C. E., Mora-Rodríguez, R., de la Cruz-Sánchez, E., González-Badillo, J. J., Sánchez-Medina, L., &amp; Pallarés, J. G. (2017). Time course of recovery following resistance training leading or not to failure. </w:t>
      </w:r>
      <w:r w:rsidRPr="0021030B">
        <w:rPr>
          <w:rFonts w:cs="Times New Roman"/>
          <w:i/>
          <w:iCs/>
          <w:noProof/>
          <w:szCs w:val="24"/>
        </w:rPr>
        <w:t>European Journal of Applied Physiology</w:t>
      </w:r>
      <w:r w:rsidRPr="0021030B">
        <w:rPr>
          <w:rFonts w:cs="Times New Roman"/>
          <w:noProof/>
          <w:szCs w:val="24"/>
        </w:rPr>
        <w:t xml:space="preserve">, </w:t>
      </w:r>
      <w:r w:rsidRPr="0021030B">
        <w:rPr>
          <w:rFonts w:cs="Times New Roman"/>
          <w:i/>
          <w:iCs/>
          <w:noProof/>
          <w:szCs w:val="24"/>
        </w:rPr>
        <w:t>117</w:t>
      </w:r>
      <w:r w:rsidRPr="0021030B">
        <w:rPr>
          <w:rFonts w:cs="Times New Roman"/>
          <w:noProof/>
          <w:szCs w:val="24"/>
        </w:rPr>
        <w:t>(12), 2387–2399. https://doi.org/10.1007/s00421-017-3725-7</w:t>
      </w:r>
    </w:p>
    <w:p w14:paraId="0B94DB27"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Pallarés, J. G., Sánchez-Medina, L., Carrasco, L., Díaz, A., Izquierdo, M., García-Pallarés, J., … Izquierdo, M. (2009). Endurance and neuromuscular changes in world-class level kayakers during a periodized training cycle. </w:t>
      </w:r>
      <w:r w:rsidRPr="0021030B">
        <w:rPr>
          <w:rFonts w:cs="Times New Roman"/>
          <w:i/>
          <w:iCs/>
          <w:noProof/>
          <w:szCs w:val="24"/>
        </w:rPr>
        <w:t>European Journal of Applied Physiology</w:t>
      </w:r>
      <w:r w:rsidRPr="0021030B">
        <w:rPr>
          <w:rFonts w:cs="Times New Roman"/>
          <w:noProof/>
          <w:szCs w:val="24"/>
        </w:rPr>
        <w:t xml:space="preserve">, </w:t>
      </w:r>
      <w:r w:rsidRPr="0021030B">
        <w:rPr>
          <w:rFonts w:cs="Times New Roman"/>
          <w:i/>
          <w:iCs/>
          <w:noProof/>
          <w:szCs w:val="24"/>
        </w:rPr>
        <w:t>106</w:t>
      </w:r>
      <w:r w:rsidRPr="0021030B">
        <w:rPr>
          <w:rFonts w:cs="Times New Roman"/>
          <w:noProof/>
          <w:szCs w:val="24"/>
        </w:rPr>
        <w:t>(4), 629–638. https://doi.org/10.1007/s00421-009-1061-2</w:t>
      </w:r>
    </w:p>
    <w:p w14:paraId="68A82D86"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Pallarés, J. G., Sánchez-Medina, L., Pérez, C. E., De La Cruz-Sánchez, E., &amp; Mora-Rodriguez, R. (2014). Imposing a pause between the eccentric and concentric phases increases the reliability of isoinertial strength assessments. </w:t>
      </w:r>
      <w:r w:rsidRPr="0021030B">
        <w:rPr>
          <w:rFonts w:cs="Times New Roman"/>
          <w:i/>
          <w:iCs/>
          <w:noProof/>
          <w:szCs w:val="24"/>
        </w:rPr>
        <w:t>Journal of Sports Sciences</w:t>
      </w:r>
      <w:r w:rsidRPr="0021030B">
        <w:rPr>
          <w:rFonts w:cs="Times New Roman"/>
          <w:noProof/>
          <w:szCs w:val="24"/>
        </w:rPr>
        <w:t xml:space="preserve">, </w:t>
      </w:r>
      <w:r w:rsidRPr="0021030B">
        <w:rPr>
          <w:rFonts w:cs="Times New Roman"/>
          <w:i/>
          <w:iCs/>
          <w:noProof/>
          <w:szCs w:val="24"/>
        </w:rPr>
        <w:t>32</w:t>
      </w:r>
      <w:r w:rsidRPr="0021030B">
        <w:rPr>
          <w:rFonts w:cs="Times New Roman"/>
          <w:noProof/>
          <w:szCs w:val="24"/>
        </w:rPr>
        <w:t>(12), 1165–1175. https://doi.org/10.1080/02640414.2014.889844</w:t>
      </w:r>
    </w:p>
    <w:p w14:paraId="16E75D07"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Pareja-Blanco, F., Rodríguez-Rosell, D., Sánchez-Medina, L., Gorostiaga, E., &amp; González-Badillo, J. J. (2014). Effect of Movement Velocity during Resistance Training on Neuromuscular Performance. </w:t>
      </w:r>
      <w:r w:rsidRPr="0021030B">
        <w:rPr>
          <w:rFonts w:cs="Times New Roman"/>
          <w:i/>
          <w:iCs/>
          <w:noProof/>
          <w:szCs w:val="24"/>
        </w:rPr>
        <w:t>International Journal of Sports Medicine</w:t>
      </w:r>
      <w:r w:rsidRPr="0021030B">
        <w:rPr>
          <w:rFonts w:cs="Times New Roman"/>
          <w:noProof/>
          <w:szCs w:val="24"/>
        </w:rPr>
        <w:t xml:space="preserve">, </w:t>
      </w:r>
      <w:r w:rsidRPr="0021030B">
        <w:rPr>
          <w:rFonts w:cs="Times New Roman"/>
          <w:i/>
          <w:iCs/>
          <w:noProof/>
          <w:szCs w:val="24"/>
        </w:rPr>
        <w:t>35</w:t>
      </w:r>
      <w:r w:rsidRPr="0021030B">
        <w:rPr>
          <w:rFonts w:cs="Times New Roman"/>
          <w:noProof/>
          <w:szCs w:val="24"/>
        </w:rPr>
        <w:t>(11), 916–924. https://doi.org/10.1055/s-0033-1363985</w:t>
      </w:r>
    </w:p>
    <w:p w14:paraId="44E885DF"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Pareja-Blanco, F., Rodríguez-Rosell, D., Sánchez-Medina, L., Sanchis-Moysi, J., Dorado, C., Mora-Custodio, R., … González-Badillo, J. J. (2017). Effects of velocity loss during resistance training on athletic performance, strength gains and muscle adaptations. </w:t>
      </w:r>
      <w:r w:rsidRPr="0021030B">
        <w:rPr>
          <w:rFonts w:cs="Times New Roman"/>
          <w:i/>
          <w:iCs/>
          <w:noProof/>
          <w:szCs w:val="24"/>
        </w:rPr>
        <w:t>Scandinavian Journal of Medicine &amp; Science in Sports</w:t>
      </w:r>
      <w:r w:rsidRPr="0021030B">
        <w:rPr>
          <w:rFonts w:cs="Times New Roman"/>
          <w:noProof/>
          <w:szCs w:val="24"/>
        </w:rPr>
        <w:t xml:space="preserve">, </w:t>
      </w:r>
      <w:r w:rsidRPr="0021030B">
        <w:rPr>
          <w:rFonts w:cs="Times New Roman"/>
          <w:i/>
          <w:iCs/>
          <w:noProof/>
          <w:szCs w:val="24"/>
        </w:rPr>
        <w:t>27</w:t>
      </w:r>
      <w:r w:rsidRPr="0021030B">
        <w:rPr>
          <w:rFonts w:cs="Times New Roman"/>
          <w:noProof/>
          <w:szCs w:val="24"/>
        </w:rPr>
        <w:t>(7), 724–735. https://doi.org/10.1111/sms.12678</w:t>
      </w:r>
    </w:p>
    <w:p w14:paraId="27649BEC"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Rhea, M. R., Kenn, J. G., &amp; Dermody, B. M. (2009). Alterations in speed of squat movement and the use of accommodated resistance among college athletes training for power. </w:t>
      </w:r>
      <w:r w:rsidRPr="0021030B">
        <w:rPr>
          <w:rFonts w:cs="Times New Roman"/>
          <w:i/>
          <w:iCs/>
          <w:noProof/>
          <w:szCs w:val="24"/>
        </w:rPr>
        <w:t>Journal of Strength and Conditioning Research / National Strength &amp; Conditioning Association</w:t>
      </w:r>
      <w:r w:rsidRPr="0021030B">
        <w:rPr>
          <w:rFonts w:cs="Times New Roman"/>
          <w:noProof/>
          <w:szCs w:val="24"/>
        </w:rPr>
        <w:t xml:space="preserve">, </w:t>
      </w:r>
      <w:r w:rsidRPr="0021030B">
        <w:rPr>
          <w:rFonts w:cs="Times New Roman"/>
          <w:i/>
          <w:iCs/>
          <w:noProof/>
          <w:szCs w:val="24"/>
        </w:rPr>
        <w:t>23</w:t>
      </w:r>
      <w:r w:rsidRPr="0021030B">
        <w:rPr>
          <w:rFonts w:cs="Times New Roman"/>
          <w:noProof/>
          <w:szCs w:val="24"/>
        </w:rPr>
        <w:t>(9), 2645–2650. https://doi.org/10.1519/JSC.0b013e3181b3e1b6</w:t>
      </w:r>
    </w:p>
    <w:p w14:paraId="59BE7364"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Rhea, M. R., Kenn, J. G., Peterson, M. D., &amp; Massey, D. (2016). Joint-angle specific strength adaptations influence improvements in power in highly trained athletes. </w:t>
      </w:r>
      <w:r w:rsidRPr="0021030B">
        <w:rPr>
          <w:rFonts w:cs="Times New Roman"/>
          <w:i/>
          <w:iCs/>
          <w:noProof/>
          <w:szCs w:val="24"/>
        </w:rPr>
        <w:t>Human Movement</w:t>
      </w:r>
      <w:r w:rsidRPr="0021030B">
        <w:rPr>
          <w:rFonts w:cs="Times New Roman"/>
          <w:noProof/>
          <w:szCs w:val="24"/>
        </w:rPr>
        <w:t xml:space="preserve">, </w:t>
      </w:r>
      <w:r w:rsidRPr="0021030B">
        <w:rPr>
          <w:rFonts w:cs="Times New Roman"/>
          <w:i/>
          <w:iCs/>
          <w:noProof/>
          <w:szCs w:val="24"/>
        </w:rPr>
        <w:t>17</w:t>
      </w:r>
      <w:r w:rsidRPr="0021030B">
        <w:rPr>
          <w:rFonts w:cs="Times New Roman"/>
          <w:noProof/>
          <w:szCs w:val="24"/>
        </w:rPr>
        <w:t>(1), 43–49. https://doi.org/https://doi.org/10.1515/humo-2016-0006</w:t>
      </w:r>
    </w:p>
    <w:p w14:paraId="7A5DA82E"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Rønnestad, B. R., Hansen, J., Hollan, I., &amp; Ellefsen, S. (2015). Strength training improves performance and pedaling characteristics in elite cyclists. </w:t>
      </w:r>
      <w:r w:rsidRPr="0021030B">
        <w:rPr>
          <w:rFonts w:cs="Times New Roman"/>
          <w:i/>
          <w:iCs/>
          <w:noProof/>
          <w:szCs w:val="24"/>
        </w:rPr>
        <w:t>Scandinavian Journal of Medicine and Science in Sports</w:t>
      </w:r>
      <w:r w:rsidRPr="0021030B">
        <w:rPr>
          <w:rFonts w:cs="Times New Roman"/>
          <w:noProof/>
          <w:szCs w:val="24"/>
        </w:rPr>
        <w:t xml:space="preserve">, </w:t>
      </w:r>
      <w:r w:rsidRPr="0021030B">
        <w:rPr>
          <w:rFonts w:cs="Times New Roman"/>
          <w:i/>
          <w:iCs/>
          <w:noProof/>
          <w:szCs w:val="24"/>
        </w:rPr>
        <w:t>25</w:t>
      </w:r>
      <w:r w:rsidRPr="0021030B">
        <w:rPr>
          <w:rFonts w:cs="Times New Roman"/>
          <w:noProof/>
          <w:szCs w:val="24"/>
        </w:rPr>
        <w:t>(1), e89–e98. https://doi.org/10.1111/sms.12257</w:t>
      </w:r>
    </w:p>
    <w:p w14:paraId="7609D947"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Ronnestad, B. R., &amp; Mujika, I. (2014). Optimizing strength training for running and cycling endurance performance: A review. </w:t>
      </w:r>
      <w:r w:rsidRPr="0021030B">
        <w:rPr>
          <w:rFonts w:cs="Times New Roman"/>
          <w:i/>
          <w:iCs/>
          <w:noProof/>
          <w:szCs w:val="24"/>
        </w:rPr>
        <w:t>Scandinavian Journal of Medicine &amp; Science in Sports</w:t>
      </w:r>
      <w:r w:rsidRPr="0021030B">
        <w:rPr>
          <w:rFonts w:cs="Times New Roman"/>
          <w:noProof/>
          <w:szCs w:val="24"/>
        </w:rPr>
        <w:t xml:space="preserve">, </w:t>
      </w:r>
      <w:r w:rsidRPr="0021030B">
        <w:rPr>
          <w:rFonts w:cs="Times New Roman"/>
          <w:i/>
          <w:iCs/>
          <w:noProof/>
          <w:szCs w:val="24"/>
        </w:rPr>
        <w:t>24</w:t>
      </w:r>
      <w:r w:rsidRPr="0021030B">
        <w:rPr>
          <w:rFonts w:cs="Times New Roman"/>
          <w:noProof/>
          <w:szCs w:val="24"/>
        </w:rPr>
        <w:t>(4), 603–612. https://doi.org/10.1111/sms.12104</w:t>
      </w:r>
    </w:p>
    <w:p w14:paraId="72E180A3"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Sánchez-Medina, L., Perez, C. E., &amp; González-Badillo, J. J. (2010). Importance of the propulsive phase in strength assessment. </w:t>
      </w:r>
      <w:r w:rsidRPr="0021030B">
        <w:rPr>
          <w:rFonts w:cs="Times New Roman"/>
          <w:i/>
          <w:iCs/>
          <w:noProof/>
          <w:szCs w:val="24"/>
        </w:rPr>
        <w:t>International Journal of Sports Medicine</w:t>
      </w:r>
      <w:r w:rsidRPr="0021030B">
        <w:rPr>
          <w:rFonts w:cs="Times New Roman"/>
          <w:noProof/>
          <w:szCs w:val="24"/>
        </w:rPr>
        <w:t xml:space="preserve">, </w:t>
      </w:r>
      <w:r w:rsidRPr="0021030B">
        <w:rPr>
          <w:rFonts w:cs="Times New Roman"/>
          <w:i/>
          <w:iCs/>
          <w:noProof/>
          <w:szCs w:val="24"/>
        </w:rPr>
        <w:t>31</w:t>
      </w:r>
      <w:r w:rsidRPr="0021030B">
        <w:rPr>
          <w:rFonts w:cs="Times New Roman"/>
          <w:noProof/>
          <w:szCs w:val="24"/>
        </w:rPr>
        <w:t>(2), 123–129. https://doi.org/10.1055/s-0029-1242815</w:t>
      </w:r>
    </w:p>
    <w:p w14:paraId="5010D331"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Seitz, L. B., Reyes, A., Tran, T. T., de Villarreal, E. S., &amp; Haff, G. G. (2014). Increases in Lower-Body Strength Transfer Positively to Sprint Performance: A Systematic </w:t>
      </w:r>
      <w:r w:rsidRPr="0021030B">
        <w:rPr>
          <w:rFonts w:cs="Times New Roman"/>
          <w:noProof/>
          <w:szCs w:val="24"/>
        </w:rPr>
        <w:lastRenderedPageBreak/>
        <w:t xml:space="preserve">Review with Meta-Analysis. </w:t>
      </w:r>
      <w:r w:rsidRPr="0021030B">
        <w:rPr>
          <w:rFonts w:cs="Times New Roman"/>
          <w:i/>
          <w:iCs/>
          <w:noProof/>
          <w:szCs w:val="24"/>
        </w:rPr>
        <w:t>Sports Medicine</w:t>
      </w:r>
      <w:r w:rsidRPr="0021030B">
        <w:rPr>
          <w:rFonts w:cs="Times New Roman"/>
          <w:noProof/>
          <w:szCs w:val="24"/>
        </w:rPr>
        <w:t xml:space="preserve">, </w:t>
      </w:r>
      <w:r w:rsidRPr="0021030B">
        <w:rPr>
          <w:rFonts w:cs="Times New Roman"/>
          <w:i/>
          <w:iCs/>
          <w:noProof/>
          <w:szCs w:val="24"/>
        </w:rPr>
        <w:t>44</w:t>
      </w:r>
      <w:r w:rsidRPr="0021030B">
        <w:rPr>
          <w:rFonts w:cs="Times New Roman"/>
          <w:noProof/>
          <w:szCs w:val="24"/>
        </w:rPr>
        <w:t>(12), 1693–1702. https://doi.org/10.1007/s40279-014-0227-1</w:t>
      </w:r>
    </w:p>
    <w:p w14:paraId="3082E0E2"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Suchomel, T. J., Nimphius, S., &amp; Stone, M. H. (2016). The Importance of Muscular Strength in Athletic Performance. </w:t>
      </w:r>
      <w:r w:rsidRPr="0021030B">
        <w:rPr>
          <w:rFonts w:cs="Times New Roman"/>
          <w:i/>
          <w:iCs/>
          <w:noProof/>
          <w:szCs w:val="24"/>
        </w:rPr>
        <w:t>Sports Medicine</w:t>
      </w:r>
      <w:r w:rsidRPr="0021030B">
        <w:rPr>
          <w:rFonts w:cs="Times New Roman"/>
          <w:noProof/>
          <w:szCs w:val="24"/>
        </w:rPr>
        <w:t xml:space="preserve">, </w:t>
      </w:r>
      <w:r w:rsidRPr="0021030B">
        <w:rPr>
          <w:rFonts w:cs="Times New Roman"/>
          <w:i/>
          <w:iCs/>
          <w:noProof/>
          <w:szCs w:val="24"/>
        </w:rPr>
        <w:t>46</w:t>
      </w:r>
      <w:r w:rsidRPr="0021030B">
        <w:rPr>
          <w:rFonts w:cs="Times New Roman"/>
          <w:noProof/>
          <w:szCs w:val="24"/>
        </w:rPr>
        <w:t>(10), 1419–1449. https://doi.org/10.1007/s40279-016-0486-0</w:t>
      </w:r>
    </w:p>
    <w:p w14:paraId="27FA0F07"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Weiss, L. W., Fry, A. C., Wood, L. E., Relyea, G. E., &amp; Melton, C. (2000). Comparative Effects of Deep Versus Shallow Squat and Leg-Press Training on Vertical Jumping Ability and Related Factors. </w:t>
      </w:r>
      <w:r w:rsidRPr="0021030B">
        <w:rPr>
          <w:rFonts w:cs="Times New Roman"/>
          <w:i/>
          <w:iCs/>
          <w:noProof/>
          <w:szCs w:val="24"/>
        </w:rPr>
        <w:t>Journal of Strength and Conditioning Research</w:t>
      </w:r>
      <w:r w:rsidRPr="0021030B">
        <w:rPr>
          <w:rFonts w:cs="Times New Roman"/>
          <w:noProof/>
          <w:szCs w:val="24"/>
        </w:rPr>
        <w:t xml:space="preserve">, </w:t>
      </w:r>
      <w:r w:rsidRPr="0021030B">
        <w:rPr>
          <w:rFonts w:cs="Times New Roman"/>
          <w:i/>
          <w:iCs/>
          <w:noProof/>
          <w:szCs w:val="24"/>
        </w:rPr>
        <w:t>14</w:t>
      </w:r>
      <w:r w:rsidRPr="0021030B">
        <w:rPr>
          <w:rFonts w:cs="Times New Roman"/>
          <w:noProof/>
          <w:szCs w:val="24"/>
        </w:rPr>
        <w:t>(3), 241–247. https://doi.org/10.1519/00124278-200008000-00001</w:t>
      </w:r>
    </w:p>
    <w:p w14:paraId="3F1F399D"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Wilson, G. J. (1998). Strength and power in sport. In J. Bloomfield, T. R. Ackland, &amp; B. C. Elliot (Eds.), </w:t>
      </w:r>
      <w:r w:rsidRPr="0021030B">
        <w:rPr>
          <w:rFonts w:cs="Times New Roman"/>
          <w:i/>
          <w:iCs/>
          <w:noProof/>
          <w:szCs w:val="24"/>
        </w:rPr>
        <w:t>Applied Anatomy and Biomechanics in Sport</w:t>
      </w:r>
      <w:r w:rsidRPr="0021030B">
        <w:rPr>
          <w:rFonts w:cs="Times New Roman"/>
          <w:noProof/>
          <w:szCs w:val="24"/>
        </w:rPr>
        <w:t xml:space="preserve"> (3rd ed., pp. 110–208). Berlin, Germany: Blackwell.</w:t>
      </w:r>
    </w:p>
    <w:p w14:paraId="2BF20D1C"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Wirth, K., Hartmann, H., Sander, A., Mickel, C., Szilvas, E., &amp; Keiner, M. (2016). The impact of back squat and leg-press exercises on maximal strength and speed-strength parameters. </w:t>
      </w:r>
      <w:r w:rsidRPr="0021030B">
        <w:rPr>
          <w:rFonts w:cs="Times New Roman"/>
          <w:i/>
          <w:iCs/>
          <w:noProof/>
          <w:szCs w:val="24"/>
        </w:rPr>
        <w:t>Journal of Strength and Conditioning Research</w:t>
      </w:r>
      <w:r w:rsidRPr="0021030B">
        <w:rPr>
          <w:rFonts w:cs="Times New Roman"/>
          <w:noProof/>
          <w:szCs w:val="24"/>
        </w:rPr>
        <w:t xml:space="preserve">, </w:t>
      </w:r>
      <w:r w:rsidRPr="0021030B">
        <w:rPr>
          <w:rFonts w:cs="Times New Roman"/>
          <w:i/>
          <w:iCs/>
          <w:noProof/>
          <w:szCs w:val="24"/>
        </w:rPr>
        <w:t>30</w:t>
      </w:r>
      <w:r w:rsidRPr="0021030B">
        <w:rPr>
          <w:rFonts w:cs="Times New Roman"/>
          <w:noProof/>
          <w:szCs w:val="24"/>
        </w:rPr>
        <w:t>(5), 1205–1212. https://doi.org/10.1519/JSC.0000000000001228</w:t>
      </w:r>
    </w:p>
    <w:p w14:paraId="7FEDB32D"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Wretenberg, P., Feng, Y., &amp; Arborelius, U. P. (1996). High- and low-bar squatting techniques during weight-training. </w:t>
      </w:r>
      <w:r w:rsidRPr="0021030B">
        <w:rPr>
          <w:rFonts w:cs="Times New Roman"/>
          <w:i/>
          <w:iCs/>
          <w:noProof/>
          <w:szCs w:val="24"/>
        </w:rPr>
        <w:t>Medicine and Science in Sports and Exercise</w:t>
      </w:r>
      <w:r w:rsidRPr="0021030B">
        <w:rPr>
          <w:rFonts w:cs="Times New Roman"/>
          <w:noProof/>
          <w:szCs w:val="24"/>
        </w:rPr>
        <w:t xml:space="preserve">, </w:t>
      </w:r>
      <w:r w:rsidRPr="0021030B">
        <w:rPr>
          <w:rFonts w:cs="Times New Roman"/>
          <w:i/>
          <w:iCs/>
          <w:noProof/>
          <w:szCs w:val="24"/>
        </w:rPr>
        <w:t>28</w:t>
      </w:r>
      <w:r w:rsidRPr="0021030B">
        <w:rPr>
          <w:rFonts w:cs="Times New Roman"/>
          <w:noProof/>
          <w:szCs w:val="24"/>
        </w:rPr>
        <w:t>(2), 218–224. https://doi.org/10.1097/00005768-199602000-00010</w:t>
      </w:r>
    </w:p>
    <w:p w14:paraId="5CFFB48A" w14:textId="77777777" w:rsidR="00433385" w:rsidRPr="0021030B" w:rsidRDefault="00433385" w:rsidP="00433385">
      <w:pPr>
        <w:widowControl w:val="0"/>
        <w:autoSpaceDE w:val="0"/>
        <w:autoSpaceDN w:val="0"/>
        <w:adjustRightInd w:val="0"/>
        <w:spacing w:line="240" w:lineRule="auto"/>
        <w:ind w:left="480" w:hanging="480"/>
        <w:rPr>
          <w:rFonts w:cs="Times New Roman"/>
          <w:noProof/>
          <w:szCs w:val="24"/>
        </w:rPr>
      </w:pPr>
      <w:r w:rsidRPr="0021030B">
        <w:rPr>
          <w:rFonts w:cs="Times New Roman"/>
          <w:noProof/>
          <w:szCs w:val="24"/>
        </w:rPr>
        <w:t xml:space="preserve">Young, W., Benton, D., Duthie, G., &amp; Pryor, J. (2001). Resistance Training for Short Sprints and Maximum-speed Sprints. </w:t>
      </w:r>
      <w:r w:rsidRPr="0021030B">
        <w:rPr>
          <w:rFonts w:cs="Times New Roman"/>
          <w:i/>
          <w:iCs/>
          <w:noProof/>
          <w:szCs w:val="24"/>
        </w:rPr>
        <w:t>Strength and Conditioning Journal</w:t>
      </w:r>
      <w:r w:rsidRPr="0021030B">
        <w:rPr>
          <w:rFonts w:cs="Times New Roman"/>
          <w:noProof/>
          <w:szCs w:val="24"/>
        </w:rPr>
        <w:t xml:space="preserve">, </w:t>
      </w:r>
      <w:r w:rsidRPr="0021030B">
        <w:rPr>
          <w:rFonts w:cs="Times New Roman"/>
          <w:i/>
          <w:iCs/>
          <w:noProof/>
          <w:szCs w:val="24"/>
        </w:rPr>
        <w:t>23</w:t>
      </w:r>
      <w:r w:rsidRPr="0021030B">
        <w:rPr>
          <w:rFonts w:cs="Times New Roman"/>
          <w:noProof/>
          <w:szCs w:val="24"/>
        </w:rPr>
        <w:t>(2), 7–13.</w:t>
      </w:r>
    </w:p>
    <w:p w14:paraId="58BE0140" w14:textId="77777777" w:rsidR="00433385" w:rsidRPr="0021030B" w:rsidRDefault="00433385" w:rsidP="00433385">
      <w:pPr>
        <w:widowControl w:val="0"/>
        <w:autoSpaceDE w:val="0"/>
        <w:autoSpaceDN w:val="0"/>
        <w:adjustRightInd w:val="0"/>
        <w:spacing w:line="240" w:lineRule="auto"/>
        <w:ind w:left="480" w:hanging="480"/>
        <w:rPr>
          <w:rFonts w:cs="Times New Roman"/>
          <w:noProof/>
        </w:rPr>
      </w:pPr>
      <w:r w:rsidRPr="0021030B">
        <w:rPr>
          <w:rFonts w:cs="Times New Roman"/>
          <w:noProof/>
          <w:szCs w:val="24"/>
        </w:rPr>
        <w:t xml:space="preserve">Zatsiorsky, V. M., &amp; Kraemer, W. J. (2006). </w:t>
      </w:r>
      <w:r w:rsidRPr="0021030B">
        <w:rPr>
          <w:rFonts w:cs="Times New Roman"/>
          <w:i/>
          <w:iCs/>
          <w:noProof/>
          <w:szCs w:val="24"/>
        </w:rPr>
        <w:t>Science and practice of strength training</w:t>
      </w:r>
      <w:r w:rsidRPr="0021030B">
        <w:rPr>
          <w:rFonts w:cs="Times New Roman"/>
          <w:noProof/>
          <w:szCs w:val="24"/>
        </w:rPr>
        <w:t>. Human Kinetics.</w:t>
      </w:r>
    </w:p>
    <w:p w14:paraId="3783953A" w14:textId="316C7A4E" w:rsidR="000103D1" w:rsidRPr="0021030B" w:rsidRDefault="0003706C" w:rsidP="0041516A">
      <w:pPr>
        <w:widowControl w:val="0"/>
        <w:autoSpaceDE w:val="0"/>
        <w:autoSpaceDN w:val="0"/>
        <w:adjustRightInd w:val="0"/>
        <w:spacing w:line="240" w:lineRule="auto"/>
        <w:ind w:left="640" w:hanging="640"/>
        <w:rPr>
          <w:rFonts w:cs="Times New Roman"/>
          <w:b/>
          <w:szCs w:val="20"/>
          <w:lang w:val="en-US"/>
        </w:rPr>
      </w:pPr>
      <w:r w:rsidRPr="0021030B">
        <w:rPr>
          <w:rFonts w:cs="Times New Roman"/>
          <w:b/>
          <w:szCs w:val="20"/>
          <w:lang w:val="en-US"/>
        </w:rPr>
        <w:fldChar w:fldCharType="end"/>
      </w:r>
    </w:p>
    <w:p w14:paraId="785528D5" w14:textId="77777777" w:rsidR="00705C9E" w:rsidRPr="0021030B" w:rsidRDefault="00705C9E">
      <w:pPr>
        <w:rPr>
          <w:rFonts w:cs="Times New Roman"/>
          <w:b/>
          <w:sz w:val="20"/>
          <w:szCs w:val="20"/>
          <w:lang w:val="en-US"/>
        </w:rPr>
        <w:sectPr w:rsidR="00705C9E" w:rsidRPr="0021030B" w:rsidSect="00CD4E1A">
          <w:footerReference w:type="default" r:id="rId8"/>
          <w:pgSz w:w="11906" w:h="16838"/>
          <w:pgMar w:top="1418" w:right="1701" w:bottom="1418" w:left="1701" w:header="709" w:footer="709" w:gutter="0"/>
          <w:cols w:space="708"/>
          <w:docGrid w:linePitch="360"/>
        </w:sectPr>
      </w:pPr>
    </w:p>
    <w:p w14:paraId="14A8AFA7" w14:textId="77777777" w:rsidR="0021030B" w:rsidRPr="00A411ED" w:rsidRDefault="0021030B" w:rsidP="0021030B">
      <w:pPr>
        <w:spacing w:line="360" w:lineRule="auto"/>
        <w:rPr>
          <w:rFonts w:cs="Times New Roman"/>
          <w:szCs w:val="24"/>
          <w:lang w:val="en-US"/>
        </w:rPr>
      </w:pPr>
      <w:r w:rsidRPr="00A411ED">
        <w:rPr>
          <w:rFonts w:cs="Times New Roman"/>
          <w:b/>
          <w:szCs w:val="24"/>
          <w:lang w:val="en-US"/>
        </w:rPr>
        <w:lastRenderedPageBreak/>
        <w:t xml:space="preserve">Table 1. </w:t>
      </w:r>
      <w:r w:rsidRPr="00A411ED">
        <w:rPr>
          <w:rFonts w:cs="Times New Roman"/>
          <w:szCs w:val="24"/>
          <w:lang w:val="en-US"/>
        </w:rPr>
        <w:t>Descriptive characteristics of the resistance training program performed by the Full Squat (F-SQ), Parallel Squat (P-SQ) and Half Squat (H-SQ) groups.</w:t>
      </w:r>
    </w:p>
    <w:tbl>
      <w:tblPr>
        <w:tblW w:w="0" w:type="auto"/>
        <w:tblInd w:w="55" w:type="dxa"/>
        <w:tblCellMar>
          <w:left w:w="70" w:type="dxa"/>
          <w:right w:w="70" w:type="dxa"/>
        </w:tblCellMar>
        <w:tblLook w:val="04A0" w:firstRow="1" w:lastRow="0" w:firstColumn="1" w:lastColumn="0" w:noHBand="0" w:noVBand="1"/>
      </w:tblPr>
      <w:tblGrid>
        <w:gridCol w:w="1926"/>
        <w:gridCol w:w="615"/>
        <w:gridCol w:w="615"/>
        <w:gridCol w:w="615"/>
        <w:gridCol w:w="615"/>
        <w:gridCol w:w="615"/>
        <w:gridCol w:w="615"/>
        <w:gridCol w:w="615"/>
        <w:gridCol w:w="615"/>
        <w:gridCol w:w="615"/>
        <w:gridCol w:w="702"/>
      </w:tblGrid>
      <w:tr w:rsidR="0021030B" w:rsidRPr="00A411ED" w14:paraId="5EC13199" w14:textId="77777777" w:rsidTr="00CE658E">
        <w:trPr>
          <w:trHeight w:val="315"/>
        </w:trPr>
        <w:tc>
          <w:tcPr>
            <w:tcW w:w="1926" w:type="dxa"/>
            <w:tcBorders>
              <w:top w:val="single" w:sz="8" w:space="0" w:color="auto"/>
              <w:left w:val="nil"/>
              <w:bottom w:val="single" w:sz="8" w:space="0" w:color="auto"/>
              <w:right w:val="nil"/>
            </w:tcBorders>
            <w:shd w:val="clear" w:color="auto" w:fill="auto"/>
            <w:vAlign w:val="center"/>
            <w:hideMark/>
          </w:tcPr>
          <w:p w14:paraId="2667680B" w14:textId="77777777" w:rsidR="0021030B" w:rsidRPr="00A411ED" w:rsidRDefault="0021030B" w:rsidP="00CE658E">
            <w:pPr>
              <w:spacing w:after="0" w:line="240" w:lineRule="auto"/>
              <w:rPr>
                <w:rFonts w:eastAsia="Times New Roman" w:cs="Times New Roman"/>
                <w:b/>
                <w:bCs/>
                <w:color w:val="000000"/>
                <w:sz w:val="20"/>
                <w:lang w:val="en-US" w:eastAsia="es-ES"/>
              </w:rPr>
            </w:pPr>
            <w:r w:rsidRPr="00A411ED">
              <w:rPr>
                <w:rFonts w:eastAsia="Times New Roman" w:cs="Times New Roman"/>
                <w:b/>
                <w:bCs/>
                <w:color w:val="000000"/>
                <w:sz w:val="20"/>
                <w:lang w:val="en-US" w:eastAsia="es-ES"/>
              </w:rPr>
              <w:t>Scheduled</w:t>
            </w:r>
          </w:p>
        </w:tc>
        <w:tc>
          <w:tcPr>
            <w:tcW w:w="0" w:type="auto"/>
            <w:tcBorders>
              <w:top w:val="single" w:sz="8" w:space="0" w:color="auto"/>
              <w:left w:val="nil"/>
              <w:bottom w:val="single" w:sz="8" w:space="0" w:color="auto"/>
              <w:right w:val="nil"/>
            </w:tcBorders>
            <w:shd w:val="clear" w:color="auto" w:fill="auto"/>
            <w:noWrap/>
            <w:vAlign w:val="center"/>
            <w:hideMark/>
          </w:tcPr>
          <w:p w14:paraId="680F47AF" w14:textId="77777777" w:rsidR="0021030B" w:rsidRPr="00A411ED" w:rsidRDefault="0021030B" w:rsidP="00CE658E">
            <w:pPr>
              <w:spacing w:after="0" w:line="240" w:lineRule="auto"/>
              <w:jc w:val="center"/>
              <w:rPr>
                <w:rFonts w:eastAsia="Times New Roman" w:cs="Times New Roman"/>
                <w:b/>
                <w:bCs/>
                <w:color w:val="000000"/>
                <w:sz w:val="20"/>
                <w:lang w:val="en-US" w:eastAsia="es-ES"/>
              </w:rPr>
            </w:pPr>
            <w:r w:rsidRPr="00A411ED">
              <w:rPr>
                <w:rFonts w:eastAsia="Times New Roman" w:cs="Times New Roman"/>
                <w:b/>
                <w:bCs/>
                <w:color w:val="000000"/>
                <w:sz w:val="20"/>
                <w:lang w:val="en-US" w:eastAsia="es-ES"/>
              </w:rPr>
              <w:t>Wk 1</w:t>
            </w:r>
          </w:p>
        </w:tc>
        <w:tc>
          <w:tcPr>
            <w:tcW w:w="0" w:type="auto"/>
            <w:tcBorders>
              <w:top w:val="single" w:sz="8" w:space="0" w:color="auto"/>
              <w:left w:val="nil"/>
              <w:bottom w:val="single" w:sz="8" w:space="0" w:color="auto"/>
              <w:right w:val="nil"/>
            </w:tcBorders>
            <w:shd w:val="clear" w:color="auto" w:fill="auto"/>
            <w:noWrap/>
            <w:vAlign w:val="center"/>
            <w:hideMark/>
          </w:tcPr>
          <w:p w14:paraId="2D3DEEAD" w14:textId="77777777" w:rsidR="0021030B" w:rsidRPr="00A411ED" w:rsidRDefault="0021030B" w:rsidP="00CE658E">
            <w:pPr>
              <w:spacing w:after="0" w:line="240" w:lineRule="auto"/>
              <w:jc w:val="center"/>
              <w:rPr>
                <w:rFonts w:eastAsia="Times New Roman" w:cs="Times New Roman"/>
                <w:b/>
                <w:bCs/>
                <w:color w:val="000000"/>
                <w:sz w:val="20"/>
                <w:lang w:val="en-US" w:eastAsia="es-ES"/>
              </w:rPr>
            </w:pPr>
            <w:r w:rsidRPr="00A411ED">
              <w:rPr>
                <w:rFonts w:eastAsia="Times New Roman" w:cs="Times New Roman"/>
                <w:b/>
                <w:bCs/>
                <w:color w:val="000000"/>
                <w:sz w:val="20"/>
                <w:lang w:val="en-US" w:eastAsia="es-ES"/>
              </w:rPr>
              <w:t>Wk 2</w:t>
            </w:r>
          </w:p>
        </w:tc>
        <w:tc>
          <w:tcPr>
            <w:tcW w:w="0" w:type="auto"/>
            <w:tcBorders>
              <w:top w:val="single" w:sz="8" w:space="0" w:color="auto"/>
              <w:left w:val="nil"/>
              <w:bottom w:val="single" w:sz="8" w:space="0" w:color="auto"/>
              <w:right w:val="nil"/>
            </w:tcBorders>
            <w:shd w:val="clear" w:color="auto" w:fill="auto"/>
            <w:noWrap/>
            <w:vAlign w:val="center"/>
            <w:hideMark/>
          </w:tcPr>
          <w:p w14:paraId="3BFA1E1E" w14:textId="77777777" w:rsidR="0021030B" w:rsidRPr="00A411ED" w:rsidRDefault="0021030B" w:rsidP="00CE658E">
            <w:pPr>
              <w:spacing w:after="0" w:line="240" w:lineRule="auto"/>
              <w:jc w:val="center"/>
              <w:rPr>
                <w:rFonts w:eastAsia="Times New Roman" w:cs="Times New Roman"/>
                <w:b/>
                <w:bCs/>
                <w:color w:val="000000"/>
                <w:sz w:val="20"/>
                <w:lang w:val="en-US" w:eastAsia="es-ES"/>
              </w:rPr>
            </w:pPr>
            <w:r w:rsidRPr="00A411ED">
              <w:rPr>
                <w:rFonts w:eastAsia="Times New Roman" w:cs="Times New Roman"/>
                <w:b/>
                <w:bCs/>
                <w:color w:val="000000"/>
                <w:sz w:val="20"/>
                <w:lang w:val="en-US" w:eastAsia="es-ES"/>
              </w:rPr>
              <w:t>Wk 3</w:t>
            </w:r>
          </w:p>
        </w:tc>
        <w:tc>
          <w:tcPr>
            <w:tcW w:w="0" w:type="auto"/>
            <w:tcBorders>
              <w:top w:val="single" w:sz="8" w:space="0" w:color="auto"/>
              <w:left w:val="nil"/>
              <w:bottom w:val="single" w:sz="8" w:space="0" w:color="auto"/>
              <w:right w:val="nil"/>
            </w:tcBorders>
            <w:shd w:val="clear" w:color="auto" w:fill="auto"/>
            <w:noWrap/>
            <w:vAlign w:val="center"/>
            <w:hideMark/>
          </w:tcPr>
          <w:p w14:paraId="05623261" w14:textId="77777777" w:rsidR="0021030B" w:rsidRPr="00A411ED" w:rsidRDefault="0021030B" w:rsidP="00CE658E">
            <w:pPr>
              <w:spacing w:after="0" w:line="240" w:lineRule="auto"/>
              <w:jc w:val="center"/>
              <w:rPr>
                <w:rFonts w:eastAsia="Times New Roman" w:cs="Times New Roman"/>
                <w:b/>
                <w:bCs/>
                <w:color w:val="000000"/>
                <w:sz w:val="20"/>
                <w:lang w:val="en-US" w:eastAsia="es-ES"/>
              </w:rPr>
            </w:pPr>
            <w:r w:rsidRPr="00A411ED">
              <w:rPr>
                <w:rFonts w:eastAsia="Times New Roman" w:cs="Times New Roman"/>
                <w:b/>
                <w:bCs/>
                <w:color w:val="000000"/>
                <w:sz w:val="20"/>
                <w:lang w:val="en-US" w:eastAsia="es-ES"/>
              </w:rPr>
              <w:t>Wk 4</w:t>
            </w:r>
          </w:p>
        </w:tc>
        <w:tc>
          <w:tcPr>
            <w:tcW w:w="0" w:type="auto"/>
            <w:tcBorders>
              <w:top w:val="single" w:sz="8" w:space="0" w:color="auto"/>
              <w:left w:val="nil"/>
              <w:bottom w:val="single" w:sz="8" w:space="0" w:color="auto"/>
              <w:right w:val="nil"/>
            </w:tcBorders>
            <w:shd w:val="clear" w:color="auto" w:fill="auto"/>
            <w:noWrap/>
            <w:vAlign w:val="center"/>
            <w:hideMark/>
          </w:tcPr>
          <w:p w14:paraId="23335FAC" w14:textId="77777777" w:rsidR="0021030B" w:rsidRPr="00A411ED" w:rsidRDefault="0021030B" w:rsidP="00CE658E">
            <w:pPr>
              <w:spacing w:after="0" w:line="240" w:lineRule="auto"/>
              <w:jc w:val="center"/>
              <w:rPr>
                <w:rFonts w:eastAsia="Times New Roman" w:cs="Times New Roman"/>
                <w:b/>
                <w:bCs/>
                <w:color w:val="000000"/>
                <w:sz w:val="20"/>
                <w:lang w:val="en-US" w:eastAsia="es-ES"/>
              </w:rPr>
            </w:pPr>
            <w:r w:rsidRPr="00A411ED">
              <w:rPr>
                <w:rFonts w:eastAsia="Times New Roman" w:cs="Times New Roman"/>
                <w:b/>
                <w:bCs/>
                <w:color w:val="000000"/>
                <w:sz w:val="20"/>
                <w:lang w:val="en-US" w:eastAsia="es-ES"/>
              </w:rPr>
              <w:t>Wk 5</w:t>
            </w:r>
          </w:p>
        </w:tc>
        <w:tc>
          <w:tcPr>
            <w:tcW w:w="0" w:type="auto"/>
            <w:tcBorders>
              <w:top w:val="single" w:sz="8" w:space="0" w:color="auto"/>
              <w:left w:val="nil"/>
              <w:bottom w:val="single" w:sz="8" w:space="0" w:color="auto"/>
              <w:right w:val="nil"/>
            </w:tcBorders>
            <w:shd w:val="clear" w:color="auto" w:fill="auto"/>
            <w:noWrap/>
            <w:vAlign w:val="center"/>
            <w:hideMark/>
          </w:tcPr>
          <w:p w14:paraId="04EA1850" w14:textId="77777777" w:rsidR="0021030B" w:rsidRPr="00A411ED" w:rsidRDefault="0021030B" w:rsidP="00CE658E">
            <w:pPr>
              <w:spacing w:after="0" w:line="240" w:lineRule="auto"/>
              <w:jc w:val="center"/>
              <w:rPr>
                <w:rFonts w:eastAsia="Times New Roman" w:cs="Times New Roman"/>
                <w:b/>
                <w:bCs/>
                <w:color w:val="000000"/>
                <w:sz w:val="20"/>
                <w:lang w:val="en-US" w:eastAsia="es-ES"/>
              </w:rPr>
            </w:pPr>
            <w:r w:rsidRPr="00A411ED">
              <w:rPr>
                <w:rFonts w:eastAsia="Times New Roman" w:cs="Times New Roman"/>
                <w:b/>
                <w:bCs/>
                <w:color w:val="000000"/>
                <w:sz w:val="20"/>
                <w:lang w:val="en-US" w:eastAsia="es-ES"/>
              </w:rPr>
              <w:t>Wk 6</w:t>
            </w:r>
          </w:p>
        </w:tc>
        <w:tc>
          <w:tcPr>
            <w:tcW w:w="0" w:type="auto"/>
            <w:tcBorders>
              <w:top w:val="single" w:sz="8" w:space="0" w:color="auto"/>
              <w:left w:val="nil"/>
              <w:bottom w:val="single" w:sz="8" w:space="0" w:color="auto"/>
              <w:right w:val="nil"/>
            </w:tcBorders>
            <w:shd w:val="clear" w:color="auto" w:fill="auto"/>
            <w:noWrap/>
            <w:vAlign w:val="center"/>
            <w:hideMark/>
          </w:tcPr>
          <w:p w14:paraId="23B36BD6" w14:textId="77777777" w:rsidR="0021030B" w:rsidRPr="00A411ED" w:rsidRDefault="0021030B" w:rsidP="00CE658E">
            <w:pPr>
              <w:spacing w:after="0" w:line="240" w:lineRule="auto"/>
              <w:jc w:val="center"/>
              <w:rPr>
                <w:rFonts w:eastAsia="Times New Roman" w:cs="Times New Roman"/>
                <w:b/>
                <w:bCs/>
                <w:color w:val="000000"/>
                <w:sz w:val="20"/>
                <w:lang w:val="en-US" w:eastAsia="es-ES"/>
              </w:rPr>
            </w:pPr>
            <w:r w:rsidRPr="00A411ED">
              <w:rPr>
                <w:rFonts w:eastAsia="Times New Roman" w:cs="Times New Roman"/>
                <w:b/>
                <w:bCs/>
                <w:color w:val="000000"/>
                <w:sz w:val="20"/>
                <w:lang w:val="en-US" w:eastAsia="es-ES"/>
              </w:rPr>
              <w:t>Wk 7</w:t>
            </w:r>
          </w:p>
        </w:tc>
        <w:tc>
          <w:tcPr>
            <w:tcW w:w="0" w:type="auto"/>
            <w:tcBorders>
              <w:top w:val="single" w:sz="8" w:space="0" w:color="auto"/>
              <w:left w:val="nil"/>
              <w:bottom w:val="single" w:sz="8" w:space="0" w:color="auto"/>
              <w:right w:val="nil"/>
            </w:tcBorders>
            <w:shd w:val="clear" w:color="auto" w:fill="auto"/>
            <w:noWrap/>
            <w:vAlign w:val="center"/>
            <w:hideMark/>
          </w:tcPr>
          <w:p w14:paraId="353CC21E" w14:textId="77777777" w:rsidR="0021030B" w:rsidRPr="00A411ED" w:rsidRDefault="0021030B" w:rsidP="00CE658E">
            <w:pPr>
              <w:spacing w:after="0" w:line="240" w:lineRule="auto"/>
              <w:jc w:val="center"/>
              <w:rPr>
                <w:rFonts w:eastAsia="Times New Roman" w:cs="Times New Roman"/>
                <w:b/>
                <w:bCs/>
                <w:color w:val="000000"/>
                <w:sz w:val="20"/>
                <w:lang w:val="en-US" w:eastAsia="es-ES"/>
              </w:rPr>
            </w:pPr>
            <w:r w:rsidRPr="00A411ED">
              <w:rPr>
                <w:rFonts w:eastAsia="Times New Roman" w:cs="Times New Roman"/>
                <w:b/>
                <w:bCs/>
                <w:color w:val="000000"/>
                <w:sz w:val="20"/>
                <w:lang w:val="en-US" w:eastAsia="es-ES"/>
              </w:rPr>
              <w:t>Wk 8</w:t>
            </w:r>
          </w:p>
        </w:tc>
        <w:tc>
          <w:tcPr>
            <w:tcW w:w="0" w:type="auto"/>
            <w:tcBorders>
              <w:top w:val="single" w:sz="8" w:space="0" w:color="auto"/>
              <w:left w:val="nil"/>
              <w:bottom w:val="single" w:sz="8" w:space="0" w:color="auto"/>
              <w:right w:val="nil"/>
            </w:tcBorders>
            <w:shd w:val="clear" w:color="auto" w:fill="auto"/>
            <w:noWrap/>
            <w:vAlign w:val="center"/>
            <w:hideMark/>
          </w:tcPr>
          <w:p w14:paraId="76EFB669" w14:textId="77777777" w:rsidR="0021030B" w:rsidRPr="00A411ED" w:rsidRDefault="0021030B" w:rsidP="00CE658E">
            <w:pPr>
              <w:spacing w:after="0" w:line="240" w:lineRule="auto"/>
              <w:jc w:val="center"/>
              <w:rPr>
                <w:rFonts w:eastAsia="Times New Roman" w:cs="Times New Roman"/>
                <w:b/>
                <w:bCs/>
                <w:color w:val="000000"/>
                <w:sz w:val="20"/>
                <w:lang w:val="en-US" w:eastAsia="es-ES"/>
              </w:rPr>
            </w:pPr>
            <w:r w:rsidRPr="00A411ED">
              <w:rPr>
                <w:rFonts w:eastAsia="Times New Roman" w:cs="Times New Roman"/>
                <w:b/>
                <w:bCs/>
                <w:color w:val="000000"/>
                <w:sz w:val="20"/>
                <w:lang w:val="en-US" w:eastAsia="es-ES"/>
              </w:rPr>
              <w:t>Wk 9</w:t>
            </w:r>
          </w:p>
        </w:tc>
        <w:tc>
          <w:tcPr>
            <w:tcW w:w="0" w:type="auto"/>
            <w:tcBorders>
              <w:top w:val="single" w:sz="8" w:space="0" w:color="auto"/>
              <w:left w:val="nil"/>
              <w:bottom w:val="single" w:sz="8" w:space="0" w:color="auto"/>
              <w:right w:val="nil"/>
            </w:tcBorders>
            <w:shd w:val="clear" w:color="auto" w:fill="auto"/>
            <w:noWrap/>
            <w:vAlign w:val="center"/>
            <w:hideMark/>
          </w:tcPr>
          <w:p w14:paraId="6535DF37" w14:textId="77777777" w:rsidR="0021030B" w:rsidRPr="00A411ED" w:rsidRDefault="0021030B" w:rsidP="00CE658E">
            <w:pPr>
              <w:spacing w:after="0" w:line="240" w:lineRule="auto"/>
              <w:jc w:val="center"/>
              <w:rPr>
                <w:rFonts w:eastAsia="Times New Roman" w:cs="Times New Roman"/>
                <w:b/>
                <w:bCs/>
                <w:color w:val="000000"/>
                <w:sz w:val="20"/>
                <w:lang w:val="en-US" w:eastAsia="es-ES"/>
              </w:rPr>
            </w:pPr>
            <w:r w:rsidRPr="00A411ED">
              <w:rPr>
                <w:rFonts w:eastAsia="Times New Roman" w:cs="Times New Roman"/>
                <w:b/>
                <w:bCs/>
                <w:color w:val="000000"/>
                <w:sz w:val="20"/>
                <w:lang w:val="en-US" w:eastAsia="es-ES"/>
              </w:rPr>
              <w:t>Wk 10</w:t>
            </w:r>
          </w:p>
        </w:tc>
      </w:tr>
      <w:tr w:rsidR="0021030B" w:rsidRPr="00A411ED" w14:paraId="06DC989C" w14:textId="77777777" w:rsidTr="00CE658E">
        <w:trPr>
          <w:trHeight w:val="300"/>
        </w:trPr>
        <w:tc>
          <w:tcPr>
            <w:tcW w:w="1926" w:type="dxa"/>
            <w:tcBorders>
              <w:top w:val="nil"/>
              <w:left w:val="nil"/>
              <w:bottom w:val="nil"/>
              <w:right w:val="nil"/>
            </w:tcBorders>
            <w:shd w:val="clear" w:color="auto" w:fill="auto"/>
            <w:vAlign w:val="center"/>
            <w:hideMark/>
          </w:tcPr>
          <w:p w14:paraId="349894A6" w14:textId="77777777" w:rsidR="0021030B" w:rsidRPr="00A411ED" w:rsidRDefault="0021030B" w:rsidP="00CE658E">
            <w:pPr>
              <w:spacing w:after="0" w:line="240" w:lineRule="auto"/>
              <w:rPr>
                <w:rFonts w:eastAsia="Times New Roman" w:cs="Times New Roman"/>
                <w:b/>
                <w:color w:val="000000"/>
                <w:sz w:val="20"/>
                <w:lang w:val="en-US" w:eastAsia="es-ES"/>
              </w:rPr>
            </w:pPr>
            <w:r w:rsidRPr="00A411ED">
              <w:rPr>
                <w:rFonts w:eastAsia="Times New Roman" w:cs="Times New Roman"/>
                <w:b/>
                <w:color w:val="000000"/>
                <w:sz w:val="20"/>
                <w:lang w:val="en-US" w:eastAsia="es-ES"/>
              </w:rPr>
              <w:t>%1RM</w:t>
            </w:r>
          </w:p>
        </w:tc>
        <w:tc>
          <w:tcPr>
            <w:tcW w:w="0" w:type="auto"/>
            <w:tcBorders>
              <w:top w:val="nil"/>
              <w:left w:val="nil"/>
              <w:bottom w:val="nil"/>
              <w:right w:val="nil"/>
            </w:tcBorders>
            <w:shd w:val="clear" w:color="auto" w:fill="auto"/>
            <w:noWrap/>
            <w:vAlign w:val="center"/>
            <w:hideMark/>
          </w:tcPr>
          <w:p w14:paraId="5C8B6484"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~60%</w:t>
            </w:r>
          </w:p>
        </w:tc>
        <w:tc>
          <w:tcPr>
            <w:tcW w:w="0" w:type="auto"/>
            <w:tcBorders>
              <w:top w:val="nil"/>
              <w:left w:val="nil"/>
              <w:bottom w:val="nil"/>
              <w:right w:val="nil"/>
            </w:tcBorders>
            <w:shd w:val="clear" w:color="auto" w:fill="auto"/>
            <w:noWrap/>
            <w:vAlign w:val="center"/>
            <w:hideMark/>
          </w:tcPr>
          <w:p w14:paraId="6A9C0F57"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~60%</w:t>
            </w:r>
          </w:p>
        </w:tc>
        <w:tc>
          <w:tcPr>
            <w:tcW w:w="0" w:type="auto"/>
            <w:tcBorders>
              <w:top w:val="nil"/>
              <w:left w:val="nil"/>
              <w:bottom w:val="nil"/>
              <w:right w:val="nil"/>
            </w:tcBorders>
            <w:shd w:val="clear" w:color="auto" w:fill="auto"/>
            <w:noWrap/>
            <w:vAlign w:val="center"/>
            <w:hideMark/>
          </w:tcPr>
          <w:p w14:paraId="00057252"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~65%</w:t>
            </w:r>
          </w:p>
        </w:tc>
        <w:tc>
          <w:tcPr>
            <w:tcW w:w="0" w:type="auto"/>
            <w:tcBorders>
              <w:top w:val="nil"/>
              <w:left w:val="nil"/>
              <w:bottom w:val="nil"/>
              <w:right w:val="nil"/>
            </w:tcBorders>
            <w:shd w:val="clear" w:color="auto" w:fill="auto"/>
            <w:noWrap/>
            <w:vAlign w:val="center"/>
            <w:hideMark/>
          </w:tcPr>
          <w:p w14:paraId="6BFF74F9"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~65%</w:t>
            </w:r>
          </w:p>
        </w:tc>
        <w:tc>
          <w:tcPr>
            <w:tcW w:w="0" w:type="auto"/>
            <w:tcBorders>
              <w:top w:val="nil"/>
              <w:left w:val="nil"/>
              <w:bottom w:val="nil"/>
              <w:right w:val="nil"/>
            </w:tcBorders>
            <w:shd w:val="clear" w:color="auto" w:fill="auto"/>
            <w:noWrap/>
            <w:vAlign w:val="center"/>
            <w:hideMark/>
          </w:tcPr>
          <w:p w14:paraId="423775B6"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~70%</w:t>
            </w:r>
          </w:p>
        </w:tc>
        <w:tc>
          <w:tcPr>
            <w:tcW w:w="0" w:type="auto"/>
            <w:tcBorders>
              <w:top w:val="nil"/>
              <w:left w:val="nil"/>
              <w:bottom w:val="nil"/>
              <w:right w:val="nil"/>
            </w:tcBorders>
            <w:shd w:val="clear" w:color="auto" w:fill="auto"/>
            <w:noWrap/>
            <w:vAlign w:val="center"/>
            <w:hideMark/>
          </w:tcPr>
          <w:p w14:paraId="64AB951E"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~70%</w:t>
            </w:r>
          </w:p>
        </w:tc>
        <w:tc>
          <w:tcPr>
            <w:tcW w:w="0" w:type="auto"/>
            <w:tcBorders>
              <w:top w:val="nil"/>
              <w:left w:val="nil"/>
              <w:bottom w:val="nil"/>
              <w:right w:val="nil"/>
            </w:tcBorders>
            <w:shd w:val="clear" w:color="auto" w:fill="auto"/>
            <w:noWrap/>
            <w:vAlign w:val="center"/>
            <w:hideMark/>
          </w:tcPr>
          <w:p w14:paraId="25847D1C"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~75%</w:t>
            </w:r>
          </w:p>
        </w:tc>
        <w:tc>
          <w:tcPr>
            <w:tcW w:w="0" w:type="auto"/>
            <w:tcBorders>
              <w:top w:val="nil"/>
              <w:left w:val="nil"/>
              <w:bottom w:val="nil"/>
              <w:right w:val="nil"/>
            </w:tcBorders>
            <w:shd w:val="clear" w:color="auto" w:fill="auto"/>
            <w:noWrap/>
            <w:vAlign w:val="center"/>
            <w:hideMark/>
          </w:tcPr>
          <w:p w14:paraId="66C07383"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~75%</w:t>
            </w:r>
          </w:p>
        </w:tc>
        <w:tc>
          <w:tcPr>
            <w:tcW w:w="0" w:type="auto"/>
            <w:tcBorders>
              <w:top w:val="nil"/>
              <w:left w:val="nil"/>
              <w:bottom w:val="nil"/>
              <w:right w:val="nil"/>
            </w:tcBorders>
            <w:shd w:val="clear" w:color="auto" w:fill="auto"/>
            <w:noWrap/>
            <w:vAlign w:val="center"/>
            <w:hideMark/>
          </w:tcPr>
          <w:p w14:paraId="001C485A"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~80%</w:t>
            </w:r>
          </w:p>
        </w:tc>
        <w:tc>
          <w:tcPr>
            <w:tcW w:w="0" w:type="auto"/>
            <w:tcBorders>
              <w:top w:val="nil"/>
              <w:left w:val="nil"/>
              <w:bottom w:val="nil"/>
              <w:right w:val="nil"/>
            </w:tcBorders>
            <w:shd w:val="clear" w:color="auto" w:fill="auto"/>
            <w:noWrap/>
            <w:vAlign w:val="center"/>
            <w:hideMark/>
          </w:tcPr>
          <w:p w14:paraId="58105D6A"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~80%</w:t>
            </w:r>
          </w:p>
        </w:tc>
      </w:tr>
      <w:tr w:rsidR="0021030B" w:rsidRPr="00A411ED" w14:paraId="558CF182" w14:textId="77777777" w:rsidTr="00CE658E">
        <w:trPr>
          <w:trHeight w:val="315"/>
        </w:trPr>
        <w:tc>
          <w:tcPr>
            <w:tcW w:w="1926" w:type="dxa"/>
            <w:tcBorders>
              <w:top w:val="nil"/>
              <w:left w:val="nil"/>
              <w:bottom w:val="nil"/>
              <w:right w:val="nil"/>
            </w:tcBorders>
            <w:shd w:val="clear" w:color="auto" w:fill="auto"/>
            <w:vAlign w:val="center"/>
            <w:hideMark/>
          </w:tcPr>
          <w:p w14:paraId="57D74627" w14:textId="77777777" w:rsidR="0021030B" w:rsidRPr="00A411ED" w:rsidRDefault="0021030B" w:rsidP="00CE658E">
            <w:pPr>
              <w:spacing w:after="0" w:line="240" w:lineRule="auto"/>
              <w:rPr>
                <w:rFonts w:eastAsia="Times New Roman" w:cs="Times New Roman"/>
                <w:b/>
                <w:color w:val="000000"/>
                <w:sz w:val="20"/>
                <w:lang w:val="en-US" w:eastAsia="es-ES"/>
              </w:rPr>
            </w:pPr>
            <w:r w:rsidRPr="00A411ED">
              <w:rPr>
                <w:rFonts w:eastAsia="Times New Roman" w:cs="Times New Roman"/>
                <w:b/>
                <w:color w:val="000000"/>
                <w:sz w:val="20"/>
                <w:lang w:val="en-US" w:eastAsia="es-ES"/>
              </w:rPr>
              <w:t>Sets x Reps</w:t>
            </w:r>
          </w:p>
        </w:tc>
        <w:tc>
          <w:tcPr>
            <w:tcW w:w="0" w:type="auto"/>
            <w:tcBorders>
              <w:top w:val="nil"/>
              <w:left w:val="nil"/>
              <w:bottom w:val="nil"/>
              <w:right w:val="nil"/>
            </w:tcBorders>
            <w:shd w:val="clear" w:color="auto" w:fill="auto"/>
            <w:noWrap/>
            <w:vAlign w:val="center"/>
            <w:hideMark/>
          </w:tcPr>
          <w:p w14:paraId="78AB29D2"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4 x 8</w:t>
            </w:r>
          </w:p>
        </w:tc>
        <w:tc>
          <w:tcPr>
            <w:tcW w:w="0" w:type="auto"/>
            <w:tcBorders>
              <w:top w:val="nil"/>
              <w:left w:val="nil"/>
              <w:bottom w:val="nil"/>
              <w:right w:val="nil"/>
            </w:tcBorders>
            <w:shd w:val="clear" w:color="auto" w:fill="auto"/>
            <w:noWrap/>
            <w:vAlign w:val="center"/>
            <w:hideMark/>
          </w:tcPr>
          <w:p w14:paraId="59704D75"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5 x 8</w:t>
            </w:r>
          </w:p>
        </w:tc>
        <w:tc>
          <w:tcPr>
            <w:tcW w:w="0" w:type="auto"/>
            <w:tcBorders>
              <w:top w:val="nil"/>
              <w:left w:val="nil"/>
              <w:bottom w:val="nil"/>
              <w:right w:val="nil"/>
            </w:tcBorders>
            <w:shd w:val="clear" w:color="auto" w:fill="auto"/>
            <w:noWrap/>
            <w:vAlign w:val="center"/>
            <w:hideMark/>
          </w:tcPr>
          <w:p w14:paraId="44585832"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4 x 8</w:t>
            </w:r>
          </w:p>
        </w:tc>
        <w:tc>
          <w:tcPr>
            <w:tcW w:w="0" w:type="auto"/>
            <w:tcBorders>
              <w:top w:val="nil"/>
              <w:left w:val="nil"/>
              <w:bottom w:val="nil"/>
              <w:right w:val="nil"/>
            </w:tcBorders>
            <w:shd w:val="clear" w:color="auto" w:fill="auto"/>
            <w:noWrap/>
            <w:vAlign w:val="center"/>
            <w:hideMark/>
          </w:tcPr>
          <w:p w14:paraId="0C3C5613"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5 x 8</w:t>
            </w:r>
          </w:p>
        </w:tc>
        <w:tc>
          <w:tcPr>
            <w:tcW w:w="0" w:type="auto"/>
            <w:tcBorders>
              <w:top w:val="nil"/>
              <w:left w:val="nil"/>
              <w:bottom w:val="nil"/>
              <w:right w:val="nil"/>
            </w:tcBorders>
            <w:shd w:val="clear" w:color="auto" w:fill="auto"/>
            <w:noWrap/>
            <w:vAlign w:val="center"/>
            <w:hideMark/>
          </w:tcPr>
          <w:p w14:paraId="01BEDD90"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4 x 6</w:t>
            </w:r>
          </w:p>
        </w:tc>
        <w:tc>
          <w:tcPr>
            <w:tcW w:w="0" w:type="auto"/>
            <w:tcBorders>
              <w:top w:val="nil"/>
              <w:left w:val="nil"/>
              <w:bottom w:val="nil"/>
              <w:right w:val="nil"/>
            </w:tcBorders>
            <w:shd w:val="clear" w:color="auto" w:fill="auto"/>
            <w:noWrap/>
            <w:vAlign w:val="center"/>
            <w:hideMark/>
          </w:tcPr>
          <w:p w14:paraId="12469BCE"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5 x 6</w:t>
            </w:r>
          </w:p>
        </w:tc>
        <w:tc>
          <w:tcPr>
            <w:tcW w:w="0" w:type="auto"/>
            <w:tcBorders>
              <w:top w:val="nil"/>
              <w:left w:val="nil"/>
              <w:bottom w:val="nil"/>
              <w:right w:val="nil"/>
            </w:tcBorders>
            <w:shd w:val="clear" w:color="auto" w:fill="auto"/>
            <w:noWrap/>
            <w:vAlign w:val="center"/>
            <w:hideMark/>
          </w:tcPr>
          <w:p w14:paraId="39D3F40C"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4 x 5</w:t>
            </w:r>
          </w:p>
        </w:tc>
        <w:tc>
          <w:tcPr>
            <w:tcW w:w="0" w:type="auto"/>
            <w:tcBorders>
              <w:top w:val="nil"/>
              <w:left w:val="nil"/>
              <w:bottom w:val="nil"/>
              <w:right w:val="nil"/>
            </w:tcBorders>
            <w:shd w:val="clear" w:color="auto" w:fill="auto"/>
            <w:noWrap/>
            <w:vAlign w:val="center"/>
            <w:hideMark/>
          </w:tcPr>
          <w:p w14:paraId="13464269"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5 x 5</w:t>
            </w:r>
          </w:p>
        </w:tc>
        <w:tc>
          <w:tcPr>
            <w:tcW w:w="0" w:type="auto"/>
            <w:tcBorders>
              <w:top w:val="nil"/>
              <w:left w:val="nil"/>
              <w:bottom w:val="nil"/>
              <w:right w:val="nil"/>
            </w:tcBorders>
            <w:shd w:val="clear" w:color="auto" w:fill="auto"/>
            <w:noWrap/>
            <w:vAlign w:val="center"/>
            <w:hideMark/>
          </w:tcPr>
          <w:p w14:paraId="096E65A7"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4 x 4</w:t>
            </w:r>
          </w:p>
        </w:tc>
        <w:tc>
          <w:tcPr>
            <w:tcW w:w="0" w:type="auto"/>
            <w:tcBorders>
              <w:top w:val="nil"/>
              <w:left w:val="nil"/>
              <w:bottom w:val="nil"/>
              <w:right w:val="nil"/>
            </w:tcBorders>
            <w:shd w:val="clear" w:color="auto" w:fill="auto"/>
            <w:noWrap/>
            <w:vAlign w:val="center"/>
            <w:hideMark/>
          </w:tcPr>
          <w:p w14:paraId="6B3E7149"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5 x 4</w:t>
            </w:r>
          </w:p>
        </w:tc>
      </w:tr>
      <w:tr w:rsidR="0021030B" w:rsidRPr="00A411ED" w14:paraId="24BE492E" w14:textId="77777777" w:rsidTr="00CE658E">
        <w:trPr>
          <w:trHeight w:val="300"/>
        </w:trPr>
        <w:tc>
          <w:tcPr>
            <w:tcW w:w="1926" w:type="dxa"/>
            <w:tcBorders>
              <w:top w:val="nil"/>
              <w:left w:val="nil"/>
              <w:bottom w:val="nil"/>
              <w:right w:val="nil"/>
            </w:tcBorders>
            <w:shd w:val="clear" w:color="auto" w:fill="auto"/>
            <w:vAlign w:val="center"/>
            <w:hideMark/>
          </w:tcPr>
          <w:p w14:paraId="1B19E8F6" w14:textId="77777777" w:rsidR="0021030B" w:rsidRPr="00A411ED" w:rsidRDefault="0021030B" w:rsidP="00CE658E">
            <w:pPr>
              <w:spacing w:after="0" w:line="240" w:lineRule="auto"/>
              <w:rPr>
                <w:rFonts w:eastAsia="Times New Roman" w:cs="Times New Roman"/>
                <w:b/>
                <w:bCs/>
                <w:color w:val="000000"/>
                <w:sz w:val="20"/>
                <w:lang w:val="en-US" w:eastAsia="es-ES"/>
              </w:rPr>
            </w:pPr>
            <w:r w:rsidRPr="00A411ED">
              <w:rPr>
                <w:rFonts w:eastAsia="Times New Roman" w:cs="Times New Roman"/>
                <w:b/>
                <w:bCs/>
                <w:color w:val="000000"/>
                <w:sz w:val="20"/>
                <w:lang w:val="en-US" w:eastAsia="es-ES"/>
              </w:rPr>
              <w:t>Target MPV (m·s</w:t>
            </w:r>
            <w:r w:rsidRPr="00A411ED">
              <w:rPr>
                <w:rFonts w:eastAsia="Times New Roman" w:cs="Times New Roman"/>
                <w:b/>
                <w:bCs/>
                <w:color w:val="000000"/>
                <w:sz w:val="20"/>
                <w:vertAlign w:val="superscript"/>
                <w:lang w:val="en-US" w:eastAsia="es-ES"/>
              </w:rPr>
              <w:t>-1</w:t>
            </w:r>
            <w:r w:rsidRPr="00A411ED">
              <w:rPr>
                <w:rFonts w:eastAsia="Times New Roman" w:cs="Times New Roman"/>
                <w:b/>
                <w:bCs/>
                <w:color w:val="000000"/>
                <w:sz w:val="20"/>
                <w:lang w:val="en-US" w:eastAsia="es-ES"/>
              </w:rPr>
              <w:t>)</w:t>
            </w:r>
          </w:p>
        </w:tc>
        <w:tc>
          <w:tcPr>
            <w:tcW w:w="0" w:type="auto"/>
            <w:tcBorders>
              <w:top w:val="nil"/>
              <w:left w:val="nil"/>
              <w:bottom w:val="nil"/>
              <w:right w:val="nil"/>
            </w:tcBorders>
            <w:shd w:val="clear" w:color="auto" w:fill="auto"/>
            <w:noWrap/>
            <w:vAlign w:val="center"/>
            <w:hideMark/>
          </w:tcPr>
          <w:p w14:paraId="4C0AEBF3"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 </w:t>
            </w:r>
          </w:p>
        </w:tc>
        <w:tc>
          <w:tcPr>
            <w:tcW w:w="0" w:type="auto"/>
            <w:tcBorders>
              <w:top w:val="nil"/>
              <w:left w:val="nil"/>
              <w:bottom w:val="nil"/>
              <w:right w:val="nil"/>
            </w:tcBorders>
            <w:shd w:val="clear" w:color="auto" w:fill="auto"/>
            <w:noWrap/>
            <w:vAlign w:val="center"/>
            <w:hideMark/>
          </w:tcPr>
          <w:p w14:paraId="5A0AA729"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 </w:t>
            </w:r>
          </w:p>
        </w:tc>
        <w:tc>
          <w:tcPr>
            <w:tcW w:w="0" w:type="auto"/>
            <w:tcBorders>
              <w:top w:val="nil"/>
              <w:left w:val="nil"/>
              <w:bottom w:val="nil"/>
              <w:right w:val="nil"/>
            </w:tcBorders>
            <w:shd w:val="clear" w:color="auto" w:fill="auto"/>
            <w:noWrap/>
            <w:vAlign w:val="center"/>
            <w:hideMark/>
          </w:tcPr>
          <w:p w14:paraId="65BBC096"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 </w:t>
            </w:r>
          </w:p>
        </w:tc>
        <w:tc>
          <w:tcPr>
            <w:tcW w:w="0" w:type="auto"/>
            <w:tcBorders>
              <w:top w:val="nil"/>
              <w:left w:val="nil"/>
              <w:bottom w:val="nil"/>
              <w:right w:val="nil"/>
            </w:tcBorders>
            <w:shd w:val="clear" w:color="auto" w:fill="auto"/>
            <w:noWrap/>
            <w:vAlign w:val="center"/>
            <w:hideMark/>
          </w:tcPr>
          <w:p w14:paraId="6ED81B86"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 </w:t>
            </w:r>
          </w:p>
        </w:tc>
        <w:tc>
          <w:tcPr>
            <w:tcW w:w="0" w:type="auto"/>
            <w:tcBorders>
              <w:top w:val="nil"/>
              <w:left w:val="nil"/>
              <w:bottom w:val="nil"/>
              <w:right w:val="nil"/>
            </w:tcBorders>
            <w:shd w:val="clear" w:color="auto" w:fill="auto"/>
            <w:noWrap/>
            <w:vAlign w:val="center"/>
            <w:hideMark/>
          </w:tcPr>
          <w:p w14:paraId="73A4C622"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 </w:t>
            </w:r>
          </w:p>
        </w:tc>
        <w:tc>
          <w:tcPr>
            <w:tcW w:w="0" w:type="auto"/>
            <w:tcBorders>
              <w:top w:val="nil"/>
              <w:left w:val="nil"/>
              <w:bottom w:val="nil"/>
              <w:right w:val="nil"/>
            </w:tcBorders>
            <w:shd w:val="clear" w:color="auto" w:fill="auto"/>
            <w:noWrap/>
            <w:vAlign w:val="center"/>
            <w:hideMark/>
          </w:tcPr>
          <w:p w14:paraId="1351FA45"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 </w:t>
            </w:r>
          </w:p>
        </w:tc>
        <w:tc>
          <w:tcPr>
            <w:tcW w:w="0" w:type="auto"/>
            <w:tcBorders>
              <w:top w:val="nil"/>
              <w:left w:val="nil"/>
              <w:bottom w:val="nil"/>
              <w:right w:val="nil"/>
            </w:tcBorders>
            <w:shd w:val="clear" w:color="auto" w:fill="auto"/>
            <w:noWrap/>
            <w:vAlign w:val="center"/>
            <w:hideMark/>
          </w:tcPr>
          <w:p w14:paraId="4AFADC8B"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 </w:t>
            </w:r>
          </w:p>
        </w:tc>
        <w:tc>
          <w:tcPr>
            <w:tcW w:w="0" w:type="auto"/>
            <w:tcBorders>
              <w:top w:val="nil"/>
              <w:left w:val="nil"/>
              <w:bottom w:val="nil"/>
              <w:right w:val="nil"/>
            </w:tcBorders>
            <w:shd w:val="clear" w:color="auto" w:fill="auto"/>
            <w:noWrap/>
            <w:vAlign w:val="center"/>
            <w:hideMark/>
          </w:tcPr>
          <w:p w14:paraId="14EB922C"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 </w:t>
            </w:r>
          </w:p>
        </w:tc>
        <w:tc>
          <w:tcPr>
            <w:tcW w:w="0" w:type="auto"/>
            <w:tcBorders>
              <w:top w:val="nil"/>
              <w:left w:val="nil"/>
              <w:bottom w:val="nil"/>
              <w:right w:val="nil"/>
            </w:tcBorders>
            <w:shd w:val="clear" w:color="auto" w:fill="auto"/>
            <w:noWrap/>
            <w:vAlign w:val="center"/>
            <w:hideMark/>
          </w:tcPr>
          <w:p w14:paraId="2C535503"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 </w:t>
            </w:r>
          </w:p>
        </w:tc>
        <w:tc>
          <w:tcPr>
            <w:tcW w:w="0" w:type="auto"/>
            <w:tcBorders>
              <w:top w:val="nil"/>
              <w:left w:val="nil"/>
              <w:bottom w:val="nil"/>
              <w:right w:val="nil"/>
            </w:tcBorders>
            <w:shd w:val="clear" w:color="auto" w:fill="auto"/>
            <w:noWrap/>
            <w:vAlign w:val="center"/>
            <w:hideMark/>
          </w:tcPr>
          <w:p w14:paraId="13F12251"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 </w:t>
            </w:r>
          </w:p>
        </w:tc>
      </w:tr>
      <w:tr w:rsidR="0021030B" w:rsidRPr="00A411ED" w14:paraId="53BCE6F5" w14:textId="77777777" w:rsidTr="00CE658E">
        <w:trPr>
          <w:trHeight w:val="300"/>
        </w:trPr>
        <w:tc>
          <w:tcPr>
            <w:tcW w:w="1926" w:type="dxa"/>
            <w:tcBorders>
              <w:top w:val="nil"/>
              <w:left w:val="nil"/>
              <w:bottom w:val="nil"/>
              <w:right w:val="nil"/>
            </w:tcBorders>
            <w:shd w:val="clear" w:color="auto" w:fill="auto"/>
            <w:noWrap/>
            <w:vAlign w:val="center"/>
            <w:hideMark/>
          </w:tcPr>
          <w:p w14:paraId="330A35B0" w14:textId="77777777" w:rsidR="0021030B" w:rsidRPr="00A411ED" w:rsidRDefault="0021030B" w:rsidP="00CE658E">
            <w:pPr>
              <w:spacing w:after="0" w:line="240" w:lineRule="auto"/>
              <w:rPr>
                <w:rFonts w:eastAsia="Times New Roman" w:cs="Times New Roman"/>
                <w:color w:val="000000"/>
                <w:sz w:val="20"/>
                <w:lang w:val="en-US" w:eastAsia="es-ES"/>
              </w:rPr>
            </w:pPr>
            <w:r w:rsidRPr="00A411ED">
              <w:rPr>
                <w:rFonts w:eastAsia="Times New Roman" w:cs="Times New Roman"/>
                <w:color w:val="000000"/>
                <w:sz w:val="20"/>
                <w:lang w:val="en-US" w:eastAsia="es-ES"/>
              </w:rPr>
              <w:t xml:space="preserve">  Group F-SQ</w:t>
            </w:r>
          </w:p>
        </w:tc>
        <w:tc>
          <w:tcPr>
            <w:tcW w:w="0" w:type="auto"/>
            <w:tcBorders>
              <w:top w:val="nil"/>
              <w:left w:val="nil"/>
              <w:bottom w:val="nil"/>
              <w:right w:val="nil"/>
            </w:tcBorders>
            <w:shd w:val="clear" w:color="auto" w:fill="auto"/>
            <w:noWrap/>
            <w:vAlign w:val="center"/>
            <w:hideMark/>
          </w:tcPr>
          <w:p w14:paraId="29BA81D2"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0.74</w:t>
            </w:r>
          </w:p>
        </w:tc>
        <w:tc>
          <w:tcPr>
            <w:tcW w:w="0" w:type="auto"/>
            <w:tcBorders>
              <w:top w:val="nil"/>
              <w:left w:val="nil"/>
              <w:bottom w:val="nil"/>
              <w:right w:val="nil"/>
            </w:tcBorders>
            <w:shd w:val="clear" w:color="auto" w:fill="auto"/>
            <w:noWrap/>
            <w:vAlign w:val="center"/>
            <w:hideMark/>
          </w:tcPr>
          <w:p w14:paraId="731329CE"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0.74</w:t>
            </w:r>
          </w:p>
        </w:tc>
        <w:tc>
          <w:tcPr>
            <w:tcW w:w="0" w:type="auto"/>
            <w:tcBorders>
              <w:top w:val="nil"/>
              <w:left w:val="nil"/>
              <w:bottom w:val="nil"/>
              <w:right w:val="nil"/>
            </w:tcBorders>
            <w:shd w:val="clear" w:color="auto" w:fill="auto"/>
            <w:noWrap/>
            <w:vAlign w:val="center"/>
            <w:hideMark/>
          </w:tcPr>
          <w:p w14:paraId="4137BFD8"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0.68</w:t>
            </w:r>
          </w:p>
        </w:tc>
        <w:tc>
          <w:tcPr>
            <w:tcW w:w="0" w:type="auto"/>
            <w:tcBorders>
              <w:top w:val="nil"/>
              <w:left w:val="nil"/>
              <w:bottom w:val="nil"/>
              <w:right w:val="nil"/>
            </w:tcBorders>
            <w:shd w:val="clear" w:color="auto" w:fill="auto"/>
            <w:noWrap/>
            <w:vAlign w:val="center"/>
            <w:hideMark/>
          </w:tcPr>
          <w:p w14:paraId="12C78CA0"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0.68</w:t>
            </w:r>
          </w:p>
        </w:tc>
        <w:tc>
          <w:tcPr>
            <w:tcW w:w="0" w:type="auto"/>
            <w:tcBorders>
              <w:top w:val="nil"/>
              <w:left w:val="nil"/>
              <w:bottom w:val="nil"/>
              <w:right w:val="nil"/>
            </w:tcBorders>
            <w:shd w:val="clear" w:color="auto" w:fill="auto"/>
            <w:noWrap/>
            <w:vAlign w:val="center"/>
            <w:hideMark/>
          </w:tcPr>
          <w:p w14:paraId="0C6A90B9"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0.63</w:t>
            </w:r>
          </w:p>
        </w:tc>
        <w:tc>
          <w:tcPr>
            <w:tcW w:w="0" w:type="auto"/>
            <w:tcBorders>
              <w:top w:val="nil"/>
              <w:left w:val="nil"/>
              <w:bottom w:val="nil"/>
              <w:right w:val="nil"/>
            </w:tcBorders>
            <w:shd w:val="clear" w:color="auto" w:fill="auto"/>
            <w:noWrap/>
            <w:vAlign w:val="center"/>
            <w:hideMark/>
          </w:tcPr>
          <w:p w14:paraId="6F3EBE54"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0.63</w:t>
            </w:r>
          </w:p>
        </w:tc>
        <w:tc>
          <w:tcPr>
            <w:tcW w:w="0" w:type="auto"/>
            <w:tcBorders>
              <w:top w:val="nil"/>
              <w:left w:val="nil"/>
              <w:bottom w:val="nil"/>
              <w:right w:val="nil"/>
            </w:tcBorders>
            <w:shd w:val="clear" w:color="auto" w:fill="auto"/>
            <w:noWrap/>
            <w:vAlign w:val="center"/>
            <w:hideMark/>
          </w:tcPr>
          <w:p w14:paraId="55189466"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0.58</w:t>
            </w:r>
          </w:p>
        </w:tc>
        <w:tc>
          <w:tcPr>
            <w:tcW w:w="0" w:type="auto"/>
            <w:tcBorders>
              <w:top w:val="nil"/>
              <w:left w:val="nil"/>
              <w:bottom w:val="nil"/>
              <w:right w:val="nil"/>
            </w:tcBorders>
            <w:shd w:val="clear" w:color="auto" w:fill="auto"/>
            <w:noWrap/>
            <w:vAlign w:val="center"/>
            <w:hideMark/>
          </w:tcPr>
          <w:p w14:paraId="2B01FEDF"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0.58</w:t>
            </w:r>
          </w:p>
        </w:tc>
        <w:tc>
          <w:tcPr>
            <w:tcW w:w="0" w:type="auto"/>
            <w:tcBorders>
              <w:top w:val="nil"/>
              <w:left w:val="nil"/>
              <w:bottom w:val="nil"/>
              <w:right w:val="nil"/>
            </w:tcBorders>
            <w:shd w:val="clear" w:color="auto" w:fill="auto"/>
            <w:noWrap/>
            <w:vAlign w:val="center"/>
            <w:hideMark/>
          </w:tcPr>
          <w:p w14:paraId="069B877C"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0.52</w:t>
            </w:r>
          </w:p>
        </w:tc>
        <w:tc>
          <w:tcPr>
            <w:tcW w:w="0" w:type="auto"/>
            <w:tcBorders>
              <w:top w:val="nil"/>
              <w:left w:val="nil"/>
              <w:bottom w:val="nil"/>
              <w:right w:val="nil"/>
            </w:tcBorders>
            <w:shd w:val="clear" w:color="auto" w:fill="auto"/>
            <w:noWrap/>
            <w:vAlign w:val="center"/>
            <w:hideMark/>
          </w:tcPr>
          <w:p w14:paraId="17A944B1"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0.52</w:t>
            </w:r>
          </w:p>
        </w:tc>
      </w:tr>
      <w:tr w:rsidR="0021030B" w:rsidRPr="00A411ED" w14:paraId="36B3BE73" w14:textId="77777777" w:rsidTr="00CE658E">
        <w:trPr>
          <w:trHeight w:val="300"/>
        </w:trPr>
        <w:tc>
          <w:tcPr>
            <w:tcW w:w="1926" w:type="dxa"/>
            <w:tcBorders>
              <w:top w:val="nil"/>
              <w:left w:val="nil"/>
              <w:bottom w:val="nil"/>
              <w:right w:val="nil"/>
            </w:tcBorders>
            <w:shd w:val="clear" w:color="auto" w:fill="auto"/>
            <w:noWrap/>
            <w:vAlign w:val="center"/>
            <w:hideMark/>
          </w:tcPr>
          <w:p w14:paraId="10F528BD" w14:textId="77777777" w:rsidR="0021030B" w:rsidRPr="00A411ED" w:rsidRDefault="0021030B" w:rsidP="00CE658E">
            <w:pPr>
              <w:spacing w:after="0" w:line="240" w:lineRule="auto"/>
              <w:rPr>
                <w:rFonts w:eastAsia="Times New Roman" w:cs="Times New Roman"/>
                <w:color w:val="000000"/>
                <w:sz w:val="20"/>
                <w:lang w:val="en-US" w:eastAsia="es-ES"/>
              </w:rPr>
            </w:pPr>
            <w:r w:rsidRPr="00A411ED">
              <w:rPr>
                <w:rFonts w:eastAsia="Times New Roman" w:cs="Times New Roman"/>
                <w:color w:val="000000"/>
                <w:sz w:val="20"/>
                <w:lang w:val="en-US" w:eastAsia="es-ES"/>
              </w:rPr>
              <w:t xml:space="preserve">  Group P-SQ</w:t>
            </w:r>
          </w:p>
        </w:tc>
        <w:tc>
          <w:tcPr>
            <w:tcW w:w="0" w:type="auto"/>
            <w:tcBorders>
              <w:top w:val="nil"/>
              <w:left w:val="nil"/>
              <w:bottom w:val="nil"/>
              <w:right w:val="nil"/>
            </w:tcBorders>
            <w:shd w:val="clear" w:color="auto" w:fill="auto"/>
            <w:noWrap/>
            <w:vAlign w:val="center"/>
            <w:hideMark/>
          </w:tcPr>
          <w:p w14:paraId="28288512"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0.68</w:t>
            </w:r>
          </w:p>
        </w:tc>
        <w:tc>
          <w:tcPr>
            <w:tcW w:w="0" w:type="auto"/>
            <w:tcBorders>
              <w:top w:val="nil"/>
              <w:left w:val="nil"/>
              <w:bottom w:val="nil"/>
              <w:right w:val="nil"/>
            </w:tcBorders>
            <w:shd w:val="clear" w:color="auto" w:fill="auto"/>
            <w:noWrap/>
            <w:vAlign w:val="center"/>
            <w:hideMark/>
          </w:tcPr>
          <w:p w14:paraId="3585D609"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0.68</w:t>
            </w:r>
          </w:p>
        </w:tc>
        <w:tc>
          <w:tcPr>
            <w:tcW w:w="0" w:type="auto"/>
            <w:tcBorders>
              <w:top w:val="nil"/>
              <w:left w:val="nil"/>
              <w:bottom w:val="nil"/>
              <w:right w:val="nil"/>
            </w:tcBorders>
            <w:shd w:val="clear" w:color="auto" w:fill="auto"/>
            <w:noWrap/>
            <w:vAlign w:val="center"/>
            <w:hideMark/>
          </w:tcPr>
          <w:p w14:paraId="6A70F095"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0.63</w:t>
            </w:r>
          </w:p>
        </w:tc>
        <w:tc>
          <w:tcPr>
            <w:tcW w:w="0" w:type="auto"/>
            <w:tcBorders>
              <w:top w:val="nil"/>
              <w:left w:val="nil"/>
              <w:bottom w:val="nil"/>
              <w:right w:val="nil"/>
            </w:tcBorders>
            <w:shd w:val="clear" w:color="auto" w:fill="auto"/>
            <w:noWrap/>
            <w:vAlign w:val="center"/>
            <w:hideMark/>
          </w:tcPr>
          <w:p w14:paraId="09CA71C1"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0.63</w:t>
            </w:r>
          </w:p>
        </w:tc>
        <w:tc>
          <w:tcPr>
            <w:tcW w:w="0" w:type="auto"/>
            <w:tcBorders>
              <w:top w:val="nil"/>
              <w:left w:val="nil"/>
              <w:bottom w:val="nil"/>
              <w:right w:val="nil"/>
            </w:tcBorders>
            <w:shd w:val="clear" w:color="auto" w:fill="auto"/>
            <w:noWrap/>
            <w:vAlign w:val="center"/>
            <w:hideMark/>
          </w:tcPr>
          <w:p w14:paraId="367AA2A0"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0.58</w:t>
            </w:r>
          </w:p>
        </w:tc>
        <w:tc>
          <w:tcPr>
            <w:tcW w:w="0" w:type="auto"/>
            <w:tcBorders>
              <w:top w:val="nil"/>
              <w:left w:val="nil"/>
              <w:bottom w:val="nil"/>
              <w:right w:val="nil"/>
            </w:tcBorders>
            <w:shd w:val="clear" w:color="auto" w:fill="auto"/>
            <w:noWrap/>
            <w:vAlign w:val="center"/>
            <w:hideMark/>
          </w:tcPr>
          <w:p w14:paraId="19BD9FBB"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0.58</w:t>
            </w:r>
          </w:p>
        </w:tc>
        <w:tc>
          <w:tcPr>
            <w:tcW w:w="0" w:type="auto"/>
            <w:tcBorders>
              <w:top w:val="nil"/>
              <w:left w:val="nil"/>
              <w:bottom w:val="nil"/>
              <w:right w:val="nil"/>
            </w:tcBorders>
            <w:shd w:val="clear" w:color="auto" w:fill="auto"/>
            <w:noWrap/>
            <w:vAlign w:val="center"/>
            <w:hideMark/>
          </w:tcPr>
          <w:p w14:paraId="1AA586FA"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0.53</w:t>
            </w:r>
          </w:p>
        </w:tc>
        <w:tc>
          <w:tcPr>
            <w:tcW w:w="0" w:type="auto"/>
            <w:tcBorders>
              <w:top w:val="nil"/>
              <w:left w:val="nil"/>
              <w:bottom w:val="nil"/>
              <w:right w:val="nil"/>
            </w:tcBorders>
            <w:shd w:val="clear" w:color="auto" w:fill="auto"/>
            <w:noWrap/>
            <w:vAlign w:val="center"/>
            <w:hideMark/>
          </w:tcPr>
          <w:p w14:paraId="5B37E795"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0.53</w:t>
            </w:r>
          </w:p>
        </w:tc>
        <w:tc>
          <w:tcPr>
            <w:tcW w:w="0" w:type="auto"/>
            <w:tcBorders>
              <w:top w:val="nil"/>
              <w:left w:val="nil"/>
              <w:bottom w:val="nil"/>
              <w:right w:val="nil"/>
            </w:tcBorders>
            <w:shd w:val="clear" w:color="auto" w:fill="auto"/>
            <w:noWrap/>
            <w:vAlign w:val="center"/>
            <w:hideMark/>
          </w:tcPr>
          <w:p w14:paraId="0ABC12E7"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0.48</w:t>
            </w:r>
          </w:p>
        </w:tc>
        <w:tc>
          <w:tcPr>
            <w:tcW w:w="0" w:type="auto"/>
            <w:tcBorders>
              <w:top w:val="nil"/>
              <w:left w:val="nil"/>
              <w:bottom w:val="nil"/>
              <w:right w:val="nil"/>
            </w:tcBorders>
            <w:shd w:val="clear" w:color="auto" w:fill="auto"/>
            <w:noWrap/>
            <w:vAlign w:val="center"/>
            <w:hideMark/>
          </w:tcPr>
          <w:p w14:paraId="6C2DDE3D"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0.48</w:t>
            </w:r>
          </w:p>
        </w:tc>
      </w:tr>
      <w:tr w:rsidR="0021030B" w:rsidRPr="00A411ED" w14:paraId="76F86BF4" w14:textId="77777777" w:rsidTr="00CE658E">
        <w:trPr>
          <w:trHeight w:val="315"/>
        </w:trPr>
        <w:tc>
          <w:tcPr>
            <w:tcW w:w="1926" w:type="dxa"/>
            <w:tcBorders>
              <w:top w:val="nil"/>
              <w:left w:val="nil"/>
              <w:bottom w:val="single" w:sz="8" w:space="0" w:color="auto"/>
              <w:right w:val="nil"/>
            </w:tcBorders>
            <w:shd w:val="clear" w:color="auto" w:fill="auto"/>
            <w:noWrap/>
            <w:vAlign w:val="center"/>
            <w:hideMark/>
          </w:tcPr>
          <w:p w14:paraId="289E1806" w14:textId="77777777" w:rsidR="0021030B" w:rsidRPr="00A411ED" w:rsidRDefault="0021030B" w:rsidP="00CE658E">
            <w:pPr>
              <w:spacing w:after="0" w:line="240" w:lineRule="auto"/>
              <w:rPr>
                <w:rFonts w:eastAsia="Times New Roman" w:cs="Times New Roman"/>
                <w:color w:val="000000"/>
                <w:sz w:val="20"/>
                <w:lang w:val="en-US" w:eastAsia="es-ES"/>
              </w:rPr>
            </w:pPr>
            <w:r w:rsidRPr="00A411ED">
              <w:rPr>
                <w:rFonts w:eastAsia="Times New Roman" w:cs="Times New Roman"/>
                <w:color w:val="000000"/>
                <w:sz w:val="20"/>
                <w:lang w:val="en-US" w:eastAsia="es-ES"/>
              </w:rPr>
              <w:t xml:space="preserve">  Group H-SQ</w:t>
            </w:r>
          </w:p>
        </w:tc>
        <w:tc>
          <w:tcPr>
            <w:tcW w:w="0" w:type="auto"/>
            <w:tcBorders>
              <w:top w:val="nil"/>
              <w:left w:val="nil"/>
              <w:bottom w:val="single" w:sz="8" w:space="0" w:color="auto"/>
              <w:right w:val="nil"/>
            </w:tcBorders>
            <w:shd w:val="clear" w:color="auto" w:fill="auto"/>
            <w:noWrap/>
            <w:vAlign w:val="center"/>
            <w:hideMark/>
          </w:tcPr>
          <w:p w14:paraId="540C5447"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0.59</w:t>
            </w:r>
          </w:p>
        </w:tc>
        <w:tc>
          <w:tcPr>
            <w:tcW w:w="0" w:type="auto"/>
            <w:tcBorders>
              <w:top w:val="nil"/>
              <w:left w:val="nil"/>
              <w:bottom w:val="single" w:sz="8" w:space="0" w:color="auto"/>
              <w:right w:val="nil"/>
            </w:tcBorders>
            <w:shd w:val="clear" w:color="auto" w:fill="auto"/>
            <w:noWrap/>
            <w:vAlign w:val="center"/>
            <w:hideMark/>
          </w:tcPr>
          <w:p w14:paraId="780A072C"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0.59</w:t>
            </w:r>
          </w:p>
        </w:tc>
        <w:tc>
          <w:tcPr>
            <w:tcW w:w="0" w:type="auto"/>
            <w:tcBorders>
              <w:top w:val="nil"/>
              <w:left w:val="nil"/>
              <w:bottom w:val="single" w:sz="8" w:space="0" w:color="auto"/>
              <w:right w:val="nil"/>
            </w:tcBorders>
            <w:shd w:val="clear" w:color="auto" w:fill="auto"/>
            <w:noWrap/>
            <w:vAlign w:val="center"/>
            <w:hideMark/>
          </w:tcPr>
          <w:p w14:paraId="33C22BF4"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0.55</w:t>
            </w:r>
          </w:p>
        </w:tc>
        <w:tc>
          <w:tcPr>
            <w:tcW w:w="0" w:type="auto"/>
            <w:tcBorders>
              <w:top w:val="nil"/>
              <w:left w:val="nil"/>
              <w:bottom w:val="single" w:sz="8" w:space="0" w:color="auto"/>
              <w:right w:val="nil"/>
            </w:tcBorders>
            <w:shd w:val="clear" w:color="auto" w:fill="auto"/>
            <w:noWrap/>
            <w:vAlign w:val="center"/>
            <w:hideMark/>
          </w:tcPr>
          <w:p w14:paraId="3B1D0AFB"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0.55</w:t>
            </w:r>
          </w:p>
        </w:tc>
        <w:tc>
          <w:tcPr>
            <w:tcW w:w="0" w:type="auto"/>
            <w:tcBorders>
              <w:top w:val="nil"/>
              <w:left w:val="nil"/>
              <w:bottom w:val="single" w:sz="8" w:space="0" w:color="auto"/>
              <w:right w:val="nil"/>
            </w:tcBorders>
            <w:shd w:val="clear" w:color="auto" w:fill="auto"/>
            <w:noWrap/>
            <w:vAlign w:val="center"/>
            <w:hideMark/>
          </w:tcPr>
          <w:p w14:paraId="643B02C4"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0.51</w:t>
            </w:r>
          </w:p>
        </w:tc>
        <w:tc>
          <w:tcPr>
            <w:tcW w:w="0" w:type="auto"/>
            <w:tcBorders>
              <w:top w:val="nil"/>
              <w:left w:val="nil"/>
              <w:bottom w:val="single" w:sz="8" w:space="0" w:color="auto"/>
              <w:right w:val="nil"/>
            </w:tcBorders>
            <w:shd w:val="clear" w:color="auto" w:fill="auto"/>
            <w:noWrap/>
            <w:vAlign w:val="center"/>
            <w:hideMark/>
          </w:tcPr>
          <w:p w14:paraId="46E61343"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0.51</w:t>
            </w:r>
          </w:p>
        </w:tc>
        <w:tc>
          <w:tcPr>
            <w:tcW w:w="0" w:type="auto"/>
            <w:tcBorders>
              <w:top w:val="nil"/>
              <w:left w:val="nil"/>
              <w:bottom w:val="single" w:sz="8" w:space="0" w:color="auto"/>
              <w:right w:val="nil"/>
            </w:tcBorders>
            <w:shd w:val="clear" w:color="auto" w:fill="auto"/>
            <w:noWrap/>
            <w:vAlign w:val="center"/>
            <w:hideMark/>
          </w:tcPr>
          <w:p w14:paraId="037DC710"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0.47</w:t>
            </w:r>
          </w:p>
        </w:tc>
        <w:tc>
          <w:tcPr>
            <w:tcW w:w="0" w:type="auto"/>
            <w:tcBorders>
              <w:top w:val="nil"/>
              <w:left w:val="nil"/>
              <w:bottom w:val="single" w:sz="8" w:space="0" w:color="auto"/>
              <w:right w:val="nil"/>
            </w:tcBorders>
            <w:shd w:val="clear" w:color="auto" w:fill="auto"/>
            <w:noWrap/>
            <w:vAlign w:val="center"/>
            <w:hideMark/>
          </w:tcPr>
          <w:p w14:paraId="0B4A5C80"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0.47</w:t>
            </w:r>
          </w:p>
        </w:tc>
        <w:tc>
          <w:tcPr>
            <w:tcW w:w="0" w:type="auto"/>
            <w:tcBorders>
              <w:top w:val="nil"/>
              <w:left w:val="nil"/>
              <w:bottom w:val="single" w:sz="8" w:space="0" w:color="auto"/>
              <w:right w:val="nil"/>
            </w:tcBorders>
            <w:shd w:val="clear" w:color="auto" w:fill="auto"/>
            <w:noWrap/>
            <w:vAlign w:val="center"/>
            <w:hideMark/>
          </w:tcPr>
          <w:p w14:paraId="3ECB4A01"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0.43</w:t>
            </w:r>
          </w:p>
        </w:tc>
        <w:tc>
          <w:tcPr>
            <w:tcW w:w="0" w:type="auto"/>
            <w:tcBorders>
              <w:top w:val="nil"/>
              <w:left w:val="nil"/>
              <w:bottom w:val="single" w:sz="8" w:space="0" w:color="auto"/>
              <w:right w:val="nil"/>
            </w:tcBorders>
            <w:shd w:val="clear" w:color="auto" w:fill="auto"/>
            <w:noWrap/>
            <w:vAlign w:val="center"/>
            <w:hideMark/>
          </w:tcPr>
          <w:p w14:paraId="17E2E859" w14:textId="77777777" w:rsidR="0021030B" w:rsidRPr="00A411ED" w:rsidRDefault="0021030B" w:rsidP="00CE658E">
            <w:pPr>
              <w:spacing w:after="0" w:line="240" w:lineRule="auto"/>
              <w:jc w:val="center"/>
              <w:rPr>
                <w:rFonts w:eastAsia="Times New Roman" w:cs="Times New Roman"/>
                <w:color w:val="000000"/>
                <w:sz w:val="20"/>
                <w:lang w:val="en-US" w:eastAsia="es-ES"/>
              </w:rPr>
            </w:pPr>
            <w:r w:rsidRPr="00A411ED">
              <w:rPr>
                <w:rFonts w:eastAsia="Times New Roman" w:cs="Times New Roman"/>
                <w:color w:val="000000"/>
                <w:sz w:val="20"/>
                <w:lang w:val="en-US" w:eastAsia="es-ES"/>
              </w:rPr>
              <w:t>0.43</w:t>
            </w:r>
          </w:p>
        </w:tc>
      </w:tr>
    </w:tbl>
    <w:p w14:paraId="335276BD" w14:textId="77777777" w:rsidR="0021030B" w:rsidRPr="00A411ED" w:rsidRDefault="0021030B" w:rsidP="0021030B">
      <w:pPr>
        <w:spacing w:line="360" w:lineRule="auto"/>
        <w:rPr>
          <w:rFonts w:cs="Times New Roman"/>
          <w:szCs w:val="24"/>
          <w:lang w:val="en-US"/>
        </w:rPr>
      </w:pPr>
      <w:r w:rsidRPr="00A411ED">
        <w:rPr>
          <w:rFonts w:cs="Times New Roman"/>
          <w:szCs w:val="24"/>
          <w:lang w:val="en-US"/>
        </w:rPr>
        <w:t xml:space="preserve">1RM: </w:t>
      </w:r>
      <w:r w:rsidRPr="00A411ED">
        <w:rPr>
          <w:rFonts w:cs="Times New Roman"/>
          <w:lang w:val="en-US"/>
        </w:rPr>
        <w:t>one-repetition maximum</w:t>
      </w:r>
      <w:r w:rsidRPr="00A411ED">
        <w:rPr>
          <w:rFonts w:cs="Times New Roman"/>
          <w:szCs w:val="24"/>
          <w:lang w:val="en-US"/>
        </w:rPr>
        <w:t>; Wk.: week; Reference rep: maximal intended velocity repetition performed at the end of each session’s warm-up to ensure that the load (kg) to be used matched the velocity associated with the intended %1RM.</w:t>
      </w:r>
    </w:p>
    <w:p w14:paraId="7DA1F750" w14:textId="77777777" w:rsidR="0021030B" w:rsidRPr="00275E7F" w:rsidRDefault="0021030B" w:rsidP="0021030B">
      <w:pPr>
        <w:rPr>
          <w:lang w:val="en-US"/>
        </w:rPr>
      </w:pPr>
    </w:p>
    <w:p w14:paraId="6891615C" w14:textId="77777777" w:rsidR="0021030B" w:rsidRDefault="0021030B" w:rsidP="00CC7E8A">
      <w:pPr>
        <w:spacing w:line="276" w:lineRule="auto"/>
        <w:rPr>
          <w:rFonts w:cs="Times New Roman"/>
          <w:b/>
          <w:szCs w:val="24"/>
          <w:lang w:val="en-US"/>
        </w:rPr>
      </w:pPr>
    </w:p>
    <w:p w14:paraId="49EFDEBF" w14:textId="77777777" w:rsidR="0021030B" w:rsidRDefault="0021030B" w:rsidP="00CC7E8A">
      <w:pPr>
        <w:spacing w:line="276" w:lineRule="auto"/>
        <w:rPr>
          <w:rFonts w:cs="Times New Roman"/>
          <w:b/>
          <w:szCs w:val="24"/>
          <w:lang w:val="en-US"/>
        </w:rPr>
      </w:pPr>
    </w:p>
    <w:p w14:paraId="67AB21FD" w14:textId="77777777" w:rsidR="0021030B" w:rsidRDefault="0021030B" w:rsidP="00CC7E8A">
      <w:pPr>
        <w:spacing w:line="276" w:lineRule="auto"/>
        <w:rPr>
          <w:rFonts w:cs="Times New Roman"/>
          <w:b/>
          <w:szCs w:val="24"/>
          <w:lang w:val="en-US"/>
        </w:rPr>
      </w:pPr>
    </w:p>
    <w:p w14:paraId="664B3D9C" w14:textId="77777777" w:rsidR="0021030B" w:rsidRDefault="0021030B" w:rsidP="00CC7E8A">
      <w:pPr>
        <w:spacing w:line="276" w:lineRule="auto"/>
        <w:rPr>
          <w:rFonts w:cs="Times New Roman"/>
          <w:b/>
          <w:szCs w:val="24"/>
          <w:lang w:val="en-US"/>
        </w:rPr>
      </w:pPr>
    </w:p>
    <w:p w14:paraId="3D9609FD" w14:textId="77777777" w:rsidR="0021030B" w:rsidRDefault="0021030B" w:rsidP="00CC7E8A">
      <w:pPr>
        <w:spacing w:line="276" w:lineRule="auto"/>
        <w:rPr>
          <w:rFonts w:cs="Times New Roman"/>
          <w:b/>
          <w:szCs w:val="24"/>
          <w:lang w:val="en-US"/>
        </w:rPr>
      </w:pPr>
    </w:p>
    <w:p w14:paraId="59B419CE" w14:textId="77777777" w:rsidR="0021030B" w:rsidRDefault="0021030B" w:rsidP="00CC7E8A">
      <w:pPr>
        <w:spacing w:line="276" w:lineRule="auto"/>
        <w:rPr>
          <w:rFonts w:cs="Times New Roman"/>
          <w:b/>
          <w:szCs w:val="24"/>
          <w:lang w:val="en-US"/>
        </w:rPr>
      </w:pPr>
    </w:p>
    <w:p w14:paraId="02A57DFD" w14:textId="77777777" w:rsidR="0021030B" w:rsidRDefault="0021030B" w:rsidP="00CC7E8A">
      <w:pPr>
        <w:spacing w:line="276" w:lineRule="auto"/>
        <w:rPr>
          <w:rFonts w:cs="Times New Roman"/>
          <w:b/>
          <w:szCs w:val="24"/>
          <w:lang w:val="en-US"/>
        </w:rPr>
      </w:pPr>
    </w:p>
    <w:p w14:paraId="0615BDD9" w14:textId="77777777" w:rsidR="0021030B" w:rsidRDefault="0021030B" w:rsidP="00CC7E8A">
      <w:pPr>
        <w:spacing w:line="276" w:lineRule="auto"/>
        <w:rPr>
          <w:rFonts w:cs="Times New Roman"/>
          <w:b/>
          <w:szCs w:val="24"/>
          <w:lang w:val="en-US"/>
        </w:rPr>
      </w:pPr>
    </w:p>
    <w:p w14:paraId="066AD125" w14:textId="77777777" w:rsidR="0021030B" w:rsidRDefault="0021030B" w:rsidP="00CC7E8A">
      <w:pPr>
        <w:spacing w:line="276" w:lineRule="auto"/>
        <w:rPr>
          <w:rFonts w:cs="Times New Roman"/>
          <w:b/>
          <w:szCs w:val="24"/>
          <w:lang w:val="en-US"/>
        </w:rPr>
      </w:pPr>
    </w:p>
    <w:p w14:paraId="79D3D7B0" w14:textId="77777777" w:rsidR="0021030B" w:rsidRDefault="0021030B" w:rsidP="00CC7E8A">
      <w:pPr>
        <w:spacing w:line="276" w:lineRule="auto"/>
        <w:rPr>
          <w:rFonts w:cs="Times New Roman"/>
          <w:b/>
          <w:szCs w:val="24"/>
          <w:lang w:val="en-US"/>
        </w:rPr>
      </w:pPr>
    </w:p>
    <w:p w14:paraId="469AC6A8" w14:textId="77777777" w:rsidR="0021030B" w:rsidRDefault="0021030B" w:rsidP="00CC7E8A">
      <w:pPr>
        <w:spacing w:line="276" w:lineRule="auto"/>
        <w:rPr>
          <w:rFonts w:cs="Times New Roman"/>
          <w:b/>
          <w:szCs w:val="24"/>
          <w:lang w:val="en-US"/>
        </w:rPr>
      </w:pPr>
    </w:p>
    <w:p w14:paraId="091791E3" w14:textId="77777777" w:rsidR="0021030B" w:rsidRDefault="0021030B" w:rsidP="00CC7E8A">
      <w:pPr>
        <w:spacing w:line="276" w:lineRule="auto"/>
        <w:rPr>
          <w:rFonts w:cs="Times New Roman"/>
          <w:b/>
          <w:szCs w:val="24"/>
          <w:lang w:val="en-US"/>
        </w:rPr>
      </w:pPr>
    </w:p>
    <w:p w14:paraId="247690FD" w14:textId="77777777" w:rsidR="0021030B" w:rsidRDefault="0021030B" w:rsidP="00CC7E8A">
      <w:pPr>
        <w:spacing w:line="276" w:lineRule="auto"/>
        <w:rPr>
          <w:rFonts w:cs="Times New Roman"/>
          <w:b/>
          <w:szCs w:val="24"/>
          <w:lang w:val="en-US"/>
        </w:rPr>
      </w:pPr>
    </w:p>
    <w:p w14:paraId="1E0AA8E6" w14:textId="77777777" w:rsidR="0021030B" w:rsidRDefault="0021030B" w:rsidP="00CC7E8A">
      <w:pPr>
        <w:spacing w:line="276" w:lineRule="auto"/>
        <w:rPr>
          <w:rFonts w:cs="Times New Roman"/>
          <w:b/>
          <w:szCs w:val="24"/>
          <w:lang w:val="en-US"/>
        </w:rPr>
      </w:pPr>
    </w:p>
    <w:p w14:paraId="4BF21DCC" w14:textId="77777777" w:rsidR="0021030B" w:rsidRDefault="0021030B" w:rsidP="00CC7E8A">
      <w:pPr>
        <w:spacing w:line="276" w:lineRule="auto"/>
        <w:rPr>
          <w:rFonts w:cs="Times New Roman"/>
          <w:b/>
          <w:szCs w:val="24"/>
          <w:lang w:val="en-US"/>
        </w:rPr>
      </w:pPr>
    </w:p>
    <w:p w14:paraId="6F216288" w14:textId="77777777" w:rsidR="0021030B" w:rsidRDefault="0021030B" w:rsidP="00CC7E8A">
      <w:pPr>
        <w:spacing w:line="276" w:lineRule="auto"/>
        <w:rPr>
          <w:rFonts w:cs="Times New Roman"/>
          <w:b/>
          <w:szCs w:val="24"/>
          <w:lang w:val="en-US"/>
        </w:rPr>
      </w:pPr>
    </w:p>
    <w:p w14:paraId="7003985D" w14:textId="77777777" w:rsidR="0021030B" w:rsidRDefault="0021030B" w:rsidP="00CC7E8A">
      <w:pPr>
        <w:spacing w:line="276" w:lineRule="auto"/>
        <w:rPr>
          <w:rFonts w:cs="Times New Roman"/>
          <w:b/>
          <w:szCs w:val="24"/>
          <w:lang w:val="en-US"/>
        </w:rPr>
      </w:pPr>
    </w:p>
    <w:p w14:paraId="73803DAD" w14:textId="77777777" w:rsidR="0021030B" w:rsidRDefault="0021030B" w:rsidP="00CC7E8A">
      <w:pPr>
        <w:spacing w:line="276" w:lineRule="auto"/>
        <w:rPr>
          <w:rFonts w:cs="Times New Roman"/>
          <w:b/>
          <w:szCs w:val="24"/>
          <w:lang w:val="en-US"/>
        </w:rPr>
      </w:pPr>
    </w:p>
    <w:p w14:paraId="1B065158" w14:textId="77777777" w:rsidR="0021030B" w:rsidRDefault="0021030B" w:rsidP="00CC7E8A">
      <w:pPr>
        <w:spacing w:line="276" w:lineRule="auto"/>
        <w:rPr>
          <w:rFonts w:cs="Times New Roman"/>
          <w:b/>
          <w:szCs w:val="24"/>
          <w:lang w:val="en-US"/>
        </w:rPr>
      </w:pPr>
    </w:p>
    <w:p w14:paraId="5D56E940" w14:textId="4D1617A1" w:rsidR="005819EF" w:rsidRPr="001F181C" w:rsidRDefault="005819EF" w:rsidP="005819EF">
      <w:pPr>
        <w:rPr>
          <w:sz w:val="18"/>
          <w:lang w:val="en-GB"/>
        </w:rPr>
      </w:pPr>
      <w:r w:rsidRPr="001F181C">
        <w:rPr>
          <w:w w:val="110"/>
          <w:sz w:val="18"/>
          <w:lang w:val="en-GB"/>
        </w:rPr>
        <w:lastRenderedPageBreak/>
        <w:t xml:space="preserve">Table </w:t>
      </w:r>
      <w:r>
        <w:rPr>
          <w:w w:val="110"/>
          <w:sz w:val="18"/>
          <w:lang w:val="en-GB"/>
        </w:rPr>
        <w:t>2</w:t>
      </w:r>
      <w:r w:rsidRPr="001F181C">
        <w:rPr>
          <w:w w:val="110"/>
          <w:sz w:val="18"/>
          <w:lang w:val="en-GB"/>
        </w:rPr>
        <w:t>. Changes in selected neuromuscular performance variables from pre- to post-training for each squat group.</w:t>
      </w:r>
    </w:p>
    <w:tbl>
      <w:tblPr>
        <w:tblW w:w="5002"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931"/>
        <w:gridCol w:w="1108"/>
        <w:gridCol w:w="814"/>
        <w:gridCol w:w="811"/>
        <w:gridCol w:w="559"/>
        <w:gridCol w:w="146"/>
        <w:gridCol w:w="816"/>
        <w:gridCol w:w="816"/>
        <w:gridCol w:w="371"/>
        <w:gridCol w:w="146"/>
        <w:gridCol w:w="802"/>
        <w:gridCol w:w="816"/>
        <w:gridCol w:w="371"/>
      </w:tblGrid>
      <w:tr w:rsidR="005819EF" w:rsidRPr="006E6DE8" w14:paraId="3D95E61B" w14:textId="77777777" w:rsidTr="00CE658E">
        <w:trPr>
          <w:trHeight w:val="283"/>
        </w:trPr>
        <w:tc>
          <w:tcPr>
            <w:tcW w:w="561" w:type="pct"/>
            <w:vMerge w:val="restart"/>
            <w:shd w:val="clear" w:color="auto" w:fill="auto"/>
            <w:noWrap/>
            <w:vAlign w:val="center"/>
            <w:hideMark/>
          </w:tcPr>
          <w:p w14:paraId="6A3F1796" w14:textId="77777777" w:rsidR="005819EF" w:rsidRPr="006E6DE8" w:rsidRDefault="005819EF" w:rsidP="00CE658E">
            <w:pPr>
              <w:adjustRightInd w:val="0"/>
              <w:snapToGrid w:val="0"/>
              <w:spacing w:after="0" w:line="240" w:lineRule="auto"/>
              <w:jc w:val="center"/>
              <w:rPr>
                <w:rFonts w:eastAsia="Times New Roman" w:cs="Times New Roman"/>
                <w:bCs/>
                <w:color w:val="000000"/>
                <w:sz w:val="12"/>
                <w:szCs w:val="10"/>
                <w:lang w:val="en-US" w:eastAsia="es-ES"/>
              </w:rPr>
            </w:pPr>
            <w:r w:rsidRPr="006E6DE8">
              <w:rPr>
                <w:rFonts w:eastAsia="Times New Roman" w:cs="Times New Roman"/>
                <w:bCs/>
                <w:color w:val="000000"/>
                <w:sz w:val="12"/>
                <w:szCs w:val="10"/>
                <w:lang w:val="en-US" w:eastAsia="es-ES"/>
              </w:rPr>
              <w:t>Group</w:t>
            </w:r>
          </w:p>
        </w:tc>
        <w:tc>
          <w:tcPr>
            <w:tcW w:w="665" w:type="pct"/>
            <w:vMerge w:val="restart"/>
            <w:vAlign w:val="center"/>
          </w:tcPr>
          <w:p w14:paraId="1178BF72" w14:textId="77777777" w:rsidR="005819EF" w:rsidRPr="006E6DE8" w:rsidRDefault="005819EF" w:rsidP="00CE658E">
            <w:pPr>
              <w:adjustRightInd w:val="0"/>
              <w:snapToGrid w:val="0"/>
              <w:spacing w:after="0" w:line="240" w:lineRule="auto"/>
              <w:jc w:val="center"/>
              <w:rPr>
                <w:rFonts w:eastAsia="Times New Roman" w:cs="Times New Roman"/>
                <w:bCs/>
                <w:color w:val="000000"/>
                <w:sz w:val="12"/>
                <w:szCs w:val="10"/>
                <w:lang w:val="en-US" w:eastAsia="es-ES"/>
              </w:rPr>
            </w:pPr>
            <w:r w:rsidRPr="006E6DE8">
              <w:rPr>
                <w:rFonts w:eastAsia="Times New Roman" w:cs="Times New Roman"/>
                <w:bCs/>
                <w:color w:val="000000"/>
                <w:sz w:val="12"/>
                <w:szCs w:val="10"/>
                <w:lang w:val="en-US" w:eastAsia="es-ES"/>
              </w:rPr>
              <w:t>Variable</w:t>
            </w:r>
          </w:p>
        </w:tc>
        <w:tc>
          <w:tcPr>
            <w:tcW w:w="3774" w:type="pct"/>
            <w:gridSpan w:val="11"/>
            <w:vAlign w:val="center"/>
          </w:tcPr>
          <w:p w14:paraId="605525BE" w14:textId="77777777" w:rsidR="005819EF" w:rsidRPr="006E6DE8" w:rsidRDefault="005819EF" w:rsidP="00CE658E">
            <w:pPr>
              <w:adjustRightInd w:val="0"/>
              <w:snapToGrid w:val="0"/>
              <w:spacing w:after="0" w:line="240" w:lineRule="auto"/>
              <w:jc w:val="center"/>
              <w:rPr>
                <w:rFonts w:eastAsia="Times New Roman" w:cs="Times New Roman"/>
                <w:bCs/>
                <w:color w:val="000000"/>
                <w:sz w:val="12"/>
                <w:szCs w:val="10"/>
                <w:lang w:val="en-US" w:eastAsia="es-ES"/>
              </w:rPr>
            </w:pPr>
            <w:r w:rsidRPr="006E6DE8">
              <w:rPr>
                <w:rFonts w:eastAsia="Times New Roman" w:cs="Times New Roman"/>
                <w:bCs/>
                <w:color w:val="000000"/>
                <w:sz w:val="12"/>
                <w:szCs w:val="10"/>
                <w:lang w:val="en-US" w:eastAsia="es-ES"/>
              </w:rPr>
              <w:t>Exercise / Pre-post</w:t>
            </w:r>
          </w:p>
        </w:tc>
      </w:tr>
      <w:tr w:rsidR="005819EF" w:rsidRPr="006E6DE8" w14:paraId="5F28A418" w14:textId="77777777" w:rsidTr="00CE658E">
        <w:trPr>
          <w:trHeight w:val="283"/>
        </w:trPr>
        <w:tc>
          <w:tcPr>
            <w:tcW w:w="561" w:type="pct"/>
            <w:vMerge/>
            <w:shd w:val="clear" w:color="auto" w:fill="auto"/>
            <w:noWrap/>
            <w:vAlign w:val="center"/>
            <w:hideMark/>
          </w:tcPr>
          <w:p w14:paraId="3AA96BDB" w14:textId="77777777" w:rsidR="005819EF" w:rsidRPr="006E6DE8" w:rsidRDefault="005819EF" w:rsidP="00CE658E">
            <w:pPr>
              <w:adjustRightInd w:val="0"/>
              <w:snapToGrid w:val="0"/>
              <w:spacing w:after="0" w:line="240" w:lineRule="auto"/>
              <w:jc w:val="center"/>
              <w:rPr>
                <w:rFonts w:eastAsia="Times New Roman" w:cs="Times New Roman"/>
                <w:bCs/>
                <w:color w:val="000000"/>
                <w:sz w:val="12"/>
                <w:szCs w:val="10"/>
                <w:lang w:val="en-US" w:eastAsia="es-ES"/>
              </w:rPr>
            </w:pPr>
          </w:p>
        </w:tc>
        <w:tc>
          <w:tcPr>
            <w:tcW w:w="665" w:type="pct"/>
            <w:vMerge/>
            <w:vAlign w:val="center"/>
          </w:tcPr>
          <w:p w14:paraId="109B866E"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1236" w:type="pct"/>
            <w:gridSpan w:val="3"/>
            <w:tcBorders>
              <w:top w:val="single" w:sz="4" w:space="0" w:color="auto"/>
              <w:bottom w:val="single" w:sz="4" w:space="0" w:color="auto"/>
            </w:tcBorders>
            <w:vAlign w:val="center"/>
          </w:tcPr>
          <w:p w14:paraId="3980E395"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r w:rsidRPr="006E6DE8">
              <w:rPr>
                <w:rFonts w:eastAsia="Times New Roman" w:cs="Times New Roman"/>
                <w:bCs/>
                <w:color w:val="000000"/>
                <w:sz w:val="12"/>
                <w:szCs w:val="10"/>
                <w:lang w:val="en-US" w:eastAsia="es-ES"/>
              </w:rPr>
              <w:t>F-SQ</w:t>
            </w:r>
          </w:p>
        </w:tc>
        <w:tc>
          <w:tcPr>
            <w:tcW w:w="73" w:type="pct"/>
            <w:vMerge w:val="restart"/>
            <w:tcBorders>
              <w:top w:val="single" w:sz="4" w:space="0" w:color="auto"/>
            </w:tcBorders>
            <w:vAlign w:val="center"/>
          </w:tcPr>
          <w:p w14:paraId="20A798C2"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1199" w:type="pct"/>
            <w:gridSpan w:val="3"/>
            <w:tcBorders>
              <w:top w:val="single" w:sz="4" w:space="0" w:color="auto"/>
              <w:bottom w:val="single" w:sz="4" w:space="0" w:color="auto"/>
            </w:tcBorders>
            <w:vAlign w:val="center"/>
          </w:tcPr>
          <w:p w14:paraId="589C04D8"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r w:rsidRPr="006E6DE8">
              <w:rPr>
                <w:rFonts w:eastAsia="Times New Roman" w:cs="Times New Roman"/>
                <w:bCs/>
                <w:color w:val="000000"/>
                <w:sz w:val="12"/>
                <w:szCs w:val="10"/>
                <w:lang w:val="en-US" w:eastAsia="es-ES"/>
              </w:rPr>
              <w:t>P-SQ</w:t>
            </w:r>
          </w:p>
        </w:tc>
        <w:tc>
          <w:tcPr>
            <w:tcW w:w="74" w:type="pct"/>
            <w:vMerge w:val="restart"/>
            <w:tcBorders>
              <w:top w:val="single" w:sz="4" w:space="0" w:color="auto"/>
            </w:tcBorders>
            <w:vAlign w:val="center"/>
          </w:tcPr>
          <w:p w14:paraId="7472BF69"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1192" w:type="pct"/>
            <w:gridSpan w:val="3"/>
            <w:tcBorders>
              <w:top w:val="single" w:sz="4" w:space="0" w:color="auto"/>
              <w:bottom w:val="single" w:sz="4" w:space="0" w:color="auto"/>
            </w:tcBorders>
            <w:vAlign w:val="center"/>
          </w:tcPr>
          <w:p w14:paraId="71262364"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r w:rsidRPr="006E6DE8">
              <w:rPr>
                <w:rFonts w:eastAsia="Times New Roman" w:cs="Times New Roman"/>
                <w:bCs/>
                <w:color w:val="000000"/>
                <w:sz w:val="12"/>
                <w:szCs w:val="10"/>
                <w:lang w:val="en-US" w:eastAsia="es-ES"/>
              </w:rPr>
              <w:t>H-SQ</w:t>
            </w:r>
          </w:p>
        </w:tc>
      </w:tr>
      <w:tr w:rsidR="005819EF" w:rsidRPr="006E6DE8" w14:paraId="3B4C2F9B" w14:textId="77777777" w:rsidTr="00CE658E">
        <w:trPr>
          <w:trHeight w:val="283"/>
        </w:trPr>
        <w:tc>
          <w:tcPr>
            <w:tcW w:w="561" w:type="pct"/>
            <w:vMerge/>
            <w:tcBorders>
              <w:bottom w:val="single" w:sz="4" w:space="0" w:color="auto"/>
            </w:tcBorders>
            <w:shd w:val="clear" w:color="auto" w:fill="auto"/>
            <w:noWrap/>
            <w:vAlign w:val="center"/>
          </w:tcPr>
          <w:p w14:paraId="352C14CC" w14:textId="77777777" w:rsidR="005819EF" w:rsidRPr="006E6DE8" w:rsidRDefault="005819EF" w:rsidP="00CE658E">
            <w:pPr>
              <w:adjustRightInd w:val="0"/>
              <w:snapToGrid w:val="0"/>
              <w:spacing w:after="0" w:line="240" w:lineRule="auto"/>
              <w:jc w:val="center"/>
              <w:rPr>
                <w:rFonts w:eastAsia="Times New Roman" w:cs="Times New Roman"/>
                <w:bCs/>
                <w:color w:val="000000"/>
                <w:sz w:val="12"/>
                <w:szCs w:val="10"/>
                <w:lang w:val="en-US" w:eastAsia="es-ES"/>
              </w:rPr>
            </w:pPr>
          </w:p>
        </w:tc>
        <w:tc>
          <w:tcPr>
            <w:tcW w:w="665" w:type="pct"/>
            <w:vMerge/>
            <w:tcBorders>
              <w:bottom w:val="single" w:sz="4" w:space="0" w:color="auto"/>
            </w:tcBorders>
            <w:vAlign w:val="center"/>
          </w:tcPr>
          <w:p w14:paraId="7726950C"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492" w:type="pct"/>
            <w:tcBorders>
              <w:top w:val="single" w:sz="4" w:space="0" w:color="auto"/>
              <w:bottom w:val="single" w:sz="4" w:space="0" w:color="auto"/>
            </w:tcBorders>
            <w:vAlign w:val="center"/>
          </w:tcPr>
          <w:p w14:paraId="1E30DD61"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r w:rsidRPr="006E6DE8">
              <w:rPr>
                <w:rFonts w:eastAsia="Times New Roman" w:cs="Times New Roman"/>
                <w:color w:val="000000"/>
                <w:sz w:val="12"/>
                <w:szCs w:val="10"/>
                <w:lang w:val="en-US" w:eastAsia="es-ES"/>
              </w:rPr>
              <w:t>T0</w:t>
            </w:r>
          </w:p>
        </w:tc>
        <w:tc>
          <w:tcPr>
            <w:tcW w:w="490" w:type="pct"/>
            <w:tcBorders>
              <w:top w:val="single" w:sz="4" w:space="0" w:color="auto"/>
              <w:bottom w:val="single" w:sz="4" w:space="0" w:color="auto"/>
            </w:tcBorders>
            <w:vAlign w:val="center"/>
          </w:tcPr>
          <w:p w14:paraId="53A99AFE"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r w:rsidRPr="006E6DE8">
              <w:rPr>
                <w:rFonts w:eastAsia="Times New Roman" w:cs="Times New Roman"/>
                <w:color w:val="000000"/>
                <w:sz w:val="12"/>
                <w:szCs w:val="10"/>
                <w:lang w:val="en-US" w:eastAsia="es-ES"/>
              </w:rPr>
              <w:t>T1</w:t>
            </w:r>
          </w:p>
        </w:tc>
        <w:tc>
          <w:tcPr>
            <w:tcW w:w="254" w:type="pct"/>
            <w:tcBorders>
              <w:top w:val="single" w:sz="4" w:space="0" w:color="auto"/>
              <w:bottom w:val="single" w:sz="4" w:space="0" w:color="auto"/>
            </w:tcBorders>
            <w:vAlign w:val="center"/>
          </w:tcPr>
          <w:p w14:paraId="2CABEA6D"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r w:rsidRPr="006E6DE8">
              <w:rPr>
                <w:rFonts w:eastAsia="Times New Roman" w:cs="Times New Roman"/>
                <w:color w:val="000000"/>
                <w:sz w:val="12"/>
                <w:szCs w:val="10"/>
                <w:lang w:val="en-US" w:eastAsia="es-ES"/>
              </w:rPr>
              <w:t>ES</w:t>
            </w:r>
          </w:p>
        </w:tc>
        <w:tc>
          <w:tcPr>
            <w:tcW w:w="73" w:type="pct"/>
            <w:vMerge/>
            <w:tcBorders>
              <w:bottom w:val="single" w:sz="4" w:space="0" w:color="auto"/>
            </w:tcBorders>
            <w:vAlign w:val="center"/>
          </w:tcPr>
          <w:p w14:paraId="5A4D1D81"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493" w:type="pct"/>
            <w:tcBorders>
              <w:top w:val="single" w:sz="4" w:space="0" w:color="auto"/>
              <w:bottom w:val="single" w:sz="4" w:space="0" w:color="auto"/>
            </w:tcBorders>
            <w:vAlign w:val="center"/>
          </w:tcPr>
          <w:p w14:paraId="5B71C9C2"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r w:rsidRPr="006E6DE8">
              <w:rPr>
                <w:rFonts w:eastAsia="Times New Roman" w:cs="Times New Roman"/>
                <w:color w:val="000000"/>
                <w:sz w:val="12"/>
                <w:szCs w:val="10"/>
                <w:lang w:val="en-US" w:eastAsia="es-ES"/>
              </w:rPr>
              <w:t>T0</w:t>
            </w:r>
          </w:p>
        </w:tc>
        <w:tc>
          <w:tcPr>
            <w:tcW w:w="493" w:type="pct"/>
            <w:tcBorders>
              <w:top w:val="single" w:sz="4" w:space="0" w:color="auto"/>
              <w:bottom w:val="single" w:sz="4" w:space="0" w:color="auto"/>
            </w:tcBorders>
            <w:vAlign w:val="center"/>
          </w:tcPr>
          <w:p w14:paraId="375606E5"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r w:rsidRPr="006E6DE8">
              <w:rPr>
                <w:rFonts w:eastAsia="Times New Roman" w:cs="Times New Roman"/>
                <w:color w:val="000000"/>
                <w:sz w:val="12"/>
                <w:szCs w:val="10"/>
                <w:lang w:val="en-US" w:eastAsia="es-ES"/>
              </w:rPr>
              <w:t>T1</w:t>
            </w:r>
          </w:p>
        </w:tc>
        <w:tc>
          <w:tcPr>
            <w:tcW w:w="213" w:type="pct"/>
            <w:tcBorders>
              <w:top w:val="single" w:sz="4" w:space="0" w:color="auto"/>
              <w:bottom w:val="single" w:sz="4" w:space="0" w:color="auto"/>
            </w:tcBorders>
            <w:vAlign w:val="center"/>
          </w:tcPr>
          <w:p w14:paraId="7A535CD9"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r w:rsidRPr="006E6DE8">
              <w:rPr>
                <w:rFonts w:eastAsia="Times New Roman" w:cs="Times New Roman"/>
                <w:color w:val="000000"/>
                <w:sz w:val="12"/>
                <w:szCs w:val="10"/>
                <w:lang w:val="en-US" w:eastAsia="es-ES"/>
              </w:rPr>
              <w:t>ES</w:t>
            </w:r>
          </w:p>
        </w:tc>
        <w:tc>
          <w:tcPr>
            <w:tcW w:w="74" w:type="pct"/>
            <w:vMerge/>
            <w:tcBorders>
              <w:bottom w:val="single" w:sz="4" w:space="0" w:color="auto"/>
            </w:tcBorders>
            <w:vAlign w:val="center"/>
          </w:tcPr>
          <w:p w14:paraId="6B1DF2FB"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485" w:type="pct"/>
            <w:tcBorders>
              <w:top w:val="single" w:sz="4" w:space="0" w:color="auto"/>
              <w:bottom w:val="single" w:sz="4" w:space="0" w:color="auto"/>
            </w:tcBorders>
            <w:vAlign w:val="center"/>
          </w:tcPr>
          <w:p w14:paraId="76FF74A7"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r w:rsidRPr="006E6DE8">
              <w:rPr>
                <w:rFonts w:eastAsia="Times New Roman" w:cs="Times New Roman"/>
                <w:color w:val="000000"/>
                <w:sz w:val="12"/>
                <w:szCs w:val="10"/>
                <w:lang w:val="en-US" w:eastAsia="es-ES"/>
              </w:rPr>
              <w:t>T0</w:t>
            </w:r>
          </w:p>
        </w:tc>
        <w:tc>
          <w:tcPr>
            <w:tcW w:w="493" w:type="pct"/>
            <w:tcBorders>
              <w:top w:val="single" w:sz="4" w:space="0" w:color="auto"/>
              <w:bottom w:val="single" w:sz="4" w:space="0" w:color="auto"/>
            </w:tcBorders>
            <w:vAlign w:val="center"/>
          </w:tcPr>
          <w:p w14:paraId="412B130B"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r w:rsidRPr="006E6DE8">
              <w:rPr>
                <w:rFonts w:eastAsia="Times New Roman" w:cs="Times New Roman"/>
                <w:color w:val="000000"/>
                <w:sz w:val="12"/>
                <w:szCs w:val="10"/>
                <w:lang w:val="en-US" w:eastAsia="es-ES"/>
              </w:rPr>
              <w:t>T1</w:t>
            </w:r>
          </w:p>
        </w:tc>
        <w:tc>
          <w:tcPr>
            <w:tcW w:w="214" w:type="pct"/>
            <w:tcBorders>
              <w:top w:val="single" w:sz="4" w:space="0" w:color="auto"/>
              <w:bottom w:val="single" w:sz="4" w:space="0" w:color="auto"/>
            </w:tcBorders>
            <w:vAlign w:val="center"/>
          </w:tcPr>
          <w:p w14:paraId="2C8667E3"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r w:rsidRPr="006E6DE8">
              <w:rPr>
                <w:rFonts w:eastAsia="Times New Roman" w:cs="Times New Roman"/>
                <w:color w:val="000000"/>
                <w:sz w:val="12"/>
                <w:szCs w:val="10"/>
                <w:lang w:val="en-US" w:eastAsia="es-ES"/>
              </w:rPr>
              <w:t>ES</w:t>
            </w:r>
          </w:p>
        </w:tc>
      </w:tr>
      <w:tr w:rsidR="005819EF" w:rsidRPr="006E6DE8" w14:paraId="0776F914" w14:textId="77777777" w:rsidTr="00CE658E">
        <w:trPr>
          <w:trHeight w:val="283"/>
        </w:trPr>
        <w:tc>
          <w:tcPr>
            <w:tcW w:w="561" w:type="pct"/>
            <w:vMerge w:val="restart"/>
            <w:tcBorders>
              <w:top w:val="single" w:sz="4" w:space="0" w:color="auto"/>
            </w:tcBorders>
            <w:shd w:val="clear" w:color="auto" w:fill="auto"/>
            <w:noWrap/>
            <w:vAlign w:val="center"/>
          </w:tcPr>
          <w:p w14:paraId="74CB135D"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r w:rsidRPr="006E6DE8">
              <w:rPr>
                <w:rFonts w:eastAsia="Times New Roman" w:cs="Times New Roman"/>
                <w:bCs/>
                <w:color w:val="000000"/>
                <w:sz w:val="12"/>
                <w:szCs w:val="10"/>
                <w:lang w:val="en-US" w:eastAsia="es-ES"/>
              </w:rPr>
              <w:t>F-SQ (</w:t>
            </w:r>
            <w:r w:rsidRPr="006E6DE8">
              <w:rPr>
                <w:rFonts w:eastAsia="Times New Roman" w:cs="Times New Roman"/>
                <w:bCs/>
                <w:i/>
                <w:color w:val="000000"/>
                <w:sz w:val="12"/>
                <w:szCs w:val="10"/>
                <w:lang w:val="en-US" w:eastAsia="es-ES"/>
              </w:rPr>
              <w:t>n</w:t>
            </w:r>
            <w:r w:rsidRPr="006E6DE8">
              <w:rPr>
                <w:rFonts w:eastAsia="Times New Roman" w:cs="Times New Roman"/>
                <w:bCs/>
                <w:color w:val="000000"/>
                <w:sz w:val="12"/>
                <w:szCs w:val="10"/>
                <w:lang w:val="en-US" w:eastAsia="es-ES"/>
              </w:rPr>
              <w:t xml:space="preserve"> = 12)</w:t>
            </w:r>
          </w:p>
        </w:tc>
        <w:tc>
          <w:tcPr>
            <w:tcW w:w="665" w:type="pct"/>
            <w:tcBorders>
              <w:top w:val="single" w:sz="4" w:space="0" w:color="auto"/>
            </w:tcBorders>
            <w:vAlign w:val="center"/>
          </w:tcPr>
          <w:p w14:paraId="2DB2D09F" w14:textId="77777777" w:rsidR="005819EF" w:rsidRPr="006E6DE8" w:rsidRDefault="005819EF" w:rsidP="00CE658E">
            <w:pPr>
              <w:adjustRightInd w:val="0"/>
              <w:snapToGrid w:val="0"/>
              <w:spacing w:after="0" w:line="240" w:lineRule="auto"/>
              <w:jc w:val="right"/>
              <w:rPr>
                <w:rFonts w:eastAsia="Times New Roman" w:cs="Times New Roman"/>
                <w:color w:val="000000"/>
                <w:sz w:val="12"/>
                <w:szCs w:val="10"/>
                <w:lang w:eastAsia="ja-JP"/>
              </w:rPr>
            </w:pPr>
            <w:r w:rsidRPr="006E6DE8">
              <w:rPr>
                <w:rFonts w:cs="Times New Roman"/>
                <w:color w:val="000000"/>
                <w:sz w:val="12"/>
                <w:szCs w:val="10"/>
              </w:rPr>
              <w:t>1RM (kg)</w:t>
            </w:r>
          </w:p>
        </w:tc>
        <w:tc>
          <w:tcPr>
            <w:tcW w:w="492" w:type="pct"/>
            <w:tcBorders>
              <w:top w:val="single" w:sz="4" w:space="0" w:color="auto"/>
            </w:tcBorders>
            <w:vAlign w:val="center"/>
          </w:tcPr>
          <w:p w14:paraId="3FFA24BA" w14:textId="77777777" w:rsidR="005819EF" w:rsidRPr="006E6DE8" w:rsidRDefault="005819EF" w:rsidP="00CE658E">
            <w:pPr>
              <w:pStyle w:val="TableParagraph"/>
              <w:adjustRightInd w:val="0"/>
              <w:snapToGrid w:val="0"/>
              <w:ind w:left="98"/>
              <w:rPr>
                <w:sz w:val="12"/>
                <w:szCs w:val="10"/>
              </w:rPr>
            </w:pPr>
            <w:r w:rsidRPr="006E6DE8">
              <w:rPr>
                <w:w w:val="110"/>
                <w:sz w:val="12"/>
                <w:szCs w:val="10"/>
              </w:rPr>
              <w:t>82.7 ± 11.2</w:t>
            </w:r>
          </w:p>
        </w:tc>
        <w:tc>
          <w:tcPr>
            <w:tcW w:w="490" w:type="pct"/>
            <w:tcBorders>
              <w:top w:val="single" w:sz="4" w:space="0" w:color="auto"/>
            </w:tcBorders>
            <w:vAlign w:val="center"/>
          </w:tcPr>
          <w:p w14:paraId="7A5FB98D" w14:textId="77777777" w:rsidR="005819EF" w:rsidRPr="006E6DE8" w:rsidRDefault="005819EF" w:rsidP="00CE658E">
            <w:pPr>
              <w:pStyle w:val="TableParagraph"/>
              <w:adjustRightInd w:val="0"/>
              <w:snapToGrid w:val="0"/>
              <w:ind w:left="99"/>
              <w:rPr>
                <w:sz w:val="12"/>
                <w:szCs w:val="10"/>
              </w:rPr>
            </w:pPr>
            <w:r w:rsidRPr="006E6DE8">
              <w:rPr>
                <w:w w:val="110"/>
                <w:sz w:val="12"/>
                <w:szCs w:val="10"/>
              </w:rPr>
              <w:t>96.3 ± 11.1</w:t>
            </w:r>
            <w:r w:rsidRPr="006E6DE8">
              <w:rPr>
                <w:rFonts w:ascii="Cambria Math" w:hAnsi="Cambria Math" w:cs="Cambria Math"/>
                <w:w w:val="110"/>
                <w:position w:val="6"/>
                <w:sz w:val="12"/>
                <w:szCs w:val="10"/>
              </w:rPr>
              <w:t>∗</w:t>
            </w:r>
          </w:p>
        </w:tc>
        <w:tc>
          <w:tcPr>
            <w:tcW w:w="254" w:type="pct"/>
            <w:tcBorders>
              <w:top w:val="single" w:sz="4" w:space="0" w:color="auto"/>
            </w:tcBorders>
            <w:vAlign w:val="center"/>
          </w:tcPr>
          <w:p w14:paraId="455E4916"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1.22</w:t>
            </w:r>
          </w:p>
        </w:tc>
        <w:tc>
          <w:tcPr>
            <w:tcW w:w="73" w:type="pct"/>
            <w:tcBorders>
              <w:top w:val="single" w:sz="4" w:space="0" w:color="auto"/>
            </w:tcBorders>
            <w:vAlign w:val="center"/>
          </w:tcPr>
          <w:p w14:paraId="4D26BC5D"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tcBorders>
              <w:top w:val="single" w:sz="4" w:space="0" w:color="auto"/>
            </w:tcBorders>
            <w:vAlign w:val="center"/>
          </w:tcPr>
          <w:p w14:paraId="621520C9" w14:textId="77777777" w:rsidR="005819EF" w:rsidRPr="006E6DE8" w:rsidRDefault="005819EF" w:rsidP="00CE658E">
            <w:pPr>
              <w:adjustRightInd w:val="0"/>
              <w:snapToGrid w:val="0"/>
              <w:spacing w:after="0" w:line="240" w:lineRule="auto"/>
              <w:rPr>
                <w:rFonts w:eastAsia="Times New Roman" w:cs="Times New Roman"/>
                <w:color w:val="000000"/>
                <w:sz w:val="12"/>
                <w:szCs w:val="10"/>
                <w:lang w:eastAsia="ja-JP"/>
              </w:rPr>
            </w:pPr>
            <w:r w:rsidRPr="006E6DE8">
              <w:rPr>
                <w:rFonts w:cs="Times New Roman"/>
                <w:color w:val="000000"/>
                <w:w w:val="110"/>
                <w:sz w:val="12"/>
                <w:szCs w:val="10"/>
                <w:lang w:val="en-US"/>
              </w:rPr>
              <w:t>90.6 ± 10.1</w:t>
            </w:r>
          </w:p>
        </w:tc>
        <w:tc>
          <w:tcPr>
            <w:tcW w:w="493" w:type="pct"/>
            <w:tcBorders>
              <w:top w:val="single" w:sz="4" w:space="0" w:color="auto"/>
            </w:tcBorders>
            <w:vAlign w:val="center"/>
          </w:tcPr>
          <w:p w14:paraId="5F97B987"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102.5 ± 11.0*</w:t>
            </w:r>
          </w:p>
        </w:tc>
        <w:tc>
          <w:tcPr>
            <w:tcW w:w="213" w:type="pct"/>
            <w:tcBorders>
              <w:top w:val="single" w:sz="4" w:space="0" w:color="auto"/>
            </w:tcBorders>
            <w:vAlign w:val="center"/>
          </w:tcPr>
          <w:p w14:paraId="5AB54935"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1.13</w:t>
            </w:r>
          </w:p>
        </w:tc>
        <w:tc>
          <w:tcPr>
            <w:tcW w:w="74" w:type="pct"/>
            <w:tcBorders>
              <w:top w:val="single" w:sz="4" w:space="0" w:color="auto"/>
            </w:tcBorders>
            <w:vAlign w:val="center"/>
          </w:tcPr>
          <w:p w14:paraId="77C655EF"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tcBorders>
              <w:top w:val="single" w:sz="4" w:space="0" w:color="auto"/>
            </w:tcBorders>
            <w:vAlign w:val="center"/>
          </w:tcPr>
          <w:p w14:paraId="0EDBB04E" w14:textId="77777777" w:rsidR="005819EF" w:rsidRPr="006E6DE8" w:rsidRDefault="005819EF" w:rsidP="00CE658E">
            <w:pPr>
              <w:adjustRightInd w:val="0"/>
              <w:snapToGrid w:val="0"/>
              <w:spacing w:after="0" w:line="240" w:lineRule="auto"/>
              <w:rPr>
                <w:rFonts w:eastAsia="Times New Roman" w:cs="Times New Roman"/>
                <w:color w:val="000000"/>
                <w:sz w:val="12"/>
                <w:szCs w:val="10"/>
                <w:lang w:eastAsia="ja-JP"/>
              </w:rPr>
            </w:pPr>
            <w:r w:rsidRPr="006E6DE8">
              <w:rPr>
                <w:rFonts w:cs="Times New Roman"/>
                <w:color w:val="000000"/>
                <w:w w:val="110"/>
                <w:sz w:val="12"/>
                <w:szCs w:val="10"/>
                <w:lang w:val="en-US"/>
              </w:rPr>
              <w:t>124.6 ± 20.1</w:t>
            </w:r>
          </w:p>
        </w:tc>
        <w:tc>
          <w:tcPr>
            <w:tcW w:w="493" w:type="pct"/>
            <w:tcBorders>
              <w:top w:val="single" w:sz="4" w:space="0" w:color="auto"/>
            </w:tcBorders>
            <w:vAlign w:val="center"/>
          </w:tcPr>
          <w:p w14:paraId="1D076B31"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139.4 ± 18.5*</w:t>
            </w:r>
          </w:p>
        </w:tc>
        <w:tc>
          <w:tcPr>
            <w:tcW w:w="214" w:type="pct"/>
            <w:tcBorders>
              <w:top w:val="single" w:sz="4" w:space="0" w:color="auto"/>
            </w:tcBorders>
            <w:vAlign w:val="center"/>
          </w:tcPr>
          <w:p w14:paraId="40A7FBE3"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05"/>
                <w:sz w:val="12"/>
                <w:szCs w:val="10"/>
                <w:lang w:val="en-US"/>
              </w:rPr>
              <w:t>0.77</w:t>
            </w:r>
          </w:p>
        </w:tc>
      </w:tr>
      <w:tr w:rsidR="005819EF" w:rsidRPr="006E6DE8" w14:paraId="6F46B244" w14:textId="77777777" w:rsidTr="00CE658E">
        <w:trPr>
          <w:trHeight w:val="283"/>
        </w:trPr>
        <w:tc>
          <w:tcPr>
            <w:tcW w:w="561" w:type="pct"/>
            <w:vMerge/>
            <w:shd w:val="clear" w:color="auto" w:fill="auto"/>
            <w:noWrap/>
            <w:vAlign w:val="center"/>
          </w:tcPr>
          <w:p w14:paraId="7A3E1DEC"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665" w:type="pct"/>
            <w:vAlign w:val="center"/>
          </w:tcPr>
          <w:p w14:paraId="3C0EE6A3"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sz w:val="12"/>
                <w:szCs w:val="10"/>
              </w:rPr>
              <w:t>1RM/BM</w:t>
            </w:r>
          </w:p>
        </w:tc>
        <w:tc>
          <w:tcPr>
            <w:tcW w:w="492" w:type="pct"/>
            <w:vAlign w:val="center"/>
          </w:tcPr>
          <w:p w14:paraId="22B2D774" w14:textId="77777777" w:rsidR="005819EF" w:rsidRPr="006E6DE8" w:rsidRDefault="005819EF" w:rsidP="00CE658E">
            <w:pPr>
              <w:pStyle w:val="TableParagraph"/>
              <w:adjustRightInd w:val="0"/>
              <w:snapToGrid w:val="0"/>
              <w:ind w:left="98"/>
              <w:rPr>
                <w:sz w:val="12"/>
                <w:szCs w:val="10"/>
              </w:rPr>
            </w:pPr>
            <w:r w:rsidRPr="006E6DE8">
              <w:rPr>
                <w:w w:val="110"/>
                <w:sz w:val="12"/>
                <w:szCs w:val="10"/>
              </w:rPr>
              <w:t>1.14 ± 0.10</w:t>
            </w:r>
          </w:p>
        </w:tc>
        <w:tc>
          <w:tcPr>
            <w:tcW w:w="490" w:type="pct"/>
            <w:vAlign w:val="center"/>
          </w:tcPr>
          <w:p w14:paraId="4200479F" w14:textId="77777777" w:rsidR="005819EF" w:rsidRPr="006E6DE8" w:rsidRDefault="005819EF" w:rsidP="00CE658E">
            <w:pPr>
              <w:pStyle w:val="TableParagraph"/>
              <w:adjustRightInd w:val="0"/>
              <w:snapToGrid w:val="0"/>
              <w:ind w:left="99"/>
              <w:rPr>
                <w:sz w:val="12"/>
                <w:szCs w:val="10"/>
              </w:rPr>
            </w:pPr>
            <w:r w:rsidRPr="006E6DE8">
              <w:rPr>
                <w:w w:val="110"/>
                <w:sz w:val="12"/>
                <w:szCs w:val="10"/>
              </w:rPr>
              <w:t>1.34 ± 0.12</w:t>
            </w:r>
            <w:r w:rsidRPr="006E6DE8">
              <w:rPr>
                <w:rFonts w:ascii="Cambria Math" w:hAnsi="Cambria Math" w:cs="Cambria Math"/>
                <w:w w:val="110"/>
                <w:position w:val="6"/>
                <w:sz w:val="12"/>
                <w:szCs w:val="10"/>
              </w:rPr>
              <w:t>∗</w:t>
            </w:r>
          </w:p>
        </w:tc>
        <w:tc>
          <w:tcPr>
            <w:tcW w:w="254" w:type="pct"/>
            <w:vAlign w:val="center"/>
          </w:tcPr>
          <w:p w14:paraId="1FC8675F"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1.81</w:t>
            </w:r>
          </w:p>
        </w:tc>
        <w:tc>
          <w:tcPr>
            <w:tcW w:w="73" w:type="pct"/>
            <w:vAlign w:val="center"/>
          </w:tcPr>
          <w:p w14:paraId="66325B5C"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34E7CCF0"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1.26 ± 0.14</w:t>
            </w:r>
          </w:p>
        </w:tc>
        <w:tc>
          <w:tcPr>
            <w:tcW w:w="493" w:type="pct"/>
            <w:vAlign w:val="center"/>
          </w:tcPr>
          <w:p w14:paraId="3BADD7F9"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1.43 ± 0.16*</w:t>
            </w:r>
          </w:p>
        </w:tc>
        <w:tc>
          <w:tcPr>
            <w:tcW w:w="213" w:type="pct"/>
            <w:vAlign w:val="center"/>
          </w:tcPr>
          <w:p w14:paraId="17433B8F"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1.13</w:t>
            </w:r>
          </w:p>
        </w:tc>
        <w:tc>
          <w:tcPr>
            <w:tcW w:w="74" w:type="pct"/>
            <w:vAlign w:val="center"/>
          </w:tcPr>
          <w:p w14:paraId="09509719"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73C14BC2"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1.72 ± 0.18</w:t>
            </w:r>
          </w:p>
        </w:tc>
        <w:tc>
          <w:tcPr>
            <w:tcW w:w="493" w:type="pct"/>
            <w:vAlign w:val="center"/>
          </w:tcPr>
          <w:p w14:paraId="59843BB9"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1.93 ± 0.19*</w:t>
            </w:r>
          </w:p>
        </w:tc>
        <w:tc>
          <w:tcPr>
            <w:tcW w:w="214" w:type="pct"/>
            <w:vAlign w:val="center"/>
          </w:tcPr>
          <w:p w14:paraId="40F417ED"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05"/>
                <w:sz w:val="12"/>
                <w:szCs w:val="10"/>
                <w:lang w:val="en-US"/>
              </w:rPr>
              <w:t>1.13</w:t>
            </w:r>
          </w:p>
        </w:tc>
      </w:tr>
      <w:tr w:rsidR="005819EF" w:rsidRPr="006E6DE8" w14:paraId="1D668DF5" w14:textId="77777777" w:rsidTr="00CE658E">
        <w:trPr>
          <w:trHeight w:val="283"/>
        </w:trPr>
        <w:tc>
          <w:tcPr>
            <w:tcW w:w="561" w:type="pct"/>
            <w:vMerge/>
            <w:shd w:val="clear" w:color="auto" w:fill="auto"/>
            <w:noWrap/>
            <w:vAlign w:val="center"/>
          </w:tcPr>
          <w:p w14:paraId="0631CC60"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665" w:type="pct"/>
            <w:vAlign w:val="center"/>
          </w:tcPr>
          <w:p w14:paraId="3F7A211E"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sz w:val="12"/>
                <w:szCs w:val="10"/>
              </w:rPr>
              <w:t>MPV</w:t>
            </w:r>
            <w:r w:rsidRPr="006E6DE8">
              <w:rPr>
                <w:rFonts w:cs="Times New Roman"/>
                <w:color w:val="000000"/>
                <w:sz w:val="12"/>
                <w:szCs w:val="10"/>
                <w:vertAlign w:val="subscript"/>
              </w:rPr>
              <w:t>ALL</w:t>
            </w:r>
            <w:r w:rsidRPr="006E6DE8">
              <w:rPr>
                <w:rFonts w:cs="Times New Roman"/>
                <w:color w:val="000000"/>
                <w:sz w:val="12"/>
                <w:szCs w:val="10"/>
              </w:rPr>
              <w:t xml:space="preserve"> (m·s</w:t>
            </w:r>
            <w:r w:rsidRPr="006E6DE8">
              <w:rPr>
                <w:rFonts w:cs="Times New Roman"/>
                <w:color w:val="000000"/>
                <w:sz w:val="12"/>
                <w:szCs w:val="10"/>
                <w:vertAlign w:val="superscript"/>
              </w:rPr>
              <w:t>-1</w:t>
            </w:r>
            <w:r w:rsidRPr="006E6DE8">
              <w:rPr>
                <w:rFonts w:cs="Times New Roman"/>
                <w:color w:val="000000"/>
                <w:sz w:val="12"/>
                <w:szCs w:val="10"/>
              </w:rPr>
              <w:t>)</w:t>
            </w:r>
          </w:p>
        </w:tc>
        <w:tc>
          <w:tcPr>
            <w:tcW w:w="492" w:type="pct"/>
            <w:vAlign w:val="center"/>
          </w:tcPr>
          <w:p w14:paraId="4B55561D" w14:textId="77777777" w:rsidR="005819EF" w:rsidRPr="006E6DE8" w:rsidRDefault="005819EF" w:rsidP="00CE658E">
            <w:pPr>
              <w:pStyle w:val="TableParagraph"/>
              <w:adjustRightInd w:val="0"/>
              <w:snapToGrid w:val="0"/>
              <w:ind w:left="98"/>
              <w:rPr>
                <w:sz w:val="12"/>
                <w:szCs w:val="10"/>
              </w:rPr>
            </w:pPr>
            <w:r w:rsidRPr="006E6DE8">
              <w:rPr>
                <w:w w:val="110"/>
                <w:sz w:val="12"/>
                <w:szCs w:val="10"/>
              </w:rPr>
              <w:t>0.74 ± 0.05</w:t>
            </w:r>
          </w:p>
        </w:tc>
        <w:tc>
          <w:tcPr>
            <w:tcW w:w="490" w:type="pct"/>
            <w:vAlign w:val="center"/>
          </w:tcPr>
          <w:p w14:paraId="23D564B0" w14:textId="77777777" w:rsidR="005819EF" w:rsidRPr="006E6DE8" w:rsidRDefault="005819EF" w:rsidP="00CE658E">
            <w:pPr>
              <w:pStyle w:val="TableParagraph"/>
              <w:adjustRightInd w:val="0"/>
              <w:snapToGrid w:val="0"/>
              <w:ind w:left="99"/>
              <w:rPr>
                <w:sz w:val="12"/>
                <w:szCs w:val="10"/>
              </w:rPr>
            </w:pPr>
            <w:r w:rsidRPr="006E6DE8">
              <w:rPr>
                <w:w w:val="110"/>
                <w:sz w:val="12"/>
                <w:szCs w:val="10"/>
              </w:rPr>
              <w:t>0.86 ± 0.05</w:t>
            </w:r>
            <w:r w:rsidRPr="006E6DE8">
              <w:rPr>
                <w:rFonts w:ascii="Cambria Math" w:hAnsi="Cambria Math" w:cs="Cambria Math"/>
                <w:w w:val="110"/>
                <w:position w:val="6"/>
                <w:sz w:val="12"/>
                <w:szCs w:val="10"/>
              </w:rPr>
              <w:t>∗</w:t>
            </w:r>
          </w:p>
        </w:tc>
        <w:tc>
          <w:tcPr>
            <w:tcW w:w="254" w:type="pct"/>
            <w:vAlign w:val="center"/>
          </w:tcPr>
          <w:p w14:paraId="4C8478B9"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2.40</w:t>
            </w:r>
          </w:p>
        </w:tc>
        <w:tc>
          <w:tcPr>
            <w:tcW w:w="73" w:type="pct"/>
            <w:vAlign w:val="center"/>
          </w:tcPr>
          <w:p w14:paraId="1118214F"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65C28DD7"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0.73 ± 0.08</w:t>
            </w:r>
          </w:p>
        </w:tc>
        <w:tc>
          <w:tcPr>
            <w:tcW w:w="493" w:type="pct"/>
            <w:vAlign w:val="center"/>
          </w:tcPr>
          <w:p w14:paraId="73C86F82"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0.82 ± 0.06*</w:t>
            </w:r>
          </w:p>
        </w:tc>
        <w:tc>
          <w:tcPr>
            <w:tcW w:w="213" w:type="pct"/>
            <w:vAlign w:val="center"/>
          </w:tcPr>
          <w:p w14:paraId="6B6AB879"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1.27</w:t>
            </w:r>
          </w:p>
        </w:tc>
        <w:tc>
          <w:tcPr>
            <w:tcW w:w="74" w:type="pct"/>
            <w:vAlign w:val="center"/>
          </w:tcPr>
          <w:p w14:paraId="7833E9AC"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7A986517"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0.68 ± 0.07</w:t>
            </w:r>
          </w:p>
        </w:tc>
        <w:tc>
          <w:tcPr>
            <w:tcW w:w="493" w:type="pct"/>
            <w:vAlign w:val="center"/>
          </w:tcPr>
          <w:p w14:paraId="436B1C11"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0.75 ± 0.06*</w:t>
            </w:r>
          </w:p>
        </w:tc>
        <w:tc>
          <w:tcPr>
            <w:tcW w:w="214" w:type="pct"/>
            <w:vAlign w:val="center"/>
          </w:tcPr>
          <w:p w14:paraId="7F2083A0"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05"/>
                <w:sz w:val="12"/>
                <w:szCs w:val="10"/>
                <w:lang w:val="en-US"/>
              </w:rPr>
              <w:t>1.07</w:t>
            </w:r>
          </w:p>
        </w:tc>
      </w:tr>
      <w:tr w:rsidR="005819EF" w:rsidRPr="006E6DE8" w14:paraId="13FB9960" w14:textId="77777777" w:rsidTr="00CE658E">
        <w:trPr>
          <w:trHeight w:val="283"/>
        </w:trPr>
        <w:tc>
          <w:tcPr>
            <w:tcW w:w="561" w:type="pct"/>
            <w:vMerge/>
            <w:shd w:val="clear" w:color="auto" w:fill="auto"/>
            <w:noWrap/>
            <w:vAlign w:val="center"/>
          </w:tcPr>
          <w:p w14:paraId="0260BB29"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665" w:type="pct"/>
            <w:vAlign w:val="center"/>
          </w:tcPr>
          <w:p w14:paraId="53F8CE7D"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sz w:val="12"/>
                <w:szCs w:val="10"/>
              </w:rPr>
              <w:t>MPV</w:t>
            </w:r>
            <w:r w:rsidRPr="006E6DE8">
              <w:rPr>
                <w:rFonts w:cs="Times New Roman"/>
                <w:color w:val="000000"/>
                <w:sz w:val="12"/>
                <w:szCs w:val="10"/>
                <w:vertAlign w:val="subscript"/>
              </w:rPr>
              <w:t>&lt;50%1RM</w:t>
            </w:r>
            <w:r w:rsidRPr="006E6DE8">
              <w:rPr>
                <w:rFonts w:cs="Times New Roman"/>
                <w:color w:val="000000"/>
                <w:sz w:val="12"/>
                <w:szCs w:val="10"/>
              </w:rPr>
              <w:t xml:space="preserve"> (m·s</w:t>
            </w:r>
            <w:r w:rsidRPr="006E6DE8">
              <w:rPr>
                <w:rFonts w:cs="Times New Roman"/>
                <w:color w:val="000000"/>
                <w:sz w:val="12"/>
                <w:szCs w:val="10"/>
                <w:vertAlign w:val="superscript"/>
              </w:rPr>
              <w:t>-1</w:t>
            </w:r>
            <w:r w:rsidRPr="006E6DE8">
              <w:rPr>
                <w:rFonts w:cs="Times New Roman"/>
                <w:color w:val="000000"/>
                <w:sz w:val="12"/>
                <w:szCs w:val="10"/>
              </w:rPr>
              <w:t>)</w:t>
            </w:r>
          </w:p>
        </w:tc>
        <w:tc>
          <w:tcPr>
            <w:tcW w:w="492" w:type="pct"/>
            <w:vAlign w:val="center"/>
          </w:tcPr>
          <w:p w14:paraId="0B166CE7" w14:textId="77777777" w:rsidR="005819EF" w:rsidRPr="006E6DE8" w:rsidRDefault="005819EF" w:rsidP="00CE658E">
            <w:pPr>
              <w:pStyle w:val="TableParagraph"/>
              <w:adjustRightInd w:val="0"/>
              <w:snapToGrid w:val="0"/>
              <w:ind w:left="98"/>
              <w:rPr>
                <w:sz w:val="12"/>
                <w:szCs w:val="10"/>
              </w:rPr>
            </w:pPr>
            <w:r w:rsidRPr="006E6DE8">
              <w:rPr>
                <w:w w:val="110"/>
                <w:sz w:val="12"/>
                <w:szCs w:val="10"/>
              </w:rPr>
              <w:t>1.03 ± 0.08</w:t>
            </w:r>
          </w:p>
        </w:tc>
        <w:tc>
          <w:tcPr>
            <w:tcW w:w="490" w:type="pct"/>
            <w:vAlign w:val="center"/>
          </w:tcPr>
          <w:p w14:paraId="765C9C14" w14:textId="77777777" w:rsidR="005819EF" w:rsidRPr="006E6DE8" w:rsidRDefault="005819EF" w:rsidP="00CE658E">
            <w:pPr>
              <w:pStyle w:val="TableParagraph"/>
              <w:adjustRightInd w:val="0"/>
              <w:snapToGrid w:val="0"/>
              <w:ind w:left="99"/>
              <w:rPr>
                <w:sz w:val="12"/>
                <w:szCs w:val="10"/>
              </w:rPr>
            </w:pPr>
            <w:r w:rsidRPr="006E6DE8">
              <w:rPr>
                <w:w w:val="110"/>
                <w:sz w:val="12"/>
                <w:szCs w:val="10"/>
              </w:rPr>
              <w:t>1.14 ± 0.08</w:t>
            </w:r>
            <w:r w:rsidRPr="006E6DE8">
              <w:rPr>
                <w:rFonts w:ascii="Cambria Math" w:hAnsi="Cambria Math" w:cs="Cambria Math"/>
                <w:w w:val="110"/>
                <w:position w:val="6"/>
                <w:sz w:val="12"/>
                <w:szCs w:val="10"/>
              </w:rPr>
              <w:t>∗</w:t>
            </w:r>
          </w:p>
        </w:tc>
        <w:tc>
          <w:tcPr>
            <w:tcW w:w="254" w:type="pct"/>
            <w:vAlign w:val="center"/>
          </w:tcPr>
          <w:p w14:paraId="59DC9404"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1.38</w:t>
            </w:r>
          </w:p>
        </w:tc>
        <w:tc>
          <w:tcPr>
            <w:tcW w:w="73" w:type="pct"/>
            <w:vAlign w:val="center"/>
          </w:tcPr>
          <w:p w14:paraId="7E2734E4"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41250E0E"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0.97 ± 0.08</w:t>
            </w:r>
          </w:p>
        </w:tc>
        <w:tc>
          <w:tcPr>
            <w:tcW w:w="493" w:type="pct"/>
            <w:vAlign w:val="center"/>
          </w:tcPr>
          <w:p w14:paraId="45991969"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1.07 ± 0.08*</w:t>
            </w:r>
          </w:p>
        </w:tc>
        <w:tc>
          <w:tcPr>
            <w:tcW w:w="213" w:type="pct"/>
            <w:vAlign w:val="center"/>
          </w:tcPr>
          <w:p w14:paraId="1D70A152"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1.25</w:t>
            </w:r>
          </w:p>
        </w:tc>
        <w:tc>
          <w:tcPr>
            <w:tcW w:w="74" w:type="pct"/>
            <w:vAlign w:val="center"/>
          </w:tcPr>
          <w:p w14:paraId="04E987E8"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0E0F7CD7"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0.92 ± 0.08</w:t>
            </w:r>
          </w:p>
        </w:tc>
        <w:tc>
          <w:tcPr>
            <w:tcW w:w="493" w:type="pct"/>
            <w:vAlign w:val="center"/>
          </w:tcPr>
          <w:p w14:paraId="0335085F"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1.01 ± 0.07*</w:t>
            </w:r>
          </w:p>
        </w:tc>
        <w:tc>
          <w:tcPr>
            <w:tcW w:w="214" w:type="pct"/>
            <w:vAlign w:val="center"/>
          </w:tcPr>
          <w:p w14:paraId="248EC3D5"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05"/>
                <w:sz w:val="12"/>
                <w:szCs w:val="10"/>
                <w:lang w:val="en-US"/>
              </w:rPr>
              <w:t>1.20</w:t>
            </w:r>
          </w:p>
        </w:tc>
      </w:tr>
      <w:tr w:rsidR="005819EF" w:rsidRPr="006E6DE8" w14:paraId="57107314" w14:textId="77777777" w:rsidTr="00CE658E">
        <w:trPr>
          <w:trHeight w:val="283"/>
        </w:trPr>
        <w:tc>
          <w:tcPr>
            <w:tcW w:w="561" w:type="pct"/>
            <w:vMerge/>
            <w:shd w:val="clear" w:color="auto" w:fill="auto"/>
            <w:noWrap/>
            <w:vAlign w:val="center"/>
          </w:tcPr>
          <w:p w14:paraId="3637BDEF"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665" w:type="pct"/>
            <w:vAlign w:val="center"/>
          </w:tcPr>
          <w:p w14:paraId="137E4D4C"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sz w:val="12"/>
                <w:szCs w:val="10"/>
              </w:rPr>
              <w:t>MPV</w:t>
            </w:r>
            <w:r w:rsidRPr="006E6DE8">
              <w:rPr>
                <w:rFonts w:cs="Times New Roman"/>
                <w:color w:val="000000"/>
                <w:sz w:val="12"/>
                <w:szCs w:val="10"/>
                <w:vertAlign w:val="subscript"/>
              </w:rPr>
              <w:t>&gt;50%1RM</w:t>
            </w:r>
            <w:r w:rsidRPr="006E6DE8">
              <w:rPr>
                <w:rFonts w:cs="Times New Roman"/>
                <w:color w:val="000000"/>
                <w:sz w:val="12"/>
                <w:szCs w:val="10"/>
              </w:rPr>
              <w:t xml:space="preserve"> (m·s</w:t>
            </w:r>
            <w:r w:rsidRPr="006E6DE8">
              <w:rPr>
                <w:rFonts w:cs="Times New Roman"/>
                <w:color w:val="000000"/>
                <w:sz w:val="12"/>
                <w:szCs w:val="10"/>
                <w:vertAlign w:val="superscript"/>
              </w:rPr>
              <w:t>-1</w:t>
            </w:r>
            <w:r w:rsidRPr="006E6DE8">
              <w:rPr>
                <w:rFonts w:cs="Times New Roman"/>
                <w:color w:val="000000"/>
                <w:sz w:val="12"/>
                <w:szCs w:val="10"/>
              </w:rPr>
              <w:t>)</w:t>
            </w:r>
          </w:p>
        </w:tc>
        <w:tc>
          <w:tcPr>
            <w:tcW w:w="492" w:type="pct"/>
            <w:vAlign w:val="center"/>
          </w:tcPr>
          <w:p w14:paraId="6F681D6B" w14:textId="77777777" w:rsidR="005819EF" w:rsidRPr="006E6DE8" w:rsidRDefault="005819EF" w:rsidP="00CE658E">
            <w:pPr>
              <w:pStyle w:val="TableParagraph"/>
              <w:adjustRightInd w:val="0"/>
              <w:snapToGrid w:val="0"/>
              <w:ind w:left="98"/>
              <w:rPr>
                <w:sz w:val="12"/>
                <w:szCs w:val="10"/>
              </w:rPr>
            </w:pPr>
            <w:r w:rsidRPr="006E6DE8">
              <w:rPr>
                <w:w w:val="110"/>
                <w:sz w:val="12"/>
                <w:szCs w:val="10"/>
              </w:rPr>
              <w:t>0.50 ± 0.04</w:t>
            </w:r>
          </w:p>
        </w:tc>
        <w:tc>
          <w:tcPr>
            <w:tcW w:w="490" w:type="pct"/>
            <w:vAlign w:val="center"/>
          </w:tcPr>
          <w:p w14:paraId="083D96A6" w14:textId="77777777" w:rsidR="005819EF" w:rsidRPr="006E6DE8" w:rsidRDefault="005819EF" w:rsidP="00CE658E">
            <w:pPr>
              <w:pStyle w:val="TableParagraph"/>
              <w:adjustRightInd w:val="0"/>
              <w:snapToGrid w:val="0"/>
              <w:ind w:left="99"/>
              <w:rPr>
                <w:sz w:val="12"/>
                <w:szCs w:val="10"/>
              </w:rPr>
            </w:pPr>
            <w:r w:rsidRPr="006E6DE8">
              <w:rPr>
                <w:w w:val="110"/>
                <w:sz w:val="12"/>
                <w:szCs w:val="10"/>
              </w:rPr>
              <w:t>0.62 ± 0.06</w:t>
            </w:r>
            <w:r w:rsidRPr="006E6DE8">
              <w:rPr>
                <w:rFonts w:ascii="Cambria Math" w:hAnsi="Cambria Math" w:cs="Cambria Math"/>
                <w:w w:val="110"/>
                <w:position w:val="6"/>
                <w:sz w:val="12"/>
                <w:szCs w:val="10"/>
              </w:rPr>
              <w:t>∗</w:t>
            </w:r>
          </w:p>
        </w:tc>
        <w:tc>
          <w:tcPr>
            <w:tcW w:w="254" w:type="pct"/>
            <w:vAlign w:val="center"/>
          </w:tcPr>
          <w:p w14:paraId="3DC90CB0"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2.35</w:t>
            </w:r>
          </w:p>
        </w:tc>
        <w:tc>
          <w:tcPr>
            <w:tcW w:w="73" w:type="pct"/>
            <w:vAlign w:val="center"/>
          </w:tcPr>
          <w:p w14:paraId="64F8801F"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2C580A57"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0.53 ± 0.05</w:t>
            </w:r>
          </w:p>
        </w:tc>
        <w:tc>
          <w:tcPr>
            <w:tcW w:w="493" w:type="pct"/>
            <w:vAlign w:val="center"/>
          </w:tcPr>
          <w:p w14:paraId="489186B8"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0.62 ± 0.04*</w:t>
            </w:r>
          </w:p>
        </w:tc>
        <w:tc>
          <w:tcPr>
            <w:tcW w:w="213" w:type="pct"/>
            <w:vAlign w:val="center"/>
          </w:tcPr>
          <w:p w14:paraId="11EA15E4"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1.99</w:t>
            </w:r>
          </w:p>
        </w:tc>
        <w:tc>
          <w:tcPr>
            <w:tcW w:w="74" w:type="pct"/>
            <w:vAlign w:val="center"/>
          </w:tcPr>
          <w:p w14:paraId="5C568586"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7E4D3A45"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0.49 ± 0.06</w:t>
            </w:r>
          </w:p>
        </w:tc>
        <w:tc>
          <w:tcPr>
            <w:tcW w:w="493" w:type="pct"/>
            <w:vAlign w:val="center"/>
          </w:tcPr>
          <w:p w14:paraId="73C16C0A"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0.55 ± 0.06*</w:t>
            </w:r>
          </w:p>
        </w:tc>
        <w:tc>
          <w:tcPr>
            <w:tcW w:w="214" w:type="pct"/>
            <w:vAlign w:val="center"/>
          </w:tcPr>
          <w:p w14:paraId="5E5AA8F4"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05"/>
                <w:sz w:val="12"/>
                <w:szCs w:val="10"/>
                <w:lang w:val="en-US"/>
              </w:rPr>
              <w:t>1.00</w:t>
            </w:r>
          </w:p>
        </w:tc>
      </w:tr>
      <w:tr w:rsidR="005819EF" w:rsidRPr="006E6DE8" w14:paraId="7A4010D3" w14:textId="77777777" w:rsidTr="00CE658E">
        <w:trPr>
          <w:trHeight w:val="54"/>
        </w:trPr>
        <w:tc>
          <w:tcPr>
            <w:tcW w:w="561" w:type="pct"/>
            <w:vMerge w:val="restart"/>
            <w:shd w:val="clear" w:color="auto" w:fill="auto"/>
            <w:noWrap/>
            <w:vAlign w:val="center"/>
            <w:hideMark/>
          </w:tcPr>
          <w:p w14:paraId="2D1BA953" w14:textId="77777777" w:rsidR="005819EF" w:rsidRPr="006E6DE8" w:rsidRDefault="005819EF" w:rsidP="00CE658E">
            <w:pPr>
              <w:adjustRightInd w:val="0"/>
              <w:snapToGrid w:val="0"/>
              <w:spacing w:after="0" w:line="240" w:lineRule="auto"/>
              <w:jc w:val="center"/>
              <w:rPr>
                <w:rFonts w:eastAsia="Times New Roman" w:cs="Times New Roman"/>
                <w:bCs/>
                <w:color w:val="000000"/>
                <w:sz w:val="12"/>
                <w:szCs w:val="10"/>
                <w:lang w:val="en-US" w:eastAsia="es-ES"/>
              </w:rPr>
            </w:pPr>
            <w:r w:rsidRPr="006E6DE8">
              <w:rPr>
                <w:rFonts w:eastAsia="Times New Roman" w:cs="Times New Roman"/>
                <w:bCs/>
                <w:color w:val="000000"/>
                <w:sz w:val="12"/>
                <w:szCs w:val="10"/>
                <w:lang w:val="en-US" w:eastAsia="es-ES"/>
              </w:rPr>
              <w:t>P-SQ (</w:t>
            </w:r>
            <w:r w:rsidRPr="006E6DE8">
              <w:rPr>
                <w:rFonts w:eastAsia="Times New Roman" w:cs="Times New Roman"/>
                <w:bCs/>
                <w:i/>
                <w:color w:val="000000"/>
                <w:sz w:val="12"/>
                <w:szCs w:val="10"/>
                <w:lang w:val="en-US" w:eastAsia="es-ES"/>
              </w:rPr>
              <w:t>n</w:t>
            </w:r>
            <w:r w:rsidRPr="006E6DE8">
              <w:rPr>
                <w:rFonts w:eastAsia="Times New Roman" w:cs="Times New Roman"/>
                <w:bCs/>
                <w:color w:val="000000"/>
                <w:sz w:val="12"/>
                <w:szCs w:val="10"/>
                <w:lang w:val="en-US" w:eastAsia="es-ES"/>
              </w:rPr>
              <w:t xml:space="preserve"> = 13)</w:t>
            </w:r>
          </w:p>
        </w:tc>
        <w:tc>
          <w:tcPr>
            <w:tcW w:w="665" w:type="pct"/>
            <w:vAlign w:val="center"/>
          </w:tcPr>
          <w:p w14:paraId="193B8D93" w14:textId="77777777" w:rsidR="005819EF" w:rsidRPr="006E6DE8" w:rsidRDefault="005819EF" w:rsidP="00CE658E">
            <w:pPr>
              <w:adjustRightInd w:val="0"/>
              <w:snapToGrid w:val="0"/>
              <w:spacing w:after="0" w:line="240" w:lineRule="auto"/>
              <w:jc w:val="right"/>
              <w:rPr>
                <w:rFonts w:eastAsia="Times New Roman" w:cs="Times New Roman"/>
                <w:color w:val="000000"/>
                <w:sz w:val="12"/>
                <w:szCs w:val="10"/>
                <w:lang w:val="en-US" w:eastAsia="es-ES"/>
              </w:rPr>
            </w:pPr>
          </w:p>
        </w:tc>
        <w:tc>
          <w:tcPr>
            <w:tcW w:w="492" w:type="pct"/>
            <w:vAlign w:val="center"/>
          </w:tcPr>
          <w:p w14:paraId="1CB311A1" w14:textId="77777777" w:rsidR="005819EF" w:rsidRPr="006E6DE8" w:rsidRDefault="005819EF" w:rsidP="00CE658E">
            <w:pPr>
              <w:pStyle w:val="TableParagraph"/>
              <w:adjustRightInd w:val="0"/>
              <w:snapToGrid w:val="0"/>
              <w:ind w:left="98"/>
              <w:rPr>
                <w:sz w:val="12"/>
                <w:szCs w:val="10"/>
              </w:rPr>
            </w:pPr>
          </w:p>
        </w:tc>
        <w:tc>
          <w:tcPr>
            <w:tcW w:w="490" w:type="pct"/>
            <w:vAlign w:val="center"/>
          </w:tcPr>
          <w:p w14:paraId="1CB7FD12" w14:textId="77777777" w:rsidR="005819EF" w:rsidRPr="006E6DE8" w:rsidRDefault="005819EF" w:rsidP="00CE658E">
            <w:pPr>
              <w:pStyle w:val="TableParagraph"/>
              <w:adjustRightInd w:val="0"/>
              <w:snapToGrid w:val="0"/>
              <w:ind w:left="99"/>
              <w:rPr>
                <w:sz w:val="12"/>
                <w:szCs w:val="10"/>
              </w:rPr>
            </w:pPr>
          </w:p>
        </w:tc>
        <w:tc>
          <w:tcPr>
            <w:tcW w:w="254" w:type="pct"/>
            <w:vAlign w:val="center"/>
          </w:tcPr>
          <w:p w14:paraId="59745C20" w14:textId="77777777" w:rsidR="005819EF" w:rsidRPr="006E6DE8" w:rsidRDefault="005819EF" w:rsidP="00CE658E">
            <w:pPr>
              <w:pStyle w:val="TableParagraph"/>
              <w:adjustRightInd w:val="0"/>
              <w:snapToGrid w:val="0"/>
              <w:ind w:left="105"/>
              <w:jc w:val="right"/>
              <w:rPr>
                <w:sz w:val="12"/>
                <w:szCs w:val="10"/>
              </w:rPr>
            </w:pPr>
          </w:p>
        </w:tc>
        <w:tc>
          <w:tcPr>
            <w:tcW w:w="73" w:type="pct"/>
            <w:vAlign w:val="center"/>
          </w:tcPr>
          <w:p w14:paraId="5FFF277E"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493" w:type="pct"/>
            <w:vAlign w:val="center"/>
          </w:tcPr>
          <w:p w14:paraId="5A9AEDE1" w14:textId="77777777" w:rsidR="005819EF" w:rsidRPr="006E6DE8" w:rsidRDefault="005819EF" w:rsidP="00CE658E">
            <w:pPr>
              <w:adjustRightInd w:val="0"/>
              <w:snapToGrid w:val="0"/>
              <w:spacing w:after="0" w:line="240" w:lineRule="auto"/>
              <w:rPr>
                <w:rFonts w:eastAsia="Times New Roman" w:cs="Times New Roman"/>
                <w:color w:val="000000"/>
                <w:sz w:val="12"/>
                <w:szCs w:val="10"/>
                <w:lang w:val="en-US" w:eastAsia="es-ES"/>
              </w:rPr>
            </w:pPr>
          </w:p>
        </w:tc>
        <w:tc>
          <w:tcPr>
            <w:tcW w:w="493" w:type="pct"/>
            <w:vAlign w:val="center"/>
          </w:tcPr>
          <w:p w14:paraId="04A4BA2B" w14:textId="77777777" w:rsidR="005819EF" w:rsidRPr="006E6DE8" w:rsidRDefault="005819EF" w:rsidP="00CE658E">
            <w:pPr>
              <w:adjustRightInd w:val="0"/>
              <w:snapToGrid w:val="0"/>
              <w:spacing w:after="0" w:line="240" w:lineRule="auto"/>
              <w:rPr>
                <w:rFonts w:eastAsia="Times New Roman" w:cs="Times New Roman"/>
                <w:color w:val="000000"/>
                <w:sz w:val="12"/>
                <w:szCs w:val="10"/>
                <w:lang w:val="en-US" w:eastAsia="es-ES"/>
              </w:rPr>
            </w:pPr>
          </w:p>
        </w:tc>
        <w:tc>
          <w:tcPr>
            <w:tcW w:w="213" w:type="pct"/>
            <w:vAlign w:val="center"/>
          </w:tcPr>
          <w:p w14:paraId="3E86A68A" w14:textId="77777777" w:rsidR="005819EF" w:rsidRPr="006E6DE8" w:rsidRDefault="005819EF" w:rsidP="00CE658E">
            <w:pPr>
              <w:adjustRightInd w:val="0"/>
              <w:snapToGrid w:val="0"/>
              <w:spacing w:after="0" w:line="240" w:lineRule="auto"/>
              <w:jc w:val="right"/>
              <w:rPr>
                <w:rFonts w:eastAsia="Times New Roman" w:cs="Times New Roman"/>
                <w:color w:val="000000"/>
                <w:sz w:val="12"/>
                <w:szCs w:val="10"/>
                <w:lang w:val="en-US" w:eastAsia="es-ES"/>
              </w:rPr>
            </w:pPr>
          </w:p>
        </w:tc>
        <w:tc>
          <w:tcPr>
            <w:tcW w:w="74" w:type="pct"/>
            <w:vAlign w:val="center"/>
          </w:tcPr>
          <w:p w14:paraId="4EAFC856" w14:textId="77777777" w:rsidR="005819EF" w:rsidRPr="006E6DE8" w:rsidRDefault="005819EF" w:rsidP="00CE658E">
            <w:pPr>
              <w:adjustRightInd w:val="0"/>
              <w:snapToGrid w:val="0"/>
              <w:spacing w:after="0" w:line="240" w:lineRule="auto"/>
              <w:jc w:val="right"/>
              <w:rPr>
                <w:rFonts w:eastAsia="Times New Roman" w:cs="Times New Roman"/>
                <w:color w:val="000000"/>
                <w:sz w:val="12"/>
                <w:szCs w:val="10"/>
                <w:lang w:val="en-US" w:eastAsia="es-ES"/>
              </w:rPr>
            </w:pPr>
          </w:p>
        </w:tc>
        <w:tc>
          <w:tcPr>
            <w:tcW w:w="485" w:type="pct"/>
            <w:vAlign w:val="center"/>
          </w:tcPr>
          <w:p w14:paraId="48A55AAA" w14:textId="77777777" w:rsidR="005819EF" w:rsidRPr="006E6DE8" w:rsidRDefault="005819EF" w:rsidP="00CE658E">
            <w:pPr>
              <w:adjustRightInd w:val="0"/>
              <w:snapToGrid w:val="0"/>
              <w:spacing w:after="0" w:line="240" w:lineRule="auto"/>
              <w:rPr>
                <w:rFonts w:eastAsia="Times New Roman" w:cs="Times New Roman"/>
                <w:color w:val="000000"/>
                <w:sz w:val="12"/>
                <w:szCs w:val="10"/>
                <w:lang w:val="en-US" w:eastAsia="es-ES"/>
              </w:rPr>
            </w:pPr>
          </w:p>
        </w:tc>
        <w:tc>
          <w:tcPr>
            <w:tcW w:w="493" w:type="pct"/>
            <w:vAlign w:val="center"/>
          </w:tcPr>
          <w:p w14:paraId="0A941A48" w14:textId="77777777" w:rsidR="005819EF" w:rsidRPr="006E6DE8" w:rsidRDefault="005819EF" w:rsidP="00CE658E">
            <w:pPr>
              <w:adjustRightInd w:val="0"/>
              <w:snapToGrid w:val="0"/>
              <w:spacing w:after="0" w:line="240" w:lineRule="auto"/>
              <w:rPr>
                <w:rFonts w:eastAsia="Times New Roman" w:cs="Times New Roman"/>
                <w:color w:val="000000"/>
                <w:sz w:val="12"/>
                <w:szCs w:val="10"/>
                <w:lang w:val="en-US" w:eastAsia="es-ES"/>
              </w:rPr>
            </w:pPr>
          </w:p>
        </w:tc>
        <w:tc>
          <w:tcPr>
            <w:tcW w:w="214" w:type="pct"/>
            <w:vAlign w:val="center"/>
          </w:tcPr>
          <w:p w14:paraId="6EC0EC8F" w14:textId="77777777" w:rsidR="005819EF" w:rsidRPr="006E6DE8" w:rsidRDefault="005819EF" w:rsidP="00CE658E">
            <w:pPr>
              <w:adjustRightInd w:val="0"/>
              <w:snapToGrid w:val="0"/>
              <w:spacing w:after="0" w:line="240" w:lineRule="auto"/>
              <w:jc w:val="right"/>
              <w:rPr>
                <w:rFonts w:eastAsia="Times New Roman" w:cs="Times New Roman"/>
                <w:color w:val="000000"/>
                <w:sz w:val="12"/>
                <w:szCs w:val="10"/>
                <w:lang w:val="en-US" w:eastAsia="es-ES"/>
              </w:rPr>
            </w:pPr>
          </w:p>
        </w:tc>
      </w:tr>
      <w:tr w:rsidR="005819EF" w:rsidRPr="006E6DE8" w14:paraId="7E86248B" w14:textId="77777777" w:rsidTr="00CE658E">
        <w:trPr>
          <w:trHeight w:val="283"/>
        </w:trPr>
        <w:tc>
          <w:tcPr>
            <w:tcW w:w="561" w:type="pct"/>
            <w:vMerge/>
            <w:shd w:val="clear" w:color="auto" w:fill="auto"/>
            <w:noWrap/>
            <w:vAlign w:val="center"/>
          </w:tcPr>
          <w:p w14:paraId="06D257A1"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665" w:type="pct"/>
            <w:vAlign w:val="center"/>
          </w:tcPr>
          <w:p w14:paraId="4E788165" w14:textId="77777777" w:rsidR="005819EF" w:rsidRPr="006E6DE8" w:rsidRDefault="005819EF" w:rsidP="00CE658E">
            <w:pPr>
              <w:adjustRightInd w:val="0"/>
              <w:snapToGrid w:val="0"/>
              <w:spacing w:after="0" w:line="240" w:lineRule="auto"/>
              <w:jc w:val="right"/>
              <w:rPr>
                <w:rFonts w:eastAsia="Times New Roman" w:cs="Times New Roman"/>
                <w:color w:val="000000"/>
                <w:sz w:val="12"/>
                <w:szCs w:val="10"/>
                <w:lang w:eastAsia="ja-JP"/>
              </w:rPr>
            </w:pPr>
            <w:r w:rsidRPr="006E6DE8">
              <w:rPr>
                <w:rFonts w:cs="Times New Roman"/>
                <w:color w:val="000000"/>
                <w:sz w:val="12"/>
                <w:szCs w:val="10"/>
              </w:rPr>
              <w:t>1RM (kg)</w:t>
            </w:r>
          </w:p>
        </w:tc>
        <w:tc>
          <w:tcPr>
            <w:tcW w:w="492" w:type="pct"/>
            <w:vAlign w:val="center"/>
          </w:tcPr>
          <w:p w14:paraId="0008EB98" w14:textId="77777777" w:rsidR="005819EF" w:rsidRPr="006E6DE8" w:rsidRDefault="005819EF" w:rsidP="00CE658E">
            <w:pPr>
              <w:pStyle w:val="TableParagraph"/>
              <w:adjustRightInd w:val="0"/>
              <w:snapToGrid w:val="0"/>
              <w:ind w:left="98"/>
              <w:rPr>
                <w:sz w:val="12"/>
                <w:szCs w:val="10"/>
              </w:rPr>
            </w:pPr>
            <w:r w:rsidRPr="006E6DE8">
              <w:rPr>
                <w:w w:val="110"/>
                <w:sz w:val="12"/>
                <w:szCs w:val="10"/>
              </w:rPr>
              <w:t>81.3 ± 12.0</w:t>
            </w:r>
          </w:p>
        </w:tc>
        <w:tc>
          <w:tcPr>
            <w:tcW w:w="490" w:type="pct"/>
            <w:vAlign w:val="center"/>
          </w:tcPr>
          <w:p w14:paraId="7142C8E8" w14:textId="77777777" w:rsidR="005819EF" w:rsidRPr="006E6DE8" w:rsidRDefault="005819EF" w:rsidP="00CE658E">
            <w:pPr>
              <w:pStyle w:val="TableParagraph"/>
              <w:adjustRightInd w:val="0"/>
              <w:snapToGrid w:val="0"/>
              <w:ind w:left="99"/>
              <w:rPr>
                <w:sz w:val="12"/>
                <w:szCs w:val="10"/>
              </w:rPr>
            </w:pPr>
            <w:r w:rsidRPr="006E6DE8">
              <w:rPr>
                <w:w w:val="110"/>
                <w:sz w:val="12"/>
                <w:szCs w:val="10"/>
              </w:rPr>
              <w:t>89.7 ± 11.2</w:t>
            </w:r>
            <w:r w:rsidRPr="006E6DE8">
              <w:rPr>
                <w:rFonts w:ascii="Cambria Math" w:hAnsi="Cambria Math" w:cs="Cambria Math"/>
                <w:w w:val="110"/>
                <w:position w:val="6"/>
                <w:sz w:val="12"/>
                <w:szCs w:val="10"/>
              </w:rPr>
              <w:t>∗</w:t>
            </w:r>
          </w:p>
        </w:tc>
        <w:tc>
          <w:tcPr>
            <w:tcW w:w="254" w:type="pct"/>
            <w:vAlign w:val="center"/>
          </w:tcPr>
          <w:p w14:paraId="2A22704F"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0.72</w:t>
            </w:r>
          </w:p>
        </w:tc>
        <w:tc>
          <w:tcPr>
            <w:tcW w:w="73" w:type="pct"/>
            <w:vAlign w:val="center"/>
          </w:tcPr>
          <w:p w14:paraId="063B49EA"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2B8F46DD" w14:textId="77777777" w:rsidR="005819EF" w:rsidRPr="006E6DE8" w:rsidRDefault="005819EF" w:rsidP="00CE658E">
            <w:pPr>
              <w:adjustRightInd w:val="0"/>
              <w:snapToGrid w:val="0"/>
              <w:spacing w:after="0" w:line="240" w:lineRule="auto"/>
              <w:rPr>
                <w:rFonts w:eastAsia="Times New Roman" w:cs="Times New Roman"/>
                <w:color w:val="000000"/>
                <w:sz w:val="12"/>
                <w:szCs w:val="10"/>
                <w:lang w:eastAsia="ja-JP"/>
              </w:rPr>
            </w:pPr>
            <w:r w:rsidRPr="006E6DE8">
              <w:rPr>
                <w:rFonts w:cs="Times New Roman"/>
                <w:color w:val="000000"/>
                <w:w w:val="110"/>
                <w:sz w:val="12"/>
                <w:szCs w:val="10"/>
                <w:lang w:val="en-US"/>
              </w:rPr>
              <w:t>88.8 ± 13.1</w:t>
            </w:r>
          </w:p>
        </w:tc>
        <w:tc>
          <w:tcPr>
            <w:tcW w:w="493" w:type="pct"/>
            <w:vAlign w:val="center"/>
          </w:tcPr>
          <w:p w14:paraId="329E503F"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100.8 ± 14.2*</w:t>
            </w:r>
          </w:p>
        </w:tc>
        <w:tc>
          <w:tcPr>
            <w:tcW w:w="213" w:type="pct"/>
            <w:vAlign w:val="center"/>
          </w:tcPr>
          <w:p w14:paraId="7E79510E"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0.88</w:t>
            </w:r>
          </w:p>
        </w:tc>
        <w:tc>
          <w:tcPr>
            <w:tcW w:w="74" w:type="pct"/>
            <w:vAlign w:val="center"/>
          </w:tcPr>
          <w:p w14:paraId="0F2793EE"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7C62BF17" w14:textId="77777777" w:rsidR="005819EF" w:rsidRPr="006E6DE8" w:rsidRDefault="005819EF" w:rsidP="00CE658E">
            <w:pPr>
              <w:adjustRightInd w:val="0"/>
              <w:snapToGrid w:val="0"/>
              <w:spacing w:after="0" w:line="240" w:lineRule="auto"/>
              <w:rPr>
                <w:rFonts w:eastAsia="Times New Roman" w:cs="Times New Roman"/>
                <w:color w:val="000000"/>
                <w:sz w:val="12"/>
                <w:szCs w:val="10"/>
                <w:lang w:eastAsia="ja-JP"/>
              </w:rPr>
            </w:pPr>
            <w:r w:rsidRPr="006E6DE8">
              <w:rPr>
                <w:rFonts w:cs="Times New Roman"/>
                <w:color w:val="000000"/>
                <w:w w:val="110"/>
                <w:sz w:val="12"/>
                <w:szCs w:val="10"/>
                <w:lang w:val="en-US"/>
              </w:rPr>
              <w:t>121.5 ± 22.2</w:t>
            </w:r>
          </w:p>
        </w:tc>
        <w:tc>
          <w:tcPr>
            <w:tcW w:w="493" w:type="pct"/>
            <w:vAlign w:val="center"/>
          </w:tcPr>
          <w:p w14:paraId="7349C6F2"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133.8 ± 20.2</w:t>
            </w:r>
          </w:p>
        </w:tc>
        <w:tc>
          <w:tcPr>
            <w:tcW w:w="214" w:type="pct"/>
            <w:vAlign w:val="center"/>
          </w:tcPr>
          <w:p w14:paraId="706219D6"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05"/>
                <w:sz w:val="12"/>
                <w:szCs w:val="10"/>
                <w:lang w:val="en-US"/>
              </w:rPr>
              <w:t>0.58</w:t>
            </w:r>
          </w:p>
        </w:tc>
      </w:tr>
      <w:tr w:rsidR="005819EF" w:rsidRPr="006E6DE8" w14:paraId="68080403" w14:textId="77777777" w:rsidTr="00CE658E">
        <w:trPr>
          <w:trHeight w:val="283"/>
        </w:trPr>
        <w:tc>
          <w:tcPr>
            <w:tcW w:w="561" w:type="pct"/>
            <w:vMerge/>
            <w:shd w:val="clear" w:color="auto" w:fill="auto"/>
            <w:noWrap/>
            <w:vAlign w:val="center"/>
          </w:tcPr>
          <w:p w14:paraId="7B34E7CC"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665" w:type="pct"/>
            <w:vAlign w:val="center"/>
          </w:tcPr>
          <w:p w14:paraId="37AD6E54"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sz w:val="12"/>
                <w:szCs w:val="10"/>
              </w:rPr>
              <w:t>1RM/BM</w:t>
            </w:r>
          </w:p>
        </w:tc>
        <w:tc>
          <w:tcPr>
            <w:tcW w:w="492" w:type="pct"/>
            <w:vAlign w:val="center"/>
          </w:tcPr>
          <w:p w14:paraId="136E51AD" w14:textId="77777777" w:rsidR="005819EF" w:rsidRPr="006E6DE8" w:rsidRDefault="005819EF" w:rsidP="00CE658E">
            <w:pPr>
              <w:pStyle w:val="TableParagraph"/>
              <w:adjustRightInd w:val="0"/>
              <w:snapToGrid w:val="0"/>
              <w:ind w:left="98"/>
              <w:rPr>
                <w:sz w:val="12"/>
                <w:szCs w:val="10"/>
              </w:rPr>
            </w:pPr>
            <w:r w:rsidRPr="006E6DE8">
              <w:rPr>
                <w:w w:val="110"/>
                <w:sz w:val="12"/>
                <w:szCs w:val="10"/>
              </w:rPr>
              <w:t>1.12 ± 0.16</w:t>
            </w:r>
          </w:p>
        </w:tc>
        <w:tc>
          <w:tcPr>
            <w:tcW w:w="490" w:type="pct"/>
            <w:vAlign w:val="center"/>
          </w:tcPr>
          <w:p w14:paraId="0A40266E" w14:textId="77777777" w:rsidR="005819EF" w:rsidRPr="006E6DE8" w:rsidRDefault="005819EF" w:rsidP="00CE658E">
            <w:pPr>
              <w:pStyle w:val="TableParagraph"/>
              <w:adjustRightInd w:val="0"/>
              <w:snapToGrid w:val="0"/>
              <w:ind w:left="99"/>
              <w:rPr>
                <w:sz w:val="12"/>
                <w:szCs w:val="10"/>
              </w:rPr>
            </w:pPr>
            <w:r w:rsidRPr="006E6DE8">
              <w:rPr>
                <w:w w:val="110"/>
                <w:sz w:val="12"/>
                <w:szCs w:val="10"/>
              </w:rPr>
              <w:t>1.22 ± 0.17</w:t>
            </w:r>
          </w:p>
        </w:tc>
        <w:tc>
          <w:tcPr>
            <w:tcW w:w="254" w:type="pct"/>
            <w:vAlign w:val="center"/>
          </w:tcPr>
          <w:p w14:paraId="5A0EEF80"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0.61</w:t>
            </w:r>
          </w:p>
        </w:tc>
        <w:tc>
          <w:tcPr>
            <w:tcW w:w="73" w:type="pct"/>
            <w:vAlign w:val="center"/>
          </w:tcPr>
          <w:p w14:paraId="0A06DB6B"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441C4A26"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1.22 ± 0.20</w:t>
            </w:r>
          </w:p>
        </w:tc>
        <w:tc>
          <w:tcPr>
            <w:tcW w:w="493" w:type="pct"/>
            <w:vAlign w:val="center"/>
          </w:tcPr>
          <w:p w14:paraId="0C556914"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1.37 ± 0.20*</w:t>
            </w:r>
          </w:p>
        </w:tc>
        <w:tc>
          <w:tcPr>
            <w:tcW w:w="213" w:type="pct"/>
            <w:vAlign w:val="center"/>
          </w:tcPr>
          <w:p w14:paraId="43ACCC81"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0.75</w:t>
            </w:r>
          </w:p>
        </w:tc>
        <w:tc>
          <w:tcPr>
            <w:tcW w:w="74" w:type="pct"/>
            <w:vAlign w:val="center"/>
          </w:tcPr>
          <w:p w14:paraId="572E3918"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23512B75"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1.69 ± 0.39</w:t>
            </w:r>
          </w:p>
        </w:tc>
        <w:tc>
          <w:tcPr>
            <w:tcW w:w="493" w:type="pct"/>
            <w:vAlign w:val="center"/>
          </w:tcPr>
          <w:p w14:paraId="7BFCE3E5"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1.83 ± 0.37</w:t>
            </w:r>
          </w:p>
        </w:tc>
        <w:tc>
          <w:tcPr>
            <w:tcW w:w="214" w:type="pct"/>
            <w:vAlign w:val="center"/>
          </w:tcPr>
          <w:p w14:paraId="2FBFB178"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05"/>
                <w:sz w:val="12"/>
                <w:szCs w:val="10"/>
                <w:lang w:val="en-US"/>
              </w:rPr>
              <w:t>0.37</w:t>
            </w:r>
          </w:p>
        </w:tc>
      </w:tr>
      <w:tr w:rsidR="005819EF" w:rsidRPr="006E6DE8" w14:paraId="4C0D3034" w14:textId="77777777" w:rsidTr="00CE658E">
        <w:trPr>
          <w:trHeight w:val="283"/>
        </w:trPr>
        <w:tc>
          <w:tcPr>
            <w:tcW w:w="561" w:type="pct"/>
            <w:vMerge/>
            <w:shd w:val="clear" w:color="auto" w:fill="auto"/>
            <w:noWrap/>
            <w:vAlign w:val="center"/>
          </w:tcPr>
          <w:p w14:paraId="168EC281"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665" w:type="pct"/>
            <w:vAlign w:val="center"/>
          </w:tcPr>
          <w:p w14:paraId="7DC8996A"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sz w:val="12"/>
                <w:szCs w:val="10"/>
              </w:rPr>
              <w:t>MPV</w:t>
            </w:r>
            <w:r w:rsidRPr="006E6DE8">
              <w:rPr>
                <w:rFonts w:cs="Times New Roman"/>
                <w:color w:val="000000"/>
                <w:sz w:val="12"/>
                <w:szCs w:val="10"/>
                <w:vertAlign w:val="subscript"/>
              </w:rPr>
              <w:t>ALL</w:t>
            </w:r>
            <w:r w:rsidRPr="006E6DE8">
              <w:rPr>
                <w:rFonts w:cs="Times New Roman"/>
                <w:color w:val="000000"/>
                <w:sz w:val="12"/>
                <w:szCs w:val="10"/>
              </w:rPr>
              <w:t xml:space="preserve"> (m·s</w:t>
            </w:r>
            <w:r w:rsidRPr="006E6DE8">
              <w:rPr>
                <w:rFonts w:cs="Times New Roman"/>
                <w:color w:val="000000"/>
                <w:sz w:val="12"/>
                <w:szCs w:val="10"/>
                <w:vertAlign w:val="superscript"/>
              </w:rPr>
              <w:t>-1</w:t>
            </w:r>
            <w:r w:rsidRPr="006E6DE8">
              <w:rPr>
                <w:rFonts w:cs="Times New Roman"/>
                <w:color w:val="000000"/>
                <w:sz w:val="12"/>
                <w:szCs w:val="10"/>
              </w:rPr>
              <w:t>)</w:t>
            </w:r>
          </w:p>
        </w:tc>
        <w:tc>
          <w:tcPr>
            <w:tcW w:w="492" w:type="pct"/>
            <w:vAlign w:val="center"/>
          </w:tcPr>
          <w:p w14:paraId="13B26D73" w14:textId="77777777" w:rsidR="005819EF" w:rsidRPr="006E6DE8" w:rsidRDefault="005819EF" w:rsidP="00CE658E">
            <w:pPr>
              <w:pStyle w:val="TableParagraph"/>
              <w:adjustRightInd w:val="0"/>
              <w:snapToGrid w:val="0"/>
              <w:ind w:left="98"/>
              <w:rPr>
                <w:sz w:val="12"/>
                <w:szCs w:val="10"/>
              </w:rPr>
            </w:pPr>
            <w:r w:rsidRPr="006E6DE8">
              <w:rPr>
                <w:w w:val="110"/>
                <w:sz w:val="12"/>
                <w:szCs w:val="10"/>
              </w:rPr>
              <w:t>0.74 ± 0.06</w:t>
            </w:r>
          </w:p>
        </w:tc>
        <w:tc>
          <w:tcPr>
            <w:tcW w:w="490" w:type="pct"/>
            <w:vAlign w:val="center"/>
          </w:tcPr>
          <w:p w14:paraId="3F1D84A8" w14:textId="77777777" w:rsidR="005819EF" w:rsidRPr="006E6DE8" w:rsidRDefault="005819EF" w:rsidP="00CE658E">
            <w:pPr>
              <w:pStyle w:val="TableParagraph"/>
              <w:adjustRightInd w:val="0"/>
              <w:snapToGrid w:val="0"/>
              <w:ind w:left="99"/>
              <w:rPr>
                <w:sz w:val="12"/>
                <w:szCs w:val="10"/>
              </w:rPr>
            </w:pPr>
            <w:r w:rsidRPr="006E6DE8">
              <w:rPr>
                <w:w w:val="110"/>
                <w:sz w:val="12"/>
                <w:szCs w:val="10"/>
              </w:rPr>
              <w:t>0.81 ± 0.05</w:t>
            </w:r>
            <w:r w:rsidRPr="006E6DE8">
              <w:rPr>
                <w:rFonts w:ascii="Cambria Math" w:hAnsi="Cambria Math" w:cs="Cambria Math"/>
                <w:w w:val="110"/>
                <w:position w:val="6"/>
                <w:sz w:val="12"/>
                <w:szCs w:val="10"/>
              </w:rPr>
              <w:t>∗</w:t>
            </w:r>
          </w:p>
        </w:tc>
        <w:tc>
          <w:tcPr>
            <w:tcW w:w="254" w:type="pct"/>
            <w:vAlign w:val="center"/>
          </w:tcPr>
          <w:p w14:paraId="6A76FD7E"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1.27</w:t>
            </w:r>
          </w:p>
        </w:tc>
        <w:tc>
          <w:tcPr>
            <w:tcW w:w="73" w:type="pct"/>
            <w:vAlign w:val="center"/>
          </w:tcPr>
          <w:p w14:paraId="71E7AA28"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5F77A323"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0.74 ± 0.06</w:t>
            </w:r>
          </w:p>
        </w:tc>
        <w:tc>
          <w:tcPr>
            <w:tcW w:w="493" w:type="pct"/>
            <w:vAlign w:val="center"/>
          </w:tcPr>
          <w:p w14:paraId="0BBA510E"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0.82 ± 0.05*</w:t>
            </w:r>
          </w:p>
        </w:tc>
        <w:tc>
          <w:tcPr>
            <w:tcW w:w="213" w:type="pct"/>
            <w:vAlign w:val="center"/>
          </w:tcPr>
          <w:p w14:paraId="05C449AD"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1.45</w:t>
            </w:r>
          </w:p>
        </w:tc>
        <w:tc>
          <w:tcPr>
            <w:tcW w:w="74" w:type="pct"/>
            <w:vAlign w:val="center"/>
          </w:tcPr>
          <w:p w14:paraId="564B1F2E"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1AF7FD6E"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0.67 ± 0.06</w:t>
            </w:r>
          </w:p>
        </w:tc>
        <w:tc>
          <w:tcPr>
            <w:tcW w:w="493" w:type="pct"/>
            <w:vAlign w:val="center"/>
          </w:tcPr>
          <w:p w14:paraId="36C23702"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0.72 ± 0.06*</w:t>
            </w:r>
          </w:p>
        </w:tc>
        <w:tc>
          <w:tcPr>
            <w:tcW w:w="214" w:type="pct"/>
            <w:vAlign w:val="center"/>
          </w:tcPr>
          <w:p w14:paraId="53C51D98"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05"/>
                <w:sz w:val="12"/>
                <w:szCs w:val="10"/>
                <w:lang w:val="en-US"/>
              </w:rPr>
              <w:t>0.83</w:t>
            </w:r>
          </w:p>
        </w:tc>
      </w:tr>
      <w:tr w:rsidR="005819EF" w:rsidRPr="006E6DE8" w14:paraId="53B82F93" w14:textId="77777777" w:rsidTr="00CE658E">
        <w:trPr>
          <w:trHeight w:val="283"/>
        </w:trPr>
        <w:tc>
          <w:tcPr>
            <w:tcW w:w="561" w:type="pct"/>
            <w:vMerge/>
            <w:shd w:val="clear" w:color="auto" w:fill="auto"/>
            <w:noWrap/>
            <w:vAlign w:val="center"/>
          </w:tcPr>
          <w:p w14:paraId="30FF0885"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665" w:type="pct"/>
            <w:vAlign w:val="center"/>
          </w:tcPr>
          <w:p w14:paraId="42F690B0"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sz w:val="12"/>
                <w:szCs w:val="10"/>
              </w:rPr>
              <w:t>MPV</w:t>
            </w:r>
            <w:r w:rsidRPr="006E6DE8">
              <w:rPr>
                <w:rFonts w:cs="Times New Roman"/>
                <w:color w:val="000000"/>
                <w:sz w:val="12"/>
                <w:szCs w:val="10"/>
                <w:vertAlign w:val="subscript"/>
              </w:rPr>
              <w:t>&lt;50%1RM</w:t>
            </w:r>
            <w:r w:rsidRPr="006E6DE8">
              <w:rPr>
                <w:rFonts w:cs="Times New Roman"/>
                <w:color w:val="000000"/>
                <w:sz w:val="12"/>
                <w:szCs w:val="10"/>
              </w:rPr>
              <w:t xml:space="preserve"> (m·s</w:t>
            </w:r>
            <w:r w:rsidRPr="006E6DE8">
              <w:rPr>
                <w:rFonts w:cs="Times New Roman"/>
                <w:color w:val="000000"/>
                <w:sz w:val="12"/>
                <w:szCs w:val="10"/>
                <w:vertAlign w:val="superscript"/>
              </w:rPr>
              <w:t>-1</w:t>
            </w:r>
            <w:r w:rsidRPr="006E6DE8">
              <w:rPr>
                <w:rFonts w:cs="Times New Roman"/>
                <w:color w:val="000000"/>
                <w:sz w:val="12"/>
                <w:szCs w:val="10"/>
              </w:rPr>
              <w:t>)</w:t>
            </w:r>
          </w:p>
        </w:tc>
        <w:tc>
          <w:tcPr>
            <w:tcW w:w="492" w:type="pct"/>
            <w:vAlign w:val="center"/>
          </w:tcPr>
          <w:p w14:paraId="08197686" w14:textId="77777777" w:rsidR="005819EF" w:rsidRPr="006E6DE8" w:rsidRDefault="005819EF" w:rsidP="00CE658E">
            <w:pPr>
              <w:pStyle w:val="TableParagraph"/>
              <w:adjustRightInd w:val="0"/>
              <w:snapToGrid w:val="0"/>
              <w:ind w:left="98"/>
              <w:rPr>
                <w:sz w:val="12"/>
                <w:szCs w:val="10"/>
              </w:rPr>
            </w:pPr>
            <w:r w:rsidRPr="006E6DE8">
              <w:rPr>
                <w:w w:val="110"/>
                <w:sz w:val="12"/>
                <w:szCs w:val="10"/>
              </w:rPr>
              <w:t>0.99 ± 0.08</w:t>
            </w:r>
          </w:p>
        </w:tc>
        <w:tc>
          <w:tcPr>
            <w:tcW w:w="490" w:type="pct"/>
            <w:vAlign w:val="center"/>
          </w:tcPr>
          <w:p w14:paraId="53E4AA33" w14:textId="77777777" w:rsidR="005819EF" w:rsidRPr="006E6DE8" w:rsidRDefault="005819EF" w:rsidP="00CE658E">
            <w:pPr>
              <w:pStyle w:val="TableParagraph"/>
              <w:adjustRightInd w:val="0"/>
              <w:snapToGrid w:val="0"/>
              <w:ind w:left="99"/>
              <w:rPr>
                <w:sz w:val="12"/>
                <w:szCs w:val="10"/>
              </w:rPr>
            </w:pPr>
            <w:r w:rsidRPr="006E6DE8">
              <w:rPr>
                <w:w w:val="110"/>
                <w:sz w:val="12"/>
                <w:szCs w:val="10"/>
              </w:rPr>
              <w:t>1.06 ± 0.06</w:t>
            </w:r>
            <w:r w:rsidRPr="006E6DE8">
              <w:rPr>
                <w:rFonts w:ascii="Cambria Math" w:hAnsi="Cambria Math" w:cs="Cambria Math"/>
                <w:w w:val="110"/>
                <w:position w:val="6"/>
                <w:sz w:val="12"/>
                <w:szCs w:val="10"/>
              </w:rPr>
              <w:t>∗</w:t>
            </w:r>
          </w:p>
        </w:tc>
        <w:tc>
          <w:tcPr>
            <w:tcW w:w="254" w:type="pct"/>
            <w:vAlign w:val="center"/>
          </w:tcPr>
          <w:p w14:paraId="06625739"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0.99</w:t>
            </w:r>
          </w:p>
        </w:tc>
        <w:tc>
          <w:tcPr>
            <w:tcW w:w="73" w:type="pct"/>
            <w:vAlign w:val="center"/>
          </w:tcPr>
          <w:p w14:paraId="05B8E061"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2084A555"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0.96 ± 0.08</w:t>
            </w:r>
          </w:p>
        </w:tc>
        <w:tc>
          <w:tcPr>
            <w:tcW w:w="493" w:type="pct"/>
            <w:vAlign w:val="center"/>
          </w:tcPr>
          <w:p w14:paraId="1BC77B48"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1.03 ± 0.06*</w:t>
            </w:r>
          </w:p>
        </w:tc>
        <w:tc>
          <w:tcPr>
            <w:tcW w:w="213" w:type="pct"/>
            <w:vAlign w:val="center"/>
          </w:tcPr>
          <w:p w14:paraId="4ED144FC"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0.99</w:t>
            </w:r>
          </w:p>
        </w:tc>
        <w:tc>
          <w:tcPr>
            <w:tcW w:w="74" w:type="pct"/>
            <w:vAlign w:val="center"/>
          </w:tcPr>
          <w:p w14:paraId="4D504A7E"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1C46A08A"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0.86 ± 0.08</w:t>
            </w:r>
          </w:p>
        </w:tc>
        <w:tc>
          <w:tcPr>
            <w:tcW w:w="493" w:type="pct"/>
            <w:vAlign w:val="center"/>
          </w:tcPr>
          <w:p w14:paraId="5C897CA9"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0.92 ± 0.08*</w:t>
            </w:r>
          </w:p>
        </w:tc>
        <w:tc>
          <w:tcPr>
            <w:tcW w:w="214" w:type="pct"/>
            <w:vAlign w:val="center"/>
          </w:tcPr>
          <w:p w14:paraId="218057E2"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05"/>
                <w:sz w:val="12"/>
                <w:szCs w:val="10"/>
                <w:lang w:val="en-US"/>
              </w:rPr>
              <w:t>0.75</w:t>
            </w:r>
          </w:p>
        </w:tc>
      </w:tr>
      <w:tr w:rsidR="005819EF" w:rsidRPr="006E6DE8" w14:paraId="46043328" w14:textId="77777777" w:rsidTr="00CE658E">
        <w:trPr>
          <w:trHeight w:val="283"/>
        </w:trPr>
        <w:tc>
          <w:tcPr>
            <w:tcW w:w="561" w:type="pct"/>
            <w:vMerge/>
            <w:shd w:val="clear" w:color="auto" w:fill="auto"/>
            <w:noWrap/>
            <w:vAlign w:val="center"/>
          </w:tcPr>
          <w:p w14:paraId="5C05F643"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665" w:type="pct"/>
            <w:vAlign w:val="center"/>
          </w:tcPr>
          <w:p w14:paraId="6BC55CB3"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sz w:val="12"/>
                <w:szCs w:val="10"/>
              </w:rPr>
              <w:t>MPV</w:t>
            </w:r>
            <w:r w:rsidRPr="006E6DE8">
              <w:rPr>
                <w:rFonts w:cs="Times New Roman"/>
                <w:color w:val="000000"/>
                <w:sz w:val="12"/>
                <w:szCs w:val="10"/>
                <w:vertAlign w:val="subscript"/>
              </w:rPr>
              <w:t>&gt;50%1RM</w:t>
            </w:r>
            <w:r w:rsidRPr="006E6DE8">
              <w:rPr>
                <w:rFonts w:cs="Times New Roman"/>
                <w:color w:val="000000"/>
                <w:sz w:val="12"/>
                <w:szCs w:val="10"/>
              </w:rPr>
              <w:t xml:space="preserve"> (m·s</w:t>
            </w:r>
            <w:r w:rsidRPr="006E6DE8">
              <w:rPr>
                <w:rFonts w:cs="Times New Roman"/>
                <w:color w:val="000000"/>
                <w:sz w:val="12"/>
                <w:szCs w:val="10"/>
                <w:vertAlign w:val="superscript"/>
              </w:rPr>
              <w:t>-1</w:t>
            </w:r>
            <w:r w:rsidRPr="006E6DE8">
              <w:rPr>
                <w:rFonts w:cs="Times New Roman"/>
                <w:color w:val="000000"/>
                <w:sz w:val="12"/>
                <w:szCs w:val="10"/>
              </w:rPr>
              <w:t>)</w:t>
            </w:r>
          </w:p>
        </w:tc>
        <w:tc>
          <w:tcPr>
            <w:tcW w:w="492" w:type="pct"/>
            <w:vAlign w:val="center"/>
          </w:tcPr>
          <w:p w14:paraId="0D82429B" w14:textId="77777777" w:rsidR="005819EF" w:rsidRPr="006E6DE8" w:rsidRDefault="005819EF" w:rsidP="00CE658E">
            <w:pPr>
              <w:pStyle w:val="TableParagraph"/>
              <w:adjustRightInd w:val="0"/>
              <w:snapToGrid w:val="0"/>
              <w:ind w:left="98"/>
              <w:rPr>
                <w:sz w:val="12"/>
                <w:szCs w:val="10"/>
              </w:rPr>
            </w:pPr>
            <w:r w:rsidRPr="006E6DE8">
              <w:rPr>
                <w:w w:val="110"/>
                <w:sz w:val="12"/>
                <w:szCs w:val="10"/>
              </w:rPr>
              <w:t>0.50 ± 0.06</w:t>
            </w:r>
          </w:p>
        </w:tc>
        <w:tc>
          <w:tcPr>
            <w:tcW w:w="490" w:type="pct"/>
            <w:vAlign w:val="center"/>
          </w:tcPr>
          <w:p w14:paraId="5941E649" w14:textId="77777777" w:rsidR="005819EF" w:rsidRPr="006E6DE8" w:rsidRDefault="005819EF" w:rsidP="00CE658E">
            <w:pPr>
              <w:pStyle w:val="TableParagraph"/>
              <w:adjustRightInd w:val="0"/>
              <w:snapToGrid w:val="0"/>
              <w:ind w:left="99"/>
              <w:rPr>
                <w:sz w:val="12"/>
                <w:szCs w:val="10"/>
              </w:rPr>
            </w:pPr>
            <w:r w:rsidRPr="006E6DE8">
              <w:rPr>
                <w:w w:val="110"/>
                <w:sz w:val="12"/>
                <w:szCs w:val="10"/>
              </w:rPr>
              <w:t>0.57 ± 0.07</w:t>
            </w:r>
            <w:r w:rsidRPr="006E6DE8">
              <w:rPr>
                <w:rFonts w:ascii="Cambria Math" w:hAnsi="Cambria Math" w:cs="Cambria Math"/>
                <w:w w:val="110"/>
                <w:position w:val="6"/>
                <w:sz w:val="12"/>
                <w:szCs w:val="10"/>
              </w:rPr>
              <w:t>∗</w:t>
            </w:r>
          </w:p>
        </w:tc>
        <w:tc>
          <w:tcPr>
            <w:tcW w:w="254" w:type="pct"/>
            <w:vAlign w:val="center"/>
          </w:tcPr>
          <w:p w14:paraId="502C5E47"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1.07</w:t>
            </w:r>
          </w:p>
        </w:tc>
        <w:tc>
          <w:tcPr>
            <w:tcW w:w="73" w:type="pct"/>
            <w:vAlign w:val="center"/>
          </w:tcPr>
          <w:p w14:paraId="5129A8E0"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46408678"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0.52 ± 0.04</w:t>
            </w:r>
          </w:p>
        </w:tc>
        <w:tc>
          <w:tcPr>
            <w:tcW w:w="493" w:type="pct"/>
            <w:vAlign w:val="center"/>
          </w:tcPr>
          <w:p w14:paraId="3473956B"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0.60 ± 0.05*</w:t>
            </w:r>
          </w:p>
        </w:tc>
        <w:tc>
          <w:tcPr>
            <w:tcW w:w="213" w:type="pct"/>
            <w:vAlign w:val="center"/>
          </w:tcPr>
          <w:p w14:paraId="5137EBF5"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1.77</w:t>
            </w:r>
          </w:p>
        </w:tc>
        <w:tc>
          <w:tcPr>
            <w:tcW w:w="74" w:type="pct"/>
            <w:vAlign w:val="center"/>
          </w:tcPr>
          <w:p w14:paraId="6963F7C8"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3B25B56F"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0.52 ± 0.04</w:t>
            </w:r>
          </w:p>
        </w:tc>
        <w:tc>
          <w:tcPr>
            <w:tcW w:w="493" w:type="pct"/>
            <w:vAlign w:val="center"/>
          </w:tcPr>
          <w:p w14:paraId="30AE2DE1"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0.57 ± 0.07*</w:t>
            </w:r>
          </w:p>
        </w:tc>
        <w:tc>
          <w:tcPr>
            <w:tcW w:w="214" w:type="pct"/>
            <w:vAlign w:val="center"/>
          </w:tcPr>
          <w:p w14:paraId="2522E050"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05"/>
                <w:sz w:val="12"/>
                <w:szCs w:val="10"/>
                <w:lang w:val="en-US"/>
              </w:rPr>
              <w:t>0.88</w:t>
            </w:r>
          </w:p>
        </w:tc>
      </w:tr>
      <w:tr w:rsidR="005819EF" w:rsidRPr="006E6DE8" w14:paraId="5753DE56" w14:textId="77777777" w:rsidTr="00CE658E">
        <w:trPr>
          <w:trHeight w:val="54"/>
        </w:trPr>
        <w:tc>
          <w:tcPr>
            <w:tcW w:w="561" w:type="pct"/>
            <w:vMerge w:val="restart"/>
            <w:shd w:val="clear" w:color="auto" w:fill="auto"/>
            <w:noWrap/>
            <w:vAlign w:val="center"/>
            <w:hideMark/>
          </w:tcPr>
          <w:p w14:paraId="2A2B540F" w14:textId="77777777" w:rsidR="005819EF" w:rsidRPr="006E6DE8" w:rsidRDefault="005819EF" w:rsidP="00CE658E">
            <w:pPr>
              <w:adjustRightInd w:val="0"/>
              <w:snapToGrid w:val="0"/>
              <w:spacing w:after="0" w:line="240" w:lineRule="auto"/>
              <w:jc w:val="center"/>
              <w:rPr>
                <w:rFonts w:eastAsia="Times New Roman" w:cs="Times New Roman"/>
                <w:bCs/>
                <w:color w:val="000000"/>
                <w:sz w:val="12"/>
                <w:szCs w:val="10"/>
                <w:lang w:val="en-US" w:eastAsia="es-ES"/>
              </w:rPr>
            </w:pPr>
            <w:r w:rsidRPr="006E6DE8">
              <w:rPr>
                <w:rFonts w:eastAsia="Times New Roman" w:cs="Times New Roman"/>
                <w:bCs/>
                <w:color w:val="000000"/>
                <w:sz w:val="12"/>
                <w:szCs w:val="10"/>
                <w:lang w:val="en-US" w:eastAsia="es-ES"/>
              </w:rPr>
              <w:t>H-SQ (</w:t>
            </w:r>
            <w:r w:rsidRPr="006E6DE8">
              <w:rPr>
                <w:rFonts w:eastAsia="Times New Roman" w:cs="Times New Roman"/>
                <w:bCs/>
                <w:i/>
                <w:color w:val="000000"/>
                <w:sz w:val="12"/>
                <w:szCs w:val="10"/>
                <w:lang w:val="en-US" w:eastAsia="es-ES"/>
              </w:rPr>
              <w:t>n</w:t>
            </w:r>
            <w:r w:rsidRPr="006E6DE8">
              <w:rPr>
                <w:rFonts w:eastAsia="Times New Roman" w:cs="Times New Roman"/>
                <w:bCs/>
                <w:color w:val="000000"/>
                <w:sz w:val="12"/>
                <w:szCs w:val="10"/>
                <w:lang w:val="en-US" w:eastAsia="es-ES"/>
              </w:rPr>
              <w:t xml:space="preserve"> = 11)</w:t>
            </w:r>
          </w:p>
        </w:tc>
        <w:tc>
          <w:tcPr>
            <w:tcW w:w="665" w:type="pct"/>
            <w:vAlign w:val="center"/>
          </w:tcPr>
          <w:p w14:paraId="5B4484B6" w14:textId="77777777" w:rsidR="005819EF" w:rsidRPr="006E6DE8" w:rsidRDefault="005819EF" w:rsidP="00CE658E">
            <w:pPr>
              <w:adjustRightInd w:val="0"/>
              <w:snapToGrid w:val="0"/>
              <w:spacing w:after="0" w:line="240" w:lineRule="auto"/>
              <w:jc w:val="right"/>
              <w:rPr>
                <w:rFonts w:eastAsia="Times New Roman" w:cs="Times New Roman"/>
                <w:color w:val="000000"/>
                <w:sz w:val="12"/>
                <w:szCs w:val="10"/>
                <w:lang w:val="en-US" w:eastAsia="es-ES"/>
              </w:rPr>
            </w:pPr>
          </w:p>
        </w:tc>
        <w:tc>
          <w:tcPr>
            <w:tcW w:w="492" w:type="pct"/>
            <w:vAlign w:val="center"/>
          </w:tcPr>
          <w:p w14:paraId="6EA41BF9" w14:textId="77777777" w:rsidR="005819EF" w:rsidRPr="006E6DE8" w:rsidRDefault="005819EF" w:rsidP="00CE658E">
            <w:pPr>
              <w:pStyle w:val="TableParagraph"/>
              <w:adjustRightInd w:val="0"/>
              <w:snapToGrid w:val="0"/>
              <w:ind w:left="98"/>
              <w:rPr>
                <w:sz w:val="12"/>
                <w:szCs w:val="10"/>
              </w:rPr>
            </w:pPr>
          </w:p>
        </w:tc>
        <w:tc>
          <w:tcPr>
            <w:tcW w:w="490" w:type="pct"/>
            <w:vAlign w:val="center"/>
          </w:tcPr>
          <w:p w14:paraId="28D201D7" w14:textId="77777777" w:rsidR="005819EF" w:rsidRPr="006E6DE8" w:rsidRDefault="005819EF" w:rsidP="00CE658E">
            <w:pPr>
              <w:pStyle w:val="TableParagraph"/>
              <w:adjustRightInd w:val="0"/>
              <w:snapToGrid w:val="0"/>
              <w:ind w:left="99"/>
              <w:rPr>
                <w:sz w:val="12"/>
                <w:szCs w:val="10"/>
              </w:rPr>
            </w:pPr>
          </w:p>
        </w:tc>
        <w:tc>
          <w:tcPr>
            <w:tcW w:w="254" w:type="pct"/>
            <w:vAlign w:val="center"/>
          </w:tcPr>
          <w:p w14:paraId="1B9D5B9E" w14:textId="77777777" w:rsidR="005819EF" w:rsidRPr="006E6DE8" w:rsidRDefault="005819EF" w:rsidP="00CE658E">
            <w:pPr>
              <w:pStyle w:val="TableParagraph"/>
              <w:adjustRightInd w:val="0"/>
              <w:snapToGrid w:val="0"/>
              <w:ind w:left="105"/>
              <w:jc w:val="right"/>
              <w:rPr>
                <w:sz w:val="12"/>
                <w:szCs w:val="10"/>
              </w:rPr>
            </w:pPr>
          </w:p>
        </w:tc>
        <w:tc>
          <w:tcPr>
            <w:tcW w:w="73" w:type="pct"/>
            <w:vAlign w:val="center"/>
          </w:tcPr>
          <w:p w14:paraId="7ED06CF3"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493" w:type="pct"/>
            <w:vAlign w:val="center"/>
          </w:tcPr>
          <w:p w14:paraId="1CF09B18" w14:textId="77777777" w:rsidR="005819EF" w:rsidRPr="006E6DE8" w:rsidRDefault="005819EF" w:rsidP="00CE658E">
            <w:pPr>
              <w:adjustRightInd w:val="0"/>
              <w:snapToGrid w:val="0"/>
              <w:spacing w:after="0" w:line="240" w:lineRule="auto"/>
              <w:rPr>
                <w:rFonts w:eastAsia="Times New Roman" w:cs="Times New Roman"/>
                <w:color w:val="000000"/>
                <w:sz w:val="12"/>
                <w:szCs w:val="10"/>
                <w:lang w:val="en-US" w:eastAsia="es-ES"/>
              </w:rPr>
            </w:pPr>
          </w:p>
        </w:tc>
        <w:tc>
          <w:tcPr>
            <w:tcW w:w="493" w:type="pct"/>
            <w:vAlign w:val="center"/>
          </w:tcPr>
          <w:p w14:paraId="557AA216" w14:textId="77777777" w:rsidR="005819EF" w:rsidRPr="006E6DE8" w:rsidRDefault="005819EF" w:rsidP="00CE658E">
            <w:pPr>
              <w:adjustRightInd w:val="0"/>
              <w:snapToGrid w:val="0"/>
              <w:spacing w:after="0" w:line="240" w:lineRule="auto"/>
              <w:rPr>
                <w:rFonts w:eastAsia="Times New Roman" w:cs="Times New Roman"/>
                <w:color w:val="000000"/>
                <w:sz w:val="12"/>
                <w:szCs w:val="10"/>
                <w:lang w:val="en-US" w:eastAsia="es-ES"/>
              </w:rPr>
            </w:pPr>
          </w:p>
        </w:tc>
        <w:tc>
          <w:tcPr>
            <w:tcW w:w="213" w:type="pct"/>
            <w:vAlign w:val="center"/>
          </w:tcPr>
          <w:p w14:paraId="5CA912F0" w14:textId="77777777" w:rsidR="005819EF" w:rsidRPr="006E6DE8" w:rsidRDefault="005819EF" w:rsidP="00CE658E">
            <w:pPr>
              <w:adjustRightInd w:val="0"/>
              <w:snapToGrid w:val="0"/>
              <w:spacing w:after="0" w:line="240" w:lineRule="auto"/>
              <w:jc w:val="right"/>
              <w:rPr>
                <w:rFonts w:eastAsia="Times New Roman" w:cs="Times New Roman"/>
                <w:color w:val="000000"/>
                <w:sz w:val="12"/>
                <w:szCs w:val="10"/>
                <w:lang w:val="en-US" w:eastAsia="es-ES"/>
              </w:rPr>
            </w:pPr>
          </w:p>
        </w:tc>
        <w:tc>
          <w:tcPr>
            <w:tcW w:w="74" w:type="pct"/>
            <w:vAlign w:val="center"/>
          </w:tcPr>
          <w:p w14:paraId="5D485F12" w14:textId="77777777" w:rsidR="005819EF" w:rsidRPr="006E6DE8" w:rsidRDefault="005819EF" w:rsidP="00CE658E">
            <w:pPr>
              <w:adjustRightInd w:val="0"/>
              <w:snapToGrid w:val="0"/>
              <w:spacing w:after="0" w:line="240" w:lineRule="auto"/>
              <w:jc w:val="right"/>
              <w:rPr>
                <w:rFonts w:eastAsia="Times New Roman" w:cs="Times New Roman"/>
                <w:color w:val="000000"/>
                <w:sz w:val="12"/>
                <w:szCs w:val="10"/>
                <w:lang w:val="en-US" w:eastAsia="es-ES"/>
              </w:rPr>
            </w:pPr>
          </w:p>
        </w:tc>
        <w:tc>
          <w:tcPr>
            <w:tcW w:w="485" w:type="pct"/>
            <w:vAlign w:val="center"/>
          </w:tcPr>
          <w:p w14:paraId="3C74263B" w14:textId="77777777" w:rsidR="005819EF" w:rsidRPr="006E6DE8" w:rsidRDefault="005819EF" w:rsidP="00CE658E">
            <w:pPr>
              <w:adjustRightInd w:val="0"/>
              <w:snapToGrid w:val="0"/>
              <w:spacing w:after="0" w:line="240" w:lineRule="auto"/>
              <w:rPr>
                <w:rFonts w:eastAsia="Times New Roman" w:cs="Times New Roman"/>
                <w:color w:val="000000"/>
                <w:sz w:val="12"/>
                <w:szCs w:val="10"/>
                <w:lang w:val="en-US" w:eastAsia="es-ES"/>
              </w:rPr>
            </w:pPr>
          </w:p>
        </w:tc>
        <w:tc>
          <w:tcPr>
            <w:tcW w:w="493" w:type="pct"/>
            <w:vAlign w:val="center"/>
          </w:tcPr>
          <w:p w14:paraId="4EEB8677" w14:textId="77777777" w:rsidR="005819EF" w:rsidRPr="006E6DE8" w:rsidRDefault="005819EF" w:rsidP="00CE658E">
            <w:pPr>
              <w:adjustRightInd w:val="0"/>
              <w:snapToGrid w:val="0"/>
              <w:spacing w:after="0" w:line="240" w:lineRule="auto"/>
              <w:rPr>
                <w:rFonts w:eastAsia="Times New Roman" w:cs="Times New Roman"/>
                <w:color w:val="000000"/>
                <w:sz w:val="12"/>
                <w:szCs w:val="10"/>
                <w:lang w:val="en-US" w:eastAsia="es-ES"/>
              </w:rPr>
            </w:pPr>
          </w:p>
        </w:tc>
        <w:tc>
          <w:tcPr>
            <w:tcW w:w="214" w:type="pct"/>
            <w:vAlign w:val="center"/>
          </w:tcPr>
          <w:p w14:paraId="3C9265B0" w14:textId="77777777" w:rsidR="005819EF" w:rsidRPr="006E6DE8" w:rsidRDefault="005819EF" w:rsidP="00CE658E">
            <w:pPr>
              <w:adjustRightInd w:val="0"/>
              <w:snapToGrid w:val="0"/>
              <w:spacing w:after="0" w:line="240" w:lineRule="auto"/>
              <w:jc w:val="right"/>
              <w:rPr>
                <w:rFonts w:eastAsia="Times New Roman" w:cs="Times New Roman"/>
                <w:color w:val="000000"/>
                <w:sz w:val="12"/>
                <w:szCs w:val="10"/>
                <w:lang w:val="en-US" w:eastAsia="es-ES"/>
              </w:rPr>
            </w:pPr>
          </w:p>
        </w:tc>
      </w:tr>
      <w:tr w:rsidR="005819EF" w:rsidRPr="006E6DE8" w14:paraId="42B9D6FE" w14:textId="77777777" w:rsidTr="00CE658E">
        <w:trPr>
          <w:trHeight w:val="283"/>
        </w:trPr>
        <w:tc>
          <w:tcPr>
            <w:tcW w:w="561" w:type="pct"/>
            <w:vMerge/>
            <w:shd w:val="clear" w:color="auto" w:fill="auto"/>
            <w:noWrap/>
            <w:vAlign w:val="center"/>
          </w:tcPr>
          <w:p w14:paraId="47857B6F"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665" w:type="pct"/>
            <w:vAlign w:val="center"/>
          </w:tcPr>
          <w:p w14:paraId="66DD2445" w14:textId="77777777" w:rsidR="005819EF" w:rsidRPr="006E6DE8" w:rsidRDefault="005819EF" w:rsidP="00CE658E">
            <w:pPr>
              <w:adjustRightInd w:val="0"/>
              <w:snapToGrid w:val="0"/>
              <w:spacing w:after="0" w:line="240" w:lineRule="auto"/>
              <w:jc w:val="right"/>
              <w:rPr>
                <w:rFonts w:eastAsia="Times New Roman" w:cs="Times New Roman"/>
                <w:color w:val="000000"/>
                <w:sz w:val="12"/>
                <w:szCs w:val="10"/>
                <w:lang w:eastAsia="ja-JP"/>
              </w:rPr>
            </w:pPr>
            <w:r w:rsidRPr="006E6DE8">
              <w:rPr>
                <w:rFonts w:cs="Times New Roman"/>
                <w:color w:val="000000"/>
                <w:sz w:val="12"/>
                <w:szCs w:val="10"/>
              </w:rPr>
              <w:t>1RM (kg)</w:t>
            </w:r>
          </w:p>
        </w:tc>
        <w:tc>
          <w:tcPr>
            <w:tcW w:w="492" w:type="pct"/>
            <w:vAlign w:val="center"/>
          </w:tcPr>
          <w:p w14:paraId="4CC547D4" w14:textId="77777777" w:rsidR="005819EF" w:rsidRPr="006E6DE8" w:rsidRDefault="005819EF" w:rsidP="00CE658E">
            <w:pPr>
              <w:pStyle w:val="TableParagraph"/>
              <w:adjustRightInd w:val="0"/>
              <w:snapToGrid w:val="0"/>
              <w:ind w:left="98"/>
              <w:rPr>
                <w:sz w:val="12"/>
                <w:szCs w:val="10"/>
              </w:rPr>
            </w:pPr>
            <w:r w:rsidRPr="006E6DE8">
              <w:rPr>
                <w:w w:val="110"/>
                <w:sz w:val="12"/>
                <w:szCs w:val="10"/>
              </w:rPr>
              <w:t>82.3 ± 11.0</w:t>
            </w:r>
          </w:p>
        </w:tc>
        <w:tc>
          <w:tcPr>
            <w:tcW w:w="490" w:type="pct"/>
            <w:vAlign w:val="center"/>
          </w:tcPr>
          <w:p w14:paraId="476164E9" w14:textId="77777777" w:rsidR="005819EF" w:rsidRPr="006E6DE8" w:rsidRDefault="005819EF" w:rsidP="00CE658E">
            <w:pPr>
              <w:pStyle w:val="TableParagraph"/>
              <w:adjustRightInd w:val="0"/>
              <w:snapToGrid w:val="0"/>
              <w:ind w:left="99"/>
              <w:rPr>
                <w:sz w:val="12"/>
                <w:szCs w:val="10"/>
              </w:rPr>
            </w:pPr>
            <w:r w:rsidRPr="006E6DE8">
              <w:rPr>
                <w:w w:val="110"/>
                <w:sz w:val="12"/>
                <w:szCs w:val="10"/>
              </w:rPr>
              <w:t>84.5 ± 9.9</w:t>
            </w:r>
          </w:p>
        </w:tc>
        <w:tc>
          <w:tcPr>
            <w:tcW w:w="254" w:type="pct"/>
            <w:vAlign w:val="center"/>
          </w:tcPr>
          <w:p w14:paraId="7E6910C3"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0.21</w:t>
            </w:r>
          </w:p>
        </w:tc>
        <w:tc>
          <w:tcPr>
            <w:tcW w:w="73" w:type="pct"/>
            <w:vAlign w:val="center"/>
          </w:tcPr>
          <w:p w14:paraId="1FB50C0B"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7F9BB791" w14:textId="77777777" w:rsidR="005819EF" w:rsidRPr="006E6DE8" w:rsidRDefault="005819EF" w:rsidP="00CE658E">
            <w:pPr>
              <w:adjustRightInd w:val="0"/>
              <w:snapToGrid w:val="0"/>
              <w:spacing w:after="0" w:line="240" w:lineRule="auto"/>
              <w:rPr>
                <w:rFonts w:eastAsia="Times New Roman" w:cs="Times New Roman"/>
                <w:color w:val="000000"/>
                <w:sz w:val="12"/>
                <w:szCs w:val="10"/>
                <w:lang w:eastAsia="ja-JP"/>
              </w:rPr>
            </w:pPr>
            <w:r w:rsidRPr="006E6DE8">
              <w:rPr>
                <w:rFonts w:cs="Times New Roman"/>
                <w:color w:val="000000"/>
                <w:w w:val="110"/>
                <w:sz w:val="12"/>
                <w:szCs w:val="10"/>
                <w:lang w:val="en-US"/>
              </w:rPr>
              <w:t>89.3 ± 12.7</w:t>
            </w:r>
          </w:p>
        </w:tc>
        <w:tc>
          <w:tcPr>
            <w:tcW w:w="493" w:type="pct"/>
            <w:vAlign w:val="center"/>
          </w:tcPr>
          <w:p w14:paraId="13DE3103"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92.5 ± 10.3</w:t>
            </w:r>
          </w:p>
        </w:tc>
        <w:tc>
          <w:tcPr>
            <w:tcW w:w="213" w:type="pct"/>
            <w:vAlign w:val="center"/>
          </w:tcPr>
          <w:p w14:paraId="4E0AF2F7"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0.28</w:t>
            </w:r>
          </w:p>
        </w:tc>
        <w:tc>
          <w:tcPr>
            <w:tcW w:w="74" w:type="pct"/>
            <w:vAlign w:val="center"/>
          </w:tcPr>
          <w:p w14:paraId="1517D463"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4E3B8798" w14:textId="77777777" w:rsidR="005819EF" w:rsidRPr="006E6DE8" w:rsidRDefault="005819EF" w:rsidP="00CE658E">
            <w:pPr>
              <w:adjustRightInd w:val="0"/>
              <w:snapToGrid w:val="0"/>
              <w:spacing w:after="0" w:line="240" w:lineRule="auto"/>
              <w:rPr>
                <w:rFonts w:eastAsia="Times New Roman" w:cs="Times New Roman"/>
                <w:color w:val="000000"/>
                <w:sz w:val="12"/>
                <w:szCs w:val="10"/>
                <w:lang w:eastAsia="ja-JP"/>
              </w:rPr>
            </w:pPr>
            <w:r w:rsidRPr="006E6DE8">
              <w:rPr>
                <w:rFonts w:cs="Times New Roman"/>
                <w:color w:val="000000"/>
                <w:w w:val="110"/>
                <w:sz w:val="12"/>
                <w:szCs w:val="10"/>
                <w:lang w:val="en-US"/>
              </w:rPr>
              <w:t>119.3 ± 18.5</w:t>
            </w:r>
          </w:p>
        </w:tc>
        <w:tc>
          <w:tcPr>
            <w:tcW w:w="493" w:type="pct"/>
            <w:vAlign w:val="center"/>
          </w:tcPr>
          <w:p w14:paraId="5CCDC3CF"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127.7 ± 16.8</w:t>
            </w:r>
          </w:p>
        </w:tc>
        <w:tc>
          <w:tcPr>
            <w:tcW w:w="214" w:type="pct"/>
            <w:vAlign w:val="center"/>
          </w:tcPr>
          <w:p w14:paraId="5CDDC420"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0.48</w:t>
            </w:r>
          </w:p>
        </w:tc>
      </w:tr>
      <w:tr w:rsidR="005819EF" w:rsidRPr="006E6DE8" w14:paraId="72B51B5E" w14:textId="77777777" w:rsidTr="00CE658E">
        <w:trPr>
          <w:trHeight w:val="283"/>
        </w:trPr>
        <w:tc>
          <w:tcPr>
            <w:tcW w:w="561" w:type="pct"/>
            <w:vMerge/>
            <w:shd w:val="clear" w:color="auto" w:fill="auto"/>
            <w:noWrap/>
            <w:vAlign w:val="center"/>
          </w:tcPr>
          <w:p w14:paraId="6E79A02B"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665" w:type="pct"/>
            <w:vAlign w:val="center"/>
          </w:tcPr>
          <w:p w14:paraId="4B027FEA"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sz w:val="12"/>
                <w:szCs w:val="10"/>
              </w:rPr>
              <w:t>1RM/BM</w:t>
            </w:r>
          </w:p>
        </w:tc>
        <w:tc>
          <w:tcPr>
            <w:tcW w:w="492" w:type="pct"/>
            <w:vAlign w:val="center"/>
          </w:tcPr>
          <w:p w14:paraId="39F21C3C" w14:textId="77777777" w:rsidR="005819EF" w:rsidRPr="006E6DE8" w:rsidRDefault="005819EF" w:rsidP="00CE658E">
            <w:pPr>
              <w:pStyle w:val="TableParagraph"/>
              <w:adjustRightInd w:val="0"/>
              <w:snapToGrid w:val="0"/>
              <w:ind w:left="98"/>
              <w:rPr>
                <w:sz w:val="12"/>
                <w:szCs w:val="10"/>
              </w:rPr>
            </w:pPr>
            <w:r w:rsidRPr="006E6DE8">
              <w:rPr>
                <w:w w:val="110"/>
                <w:sz w:val="12"/>
                <w:szCs w:val="10"/>
              </w:rPr>
              <w:t>1.15 ± 0.20</w:t>
            </w:r>
          </w:p>
        </w:tc>
        <w:tc>
          <w:tcPr>
            <w:tcW w:w="490" w:type="pct"/>
            <w:vAlign w:val="center"/>
          </w:tcPr>
          <w:p w14:paraId="1831F6AD" w14:textId="77777777" w:rsidR="005819EF" w:rsidRPr="006E6DE8" w:rsidRDefault="005819EF" w:rsidP="00CE658E">
            <w:pPr>
              <w:pStyle w:val="TableParagraph"/>
              <w:adjustRightInd w:val="0"/>
              <w:snapToGrid w:val="0"/>
              <w:ind w:left="99"/>
              <w:rPr>
                <w:sz w:val="12"/>
                <w:szCs w:val="10"/>
              </w:rPr>
            </w:pPr>
            <w:r w:rsidRPr="006E6DE8">
              <w:rPr>
                <w:w w:val="110"/>
                <w:sz w:val="12"/>
                <w:szCs w:val="10"/>
              </w:rPr>
              <w:t>1.19 ± 0.19</w:t>
            </w:r>
          </w:p>
        </w:tc>
        <w:tc>
          <w:tcPr>
            <w:tcW w:w="254" w:type="pct"/>
            <w:vAlign w:val="center"/>
          </w:tcPr>
          <w:p w14:paraId="4FD10C42"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0.21</w:t>
            </w:r>
          </w:p>
        </w:tc>
        <w:tc>
          <w:tcPr>
            <w:tcW w:w="73" w:type="pct"/>
            <w:vAlign w:val="center"/>
          </w:tcPr>
          <w:p w14:paraId="21D02FC6"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4AC572B4"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1.25 ± 0.23</w:t>
            </w:r>
          </w:p>
        </w:tc>
        <w:tc>
          <w:tcPr>
            <w:tcW w:w="493" w:type="pct"/>
            <w:vAlign w:val="center"/>
          </w:tcPr>
          <w:p w14:paraId="13CE50F0"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1.30 ± 0.23</w:t>
            </w:r>
          </w:p>
        </w:tc>
        <w:tc>
          <w:tcPr>
            <w:tcW w:w="213" w:type="pct"/>
            <w:vAlign w:val="center"/>
          </w:tcPr>
          <w:p w14:paraId="6D03D017"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0.22</w:t>
            </w:r>
          </w:p>
        </w:tc>
        <w:tc>
          <w:tcPr>
            <w:tcW w:w="74" w:type="pct"/>
            <w:vAlign w:val="center"/>
          </w:tcPr>
          <w:p w14:paraId="4652F871"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7811EB14"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1.68 ± 0.35</w:t>
            </w:r>
          </w:p>
        </w:tc>
        <w:tc>
          <w:tcPr>
            <w:tcW w:w="493" w:type="pct"/>
            <w:vAlign w:val="center"/>
          </w:tcPr>
          <w:p w14:paraId="62744AE9"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1.80 ± 0.38</w:t>
            </w:r>
          </w:p>
        </w:tc>
        <w:tc>
          <w:tcPr>
            <w:tcW w:w="214" w:type="pct"/>
            <w:vAlign w:val="center"/>
          </w:tcPr>
          <w:p w14:paraId="226AB52C"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0.33</w:t>
            </w:r>
          </w:p>
        </w:tc>
      </w:tr>
      <w:tr w:rsidR="005819EF" w:rsidRPr="006E6DE8" w14:paraId="0D96A8E5" w14:textId="77777777" w:rsidTr="00CE658E">
        <w:trPr>
          <w:trHeight w:val="283"/>
        </w:trPr>
        <w:tc>
          <w:tcPr>
            <w:tcW w:w="561" w:type="pct"/>
            <w:vMerge/>
            <w:shd w:val="clear" w:color="auto" w:fill="auto"/>
            <w:noWrap/>
            <w:vAlign w:val="center"/>
          </w:tcPr>
          <w:p w14:paraId="28E7E2CE"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665" w:type="pct"/>
            <w:vAlign w:val="center"/>
          </w:tcPr>
          <w:p w14:paraId="62F4C3D6"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sz w:val="12"/>
                <w:szCs w:val="10"/>
              </w:rPr>
              <w:t>MPV</w:t>
            </w:r>
            <w:r w:rsidRPr="006E6DE8">
              <w:rPr>
                <w:rFonts w:cs="Times New Roman"/>
                <w:color w:val="000000"/>
                <w:sz w:val="12"/>
                <w:szCs w:val="10"/>
                <w:vertAlign w:val="subscript"/>
              </w:rPr>
              <w:t>ALL</w:t>
            </w:r>
            <w:r w:rsidRPr="006E6DE8">
              <w:rPr>
                <w:rFonts w:cs="Times New Roman"/>
                <w:color w:val="000000"/>
                <w:sz w:val="12"/>
                <w:szCs w:val="10"/>
              </w:rPr>
              <w:t xml:space="preserve"> (m·s</w:t>
            </w:r>
            <w:r w:rsidRPr="006E6DE8">
              <w:rPr>
                <w:rFonts w:cs="Times New Roman"/>
                <w:color w:val="000000"/>
                <w:sz w:val="12"/>
                <w:szCs w:val="10"/>
                <w:vertAlign w:val="superscript"/>
              </w:rPr>
              <w:t>-1</w:t>
            </w:r>
            <w:r w:rsidRPr="006E6DE8">
              <w:rPr>
                <w:rFonts w:cs="Times New Roman"/>
                <w:color w:val="000000"/>
                <w:sz w:val="12"/>
                <w:szCs w:val="10"/>
              </w:rPr>
              <w:t>)</w:t>
            </w:r>
          </w:p>
        </w:tc>
        <w:tc>
          <w:tcPr>
            <w:tcW w:w="492" w:type="pct"/>
            <w:vAlign w:val="center"/>
          </w:tcPr>
          <w:p w14:paraId="6309E220" w14:textId="77777777" w:rsidR="005819EF" w:rsidRPr="006E6DE8" w:rsidRDefault="005819EF" w:rsidP="00CE658E">
            <w:pPr>
              <w:pStyle w:val="TableParagraph"/>
              <w:adjustRightInd w:val="0"/>
              <w:snapToGrid w:val="0"/>
              <w:ind w:left="98"/>
              <w:rPr>
                <w:sz w:val="12"/>
                <w:szCs w:val="10"/>
              </w:rPr>
            </w:pPr>
            <w:r w:rsidRPr="006E6DE8">
              <w:rPr>
                <w:w w:val="110"/>
                <w:sz w:val="12"/>
                <w:szCs w:val="10"/>
              </w:rPr>
              <w:t>0.85 ± 0.24</w:t>
            </w:r>
          </w:p>
        </w:tc>
        <w:tc>
          <w:tcPr>
            <w:tcW w:w="490" w:type="pct"/>
            <w:vAlign w:val="center"/>
          </w:tcPr>
          <w:p w14:paraId="0D34C95C" w14:textId="77777777" w:rsidR="005819EF" w:rsidRPr="006E6DE8" w:rsidRDefault="005819EF" w:rsidP="00CE658E">
            <w:pPr>
              <w:pStyle w:val="TableParagraph"/>
              <w:adjustRightInd w:val="0"/>
              <w:snapToGrid w:val="0"/>
              <w:ind w:left="99"/>
              <w:rPr>
                <w:sz w:val="12"/>
                <w:szCs w:val="10"/>
              </w:rPr>
            </w:pPr>
            <w:r w:rsidRPr="006E6DE8">
              <w:rPr>
                <w:w w:val="110"/>
                <w:sz w:val="12"/>
                <w:szCs w:val="10"/>
              </w:rPr>
              <w:t>0.85 ± 0.18</w:t>
            </w:r>
          </w:p>
        </w:tc>
        <w:tc>
          <w:tcPr>
            <w:tcW w:w="254" w:type="pct"/>
            <w:vAlign w:val="center"/>
          </w:tcPr>
          <w:p w14:paraId="3D1D78D5" w14:textId="77777777" w:rsidR="005819EF" w:rsidRPr="006E6DE8" w:rsidRDefault="005819EF" w:rsidP="00CE658E">
            <w:pPr>
              <w:pStyle w:val="TableParagraph"/>
              <w:adjustRightInd w:val="0"/>
              <w:snapToGrid w:val="0"/>
              <w:ind w:left="113"/>
              <w:jc w:val="right"/>
              <w:rPr>
                <w:sz w:val="12"/>
                <w:szCs w:val="10"/>
              </w:rPr>
            </w:pPr>
            <w:r w:rsidRPr="006E6DE8">
              <w:rPr>
                <w:w w:val="110"/>
                <w:sz w:val="12"/>
                <w:szCs w:val="10"/>
              </w:rPr>
              <w:t>&lt;0.01</w:t>
            </w:r>
          </w:p>
        </w:tc>
        <w:tc>
          <w:tcPr>
            <w:tcW w:w="73" w:type="pct"/>
            <w:vAlign w:val="center"/>
          </w:tcPr>
          <w:p w14:paraId="2EB155E0"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64384BB0"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0.77 ± 0.10</w:t>
            </w:r>
          </w:p>
        </w:tc>
        <w:tc>
          <w:tcPr>
            <w:tcW w:w="493" w:type="pct"/>
            <w:vAlign w:val="center"/>
          </w:tcPr>
          <w:p w14:paraId="5EBC8C8E"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0.78 ± 0.08</w:t>
            </w:r>
          </w:p>
        </w:tc>
        <w:tc>
          <w:tcPr>
            <w:tcW w:w="213" w:type="pct"/>
            <w:vAlign w:val="center"/>
          </w:tcPr>
          <w:p w14:paraId="026919D4"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0.11</w:t>
            </w:r>
          </w:p>
        </w:tc>
        <w:tc>
          <w:tcPr>
            <w:tcW w:w="74" w:type="pct"/>
            <w:vAlign w:val="center"/>
          </w:tcPr>
          <w:p w14:paraId="15107F42"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34EEC505"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0.68 ± 0.11</w:t>
            </w:r>
          </w:p>
        </w:tc>
        <w:tc>
          <w:tcPr>
            <w:tcW w:w="493" w:type="pct"/>
            <w:vAlign w:val="center"/>
          </w:tcPr>
          <w:p w14:paraId="47092A95"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0.71 ± 0.13</w:t>
            </w:r>
          </w:p>
        </w:tc>
        <w:tc>
          <w:tcPr>
            <w:tcW w:w="214" w:type="pct"/>
            <w:vAlign w:val="center"/>
          </w:tcPr>
          <w:p w14:paraId="45B360D5"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0.25</w:t>
            </w:r>
          </w:p>
        </w:tc>
      </w:tr>
      <w:tr w:rsidR="005819EF" w:rsidRPr="006E6DE8" w14:paraId="280F74A8" w14:textId="77777777" w:rsidTr="00CE658E">
        <w:trPr>
          <w:trHeight w:val="283"/>
        </w:trPr>
        <w:tc>
          <w:tcPr>
            <w:tcW w:w="561" w:type="pct"/>
            <w:vMerge/>
            <w:shd w:val="clear" w:color="auto" w:fill="auto"/>
            <w:noWrap/>
            <w:vAlign w:val="center"/>
          </w:tcPr>
          <w:p w14:paraId="67DA00AD"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665" w:type="pct"/>
            <w:vAlign w:val="center"/>
          </w:tcPr>
          <w:p w14:paraId="3158E27C"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sz w:val="12"/>
                <w:szCs w:val="10"/>
              </w:rPr>
              <w:t>MPV</w:t>
            </w:r>
            <w:r w:rsidRPr="006E6DE8">
              <w:rPr>
                <w:rFonts w:cs="Times New Roman"/>
                <w:color w:val="000000"/>
                <w:sz w:val="12"/>
                <w:szCs w:val="10"/>
                <w:vertAlign w:val="subscript"/>
              </w:rPr>
              <w:t>&lt;50%1RM</w:t>
            </w:r>
            <w:r w:rsidRPr="006E6DE8">
              <w:rPr>
                <w:rFonts w:cs="Times New Roman"/>
                <w:color w:val="000000"/>
                <w:sz w:val="12"/>
                <w:szCs w:val="10"/>
              </w:rPr>
              <w:t xml:space="preserve"> (m·s</w:t>
            </w:r>
            <w:r w:rsidRPr="006E6DE8">
              <w:rPr>
                <w:rFonts w:cs="Times New Roman"/>
                <w:color w:val="000000"/>
                <w:sz w:val="12"/>
                <w:szCs w:val="10"/>
                <w:vertAlign w:val="superscript"/>
              </w:rPr>
              <w:t>-1</w:t>
            </w:r>
            <w:r w:rsidRPr="006E6DE8">
              <w:rPr>
                <w:rFonts w:cs="Times New Roman"/>
                <w:color w:val="000000"/>
                <w:sz w:val="12"/>
                <w:szCs w:val="10"/>
              </w:rPr>
              <w:t>)</w:t>
            </w:r>
          </w:p>
        </w:tc>
        <w:tc>
          <w:tcPr>
            <w:tcW w:w="492" w:type="pct"/>
            <w:vAlign w:val="center"/>
          </w:tcPr>
          <w:p w14:paraId="39F58FA1" w14:textId="77777777" w:rsidR="005819EF" w:rsidRPr="006E6DE8" w:rsidRDefault="005819EF" w:rsidP="00CE658E">
            <w:pPr>
              <w:pStyle w:val="TableParagraph"/>
              <w:adjustRightInd w:val="0"/>
              <w:snapToGrid w:val="0"/>
              <w:ind w:left="98"/>
              <w:rPr>
                <w:sz w:val="12"/>
                <w:szCs w:val="10"/>
              </w:rPr>
            </w:pPr>
            <w:r w:rsidRPr="006E6DE8">
              <w:rPr>
                <w:w w:val="110"/>
                <w:sz w:val="12"/>
                <w:szCs w:val="10"/>
              </w:rPr>
              <w:t>0.99 ± 0.10</w:t>
            </w:r>
          </w:p>
        </w:tc>
        <w:tc>
          <w:tcPr>
            <w:tcW w:w="490" w:type="pct"/>
            <w:vAlign w:val="center"/>
          </w:tcPr>
          <w:p w14:paraId="1C93F280" w14:textId="77777777" w:rsidR="005819EF" w:rsidRPr="006E6DE8" w:rsidRDefault="005819EF" w:rsidP="00CE658E">
            <w:pPr>
              <w:pStyle w:val="TableParagraph"/>
              <w:adjustRightInd w:val="0"/>
              <w:snapToGrid w:val="0"/>
              <w:ind w:left="99"/>
              <w:rPr>
                <w:sz w:val="12"/>
                <w:szCs w:val="10"/>
              </w:rPr>
            </w:pPr>
            <w:r w:rsidRPr="006E6DE8">
              <w:rPr>
                <w:w w:val="110"/>
                <w:sz w:val="12"/>
                <w:szCs w:val="10"/>
              </w:rPr>
              <w:t>0.99 ± 0.12</w:t>
            </w:r>
          </w:p>
        </w:tc>
        <w:tc>
          <w:tcPr>
            <w:tcW w:w="254" w:type="pct"/>
            <w:vAlign w:val="center"/>
          </w:tcPr>
          <w:p w14:paraId="72CAD843" w14:textId="77777777" w:rsidR="005819EF" w:rsidRPr="006E6DE8" w:rsidRDefault="005819EF" w:rsidP="00CE658E">
            <w:pPr>
              <w:pStyle w:val="TableParagraph"/>
              <w:adjustRightInd w:val="0"/>
              <w:snapToGrid w:val="0"/>
              <w:ind w:left="113"/>
              <w:jc w:val="right"/>
              <w:rPr>
                <w:sz w:val="12"/>
                <w:szCs w:val="10"/>
              </w:rPr>
            </w:pPr>
            <w:r w:rsidRPr="006E6DE8">
              <w:rPr>
                <w:w w:val="110"/>
                <w:sz w:val="12"/>
                <w:szCs w:val="10"/>
              </w:rPr>
              <w:t>&lt;0.01</w:t>
            </w:r>
          </w:p>
        </w:tc>
        <w:tc>
          <w:tcPr>
            <w:tcW w:w="73" w:type="pct"/>
            <w:vAlign w:val="center"/>
          </w:tcPr>
          <w:p w14:paraId="6AD77248"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66481C61"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0.96 ± 0.10</w:t>
            </w:r>
          </w:p>
        </w:tc>
        <w:tc>
          <w:tcPr>
            <w:tcW w:w="493" w:type="pct"/>
            <w:vAlign w:val="center"/>
          </w:tcPr>
          <w:p w14:paraId="7775A88D"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0.98 ± 0.09</w:t>
            </w:r>
          </w:p>
        </w:tc>
        <w:tc>
          <w:tcPr>
            <w:tcW w:w="213" w:type="pct"/>
            <w:vAlign w:val="center"/>
          </w:tcPr>
          <w:p w14:paraId="77D017F7"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0.21</w:t>
            </w:r>
          </w:p>
        </w:tc>
        <w:tc>
          <w:tcPr>
            <w:tcW w:w="74" w:type="pct"/>
            <w:vAlign w:val="center"/>
          </w:tcPr>
          <w:p w14:paraId="05344A8E"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421CEBBF"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0.93 ± 0.10</w:t>
            </w:r>
          </w:p>
        </w:tc>
        <w:tc>
          <w:tcPr>
            <w:tcW w:w="493" w:type="pct"/>
            <w:vAlign w:val="center"/>
          </w:tcPr>
          <w:p w14:paraId="6A8CE722"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0.97 ± 0.10</w:t>
            </w:r>
          </w:p>
        </w:tc>
        <w:tc>
          <w:tcPr>
            <w:tcW w:w="214" w:type="pct"/>
            <w:vAlign w:val="center"/>
          </w:tcPr>
          <w:p w14:paraId="3A8C0102"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0.40</w:t>
            </w:r>
          </w:p>
        </w:tc>
      </w:tr>
      <w:tr w:rsidR="005819EF" w:rsidRPr="006E6DE8" w14:paraId="089D73AF" w14:textId="77777777" w:rsidTr="00CE658E">
        <w:trPr>
          <w:trHeight w:val="283"/>
        </w:trPr>
        <w:tc>
          <w:tcPr>
            <w:tcW w:w="561" w:type="pct"/>
            <w:vMerge/>
            <w:shd w:val="clear" w:color="auto" w:fill="auto"/>
            <w:noWrap/>
            <w:vAlign w:val="center"/>
          </w:tcPr>
          <w:p w14:paraId="73FB1D15" w14:textId="77777777" w:rsidR="005819EF" w:rsidRPr="006E6DE8" w:rsidRDefault="005819EF" w:rsidP="00CE658E">
            <w:pPr>
              <w:adjustRightInd w:val="0"/>
              <w:snapToGrid w:val="0"/>
              <w:spacing w:after="0" w:line="240" w:lineRule="auto"/>
              <w:jc w:val="center"/>
              <w:rPr>
                <w:rFonts w:eastAsia="Times New Roman" w:cs="Times New Roman"/>
                <w:color w:val="000000"/>
                <w:sz w:val="12"/>
                <w:szCs w:val="10"/>
                <w:lang w:val="en-US" w:eastAsia="es-ES"/>
              </w:rPr>
            </w:pPr>
          </w:p>
        </w:tc>
        <w:tc>
          <w:tcPr>
            <w:tcW w:w="665" w:type="pct"/>
            <w:vAlign w:val="center"/>
          </w:tcPr>
          <w:p w14:paraId="0397967C"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sz w:val="12"/>
                <w:szCs w:val="10"/>
              </w:rPr>
              <w:t>MPV</w:t>
            </w:r>
            <w:r w:rsidRPr="006E6DE8">
              <w:rPr>
                <w:rFonts w:cs="Times New Roman"/>
                <w:color w:val="000000"/>
                <w:sz w:val="12"/>
                <w:szCs w:val="10"/>
                <w:vertAlign w:val="subscript"/>
              </w:rPr>
              <w:t>&gt;50%1RM</w:t>
            </w:r>
            <w:r w:rsidRPr="006E6DE8">
              <w:rPr>
                <w:rFonts w:cs="Times New Roman"/>
                <w:color w:val="000000"/>
                <w:sz w:val="12"/>
                <w:szCs w:val="10"/>
              </w:rPr>
              <w:t xml:space="preserve"> (m·s</w:t>
            </w:r>
            <w:r w:rsidRPr="006E6DE8">
              <w:rPr>
                <w:rFonts w:cs="Times New Roman"/>
                <w:color w:val="000000"/>
                <w:sz w:val="12"/>
                <w:szCs w:val="10"/>
                <w:vertAlign w:val="superscript"/>
              </w:rPr>
              <w:t>-1</w:t>
            </w:r>
            <w:r w:rsidRPr="006E6DE8">
              <w:rPr>
                <w:rFonts w:cs="Times New Roman"/>
                <w:color w:val="000000"/>
                <w:sz w:val="12"/>
                <w:szCs w:val="10"/>
              </w:rPr>
              <w:t>)</w:t>
            </w:r>
          </w:p>
        </w:tc>
        <w:tc>
          <w:tcPr>
            <w:tcW w:w="492" w:type="pct"/>
            <w:vAlign w:val="center"/>
          </w:tcPr>
          <w:p w14:paraId="6974BD3B" w14:textId="77777777" w:rsidR="005819EF" w:rsidRPr="006E6DE8" w:rsidRDefault="005819EF" w:rsidP="00CE658E">
            <w:pPr>
              <w:pStyle w:val="TableParagraph"/>
              <w:adjustRightInd w:val="0"/>
              <w:snapToGrid w:val="0"/>
              <w:ind w:left="98"/>
              <w:rPr>
                <w:sz w:val="12"/>
                <w:szCs w:val="10"/>
              </w:rPr>
            </w:pPr>
            <w:r w:rsidRPr="006E6DE8">
              <w:rPr>
                <w:w w:val="110"/>
                <w:sz w:val="12"/>
                <w:szCs w:val="10"/>
              </w:rPr>
              <w:t>0.51 ± 0.06</w:t>
            </w:r>
          </w:p>
        </w:tc>
        <w:tc>
          <w:tcPr>
            <w:tcW w:w="490" w:type="pct"/>
            <w:vAlign w:val="center"/>
          </w:tcPr>
          <w:p w14:paraId="3E8C6463" w14:textId="77777777" w:rsidR="005819EF" w:rsidRPr="006E6DE8" w:rsidRDefault="005819EF" w:rsidP="00CE658E">
            <w:pPr>
              <w:pStyle w:val="TableParagraph"/>
              <w:adjustRightInd w:val="0"/>
              <w:snapToGrid w:val="0"/>
              <w:ind w:left="99"/>
              <w:rPr>
                <w:sz w:val="12"/>
                <w:szCs w:val="10"/>
              </w:rPr>
            </w:pPr>
            <w:r w:rsidRPr="006E6DE8">
              <w:rPr>
                <w:w w:val="110"/>
                <w:sz w:val="12"/>
                <w:szCs w:val="10"/>
              </w:rPr>
              <w:t>0.53 ± 0.07</w:t>
            </w:r>
          </w:p>
        </w:tc>
        <w:tc>
          <w:tcPr>
            <w:tcW w:w="254" w:type="pct"/>
            <w:vAlign w:val="center"/>
          </w:tcPr>
          <w:p w14:paraId="2AF40FA5"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0.31</w:t>
            </w:r>
          </w:p>
        </w:tc>
        <w:tc>
          <w:tcPr>
            <w:tcW w:w="73" w:type="pct"/>
            <w:vAlign w:val="center"/>
          </w:tcPr>
          <w:p w14:paraId="7008F312"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2261FA58"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0.53 ± 0.07</w:t>
            </w:r>
          </w:p>
        </w:tc>
        <w:tc>
          <w:tcPr>
            <w:tcW w:w="493" w:type="pct"/>
            <w:vAlign w:val="center"/>
          </w:tcPr>
          <w:p w14:paraId="23CDBEBD"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0.55 ± 0.07</w:t>
            </w:r>
          </w:p>
        </w:tc>
        <w:tc>
          <w:tcPr>
            <w:tcW w:w="213" w:type="pct"/>
            <w:vAlign w:val="center"/>
          </w:tcPr>
          <w:p w14:paraId="271B180D"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0.29</w:t>
            </w:r>
          </w:p>
        </w:tc>
        <w:tc>
          <w:tcPr>
            <w:tcW w:w="74" w:type="pct"/>
            <w:vAlign w:val="center"/>
          </w:tcPr>
          <w:p w14:paraId="557677D3"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3CDFAFF8"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0.50 ± 0.07</w:t>
            </w:r>
          </w:p>
        </w:tc>
        <w:tc>
          <w:tcPr>
            <w:tcW w:w="493" w:type="pct"/>
            <w:vAlign w:val="center"/>
          </w:tcPr>
          <w:p w14:paraId="6C6EA085" w14:textId="77777777" w:rsidR="005819EF" w:rsidRPr="006E6DE8" w:rsidRDefault="005819EF" w:rsidP="00CE658E">
            <w:pPr>
              <w:adjustRightInd w:val="0"/>
              <w:snapToGrid w:val="0"/>
              <w:spacing w:after="0" w:line="240" w:lineRule="auto"/>
              <w:rPr>
                <w:rFonts w:cs="Times New Roman"/>
                <w:color w:val="000000"/>
                <w:sz w:val="12"/>
                <w:szCs w:val="10"/>
              </w:rPr>
            </w:pPr>
            <w:r w:rsidRPr="006E6DE8">
              <w:rPr>
                <w:rFonts w:cs="Times New Roman"/>
                <w:color w:val="000000"/>
                <w:w w:val="110"/>
                <w:sz w:val="12"/>
                <w:szCs w:val="10"/>
                <w:lang w:val="en-US"/>
              </w:rPr>
              <w:t>0.54 ± 0.06*</w:t>
            </w:r>
          </w:p>
        </w:tc>
        <w:tc>
          <w:tcPr>
            <w:tcW w:w="214" w:type="pct"/>
            <w:vAlign w:val="center"/>
          </w:tcPr>
          <w:p w14:paraId="6B110FF1" w14:textId="77777777" w:rsidR="005819EF" w:rsidRPr="006E6DE8" w:rsidRDefault="005819EF" w:rsidP="00CE658E">
            <w:pPr>
              <w:adjustRightInd w:val="0"/>
              <w:snapToGrid w:val="0"/>
              <w:spacing w:after="0" w:line="240" w:lineRule="auto"/>
              <w:jc w:val="right"/>
              <w:rPr>
                <w:rFonts w:cs="Times New Roman"/>
                <w:color w:val="000000"/>
                <w:sz w:val="12"/>
                <w:szCs w:val="10"/>
              </w:rPr>
            </w:pPr>
            <w:r w:rsidRPr="006E6DE8">
              <w:rPr>
                <w:rFonts w:cs="Times New Roman"/>
                <w:color w:val="000000"/>
                <w:w w:val="110"/>
                <w:sz w:val="12"/>
                <w:szCs w:val="10"/>
                <w:lang w:val="en-US"/>
              </w:rPr>
              <w:t>0.61</w:t>
            </w:r>
          </w:p>
        </w:tc>
      </w:tr>
      <w:tr w:rsidR="006E6DE8" w:rsidRPr="006E6DE8" w14:paraId="111E28ED" w14:textId="77777777" w:rsidTr="00CE658E">
        <w:trPr>
          <w:trHeight w:val="54"/>
        </w:trPr>
        <w:tc>
          <w:tcPr>
            <w:tcW w:w="561" w:type="pct"/>
            <w:vMerge w:val="restart"/>
            <w:shd w:val="clear" w:color="auto" w:fill="auto"/>
            <w:noWrap/>
            <w:vAlign w:val="center"/>
            <w:hideMark/>
          </w:tcPr>
          <w:p w14:paraId="1B6BC00B" w14:textId="77777777" w:rsidR="005819EF" w:rsidRPr="006E6DE8" w:rsidRDefault="005819EF" w:rsidP="00CE658E">
            <w:pPr>
              <w:adjustRightInd w:val="0"/>
              <w:snapToGrid w:val="0"/>
              <w:spacing w:after="0" w:line="240" w:lineRule="auto"/>
              <w:jc w:val="center"/>
              <w:rPr>
                <w:rFonts w:eastAsia="Times New Roman" w:cs="Times New Roman"/>
                <w:bCs/>
                <w:sz w:val="12"/>
                <w:szCs w:val="10"/>
                <w:lang w:val="en-US" w:eastAsia="es-ES"/>
              </w:rPr>
            </w:pPr>
            <w:r w:rsidRPr="006E6DE8">
              <w:rPr>
                <w:rFonts w:eastAsia="Times New Roman" w:cs="Times New Roman"/>
                <w:bCs/>
                <w:sz w:val="12"/>
                <w:szCs w:val="10"/>
                <w:lang w:val="en-US" w:eastAsia="es-ES"/>
              </w:rPr>
              <w:t>Control (</w:t>
            </w:r>
            <w:r w:rsidRPr="006E6DE8">
              <w:rPr>
                <w:rFonts w:eastAsia="Times New Roman" w:cs="Times New Roman"/>
                <w:bCs/>
                <w:i/>
                <w:sz w:val="12"/>
                <w:szCs w:val="10"/>
                <w:lang w:val="en-US" w:eastAsia="es-ES"/>
              </w:rPr>
              <w:t>n</w:t>
            </w:r>
            <w:r w:rsidRPr="006E6DE8">
              <w:rPr>
                <w:rFonts w:eastAsia="Times New Roman" w:cs="Times New Roman"/>
                <w:bCs/>
                <w:sz w:val="12"/>
                <w:szCs w:val="10"/>
                <w:lang w:val="en-US" w:eastAsia="es-ES"/>
              </w:rPr>
              <w:t xml:space="preserve"> = 14)</w:t>
            </w:r>
          </w:p>
        </w:tc>
        <w:tc>
          <w:tcPr>
            <w:tcW w:w="665" w:type="pct"/>
            <w:vAlign w:val="center"/>
          </w:tcPr>
          <w:p w14:paraId="0FB313B5" w14:textId="77777777" w:rsidR="005819EF" w:rsidRPr="006E6DE8" w:rsidRDefault="005819EF" w:rsidP="00CE658E">
            <w:pPr>
              <w:adjustRightInd w:val="0"/>
              <w:snapToGrid w:val="0"/>
              <w:spacing w:after="0" w:line="240" w:lineRule="auto"/>
              <w:jc w:val="right"/>
              <w:rPr>
                <w:rFonts w:eastAsia="Times New Roman" w:cs="Times New Roman"/>
                <w:sz w:val="12"/>
                <w:szCs w:val="10"/>
                <w:lang w:val="en-US" w:eastAsia="es-ES"/>
              </w:rPr>
            </w:pPr>
          </w:p>
        </w:tc>
        <w:tc>
          <w:tcPr>
            <w:tcW w:w="492" w:type="pct"/>
            <w:vAlign w:val="center"/>
          </w:tcPr>
          <w:p w14:paraId="6407B296" w14:textId="77777777" w:rsidR="005819EF" w:rsidRPr="006E6DE8" w:rsidRDefault="005819EF" w:rsidP="00CE658E">
            <w:pPr>
              <w:pStyle w:val="TableParagraph"/>
              <w:adjustRightInd w:val="0"/>
              <w:snapToGrid w:val="0"/>
              <w:ind w:left="98"/>
              <w:rPr>
                <w:sz w:val="12"/>
                <w:szCs w:val="10"/>
              </w:rPr>
            </w:pPr>
          </w:p>
        </w:tc>
        <w:tc>
          <w:tcPr>
            <w:tcW w:w="490" w:type="pct"/>
            <w:vAlign w:val="center"/>
          </w:tcPr>
          <w:p w14:paraId="165B084D" w14:textId="77777777" w:rsidR="005819EF" w:rsidRPr="006E6DE8" w:rsidRDefault="005819EF" w:rsidP="00CE658E">
            <w:pPr>
              <w:pStyle w:val="TableParagraph"/>
              <w:adjustRightInd w:val="0"/>
              <w:snapToGrid w:val="0"/>
              <w:ind w:left="99"/>
              <w:rPr>
                <w:sz w:val="12"/>
                <w:szCs w:val="10"/>
              </w:rPr>
            </w:pPr>
          </w:p>
        </w:tc>
        <w:tc>
          <w:tcPr>
            <w:tcW w:w="254" w:type="pct"/>
            <w:vAlign w:val="center"/>
          </w:tcPr>
          <w:p w14:paraId="3D5A235A" w14:textId="77777777" w:rsidR="005819EF" w:rsidRPr="006E6DE8" w:rsidRDefault="005819EF" w:rsidP="00CE658E">
            <w:pPr>
              <w:pStyle w:val="TableParagraph"/>
              <w:adjustRightInd w:val="0"/>
              <w:snapToGrid w:val="0"/>
              <w:ind w:left="105"/>
              <w:jc w:val="right"/>
              <w:rPr>
                <w:sz w:val="12"/>
                <w:szCs w:val="10"/>
              </w:rPr>
            </w:pPr>
          </w:p>
        </w:tc>
        <w:tc>
          <w:tcPr>
            <w:tcW w:w="73" w:type="pct"/>
            <w:vAlign w:val="center"/>
          </w:tcPr>
          <w:p w14:paraId="460B0212" w14:textId="77777777" w:rsidR="005819EF" w:rsidRPr="006E6DE8" w:rsidRDefault="005819EF" w:rsidP="00CE658E">
            <w:pPr>
              <w:adjustRightInd w:val="0"/>
              <w:snapToGrid w:val="0"/>
              <w:spacing w:after="0" w:line="240" w:lineRule="auto"/>
              <w:jc w:val="center"/>
              <w:rPr>
                <w:rFonts w:eastAsia="Times New Roman" w:cs="Times New Roman"/>
                <w:sz w:val="12"/>
                <w:szCs w:val="10"/>
                <w:lang w:val="en-US" w:eastAsia="es-ES"/>
              </w:rPr>
            </w:pPr>
          </w:p>
        </w:tc>
        <w:tc>
          <w:tcPr>
            <w:tcW w:w="493" w:type="pct"/>
            <w:vAlign w:val="center"/>
          </w:tcPr>
          <w:p w14:paraId="2F5B463B" w14:textId="77777777" w:rsidR="005819EF" w:rsidRPr="006E6DE8" w:rsidRDefault="005819EF" w:rsidP="00CE658E">
            <w:pPr>
              <w:adjustRightInd w:val="0"/>
              <w:snapToGrid w:val="0"/>
              <w:spacing w:after="0" w:line="240" w:lineRule="auto"/>
              <w:rPr>
                <w:rFonts w:eastAsia="Times New Roman" w:cs="Times New Roman"/>
                <w:sz w:val="12"/>
                <w:szCs w:val="10"/>
                <w:lang w:val="en-US" w:eastAsia="es-ES"/>
              </w:rPr>
            </w:pPr>
          </w:p>
        </w:tc>
        <w:tc>
          <w:tcPr>
            <w:tcW w:w="493" w:type="pct"/>
            <w:vAlign w:val="center"/>
          </w:tcPr>
          <w:p w14:paraId="5BA2092B" w14:textId="77777777" w:rsidR="005819EF" w:rsidRPr="006E6DE8" w:rsidRDefault="005819EF" w:rsidP="00CE658E">
            <w:pPr>
              <w:adjustRightInd w:val="0"/>
              <w:snapToGrid w:val="0"/>
              <w:spacing w:after="0" w:line="240" w:lineRule="auto"/>
              <w:rPr>
                <w:rFonts w:eastAsia="Times New Roman" w:cs="Times New Roman"/>
                <w:sz w:val="12"/>
                <w:szCs w:val="10"/>
                <w:lang w:val="en-US" w:eastAsia="es-ES"/>
              </w:rPr>
            </w:pPr>
          </w:p>
        </w:tc>
        <w:tc>
          <w:tcPr>
            <w:tcW w:w="213" w:type="pct"/>
            <w:vAlign w:val="center"/>
          </w:tcPr>
          <w:p w14:paraId="72469840" w14:textId="77777777" w:rsidR="005819EF" w:rsidRPr="006E6DE8" w:rsidRDefault="005819EF" w:rsidP="00CE658E">
            <w:pPr>
              <w:adjustRightInd w:val="0"/>
              <w:snapToGrid w:val="0"/>
              <w:spacing w:after="0" w:line="240" w:lineRule="auto"/>
              <w:jc w:val="right"/>
              <w:rPr>
                <w:rFonts w:eastAsia="Times New Roman" w:cs="Times New Roman"/>
                <w:sz w:val="12"/>
                <w:szCs w:val="10"/>
                <w:lang w:val="en-US" w:eastAsia="es-ES"/>
              </w:rPr>
            </w:pPr>
          </w:p>
        </w:tc>
        <w:tc>
          <w:tcPr>
            <w:tcW w:w="74" w:type="pct"/>
            <w:vAlign w:val="center"/>
          </w:tcPr>
          <w:p w14:paraId="194BC318" w14:textId="77777777" w:rsidR="005819EF" w:rsidRPr="006E6DE8" w:rsidRDefault="005819EF" w:rsidP="00CE658E">
            <w:pPr>
              <w:adjustRightInd w:val="0"/>
              <w:snapToGrid w:val="0"/>
              <w:spacing w:after="0" w:line="240" w:lineRule="auto"/>
              <w:jc w:val="right"/>
              <w:rPr>
                <w:rFonts w:eastAsia="Times New Roman" w:cs="Times New Roman"/>
                <w:sz w:val="12"/>
                <w:szCs w:val="10"/>
                <w:lang w:val="en-US" w:eastAsia="es-ES"/>
              </w:rPr>
            </w:pPr>
          </w:p>
        </w:tc>
        <w:tc>
          <w:tcPr>
            <w:tcW w:w="485" w:type="pct"/>
            <w:vAlign w:val="center"/>
          </w:tcPr>
          <w:p w14:paraId="0A881C4E" w14:textId="77777777" w:rsidR="005819EF" w:rsidRPr="006E6DE8" w:rsidRDefault="005819EF" w:rsidP="00CE658E">
            <w:pPr>
              <w:adjustRightInd w:val="0"/>
              <w:snapToGrid w:val="0"/>
              <w:spacing w:after="0" w:line="240" w:lineRule="auto"/>
              <w:rPr>
                <w:rFonts w:eastAsia="Times New Roman" w:cs="Times New Roman"/>
                <w:sz w:val="12"/>
                <w:szCs w:val="10"/>
                <w:lang w:val="en-US" w:eastAsia="es-ES"/>
              </w:rPr>
            </w:pPr>
          </w:p>
        </w:tc>
        <w:tc>
          <w:tcPr>
            <w:tcW w:w="493" w:type="pct"/>
            <w:vAlign w:val="center"/>
          </w:tcPr>
          <w:p w14:paraId="22B292BC" w14:textId="77777777" w:rsidR="005819EF" w:rsidRPr="006E6DE8" w:rsidRDefault="005819EF" w:rsidP="00CE658E">
            <w:pPr>
              <w:adjustRightInd w:val="0"/>
              <w:snapToGrid w:val="0"/>
              <w:spacing w:after="0" w:line="240" w:lineRule="auto"/>
              <w:rPr>
                <w:rFonts w:eastAsia="Times New Roman" w:cs="Times New Roman"/>
                <w:sz w:val="12"/>
                <w:szCs w:val="10"/>
                <w:lang w:val="en-US" w:eastAsia="es-ES"/>
              </w:rPr>
            </w:pPr>
          </w:p>
        </w:tc>
        <w:tc>
          <w:tcPr>
            <w:tcW w:w="214" w:type="pct"/>
            <w:vAlign w:val="center"/>
          </w:tcPr>
          <w:p w14:paraId="37B40B31" w14:textId="77777777" w:rsidR="005819EF" w:rsidRPr="006E6DE8" w:rsidRDefault="005819EF" w:rsidP="00CE658E">
            <w:pPr>
              <w:adjustRightInd w:val="0"/>
              <w:snapToGrid w:val="0"/>
              <w:spacing w:after="0" w:line="240" w:lineRule="auto"/>
              <w:jc w:val="right"/>
              <w:rPr>
                <w:rFonts w:eastAsia="Times New Roman" w:cs="Times New Roman"/>
                <w:sz w:val="12"/>
                <w:szCs w:val="10"/>
                <w:lang w:val="en-US" w:eastAsia="es-ES"/>
              </w:rPr>
            </w:pPr>
          </w:p>
        </w:tc>
      </w:tr>
      <w:tr w:rsidR="006E6DE8" w:rsidRPr="006E6DE8" w14:paraId="2F140E54" w14:textId="77777777" w:rsidTr="00CE658E">
        <w:trPr>
          <w:trHeight w:val="283"/>
        </w:trPr>
        <w:tc>
          <w:tcPr>
            <w:tcW w:w="561" w:type="pct"/>
            <w:vMerge/>
            <w:shd w:val="clear" w:color="auto" w:fill="auto"/>
            <w:noWrap/>
            <w:vAlign w:val="center"/>
          </w:tcPr>
          <w:p w14:paraId="4D14C292" w14:textId="77777777" w:rsidR="005819EF" w:rsidRPr="006E6DE8" w:rsidRDefault="005819EF" w:rsidP="00CE658E">
            <w:pPr>
              <w:adjustRightInd w:val="0"/>
              <w:snapToGrid w:val="0"/>
              <w:spacing w:after="0" w:line="240" w:lineRule="auto"/>
              <w:jc w:val="center"/>
              <w:rPr>
                <w:rFonts w:eastAsia="Times New Roman" w:cs="Times New Roman"/>
                <w:sz w:val="12"/>
                <w:szCs w:val="10"/>
                <w:lang w:val="en-US" w:eastAsia="es-ES"/>
              </w:rPr>
            </w:pPr>
          </w:p>
        </w:tc>
        <w:tc>
          <w:tcPr>
            <w:tcW w:w="665" w:type="pct"/>
            <w:vAlign w:val="center"/>
          </w:tcPr>
          <w:p w14:paraId="307936E7" w14:textId="77777777" w:rsidR="005819EF" w:rsidRPr="006E6DE8" w:rsidRDefault="005819EF" w:rsidP="00CE658E">
            <w:pPr>
              <w:adjustRightInd w:val="0"/>
              <w:snapToGrid w:val="0"/>
              <w:spacing w:after="0" w:line="240" w:lineRule="auto"/>
              <w:jc w:val="right"/>
              <w:rPr>
                <w:rFonts w:eastAsia="Times New Roman" w:cs="Times New Roman"/>
                <w:sz w:val="12"/>
                <w:szCs w:val="10"/>
                <w:lang w:eastAsia="ja-JP"/>
              </w:rPr>
            </w:pPr>
            <w:r w:rsidRPr="006E6DE8">
              <w:rPr>
                <w:rFonts w:cs="Times New Roman"/>
                <w:sz w:val="12"/>
                <w:szCs w:val="10"/>
              </w:rPr>
              <w:t>1RM (kg)</w:t>
            </w:r>
          </w:p>
        </w:tc>
        <w:tc>
          <w:tcPr>
            <w:tcW w:w="492" w:type="pct"/>
            <w:vAlign w:val="center"/>
          </w:tcPr>
          <w:p w14:paraId="353C09EB" w14:textId="77777777" w:rsidR="005819EF" w:rsidRPr="006E6DE8" w:rsidRDefault="005819EF" w:rsidP="00CE658E">
            <w:pPr>
              <w:pStyle w:val="TableParagraph"/>
              <w:adjustRightInd w:val="0"/>
              <w:snapToGrid w:val="0"/>
              <w:ind w:left="98"/>
              <w:rPr>
                <w:sz w:val="12"/>
                <w:szCs w:val="10"/>
              </w:rPr>
            </w:pPr>
            <w:r w:rsidRPr="006E6DE8">
              <w:rPr>
                <w:w w:val="110"/>
                <w:sz w:val="12"/>
                <w:szCs w:val="10"/>
              </w:rPr>
              <w:t>84.1 ± 5.7</w:t>
            </w:r>
          </w:p>
        </w:tc>
        <w:tc>
          <w:tcPr>
            <w:tcW w:w="490" w:type="pct"/>
            <w:vAlign w:val="center"/>
          </w:tcPr>
          <w:p w14:paraId="5B555995" w14:textId="77777777" w:rsidR="005819EF" w:rsidRPr="006E6DE8" w:rsidRDefault="005819EF" w:rsidP="00CE658E">
            <w:pPr>
              <w:pStyle w:val="TableParagraph"/>
              <w:adjustRightInd w:val="0"/>
              <w:snapToGrid w:val="0"/>
              <w:ind w:left="99"/>
              <w:rPr>
                <w:sz w:val="12"/>
                <w:szCs w:val="10"/>
              </w:rPr>
            </w:pPr>
            <w:r w:rsidRPr="006E6DE8">
              <w:rPr>
                <w:w w:val="110"/>
                <w:sz w:val="12"/>
                <w:szCs w:val="10"/>
              </w:rPr>
              <w:t>77.3 ± 7.6</w:t>
            </w:r>
            <w:r w:rsidRPr="006E6DE8">
              <w:rPr>
                <w:rFonts w:ascii="Cambria Math" w:hAnsi="Cambria Math" w:cs="Cambria Math"/>
                <w:w w:val="110"/>
                <w:position w:val="6"/>
                <w:sz w:val="12"/>
                <w:szCs w:val="10"/>
              </w:rPr>
              <w:t>∗</w:t>
            </w:r>
          </w:p>
        </w:tc>
        <w:tc>
          <w:tcPr>
            <w:tcW w:w="254" w:type="pct"/>
            <w:vAlign w:val="center"/>
          </w:tcPr>
          <w:p w14:paraId="745A8177"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1.01</w:t>
            </w:r>
          </w:p>
        </w:tc>
        <w:tc>
          <w:tcPr>
            <w:tcW w:w="73" w:type="pct"/>
            <w:vAlign w:val="center"/>
          </w:tcPr>
          <w:p w14:paraId="4F25B85A"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751E33ED" w14:textId="77777777" w:rsidR="005819EF" w:rsidRPr="006E6DE8" w:rsidRDefault="005819EF" w:rsidP="00CE658E">
            <w:pPr>
              <w:adjustRightInd w:val="0"/>
              <w:snapToGrid w:val="0"/>
              <w:spacing w:after="0" w:line="240" w:lineRule="auto"/>
              <w:rPr>
                <w:rFonts w:eastAsia="Times New Roman" w:cs="Times New Roman"/>
                <w:sz w:val="12"/>
                <w:szCs w:val="10"/>
                <w:lang w:eastAsia="ja-JP"/>
              </w:rPr>
            </w:pPr>
            <w:r w:rsidRPr="006E6DE8">
              <w:rPr>
                <w:rFonts w:cs="Times New Roman"/>
                <w:w w:val="110"/>
                <w:sz w:val="12"/>
                <w:szCs w:val="10"/>
                <w:lang w:val="en-US"/>
              </w:rPr>
              <w:t>91.8 ± 6.3</w:t>
            </w:r>
          </w:p>
        </w:tc>
        <w:tc>
          <w:tcPr>
            <w:tcW w:w="493" w:type="pct"/>
            <w:vAlign w:val="center"/>
          </w:tcPr>
          <w:p w14:paraId="22BB0622"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83.9 ± 7.1*</w:t>
            </w:r>
          </w:p>
        </w:tc>
        <w:tc>
          <w:tcPr>
            <w:tcW w:w="213" w:type="pct"/>
            <w:vAlign w:val="center"/>
          </w:tcPr>
          <w:p w14:paraId="7BE703B7" w14:textId="77777777" w:rsidR="005819EF" w:rsidRPr="006E6DE8" w:rsidRDefault="005819EF" w:rsidP="00CE658E">
            <w:pPr>
              <w:adjustRightInd w:val="0"/>
              <w:snapToGrid w:val="0"/>
              <w:spacing w:after="0" w:line="240" w:lineRule="auto"/>
              <w:jc w:val="right"/>
              <w:rPr>
                <w:rFonts w:cs="Times New Roman"/>
                <w:sz w:val="12"/>
                <w:szCs w:val="10"/>
              </w:rPr>
            </w:pPr>
            <w:r w:rsidRPr="006E6DE8">
              <w:rPr>
                <w:rFonts w:cs="Times New Roman"/>
                <w:w w:val="110"/>
                <w:sz w:val="12"/>
                <w:szCs w:val="10"/>
                <w:lang w:val="en-US"/>
              </w:rPr>
              <w:t>1.18</w:t>
            </w:r>
          </w:p>
        </w:tc>
        <w:tc>
          <w:tcPr>
            <w:tcW w:w="74" w:type="pct"/>
            <w:vAlign w:val="center"/>
          </w:tcPr>
          <w:p w14:paraId="68867A9D"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0A1AD20C" w14:textId="77777777" w:rsidR="005819EF" w:rsidRPr="006E6DE8" w:rsidRDefault="005819EF" w:rsidP="00CE658E">
            <w:pPr>
              <w:adjustRightInd w:val="0"/>
              <w:snapToGrid w:val="0"/>
              <w:spacing w:after="0" w:line="240" w:lineRule="auto"/>
              <w:rPr>
                <w:rFonts w:eastAsia="Times New Roman" w:cs="Times New Roman"/>
                <w:sz w:val="12"/>
                <w:szCs w:val="10"/>
                <w:lang w:eastAsia="ja-JP"/>
              </w:rPr>
            </w:pPr>
            <w:r w:rsidRPr="006E6DE8">
              <w:rPr>
                <w:rFonts w:cs="Times New Roman"/>
                <w:w w:val="110"/>
                <w:sz w:val="12"/>
                <w:szCs w:val="10"/>
                <w:lang w:val="en-US"/>
              </w:rPr>
              <w:t>125.5 ± 14.6</w:t>
            </w:r>
          </w:p>
        </w:tc>
        <w:tc>
          <w:tcPr>
            <w:tcW w:w="493" w:type="pct"/>
            <w:vAlign w:val="center"/>
          </w:tcPr>
          <w:p w14:paraId="41F8D73F"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108.6 ± 13.4*</w:t>
            </w:r>
          </w:p>
        </w:tc>
        <w:tc>
          <w:tcPr>
            <w:tcW w:w="214" w:type="pct"/>
            <w:vAlign w:val="center"/>
          </w:tcPr>
          <w:p w14:paraId="02667145" w14:textId="77777777" w:rsidR="005819EF" w:rsidRPr="006E6DE8" w:rsidRDefault="005819EF" w:rsidP="00CE658E">
            <w:pPr>
              <w:adjustRightInd w:val="0"/>
              <w:snapToGrid w:val="0"/>
              <w:spacing w:after="0" w:line="240" w:lineRule="auto"/>
              <w:jc w:val="right"/>
              <w:rPr>
                <w:rFonts w:cs="Times New Roman"/>
                <w:sz w:val="12"/>
                <w:szCs w:val="10"/>
              </w:rPr>
            </w:pPr>
            <w:r w:rsidRPr="006E6DE8">
              <w:rPr>
                <w:rFonts w:cs="Times New Roman"/>
                <w:w w:val="110"/>
                <w:sz w:val="12"/>
                <w:szCs w:val="10"/>
                <w:lang w:val="en-US"/>
              </w:rPr>
              <w:t>1.21</w:t>
            </w:r>
          </w:p>
        </w:tc>
      </w:tr>
      <w:tr w:rsidR="006E6DE8" w:rsidRPr="006E6DE8" w14:paraId="2128FD4E" w14:textId="77777777" w:rsidTr="00CE658E">
        <w:trPr>
          <w:trHeight w:val="283"/>
        </w:trPr>
        <w:tc>
          <w:tcPr>
            <w:tcW w:w="561" w:type="pct"/>
            <w:vMerge/>
            <w:shd w:val="clear" w:color="auto" w:fill="auto"/>
            <w:noWrap/>
            <w:vAlign w:val="center"/>
          </w:tcPr>
          <w:p w14:paraId="2F767114" w14:textId="77777777" w:rsidR="005819EF" w:rsidRPr="006E6DE8" w:rsidRDefault="005819EF" w:rsidP="00CE658E">
            <w:pPr>
              <w:adjustRightInd w:val="0"/>
              <w:snapToGrid w:val="0"/>
              <w:spacing w:after="0" w:line="240" w:lineRule="auto"/>
              <w:jc w:val="center"/>
              <w:rPr>
                <w:rFonts w:eastAsia="Times New Roman" w:cs="Times New Roman"/>
                <w:sz w:val="12"/>
                <w:szCs w:val="10"/>
                <w:lang w:val="en-US" w:eastAsia="es-ES"/>
              </w:rPr>
            </w:pPr>
          </w:p>
        </w:tc>
        <w:tc>
          <w:tcPr>
            <w:tcW w:w="665" w:type="pct"/>
            <w:vAlign w:val="center"/>
          </w:tcPr>
          <w:p w14:paraId="6DDCDE76" w14:textId="77777777" w:rsidR="005819EF" w:rsidRPr="006E6DE8" w:rsidRDefault="005819EF" w:rsidP="00CE658E">
            <w:pPr>
              <w:adjustRightInd w:val="0"/>
              <w:snapToGrid w:val="0"/>
              <w:spacing w:after="0" w:line="240" w:lineRule="auto"/>
              <w:jc w:val="right"/>
              <w:rPr>
                <w:rFonts w:cs="Times New Roman"/>
                <w:sz w:val="12"/>
                <w:szCs w:val="10"/>
              </w:rPr>
            </w:pPr>
            <w:r w:rsidRPr="006E6DE8">
              <w:rPr>
                <w:rFonts w:cs="Times New Roman"/>
                <w:sz w:val="12"/>
                <w:szCs w:val="10"/>
              </w:rPr>
              <w:t>1RM/BM</w:t>
            </w:r>
          </w:p>
        </w:tc>
        <w:tc>
          <w:tcPr>
            <w:tcW w:w="492" w:type="pct"/>
            <w:vAlign w:val="center"/>
          </w:tcPr>
          <w:p w14:paraId="4D4F38AC" w14:textId="77777777" w:rsidR="005819EF" w:rsidRPr="006E6DE8" w:rsidRDefault="005819EF" w:rsidP="00CE658E">
            <w:pPr>
              <w:pStyle w:val="TableParagraph"/>
              <w:adjustRightInd w:val="0"/>
              <w:snapToGrid w:val="0"/>
              <w:ind w:left="98"/>
              <w:rPr>
                <w:sz w:val="12"/>
                <w:szCs w:val="10"/>
              </w:rPr>
            </w:pPr>
            <w:r w:rsidRPr="006E6DE8">
              <w:rPr>
                <w:w w:val="110"/>
                <w:sz w:val="12"/>
                <w:szCs w:val="10"/>
              </w:rPr>
              <w:t>1.24 ± 0.11</w:t>
            </w:r>
          </w:p>
        </w:tc>
        <w:tc>
          <w:tcPr>
            <w:tcW w:w="490" w:type="pct"/>
            <w:vAlign w:val="center"/>
          </w:tcPr>
          <w:p w14:paraId="733DF639" w14:textId="77777777" w:rsidR="005819EF" w:rsidRPr="006E6DE8" w:rsidRDefault="005819EF" w:rsidP="00CE658E">
            <w:pPr>
              <w:pStyle w:val="TableParagraph"/>
              <w:adjustRightInd w:val="0"/>
              <w:snapToGrid w:val="0"/>
              <w:ind w:left="99"/>
              <w:rPr>
                <w:sz w:val="12"/>
                <w:szCs w:val="10"/>
              </w:rPr>
            </w:pPr>
            <w:r w:rsidRPr="006E6DE8">
              <w:rPr>
                <w:w w:val="110"/>
                <w:sz w:val="12"/>
                <w:szCs w:val="10"/>
              </w:rPr>
              <w:t>1.14 ± 0.10</w:t>
            </w:r>
            <w:r w:rsidRPr="006E6DE8">
              <w:rPr>
                <w:rFonts w:ascii="Cambria Math" w:hAnsi="Cambria Math" w:cs="Cambria Math"/>
                <w:w w:val="110"/>
                <w:position w:val="6"/>
                <w:sz w:val="12"/>
                <w:szCs w:val="10"/>
              </w:rPr>
              <w:t>∗</w:t>
            </w:r>
          </w:p>
        </w:tc>
        <w:tc>
          <w:tcPr>
            <w:tcW w:w="254" w:type="pct"/>
            <w:vAlign w:val="center"/>
          </w:tcPr>
          <w:p w14:paraId="2B1BDD72"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0.95</w:t>
            </w:r>
          </w:p>
        </w:tc>
        <w:tc>
          <w:tcPr>
            <w:tcW w:w="73" w:type="pct"/>
            <w:vAlign w:val="center"/>
          </w:tcPr>
          <w:p w14:paraId="670B3840"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3479E749"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1.36 ± 0.13</w:t>
            </w:r>
          </w:p>
        </w:tc>
        <w:tc>
          <w:tcPr>
            <w:tcW w:w="493" w:type="pct"/>
            <w:vAlign w:val="center"/>
          </w:tcPr>
          <w:p w14:paraId="43AAB4E9"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1.24 ± 0.10*</w:t>
            </w:r>
          </w:p>
        </w:tc>
        <w:tc>
          <w:tcPr>
            <w:tcW w:w="213" w:type="pct"/>
            <w:vAlign w:val="center"/>
          </w:tcPr>
          <w:p w14:paraId="06EB1CE0" w14:textId="77777777" w:rsidR="005819EF" w:rsidRPr="006E6DE8" w:rsidRDefault="005819EF" w:rsidP="00CE658E">
            <w:pPr>
              <w:adjustRightInd w:val="0"/>
              <w:snapToGrid w:val="0"/>
              <w:spacing w:after="0" w:line="240" w:lineRule="auto"/>
              <w:jc w:val="right"/>
              <w:rPr>
                <w:rFonts w:cs="Times New Roman"/>
                <w:sz w:val="12"/>
                <w:szCs w:val="10"/>
              </w:rPr>
            </w:pPr>
            <w:r w:rsidRPr="006E6DE8">
              <w:rPr>
                <w:rFonts w:cs="Times New Roman"/>
                <w:w w:val="110"/>
                <w:sz w:val="12"/>
                <w:szCs w:val="10"/>
                <w:lang w:val="en-US"/>
              </w:rPr>
              <w:t>1.03</w:t>
            </w:r>
          </w:p>
        </w:tc>
        <w:tc>
          <w:tcPr>
            <w:tcW w:w="74" w:type="pct"/>
            <w:vAlign w:val="center"/>
          </w:tcPr>
          <w:p w14:paraId="04BF62C5"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3D3CC52E"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1.86 ± 0.22</w:t>
            </w:r>
          </w:p>
        </w:tc>
        <w:tc>
          <w:tcPr>
            <w:tcW w:w="493" w:type="pct"/>
            <w:vAlign w:val="center"/>
          </w:tcPr>
          <w:p w14:paraId="5F655697"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1.60 ± 0.17*</w:t>
            </w:r>
          </w:p>
        </w:tc>
        <w:tc>
          <w:tcPr>
            <w:tcW w:w="214" w:type="pct"/>
            <w:vAlign w:val="center"/>
          </w:tcPr>
          <w:p w14:paraId="4DB7D9BD" w14:textId="77777777" w:rsidR="005819EF" w:rsidRPr="006E6DE8" w:rsidRDefault="005819EF" w:rsidP="00CE658E">
            <w:pPr>
              <w:adjustRightInd w:val="0"/>
              <w:snapToGrid w:val="0"/>
              <w:spacing w:after="0" w:line="240" w:lineRule="auto"/>
              <w:jc w:val="right"/>
              <w:rPr>
                <w:rFonts w:cs="Times New Roman"/>
                <w:sz w:val="12"/>
                <w:szCs w:val="10"/>
              </w:rPr>
            </w:pPr>
            <w:r w:rsidRPr="006E6DE8">
              <w:rPr>
                <w:rFonts w:cs="Times New Roman"/>
                <w:w w:val="110"/>
                <w:sz w:val="12"/>
                <w:szCs w:val="10"/>
                <w:lang w:val="en-US"/>
              </w:rPr>
              <w:t>1.32</w:t>
            </w:r>
          </w:p>
        </w:tc>
      </w:tr>
      <w:tr w:rsidR="006E6DE8" w:rsidRPr="006E6DE8" w14:paraId="736A0FDB" w14:textId="77777777" w:rsidTr="00CE658E">
        <w:trPr>
          <w:trHeight w:val="283"/>
        </w:trPr>
        <w:tc>
          <w:tcPr>
            <w:tcW w:w="561" w:type="pct"/>
            <w:vMerge/>
            <w:shd w:val="clear" w:color="auto" w:fill="auto"/>
            <w:noWrap/>
            <w:vAlign w:val="center"/>
          </w:tcPr>
          <w:p w14:paraId="3C8A646A" w14:textId="77777777" w:rsidR="005819EF" w:rsidRPr="006E6DE8" w:rsidRDefault="005819EF" w:rsidP="00CE658E">
            <w:pPr>
              <w:adjustRightInd w:val="0"/>
              <w:snapToGrid w:val="0"/>
              <w:spacing w:after="0" w:line="240" w:lineRule="auto"/>
              <w:jc w:val="center"/>
              <w:rPr>
                <w:rFonts w:eastAsia="Times New Roman" w:cs="Times New Roman"/>
                <w:sz w:val="12"/>
                <w:szCs w:val="10"/>
                <w:lang w:val="en-US" w:eastAsia="es-ES"/>
              </w:rPr>
            </w:pPr>
          </w:p>
        </w:tc>
        <w:tc>
          <w:tcPr>
            <w:tcW w:w="665" w:type="pct"/>
            <w:vAlign w:val="center"/>
          </w:tcPr>
          <w:p w14:paraId="243B1080" w14:textId="77777777" w:rsidR="005819EF" w:rsidRPr="006E6DE8" w:rsidRDefault="005819EF" w:rsidP="00CE658E">
            <w:pPr>
              <w:adjustRightInd w:val="0"/>
              <w:snapToGrid w:val="0"/>
              <w:spacing w:after="0" w:line="240" w:lineRule="auto"/>
              <w:jc w:val="right"/>
              <w:rPr>
                <w:rFonts w:cs="Times New Roman"/>
                <w:sz w:val="12"/>
                <w:szCs w:val="10"/>
              </w:rPr>
            </w:pPr>
            <w:r w:rsidRPr="006E6DE8">
              <w:rPr>
                <w:rFonts w:cs="Times New Roman"/>
                <w:sz w:val="12"/>
                <w:szCs w:val="10"/>
              </w:rPr>
              <w:t>MPV</w:t>
            </w:r>
            <w:r w:rsidRPr="006E6DE8">
              <w:rPr>
                <w:rFonts w:cs="Times New Roman"/>
                <w:sz w:val="12"/>
                <w:szCs w:val="10"/>
                <w:vertAlign w:val="subscript"/>
              </w:rPr>
              <w:t>ALL</w:t>
            </w:r>
            <w:r w:rsidRPr="006E6DE8">
              <w:rPr>
                <w:rFonts w:cs="Times New Roman"/>
                <w:sz w:val="12"/>
                <w:szCs w:val="10"/>
              </w:rPr>
              <w:t xml:space="preserve"> (m·s</w:t>
            </w:r>
            <w:r w:rsidRPr="006E6DE8">
              <w:rPr>
                <w:rFonts w:cs="Times New Roman"/>
                <w:sz w:val="12"/>
                <w:szCs w:val="10"/>
                <w:vertAlign w:val="superscript"/>
              </w:rPr>
              <w:t>-1</w:t>
            </w:r>
            <w:r w:rsidRPr="006E6DE8">
              <w:rPr>
                <w:rFonts w:cs="Times New Roman"/>
                <w:sz w:val="12"/>
                <w:szCs w:val="10"/>
              </w:rPr>
              <w:t>)</w:t>
            </w:r>
          </w:p>
        </w:tc>
        <w:tc>
          <w:tcPr>
            <w:tcW w:w="492" w:type="pct"/>
            <w:vAlign w:val="center"/>
          </w:tcPr>
          <w:p w14:paraId="08F4B7C0" w14:textId="77777777" w:rsidR="005819EF" w:rsidRPr="006E6DE8" w:rsidRDefault="005819EF" w:rsidP="00CE658E">
            <w:pPr>
              <w:pStyle w:val="TableParagraph"/>
              <w:adjustRightInd w:val="0"/>
              <w:snapToGrid w:val="0"/>
              <w:ind w:left="98"/>
              <w:rPr>
                <w:sz w:val="12"/>
                <w:szCs w:val="10"/>
              </w:rPr>
            </w:pPr>
            <w:r w:rsidRPr="006E6DE8">
              <w:rPr>
                <w:w w:val="110"/>
                <w:sz w:val="12"/>
                <w:szCs w:val="10"/>
              </w:rPr>
              <w:t>0.75 ± 0.09</w:t>
            </w:r>
          </w:p>
        </w:tc>
        <w:tc>
          <w:tcPr>
            <w:tcW w:w="490" w:type="pct"/>
            <w:vAlign w:val="center"/>
          </w:tcPr>
          <w:p w14:paraId="2F39EB89" w14:textId="77777777" w:rsidR="005819EF" w:rsidRPr="006E6DE8" w:rsidRDefault="005819EF" w:rsidP="00CE658E">
            <w:pPr>
              <w:pStyle w:val="TableParagraph"/>
              <w:adjustRightInd w:val="0"/>
              <w:snapToGrid w:val="0"/>
              <w:ind w:left="99"/>
              <w:rPr>
                <w:sz w:val="12"/>
                <w:szCs w:val="10"/>
              </w:rPr>
            </w:pPr>
            <w:r w:rsidRPr="006E6DE8">
              <w:rPr>
                <w:w w:val="110"/>
                <w:sz w:val="12"/>
                <w:szCs w:val="10"/>
              </w:rPr>
              <w:t>0.71 ± 0.06</w:t>
            </w:r>
          </w:p>
        </w:tc>
        <w:tc>
          <w:tcPr>
            <w:tcW w:w="254" w:type="pct"/>
            <w:vAlign w:val="center"/>
          </w:tcPr>
          <w:p w14:paraId="5C0DB5BE"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0.52</w:t>
            </w:r>
          </w:p>
        </w:tc>
        <w:tc>
          <w:tcPr>
            <w:tcW w:w="73" w:type="pct"/>
            <w:vAlign w:val="center"/>
          </w:tcPr>
          <w:p w14:paraId="15022519"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0E55F937"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0.73 ± 0.07</w:t>
            </w:r>
          </w:p>
        </w:tc>
        <w:tc>
          <w:tcPr>
            <w:tcW w:w="493" w:type="pct"/>
            <w:vAlign w:val="center"/>
          </w:tcPr>
          <w:p w14:paraId="13467140"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0.69 ± 0.07</w:t>
            </w:r>
          </w:p>
        </w:tc>
        <w:tc>
          <w:tcPr>
            <w:tcW w:w="213" w:type="pct"/>
            <w:vAlign w:val="center"/>
          </w:tcPr>
          <w:p w14:paraId="1073558E" w14:textId="77777777" w:rsidR="005819EF" w:rsidRPr="006E6DE8" w:rsidRDefault="005819EF" w:rsidP="00CE658E">
            <w:pPr>
              <w:adjustRightInd w:val="0"/>
              <w:snapToGrid w:val="0"/>
              <w:spacing w:after="0" w:line="240" w:lineRule="auto"/>
              <w:jc w:val="right"/>
              <w:rPr>
                <w:rFonts w:cs="Times New Roman"/>
                <w:sz w:val="12"/>
                <w:szCs w:val="10"/>
              </w:rPr>
            </w:pPr>
            <w:r w:rsidRPr="006E6DE8">
              <w:rPr>
                <w:rFonts w:cs="Times New Roman"/>
                <w:w w:val="110"/>
                <w:sz w:val="12"/>
                <w:szCs w:val="10"/>
                <w:lang w:val="en-US"/>
              </w:rPr>
              <w:t>0.57</w:t>
            </w:r>
          </w:p>
        </w:tc>
        <w:tc>
          <w:tcPr>
            <w:tcW w:w="74" w:type="pct"/>
            <w:vAlign w:val="center"/>
          </w:tcPr>
          <w:p w14:paraId="33A5EFFE"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7FF4C115"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0.72 ± 0.06</w:t>
            </w:r>
          </w:p>
        </w:tc>
        <w:tc>
          <w:tcPr>
            <w:tcW w:w="493" w:type="pct"/>
            <w:vAlign w:val="center"/>
          </w:tcPr>
          <w:p w14:paraId="6BA02C5A"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0.67 ± 0.06*</w:t>
            </w:r>
          </w:p>
        </w:tc>
        <w:tc>
          <w:tcPr>
            <w:tcW w:w="214" w:type="pct"/>
            <w:vAlign w:val="center"/>
          </w:tcPr>
          <w:p w14:paraId="7AD25DEC" w14:textId="77777777" w:rsidR="005819EF" w:rsidRPr="006E6DE8" w:rsidRDefault="005819EF" w:rsidP="00CE658E">
            <w:pPr>
              <w:adjustRightInd w:val="0"/>
              <w:snapToGrid w:val="0"/>
              <w:spacing w:after="0" w:line="240" w:lineRule="auto"/>
              <w:jc w:val="right"/>
              <w:rPr>
                <w:rFonts w:cs="Times New Roman"/>
                <w:sz w:val="12"/>
                <w:szCs w:val="10"/>
              </w:rPr>
            </w:pPr>
            <w:r w:rsidRPr="006E6DE8">
              <w:rPr>
                <w:rFonts w:cs="Times New Roman"/>
                <w:w w:val="110"/>
                <w:sz w:val="12"/>
                <w:szCs w:val="10"/>
                <w:lang w:val="en-US"/>
              </w:rPr>
              <w:t>0.83</w:t>
            </w:r>
          </w:p>
        </w:tc>
      </w:tr>
      <w:tr w:rsidR="006E6DE8" w:rsidRPr="006E6DE8" w14:paraId="707071F9" w14:textId="77777777" w:rsidTr="00CE658E">
        <w:trPr>
          <w:trHeight w:val="283"/>
        </w:trPr>
        <w:tc>
          <w:tcPr>
            <w:tcW w:w="561" w:type="pct"/>
            <w:vMerge/>
            <w:shd w:val="clear" w:color="auto" w:fill="auto"/>
            <w:noWrap/>
            <w:vAlign w:val="center"/>
          </w:tcPr>
          <w:p w14:paraId="46EF3EC4" w14:textId="77777777" w:rsidR="005819EF" w:rsidRPr="006E6DE8" w:rsidRDefault="005819EF" w:rsidP="00CE658E">
            <w:pPr>
              <w:adjustRightInd w:val="0"/>
              <w:snapToGrid w:val="0"/>
              <w:spacing w:after="0" w:line="240" w:lineRule="auto"/>
              <w:jc w:val="center"/>
              <w:rPr>
                <w:rFonts w:eastAsia="Times New Roman" w:cs="Times New Roman"/>
                <w:sz w:val="12"/>
                <w:szCs w:val="10"/>
                <w:lang w:val="en-US" w:eastAsia="es-ES"/>
              </w:rPr>
            </w:pPr>
          </w:p>
        </w:tc>
        <w:tc>
          <w:tcPr>
            <w:tcW w:w="665" w:type="pct"/>
            <w:vAlign w:val="center"/>
          </w:tcPr>
          <w:p w14:paraId="6347C8EE" w14:textId="77777777" w:rsidR="005819EF" w:rsidRPr="006E6DE8" w:rsidRDefault="005819EF" w:rsidP="00CE658E">
            <w:pPr>
              <w:adjustRightInd w:val="0"/>
              <w:snapToGrid w:val="0"/>
              <w:spacing w:after="0" w:line="240" w:lineRule="auto"/>
              <w:jc w:val="right"/>
              <w:rPr>
                <w:rFonts w:cs="Times New Roman"/>
                <w:sz w:val="12"/>
                <w:szCs w:val="10"/>
              </w:rPr>
            </w:pPr>
            <w:r w:rsidRPr="006E6DE8">
              <w:rPr>
                <w:rFonts w:cs="Times New Roman"/>
                <w:sz w:val="12"/>
                <w:szCs w:val="10"/>
              </w:rPr>
              <w:t>MPV</w:t>
            </w:r>
            <w:r w:rsidRPr="006E6DE8">
              <w:rPr>
                <w:rFonts w:cs="Times New Roman"/>
                <w:sz w:val="12"/>
                <w:szCs w:val="10"/>
                <w:vertAlign w:val="subscript"/>
              </w:rPr>
              <w:t>&lt;50%1RM</w:t>
            </w:r>
            <w:r w:rsidRPr="006E6DE8">
              <w:rPr>
                <w:rFonts w:cs="Times New Roman"/>
                <w:sz w:val="12"/>
                <w:szCs w:val="10"/>
              </w:rPr>
              <w:t xml:space="preserve"> (m·s</w:t>
            </w:r>
            <w:r w:rsidRPr="006E6DE8">
              <w:rPr>
                <w:rFonts w:cs="Times New Roman"/>
                <w:sz w:val="12"/>
                <w:szCs w:val="10"/>
                <w:vertAlign w:val="superscript"/>
              </w:rPr>
              <w:t>-1</w:t>
            </w:r>
            <w:r w:rsidRPr="006E6DE8">
              <w:rPr>
                <w:rFonts w:cs="Times New Roman"/>
                <w:sz w:val="12"/>
                <w:szCs w:val="10"/>
              </w:rPr>
              <w:t>)</w:t>
            </w:r>
          </w:p>
        </w:tc>
        <w:tc>
          <w:tcPr>
            <w:tcW w:w="492" w:type="pct"/>
            <w:vAlign w:val="center"/>
          </w:tcPr>
          <w:p w14:paraId="53F44999" w14:textId="77777777" w:rsidR="005819EF" w:rsidRPr="006E6DE8" w:rsidRDefault="005819EF" w:rsidP="00CE658E">
            <w:pPr>
              <w:pStyle w:val="TableParagraph"/>
              <w:adjustRightInd w:val="0"/>
              <w:snapToGrid w:val="0"/>
              <w:ind w:left="98"/>
              <w:rPr>
                <w:sz w:val="12"/>
                <w:szCs w:val="10"/>
              </w:rPr>
            </w:pPr>
            <w:r w:rsidRPr="006E6DE8">
              <w:rPr>
                <w:w w:val="110"/>
                <w:sz w:val="12"/>
                <w:szCs w:val="10"/>
              </w:rPr>
              <w:t>1.06 ± 0.09</w:t>
            </w:r>
          </w:p>
        </w:tc>
        <w:tc>
          <w:tcPr>
            <w:tcW w:w="490" w:type="pct"/>
            <w:vAlign w:val="center"/>
          </w:tcPr>
          <w:p w14:paraId="5DB84514" w14:textId="77777777" w:rsidR="005819EF" w:rsidRPr="006E6DE8" w:rsidRDefault="005819EF" w:rsidP="00CE658E">
            <w:pPr>
              <w:pStyle w:val="TableParagraph"/>
              <w:adjustRightInd w:val="0"/>
              <w:snapToGrid w:val="0"/>
              <w:ind w:left="99"/>
              <w:rPr>
                <w:sz w:val="12"/>
                <w:szCs w:val="10"/>
              </w:rPr>
            </w:pPr>
            <w:r w:rsidRPr="006E6DE8">
              <w:rPr>
                <w:w w:val="110"/>
                <w:sz w:val="12"/>
                <w:szCs w:val="10"/>
              </w:rPr>
              <w:t>1.02 ± 0.08</w:t>
            </w:r>
          </w:p>
        </w:tc>
        <w:tc>
          <w:tcPr>
            <w:tcW w:w="254" w:type="pct"/>
            <w:vAlign w:val="center"/>
          </w:tcPr>
          <w:p w14:paraId="013EE996"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0.47</w:t>
            </w:r>
          </w:p>
        </w:tc>
        <w:tc>
          <w:tcPr>
            <w:tcW w:w="73" w:type="pct"/>
            <w:vAlign w:val="center"/>
          </w:tcPr>
          <w:p w14:paraId="6593C062"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704865D6"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1.00 ± 0.06</w:t>
            </w:r>
          </w:p>
        </w:tc>
        <w:tc>
          <w:tcPr>
            <w:tcW w:w="493" w:type="pct"/>
            <w:vAlign w:val="center"/>
          </w:tcPr>
          <w:p w14:paraId="2477C02D"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0.96 ± 0.07</w:t>
            </w:r>
          </w:p>
        </w:tc>
        <w:tc>
          <w:tcPr>
            <w:tcW w:w="213" w:type="pct"/>
            <w:vAlign w:val="center"/>
          </w:tcPr>
          <w:p w14:paraId="21143486" w14:textId="77777777" w:rsidR="005819EF" w:rsidRPr="006E6DE8" w:rsidRDefault="005819EF" w:rsidP="00CE658E">
            <w:pPr>
              <w:adjustRightInd w:val="0"/>
              <w:snapToGrid w:val="0"/>
              <w:spacing w:after="0" w:line="240" w:lineRule="auto"/>
              <w:jc w:val="right"/>
              <w:rPr>
                <w:rFonts w:cs="Times New Roman"/>
                <w:sz w:val="12"/>
                <w:szCs w:val="10"/>
              </w:rPr>
            </w:pPr>
            <w:r w:rsidRPr="006E6DE8">
              <w:rPr>
                <w:rFonts w:cs="Times New Roman"/>
                <w:w w:val="110"/>
                <w:sz w:val="12"/>
                <w:szCs w:val="10"/>
                <w:lang w:val="en-US"/>
              </w:rPr>
              <w:t>0.61</w:t>
            </w:r>
          </w:p>
        </w:tc>
        <w:tc>
          <w:tcPr>
            <w:tcW w:w="74" w:type="pct"/>
            <w:vAlign w:val="center"/>
          </w:tcPr>
          <w:p w14:paraId="1F2FB8AC"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04CC569C"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0.96 ± 0.09</w:t>
            </w:r>
          </w:p>
        </w:tc>
        <w:tc>
          <w:tcPr>
            <w:tcW w:w="493" w:type="pct"/>
            <w:vAlign w:val="center"/>
          </w:tcPr>
          <w:p w14:paraId="2E235406"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0.90 ± 0.07</w:t>
            </w:r>
          </w:p>
        </w:tc>
        <w:tc>
          <w:tcPr>
            <w:tcW w:w="214" w:type="pct"/>
            <w:vAlign w:val="center"/>
          </w:tcPr>
          <w:p w14:paraId="1C5B2A3F" w14:textId="77777777" w:rsidR="005819EF" w:rsidRPr="006E6DE8" w:rsidRDefault="005819EF" w:rsidP="00CE658E">
            <w:pPr>
              <w:adjustRightInd w:val="0"/>
              <w:snapToGrid w:val="0"/>
              <w:spacing w:after="0" w:line="240" w:lineRule="auto"/>
              <w:jc w:val="right"/>
              <w:rPr>
                <w:rFonts w:cs="Times New Roman"/>
                <w:sz w:val="12"/>
                <w:szCs w:val="10"/>
              </w:rPr>
            </w:pPr>
            <w:r w:rsidRPr="006E6DE8">
              <w:rPr>
                <w:rFonts w:cs="Times New Roman"/>
                <w:w w:val="110"/>
                <w:sz w:val="12"/>
                <w:szCs w:val="10"/>
                <w:lang w:val="en-US"/>
              </w:rPr>
              <w:t>0.74</w:t>
            </w:r>
          </w:p>
        </w:tc>
      </w:tr>
      <w:tr w:rsidR="006E6DE8" w:rsidRPr="006E6DE8" w14:paraId="28E4AB68" w14:textId="77777777" w:rsidTr="00CE658E">
        <w:trPr>
          <w:trHeight w:val="283"/>
        </w:trPr>
        <w:tc>
          <w:tcPr>
            <w:tcW w:w="561" w:type="pct"/>
            <w:vMerge/>
            <w:shd w:val="clear" w:color="auto" w:fill="auto"/>
            <w:noWrap/>
            <w:vAlign w:val="center"/>
          </w:tcPr>
          <w:p w14:paraId="24D15B6A" w14:textId="77777777" w:rsidR="005819EF" w:rsidRPr="006E6DE8" w:rsidRDefault="005819EF" w:rsidP="00CE658E">
            <w:pPr>
              <w:adjustRightInd w:val="0"/>
              <w:snapToGrid w:val="0"/>
              <w:spacing w:after="0" w:line="240" w:lineRule="auto"/>
              <w:jc w:val="center"/>
              <w:rPr>
                <w:rFonts w:eastAsia="Times New Roman" w:cs="Times New Roman"/>
                <w:sz w:val="12"/>
                <w:szCs w:val="10"/>
                <w:lang w:val="en-US" w:eastAsia="es-ES"/>
              </w:rPr>
            </w:pPr>
          </w:p>
        </w:tc>
        <w:tc>
          <w:tcPr>
            <w:tcW w:w="665" w:type="pct"/>
            <w:vAlign w:val="center"/>
          </w:tcPr>
          <w:p w14:paraId="0EACB206" w14:textId="77777777" w:rsidR="005819EF" w:rsidRPr="006E6DE8" w:rsidRDefault="005819EF" w:rsidP="00CE658E">
            <w:pPr>
              <w:adjustRightInd w:val="0"/>
              <w:snapToGrid w:val="0"/>
              <w:spacing w:after="0" w:line="240" w:lineRule="auto"/>
              <w:jc w:val="right"/>
              <w:rPr>
                <w:rFonts w:cs="Times New Roman"/>
                <w:sz w:val="12"/>
                <w:szCs w:val="10"/>
              </w:rPr>
            </w:pPr>
            <w:r w:rsidRPr="006E6DE8">
              <w:rPr>
                <w:rFonts w:cs="Times New Roman"/>
                <w:sz w:val="12"/>
                <w:szCs w:val="10"/>
              </w:rPr>
              <w:t>MPV</w:t>
            </w:r>
            <w:r w:rsidRPr="006E6DE8">
              <w:rPr>
                <w:rFonts w:cs="Times New Roman"/>
                <w:sz w:val="12"/>
                <w:szCs w:val="10"/>
                <w:vertAlign w:val="subscript"/>
              </w:rPr>
              <w:t>&gt;50%1RM</w:t>
            </w:r>
            <w:r w:rsidRPr="006E6DE8">
              <w:rPr>
                <w:rFonts w:cs="Times New Roman"/>
                <w:sz w:val="12"/>
                <w:szCs w:val="10"/>
              </w:rPr>
              <w:t xml:space="preserve"> (m·s</w:t>
            </w:r>
            <w:r w:rsidRPr="006E6DE8">
              <w:rPr>
                <w:rFonts w:cs="Times New Roman"/>
                <w:sz w:val="12"/>
                <w:szCs w:val="10"/>
                <w:vertAlign w:val="superscript"/>
              </w:rPr>
              <w:t>-1</w:t>
            </w:r>
            <w:r w:rsidRPr="006E6DE8">
              <w:rPr>
                <w:rFonts w:cs="Times New Roman"/>
                <w:sz w:val="12"/>
                <w:szCs w:val="10"/>
              </w:rPr>
              <w:t>)</w:t>
            </w:r>
          </w:p>
        </w:tc>
        <w:tc>
          <w:tcPr>
            <w:tcW w:w="492" w:type="pct"/>
            <w:vAlign w:val="center"/>
          </w:tcPr>
          <w:p w14:paraId="123652B8" w14:textId="77777777" w:rsidR="005819EF" w:rsidRPr="006E6DE8" w:rsidRDefault="005819EF" w:rsidP="00CE658E">
            <w:pPr>
              <w:pStyle w:val="TableParagraph"/>
              <w:adjustRightInd w:val="0"/>
              <w:snapToGrid w:val="0"/>
              <w:ind w:left="98"/>
              <w:rPr>
                <w:sz w:val="12"/>
                <w:szCs w:val="10"/>
              </w:rPr>
            </w:pPr>
            <w:r w:rsidRPr="006E6DE8">
              <w:rPr>
                <w:w w:val="110"/>
                <w:sz w:val="12"/>
                <w:szCs w:val="10"/>
              </w:rPr>
              <w:t>0.57 ± 0.07</w:t>
            </w:r>
          </w:p>
        </w:tc>
        <w:tc>
          <w:tcPr>
            <w:tcW w:w="490" w:type="pct"/>
            <w:vAlign w:val="center"/>
          </w:tcPr>
          <w:p w14:paraId="49101BB5" w14:textId="77777777" w:rsidR="005819EF" w:rsidRPr="006E6DE8" w:rsidRDefault="005819EF" w:rsidP="00CE658E">
            <w:pPr>
              <w:pStyle w:val="TableParagraph"/>
              <w:adjustRightInd w:val="0"/>
              <w:snapToGrid w:val="0"/>
              <w:ind w:left="99"/>
              <w:rPr>
                <w:sz w:val="12"/>
                <w:szCs w:val="10"/>
              </w:rPr>
            </w:pPr>
            <w:r w:rsidRPr="006E6DE8">
              <w:rPr>
                <w:w w:val="110"/>
                <w:sz w:val="12"/>
                <w:szCs w:val="10"/>
              </w:rPr>
              <w:t>0.52 ± 0.05</w:t>
            </w:r>
            <w:r w:rsidRPr="006E6DE8">
              <w:rPr>
                <w:rFonts w:ascii="Cambria Math" w:hAnsi="Cambria Math" w:cs="Cambria Math"/>
                <w:w w:val="110"/>
                <w:position w:val="6"/>
                <w:sz w:val="12"/>
                <w:szCs w:val="10"/>
              </w:rPr>
              <w:t>∗</w:t>
            </w:r>
          </w:p>
        </w:tc>
        <w:tc>
          <w:tcPr>
            <w:tcW w:w="254" w:type="pct"/>
            <w:vAlign w:val="center"/>
          </w:tcPr>
          <w:p w14:paraId="0A03D7CF" w14:textId="77777777" w:rsidR="005819EF" w:rsidRPr="006E6DE8" w:rsidRDefault="005819EF" w:rsidP="00CE658E">
            <w:pPr>
              <w:pStyle w:val="TableParagraph"/>
              <w:adjustRightInd w:val="0"/>
              <w:snapToGrid w:val="0"/>
              <w:jc w:val="right"/>
              <w:rPr>
                <w:sz w:val="12"/>
                <w:szCs w:val="10"/>
              </w:rPr>
            </w:pPr>
            <w:r w:rsidRPr="006E6DE8">
              <w:rPr>
                <w:w w:val="105"/>
                <w:sz w:val="12"/>
                <w:szCs w:val="10"/>
              </w:rPr>
              <w:t>0.82</w:t>
            </w:r>
          </w:p>
        </w:tc>
        <w:tc>
          <w:tcPr>
            <w:tcW w:w="73" w:type="pct"/>
            <w:vAlign w:val="center"/>
          </w:tcPr>
          <w:p w14:paraId="507AC6A3" w14:textId="77777777" w:rsidR="005819EF" w:rsidRPr="006E6DE8" w:rsidRDefault="005819EF" w:rsidP="00CE658E">
            <w:pPr>
              <w:adjustRightInd w:val="0"/>
              <w:snapToGrid w:val="0"/>
              <w:spacing w:after="0" w:line="240" w:lineRule="auto"/>
              <w:jc w:val="center"/>
              <w:rPr>
                <w:rFonts w:cs="Times New Roman"/>
                <w:sz w:val="12"/>
                <w:szCs w:val="10"/>
              </w:rPr>
            </w:pPr>
          </w:p>
        </w:tc>
        <w:tc>
          <w:tcPr>
            <w:tcW w:w="493" w:type="pct"/>
            <w:vAlign w:val="center"/>
          </w:tcPr>
          <w:p w14:paraId="11233C06"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0.57 ± 0.06</w:t>
            </w:r>
          </w:p>
        </w:tc>
        <w:tc>
          <w:tcPr>
            <w:tcW w:w="493" w:type="pct"/>
            <w:vAlign w:val="center"/>
          </w:tcPr>
          <w:p w14:paraId="0FC27FBC"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0.53 ± 0.06</w:t>
            </w:r>
          </w:p>
        </w:tc>
        <w:tc>
          <w:tcPr>
            <w:tcW w:w="213" w:type="pct"/>
            <w:vAlign w:val="center"/>
          </w:tcPr>
          <w:p w14:paraId="33AB02B3" w14:textId="77777777" w:rsidR="005819EF" w:rsidRPr="006E6DE8" w:rsidRDefault="005819EF" w:rsidP="00CE658E">
            <w:pPr>
              <w:adjustRightInd w:val="0"/>
              <w:snapToGrid w:val="0"/>
              <w:spacing w:after="0" w:line="240" w:lineRule="auto"/>
              <w:jc w:val="right"/>
              <w:rPr>
                <w:rFonts w:cs="Times New Roman"/>
                <w:sz w:val="12"/>
                <w:szCs w:val="10"/>
              </w:rPr>
            </w:pPr>
            <w:r w:rsidRPr="006E6DE8">
              <w:rPr>
                <w:rFonts w:cs="Times New Roman"/>
                <w:w w:val="110"/>
                <w:sz w:val="12"/>
                <w:szCs w:val="10"/>
                <w:lang w:val="en-US"/>
              </w:rPr>
              <w:t>0.67</w:t>
            </w:r>
          </w:p>
        </w:tc>
        <w:tc>
          <w:tcPr>
            <w:tcW w:w="74" w:type="pct"/>
            <w:vAlign w:val="center"/>
          </w:tcPr>
          <w:p w14:paraId="429357BB" w14:textId="77777777" w:rsidR="005819EF" w:rsidRPr="006E6DE8" w:rsidRDefault="005819EF" w:rsidP="00CE658E">
            <w:pPr>
              <w:adjustRightInd w:val="0"/>
              <w:snapToGrid w:val="0"/>
              <w:spacing w:after="0" w:line="240" w:lineRule="auto"/>
              <w:jc w:val="right"/>
              <w:rPr>
                <w:rFonts w:cs="Times New Roman"/>
                <w:sz w:val="12"/>
                <w:szCs w:val="10"/>
              </w:rPr>
            </w:pPr>
          </w:p>
        </w:tc>
        <w:tc>
          <w:tcPr>
            <w:tcW w:w="485" w:type="pct"/>
            <w:vAlign w:val="center"/>
          </w:tcPr>
          <w:p w14:paraId="29997E72"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0.52 ± 0.08</w:t>
            </w:r>
          </w:p>
        </w:tc>
        <w:tc>
          <w:tcPr>
            <w:tcW w:w="493" w:type="pct"/>
            <w:vAlign w:val="center"/>
          </w:tcPr>
          <w:p w14:paraId="0094A945" w14:textId="77777777" w:rsidR="005819EF" w:rsidRPr="006E6DE8" w:rsidRDefault="005819EF" w:rsidP="00CE658E">
            <w:pPr>
              <w:adjustRightInd w:val="0"/>
              <w:snapToGrid w:val="0"/>
              <w:spacing w:after="0" w:line="240" w:lineRule="auto"/>
              <w:rPr>
                <w:rFonts w:cs="Times New Roman"/>
                <w:sz w:val="12"/>
                <w:szCs w:val="10"/>
              </w:rPr>
            </w:pPr>
            <w:r w:rsidRPr="006E6DE8">
              <w:rPr>
                <w:rFonts w:cs="Times New Roman"/>
                <w:w w:val="110"/>
                <w:sz w:val="12"/>
                <w:szCs w:val="10"/>
                <w:lang w:val="en-US"/>
              </w:rPr>
              <w:t>0.47 ± 0.09</w:t>
            </w:r>
          </w:p>
        </w:tc>
        <w:tc>
          <w:tcPr>
            <w:tcW w:w="214" w:type="pct"/>
            <w:vAlign w:val="center"/>
          </w:tcPr>
          <w:p w14:paraId="622E64FA" w14:textId="77777777" w:rsidR="005819EF" w:rsidRPr="006E6DE8" w:rsidRDefault="005819EF" w:rsidP="00CE658E">
            <w:pPr>
              <w:adjustRightInd w:val="0"/>
              <w:snapToGrid w:val="0"/>
              <w:spacing w:after="0" w:line="240" w:lineRule="auto"/>
              <w:jc w:val="right"/>
              <w:rPr>
                <w:rFonts w:cs="Times New Roman"/>
                <w:sz w:val="12"/>
                <w:szCs w:val="10"/>
              </w:rPr>
            </w:pPr>
            <w:hyperlink r:id="rId9" w:anchor="RANGE!_bookmark4" w:history="1">
              <w:r w:rsidRPr="006E6DE8">
                <w:rPr>
                  <w:rStyle w:val="Hyperlink"/>
                  <w:rFonts w:cs="Times New Roman"/>
                  <w:color w:val="auto"/>
                  <w:w w:val="105"/>
                  <w:sz w:val="12"/>
                  <w:szCs w:val="10"/>
                  <w:lang w:val="en-US"/>
                </w:rPr>
                <w:t>0.59</w:t>
              </w:r>
            </w:hyperlink>
          </w:p>
        </w:tc>
      </w:tr>
    </w:tbl>
    <w:p w14:paraId="679078E4" w14:textId="77777777" w:rsidR="005819EF" w:rsidRPr="009A372E" w:rsidRDefault="005819EF" w:rsidP="005819EF">
      <w:pPr>
        <w:spacing w:before="61" w:line="213" w:lineRule="auto"/>
        <w:ind w:right="501"/>
        <w:rPr>
          <w:rFonts w:cs="Times New Roman"/>
          <w:sz w:val="16"/>
          <w:lang w:val="en-GB"/>
        </w:rPr>
      </w:pPr>
      <w:r w:rsidRPr="006E6DE8">
        <w:rPr>
          <w:rFonts w:cs="Times New Roman"/>
          <w:w w:val="110"/>
          <w:sz w:val="16"/>
          <w:lang w:val="en-GB"/>
        </w:rPr>
        <w:t>Note:</w:t>
      </w:r>
      <w:r w:rsidRPr="006E6DE8">
        <w:rPr>
          <w:rFonts w:cs="Times New Roman"/>
          <w:spacing w:val="-14"/>
          <w:w w:val="110"/>
          <w:sz w:val="16"/>
          <w:lang w:val="en-GB"/>
        </w:rPr>
        <w:t xml:space="preserve"> </w:t>
      </w:r>
      <w:r w:rsidRPr="006E6DE8">
        <w:rPr>
          <w:rFonts w:cs="Times New Roman"/>
          <w:w w:val="110"/>
          <w:sz w:val="16"/>
          <w:lang w:val="en-GB"/>
        </w:rPr>
        <w:t>Data</w:t>
      </w:r>
      <w:r w:rsidRPr="006E6DE8">
        <w:rPr>
          <w:rFonts w:cs="Times New Roman"/>
          <w:spacing w:val="-15"/>
          <w:w w:val="110"/>
          <w:sz w:val="16"/>
          <w:lang w:val="en-GB"/>
        </w:rPr>
        <w:t xml:space="preserve"> </w:t>
      </w:r>
      <w:r w:rsidRPr="006E6DE8">
        <w:rPr>
          <w:rFonts w:cs="Times New Roman"/>
          <w:w w:val="110"/>
          <w:sz w:val="16"/>
          <w:lang w:val="en-GB"/>
        </w:rPr>
        <w:t>are</w:t>
      </w:r>
      <w:r w:rsidRPr="006E6DE8">
        <w:rPr>
          <w:rFonts w:cs="Times New Roman"/>
          <w:spacing w:val="-14"/>
          <w:w w:val="110"/>
          <w:sz w:val="16"/>
          <w:lang w:val="en-GB"/>
        </w:rPr>
        <w:t xml:space="preserve"> </w:t>
      </w:r>
      <w:r w:rsidRPr="006E6DE8">
        <w:rPr>
          <w:rFonts w:cs="Times New Roman"/>
          <w:w w:val="110"/>
          <w:sz w:val="16"/>
          <w:lang w:val="en-GB"/>
        </w:rPr>
        <w:t>mean</w:t>
      </w:r>
      <w:r w:rsidRPr="006E6DE8">
        <w:rPr>
          <w:rFonts w:cs="Times New Roman"/>
          <w:spacing w:val="-19"/>
          <w:w w:val="110"/>
          <w:sz w:val="16"/>
          <w:lang w:val="en-GB"/>
        </w:rPr>
        <w:t xml:space="preserve"> </w:t>
      </w:r>
      <w:r w:rsidRPr="006E6DE8">
        <w:rPr>
          <w:rFonts w:cs="Times New Roman"/>
          <w:w w:val="110"/>
          <w:sz w:val="16"/>
          <w:lang w:val="en-GB"/>
        </w:rPr>
        <w:t>±</w:t>
      </w:r>
      <w:r w:rsidRPr="006E6DE8">
        <w:rPr>
          <w:rFonts w:cs="Times New Roman"/>
          <w:spacing w:val="-18"/>
          <w:w w:val="110"/>
          <w:sz w:val="16"/>
          <w:lang w:val="en-GB"/>
        </w:rPr>
        <w:t xml:space="preserve"> </w:t>
      </w:r>
      <w:r w:rsidRPr="006E6DE8">
        <w:rPr>
          <w:rFonts w:cs="Times New Roman"/>
          <w:w w:val="110"/>
          <w:sz w:val="16"/>
          <w:lang w:val="en-GB"/>
        </w:rPr>
        <w:t>SD.</w:t>
      </w:r>
      <w:r w:rsidRPr="006E6DE8">
        <w:rPr>
          <w:rFonts w:cs="Times New Roman"/>
          <w:spacing w:val="-15"/>
          <w:w w:val="110"/>
          <w:sz w:val="16"/>
          <w:lang w:val="en-GB"/>
        </w:rPr>
        <w:t xml:space="preserve"> </w:t>
      </w:r>
      <w:r w:rsidRPr="006E6DE8">
        <w:rPr>
          <w:rFonts w:cs="Times New Roman"/>
          <w:w w:val="110"/>
          <w:sz w:val="16"/>
          <w:lang w:val="en-GB"/>
        </w:rPr>
        <w:t>ES:</w:t>
      </w:r>
      <w:r w:rsidRPr="006E6DE8">
        <w:rPr>
          <w:rFonts w:cs="Times New Roman"/>
          <w:spacing w:val="-14"/>
          <w:w w:val="110"/>
          <w:sz w:val="16"/>
          <w:lang w:val="en-GB"/>
        </w:rPr>
        <w:t xml:space="preserve"> </w:t>
      </w:r>
      <w:r w:rsidRPr="006E6DE8">
        <w:rPr>
          <w:rFonts w:cs="Times New Roman"/>
          <w:w w:val="110"/>
          <w:sz w:val="16"/>
          <w:lang w:val="en-GB"/>
        </w:rPr>
        <w:t>effect</w:t>
      </w:r>
      <w:r w:rsidRPr="006E6DE8">
        <w:rPr>
          <w:rFonts w:cs="Times New Roman"/>
          <w:spacing w:val="-15"/>
          <w:w w:val="110"/>
          <w:sz w:val="16"/>
          <w:lang w:val="en-GB"/>
        </w:rPr>
        <w:t xml:space="preserve"> </w:t>
      </w:r>
      <w:r w:rsidRPr="006E6DE8">
        <w:rPr>
          <w:rFonts w:cs="Times New Roman"/>
          <w:w w:val="110"/>
          <w:sz w:val="16"/>
          <w:lang w:val="en-GB"/>
        </w:rPr>
        <w:t>size;</w:t>
      </w:r>
      <w:r w:rsidRPr="006E6DE8">
        <w:rPr>
          <w:rFonts w:cs="Times New Roman"/>
          <w:spacing w:val="-13"/>
          <w:w w:val="110"/>
          <w:sz w:val="16"/>
          <w:lang w:val="en-GB"/>
        </w:rPr>
        <w:t xml:space="preserve"> </w:t>
      </w:r>
      <w:r w:rsidRPr="006E6DE8">
        <w:rPr>
          <w:rFonts w:cs="Times New Roman"/>
          <w:w w:val="110"/>
          <w:sz w:val="16"/>
          <w:lang w:val="en-GB"/>
        </w:rPr>
        <w:t>F-SQ:</w:t>
      </w:r>
      <w:r w:rsidRPr="006E6DE8">
        <w:rPr>
          <w:rFonts w:cs="Times New Roman"/>
          <w:spacing w:val="-15"/>
          <w:w w:val="110"/>
          <w:sz w:val="16"/>
          <w:lang w:val="en-GB"/>
        </w:rPr>
        <w:t xml:space="preserve"> </w:t>
      </w:r>
      <w:r w:rsidRPr="006E6DE8">
        <w:rPr>
          <w:rFonts w:cs="Times New Roman"/>
          <w:w w:val="110"/>
          <w:sz w:val="16"/>
          <w:lang w:val="en-GB"/>
        </w:rPr>
        <w:t>Full</w:t>
      </w:r>
      <w:r w:rsidRPr="006E6DE8">
        <w:rPr>
          <w:rFonts w:cs="Times New Roman"/>
          <w:spacing w:val="-14"/>
          <w:w w:val="110"/>
          <w:sz w:val="16"/>
          <w:lang w:val="en-GB"/>
        </w:rPr>
        <w:t xml:space="preserve"> </w:t>
      </w:r>
      <w:r w:rsidRPr="006E6DE8">
        <w:rPr>
          <w:rFonts w:cs="Times New Roman"/>
          <w:w w:val="110"/>
          <w:sz w:val="16"/>
          <w:lang w:val="en-GB"/>
        </w:rPr>
        <w:t>Squat;</w:t>
      </w:r>
      <w:r w:rsidRPr="006E6DE8">
        <w:rPr>
          <w:rFonts w:cs="Times New Roman"/>
          <w:spacing w:val="-14"/>
          <w:w w:val="110"/>
          <w:sz w:val="16"/>
          <w:lang w:val="en-GB"/>
        </w:rPr>
        <w:t xml:space="preserve"> </w:t>
      </w:r>
      <w:r w:rsidRPr="006E6DE8">
        <w:rPr>
          <w:rFonts w:cs="Times New Roman"/>
          <w:w w:val="110"/>
          <w:sz w:val="16"/>
          <w:lang w:val="en-GB"/>
        </w:rPr>
        <w:t>P-SQ:</w:t>
      </w:r>
      <w:r w:rsidRPr="006E6DE8">
        <w:rPr>
          <w:rFonts w:cs="Times New Roman"/>
          <w:spacing w:val="-14"/>
          <w:w w:val="110"/>
          <w:sz w:val="16"/>
          <w:lang w:val="en-GB"/>
        </w:rPr>
        <w:t xml:space="preserve"> </w:t>
      </w:r>
      <w:r w:rsidRPr="006E6DE8">
        <w:rPr>
          <w:rFonts w:cs="Times New Roman"/>
          <w:w w:val="110"/>
          <w:sz w:val="16"/>
          <w:lang w:val="en-GB"/>
        </w:rPr>
        <w:t>Parallel</w:t>
      </w:r>
      <w:r w:rsidRPr="006E6DE8">
        <w:rPr>
          <w:rFonts w:cs="Times New Roman"/>
          <w:spacing w:val="-15"/>
          <w:w w:val="110"/>
          <w:sz w:val="16"/>
          <w:lang w:val="en-GB"/>
        </w:rPr>
        <w:t xml:space="preserve"> </w:t>
      </w:r>
      <w:r w:rsidRPr="006E6DE8">
        <w:rPr>
          <w:rFonts w:cs="Times New Roman"/>
          <w:w w:val="110"/>
          <w:sz w:val="16"/>
          <w:lang w:val="en-GB"/>
        </w:rPr>
        <w:t>Squat;</w:t>
      </w:r>
      <w:r w:rsidRPr="006E6DE8">
        <w:rPr>
          <w:rFonts w:cs="Times New Roman"/>
          <w:spacing w:val="-14"/>
          <w:w w:val="110"/>
          <w:sz w:val="16"/>
          <w:lang w:val="en-GB"/>
        </w:rPr>
        <w:t xml:space="preserve"> </w:t>
      </w:r>
      <w:r w:rsidRPr="006E6DE8">
        <w:rPr>
          <w:rFonts w:cs="Times New Roman"/>
          <w:w w:val="110"/>
          <w:sz w:val="16"/>
          <w:lang w:val="en-GB"/>
        </w:rPr>
        <w:t>H-SQ:</w:t>
      </w:r>
      <w:r w:rsidRPr="006E6DE8">
        <w:rPr>
          <w:rFonts w:cs="Times New Roman"/>
          <w:spacing w:val="-15"/>
          <w:w w:val="110"/>
          <w:sz w:val="16"/>
          <w:lang w:val="en-GB"/>
        </w:rPr>
        <w:t xml:space="preserve"> </w:t>
      </w:r>
      <w:r w:rsidRPr="006E6DE8">
        <w:rPr>
          <w:rFonts w:cs="Times New Roman"/>
          <w:w w:val="110"/>
          <w:sz w:val="16"/>
          <w:lang w:val="en-GB"/>
        </w:rPr>
        <w:t>Half</w:t>
      </w:r>
      <w:r w:rsidRPr="006E6DE8">
        <w:rPr>
          <w:rFonts w:cs="Times New Roman"/>
          <w:spacing w:val="-14"/>
          <w:w w:val="110"/>
          <w:sz w:val="16"/>
          <w:lang w:val="en-GB"/>
        </w:rPr>
        <w:t xml:space="preserve"> </w:t>
      </w:r>
      <w:r w:rsidRPr="006E6DE8">
        <w:rPr>
          <w:rFonts w:cs="Times New Roman"/>
          <w:w w:val="110"/>
          <w:sz w:val="16"/>
          <w:lang w:val="en-GB"/>
        </w:rPr>
        <w:t>Squat;</w:t>
      </w:r>
      <w:r w:rsidRPr="006E6DE8">
        <w:rPr>
          <w:rFonts w:cs="Times New Roman"/>
          <w:spacing w:val="-14"/>
          <w:w w:val="110"/>
          <w:sz w:val="16"/>
          <w:lang w:val="en-GB"/>
        </w:rPr>
        <w:t xml:space="preserve"> </w:t>
      </w:r>
      <w:r w:rsidRPr="006E6DE8">
        <w:rPr>
          <w:rFonts w:cs="Times New Roman"/>
          <w:w w:val="110"/>
          <w:sz w:val="16"/>
          <w:lang w:val="en-GB"/>
        </w:rPr>
        <w:t>1RM:</w:t>
      </w:r>
      <w:r w:rsidRPr="006E6DE8">
        <w:rPr>
          <w:rFonts w:cs="Times New Roman"/>
          <w:spacing w:val="-15"/>
          <w:w w:val="110"/>
          <w:sz w:val="16"/>
          <w:lang w:val="en-GB"/>
        </w:rPr>
        <w:t xml:space="preserve"> </w:t>
      </w:r>
      <w:r w:rsidRPr="006E6DE8">
        <w:rPr>
          <w:rFonts w:cs="Times New Roman"/>
          <w:w w:val="110"/>
          <w:sz w:val="16"/>
          <w:lang w:val="en-GB"/>
        </w:rPr>
        <w:t>one-repetition</w:t>
      </w:r>
      <w:r w:rsidRPr="006E6DE8">
        <w:rPr>
          <w:rFonts w:cs="Times New Roman"/>
          <w:spacing w:val="-14"/>
          <w:w w:val="110"/>
          <w:sz w:val="16"/>
          <w:lang w:val="en-GB"/>
        </w:rPr>
        <w:t xml:space="preserve"> </w:t>
      </w:r>
      <w:r w:rsidRPr="009A372E">
        <w:rPr>
          <w:rFonts w:cs="Times New Roman"/>
          <w:w w:val="110"/>
          <w:sz w:val="16"/>
          <w:lang w:val="en-GB"/>
        </w:rPr>
        <w:t>maximum;</w:t>
      </w:r>
      <w:r w:rsidRPr="009A372E">
        <w:rPr>
          <w:rFonts w:cs="Times New Roman"/>
          <w:spacing w:val="-14"/>
          <w:w w:val="110"/>
          <w:sz w:val="16"/>
          <w:lang w:val="en-GB"/>
        </w:rPr>
        <w:t xml:space="preserve"> </w:t>
      </w:r>
      <w:r w:rsidRPr="009A372E">
        <w:rPr>
          <w:rFonts w:cs="Times New Roman"/>
          <w:w w:val="110"/>
          <w:sz w:val="16"/>
          <w:lang w:val="en-GB"/>
        </w:rPr>
        <w:t>BM: body mass; MPV: mean propulsive</w:t>
      </w:r>
      <w:r w:rsidRPr="009A372E">
        <w:rPr>
          <w:rFonts w:cs="Times New Roman"/>
          <w:spacing w:val="8"/>
          <w:w w:val="110"/>
          <w:sz w:val="16"/>
          <w:lang w:val="en-GB"/>
        </w:rPr>
        <w:t xml:space="preserve"> </w:t>
      </w:r>
      <w:r w:rsidRPr="009A372E">
        <w:rPr>
          <w:rFonts w:cs="Times New Roman"/>
          <w:w w:val="110"/>
          <w:sz w:val="16"/>
          <w:lang w:val="en-GB"/>
        </w:rPr>
        <w:t xml:space="preserve">velocity. </w:t>
      </w:r>
      <w:r w:rsidRPr="009A372E">
        <w:rPr>
          <w:rFonts w:ascii="Cambria Math" w:hAnsi="Cambria Math" w:cs="Cambria Math"/>
          <w:w w:val="110"/>
          <w:position w:val="6"/>
          <w:sz w:val="11"/>
          <w:lang w:val="en-GB"/>
        </w:rPr>
        <w:t>∗</w:t>
      </w:r>
      <w:r w:rsidRPr="009A372E">
        <w:rPr>
          <w:rFonts w:cs="Times New Roman"/>
          <w:w w:val="110"/>
          <w:sz w:val="16"/>
          <w:lang w:val="en-GB"/>
        </w:rPr>
        <w:t>Significant</w:t>
      </w:r>
      <w:r w:rsidRPr="009A372E">
        <w:rPr>
          <w:rFonts w:cs="Times New Roman"/>
          <w:spacing w:val="-3"/>
          <w:w w:val="110"/>
          <w:sz w:val="16"/>
          <w:lang w:val="en-GB"/>
        </w:rPr>
        <w:t xml:space="preserve"> </w:t>
      </w:r>
      <w:r w:rsidRPr="009A372E">
        <w:rPr>
          <w:rFonts w:cs="Times New Roman"/>
          <w:w w:val="110"/>
          <w:sz w:val="16"/>
          <w:lang w:val="en-GB"/>
        </w:rPr>
        <w:t>differences</w:t>
      </w:r>
      <w:r w:rsidRPr="009A372E">
        <w:rPr>
          <w:rFonts w:cs="Times New Roman"/>
          <w:spacing w:val="-3"/>
          <w:w w:val="110"/>
          <w:sz w:val="16"/>
          <w:lang w:val="en-GB"/>
        </w:rPr>
        <w:t xml:space="preserve"> </w:t>
      </w:r>
      <w:r w:rsidRPr="009A372E">
        <w:rPr>
          <w:rFonts w:cs="Times New Roman"/>
          <w:w w:val="110"/>
          <w:sz w:val="16"/>
          <w:lang w:val="en-GB"/>
        </w:rPr>
        <w:t>compared</w:t>
      </w:r>
      <w:r w:rsidRPr="009A372E">
        <w:rPr>
          <w:rFonts w:cs="Times New Roman"/>
          <w:spacing w:val="-3"/>
          <w:w w:val="110"/>
          <w:sz w:val="16"/>
          <w:lang w:val="en-GB"/>
        </w:rPr>
        <w:t xml:space="preserve"> </w:t>
      </w:r>
      <w:r w:rsidRPr="009A372E">
        <w:rPr>
          <w:rFonts w:cs="Times New Roman"/>
          <w:w w:val="110"/>
          <w:sz w:val="16"/>
          <w:lang w:val="en-GB"/>
        </w:rPr>
        <w:t>to</w:t>
      </w:r>
      <w:r w:rsidRPr="009A372E">
        <w:rPr>
          <w:rFonts w:cs="Times New Roman"/>
          <w:spacing w:val="-3"/>
          <w:w w:val="110"/>
          <w:sz w:val="16"/>
          <w:lang w:val="en-GB"/>
        </w:rPr>
        <w:t xml:space="preserve"> </w:t>
      </w:r>
      <w:r w:rsidRPr="009A372E">
        <w:rPr>
          <w:rFonts w:cs="Times New Roman"/>
          <w:spacing w:val="-4"/>
          <w:w w:val="110"/>
          <w:sz w:val="16"/>
          <w:lang w:val="en-GB"/>
        </w:rPr>
        <w:t>T0.</w:t>
      </w:r>
    </w:p>
    <w:p w14:paraId="3A52C6FD" w14:textId="77777777" w:rsidR="0021030B" w:rsidRDefault="0021030B" w:rsidP="00CC7E8A">
      <w:pPr>
        <w:spacing w:line="276" w:lineRule="auto"/>
        <w:rPr>
          <w:rFonts w:cs="Times New Roman"/>
          <w:b/>
          <w:szCs w:val="24"/>
          <w:lang w:val="en-US"/>
        </w:rPr>
      </w:pPr>
    </w:p>
    <w:p w14:paraId="38B8CBCB" w14:textId="77777777" w:rsidR="005819EF" w:rsidRDefault="005819EF" w:rsidP="00CC7E8A">
      <w:pPr>
        <w:spacing w:line="276" w:lineRule="auto"/>
        <w:rPr>
          <w:rFonts w:cs="Times New Roman"/>
          <w:b/>
          <w:szCs w:val="24"/>
          <w:lang w:val="en-US"/>
        </w:rPr>
      </w:pPr>
    </w:p>
    <w:p w14:paraId="53601108" w14:textId="77777777" w:rsidR="005819EF" w:rsidRDefault="005819EF" w:rsidP="00CC7E8A">
      <w:pPr>
        <w:spacing w:line="276" w:lineRule="auto"/>
        <w:rPr>
          <w:rFonts w:cs="Times New Roman"/>
          <w:b/>
          <w:szCs w:val="24"/>
          <w:lang w:val="en-US"/>
        </w:rPr>
      </w:pPr>
    </w:p>
    <w:p w14:paraId="19702A42" w14:textId="77777777" w:rsidR="005819EF" w:rsidRDefault="005819EF" w:rsidP="00CC7E8A">
      <w:pPr>
        <w:spacing w:line="276" w:lineRule="auto"/>
        <w:rPr>
          <w:rFonts w:cs="Times New Roman"/>
          <w:b/>
          <w:szCs w:val="24"/>
          <w:lang w:val="en-US"/>
        </w:rPr>
      </w:pPr>
    </w:p>
    <w:p w14:paraId="6A31EFEC" w14:textId="77777777" w:rsidR="005819EF" w:rsidRDefault="005819EF" w:rsidP="00CC7E8A">
      <w:pPr>
        <w:spacing w:line="276" w:lineRule="auto"/>
        <w:rPr>
          <w:rFonts w:cs="Times New Roman"/>
          <w:b/>
          <w:szCs w:val="24"/>
          <w:lang w:val="en-US"/>
        </w:rPr>
      </w:pPr>
    </w:p>
    <w:p w14:paraId="38A2BF96" w14:textId="77777777" w:rsidR="005819EF" w:rsidRDefault="005819EF" w:rsidP="00CC7E8A">
      <w:pPr>
        <w:spacing w:line="276" w:lineRule="auto"/>
        <w:rPr>
          <w:rFonts w:cs="Times New Roman"/>
          <w:b/>
          <w:szCs w:val="24"/>
          <w:lang w:val="en-US"/>
        </w:rPr>
      </w:pPr>
    </w:p>
    <w:p w14:paraId="52BF65BE" w14:textId="77777777" w:rsidR="005819EF" w:rsidRDefault="005819EF" w:rsidP="00CC7E8A">
      <w:pPr>
        <w:spacing w:line="276" w:lineRule="auto"/>
        <w:rPr>
          <w:rFonts w:cs="Times New Roman"/>
          <w:b/>
          <w:szCs w:val="24"/>
          <w:lang w:val="en-US"/>
        </w:rPr>
      </w:pPr>
    </w:p>
    <w:p w14:paraId="3E89EC0F" w14:textId="77777777" w:rsidR="005819EF" w:rsidRDefault="005819EF" w:rsidP="00CC7E8A">
      <w:pPr>
        <w:spacing w:line="276" w:lineRule="auto"/>
        <w:rPr>
          <w:rFonts w:cs="Times New Roman"/>
          <w:b/>
          <w:szCs w:val="24"/>
          <w:lang w:val="en-US"/>
        </w:rPr>
      </w:pPr>
    </w:p>
    <w:p w14:paraId="2CC52118" w14:textId="77777777" w:rsidR="005819EF" w:rsidRDefault="005819EF" w:rsidP="00CC7E8A">
      <w:pPr>
        <w:spacing w:line="276" w:lineRule="auto"/>
        <w:rPr>
          <w:rFonts w:cs="Times New Roman"/>
          <w:b/>
          <w:szCs w:val="24"/>
          <w:lang w:val="en-US"/>
        </w:rPr>
      </w:pPr>
    </w:p>
    <w:p w14:paraId="2D853125" w14:textId="77777777" w:rsidR="005819EF" w:rsidRDefault="005819EF" w:rsidP="00CC7E8A">
      <w:pPr>
        <w:spacing w:line="276" w:lineRule="auto"/>
        <w:rPr>
          <w:rFonts w:cs="Times New Roman"/>
          <w:b/>
          <w:szCs w:val="24"/>
          <w:lang w:val="en-US"/>
        </w:rPr>
      </w:pPr>
    </w:p>
    <w:p w14:paraId="49B9318A" w14:textId="77777777" w:rsidR="005819EF" w:rsidRDefault="005819EF" w:rsidP="00CC7E8A">
      <w:pPr>
        <w:spacing w:line="276" w:lineRule="auto"/>
        <w:rPr>
          <w:rFonts w:cs="Times New Roman"/>
          <w:b/>
          <w:szCs w:val="24"/>
          <w:lang w:val="en-US"/>
        </w:rPr>
      </w:pPr>
    </w:p>
    <w:p w14:paraId="63845B5F" w14:textId="27FBC0C5" w:rsidR="006E6DE8" w:rsidRPr="00A411ED" w:rsidRDefault="006E6DE8" w:rsidP="006E6DE8">
      <w:pPr>
        <w:ind w:right="1133"/>
        <w:rPr>
          <w:rFonts w:cs="Times New Roman"/>
          <w:lang w:val="en-US"/>
        </w:rPr>
      </w:pPr>
      <w:r w:rsidRPr="00F6539D">
        <w:rPr>
          <w:rFonts w:cs="Times New Roman"/>
          <w:lang w:val="en-US"/>
        </w:rPr>
        <w:lastRenderedPageBreak/>
        <w:t xml:space="preserve">Table </w:t>
      </w:r>
      <w:r>
        <w:rPr>
          <w:rFonts w:cs="Times New Roman"/>
          <w:lang w:val="en-US"/>
        </w:rPr>
        <w:t>3</w:t>
      </w:r>
      <w:r w:rsidRPr="00F6539D">
        <w:rPr>
          <w:rFonts w:cs="Times New Roman"/>
          <w:lang w:val="en-US"/>
        </w:rPr>
        <w:t>.</w:t>
      </w:r>
      <w:r w:rsidRPr="00A411ED">
        <w:rPr>
          <w:rFonts w:cs="Times New Roman"/>
          <w:lang w:val="en-US"/>
        </w:rPr>
        <w:t xml:space="preserve"> Changes in selected functional performance variables from pre- to post-training for each squat group.</w:t>
      </w:r>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816"/>
        <w:gridCol w:w="1799"/>
        <w:gridCol w:w="2152"/>
        <w:gridCol w:w="1065"/>
        <w:gridCol w:w="1672"/>
      </w:tblGrid>
      <w:tr w:rsidR="006E6DE8" w:rsidRPr="006E6DE8" w14:paraId="59605AA7" w14:textId="77777777" w:rsidTr="00CE658E">
        <w:trPr>
          <w:trHeight w:val="299"/>
          <w:jc w:val="center"/>
        </w:trPr>
        <w:tc>
          <w:tcPr>
            <w:tcW w:w="1068" w:type="pct"/>
            <w:vMerge w:val="restart"/>
            <w:shd w:val="clear" w:color="auto" w:fill="auto"/>
            <w:noWrap/>
            <w:vAlign w:val="center"/>
            <w:hideMark/>
          </w:tcPr>
          <w:p w14:paraId="67B232C3" w14:textId="77777777" w:rsidR="006E6DE8" w:rsidRPr="006E6DE8" w:rsidRDefault="006E6DE8" w:rsidP="00CE658E">
            <w:pPr>
              <w:spacing w:after="0" w:line="240" w:lineRule="auto"/>
              <w:jc w:val="center"/>
              <w:rPr>
                <w:rFonts w:eastAsia="Times New Roman" w:cs="Times New Roman"/>
                <w:bCs/>
                <w:color w:val="000000"/>
                <w:sz w:val="20"/>
                <w:szCs w:val="18"/>
                <w:lang w:val="en-US" w:eastAsia="es-ES"/>
              </w:rPr>
            </w:pPr>
            <w:r w:rsidRPr="006E6DE8">
              <w:rPr>
                <w:rFonts w:eastAsia="Times New Roman" w:cs="Times New Roman"/>
                <w:bCs/>
                <w:color w:val="000000"/>
                <w:sz w:val="20"/>
                <w:szCs w:val="18"/>
                <w:lang w:val="en-US" w:eastAsia="es-ES"/>
              </w:rPr>
              <w:t>Group</w:t>
            </w:r>
          </w:p>
        </w:tc>
        <w:tc>
          <w:tcPr>
            <w:tcW w:w="1058" w:type="pct"/>
            <w:vMerge w:val="restart"/>
            <w:vAlign w:val="center"/>
          </w:tcPr>
          <w:p w14:paraId="3A524838" w14:textId="77777777" w:rsidR="006E6DE8" w:rsidRPr="006E6DE8" w:rsidRDefault="006E6DE8" w:rsidP="00CE658E">
            <w:pPr>
              <w:spacing w:after="0" w:line="240" w:lineRule="auto"/>
              <w:jc w:val="center"/>
              <w:rPr>
                <w:rFonts w:eastAsia="Times New Roman" w:cs="Times New Roman"/>
                <w:bCs/>
                <w:color w:val="000000"/>
                <w:sz w:val="20"/>
                <w:szCs w:val="18"/>
                <w:lang w:val="en-US" w:eastAsia="es-ES"/>
              </w:rPr>
            </w:pPr>
            <w:r w:rsidRPr="006E6DE8">
              <w:rPr>
                <w:rFonts w:eastAsia="Times New Roman" w:cs="Times New Roman"/>
                <w:bCs/>
                <w:color w:val="000000"/>
                <w:sz w:val="20"/>
                <w:szCs w:val="18"/>
                <w:lang w:val="en-US" w:eastAsia="es-ES"/>
              </w:rPr>
              <w:t>Variable</w:t>
            </w:r>
          </w:p>
        </w:tc>
        <w:tc>
          <w:tcPr>
            <w:tcW w:w="2874" w:type="pct"/>
            <w:gridSpan w:val="3"/>
            <w:tcBorders>
              <w:top w:val="single" w:sz="4" w:space="0" w:color="auto"/>
              <w:bottom w:val="single" w:sz="4" w:space="0" w:color="auto"/>
            </w:tcBorders>
          </w:tcPr>
          <w:p w14:paraId="01A95CF9" w14:textId="77777777" w:rsidR="006E6DE8" w:rsidRPr="006E6DE8" w:rsidRDefault="006E6DE8" w:rsidP="00CE658E">
            <w:pPr>
              <w:spacing w:after="0" w:line="240" w:lineRule="auto"/>
              <w:jc w:val="center"/>
              <w:rPr>
                <w:rFonts w:eastAsia="Times New Roman" w:cs="Times New Roman"/>
                <w:bCs/>
                <w:color w:val="000000"/>
                <w:sz w:val="20"/>
                <w:szCs w:val="18"/>
                <w:lang w:val="en-US" w:eastAsia="es-ES"/>
              </w:rPr>
            </w:pPr>
            <w:r w:rsidRPr="006E6DE8">
              <w:rPr>
                <w:rFonts w:eastAsia="Times New Roman" w:cs="Times New Roman"/>
                <w:bCs/>
                <w:color w:val="000000"/>
                <w:sz w:val="20"/>
                <w:szCs w:val="18"/>
                <w:lang w:val="en-US" w:eastAsia="es-ES"/>
              </w:rPr>
              <w:t>Pre-post</w:t>
            </w:r>
          </w:p>
        </w:tc>
      </w:tr>
      <w:tr w:rsidR="006E6DE8" w:rsidRPr="006E6DE8" w14:paraId="4776B22D" w14:textId="77777777" w:rsidTr="00CE658E">
        <w:trPr>
          <w:trHeight w:val="299"/>
          <w:jc w:val="center"/>
        </w:trPr>
        <w:tc>
          <w:tcPr>
            <w:tcW w:w="1068" w:type="pct"/>
            <w:vMerge/>
            <w:tcBorders>
              <w:bottom w:val="single" w:sz="4" w:space="0" w:color="auto"/>
            </w:tcBorders>
            <w:shd w:val="clear" w:color="auto" w:fill="auto"/>
            <w:noWrap/>
            <w:vAlign w:val="center"/>
            <w:hideMark/>
          </w:tcPr>
          <w:p w14:paraId="60829A39" w14:textId="77777777" w:rsidR="006E6DE8" w:rsidRPr="006E6DE8" w:rsidRDefault="006E6DE8" w:rsidP="00CE658E">
            <w:pPr>
              <w:spacing w:after="0" w:line="240" w:lineRule="auto"/>
              <w:rPr>
                <w:rFonts w:eastAsia="Times New Roman" w:cs="Times New Roman"/>
                <w:bCs/>
                <w:color w:val="000000"/>
                <w:sz w:val="20"/>
                <w:szCs w:val="18"/>
                <w:lang w:val="en-US" w:eastAsia="es-ES"/>
              </w:rPr>
            </w:pPr>
          </w:p>
        </w:tc>
        <w:tc>
          <w:tcPr>
            <w:tcW w:w="1058" w:type="pct"/>
            <w:vMerge/>
            <w:tcBorders>
              <w:bottom w:val="single" w:sz="4" w:space="0" w:color="auto"/>
            </w:tcBorders>
          </w:tcPr>
          <w:p w14:paraId="0D63750C" w14:textId="77777777" w:rsidR="006E6DE8" w:rsidRPr="006E6DE8" w:rsidRDefault="006E6DE8" w:rsidP="00CE658E">
            <w:pPr>
              <w:spacing w:after="0" w:line="240" w:lineRule="auto"/>
              <w:jc w:val="center"/>
              <w:rPr>
                <w:rFonts w:eastAsia="Times New Roman" w:cs="Times New Roman"/>
                <w:color w:val="000000"/>
                <w:sz w:val="20"/>
                <w:szCs w:val="18"/>
                <w:lang w:val="en-US" w:eastAsia="es-ES"/>
              </w:rPr>
            </w:pPr>
          </w:p>
        </w:tc>
        <w:tc>
          <w:tcPr>
            <w:tcW w:w="1265" w:type="pct"/>
            <w:tcBorders>
              <w:top w:val="single" w:sz="4" w:space="0" w:color="auto"/>
              <w:bottom w:val="single" w:sz="4" w:space="0" w:color="auto"/>
            </w:tcBorders>
          </w:tcPr>
          <w:p w14:paraId="3B8DF5E5"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T0</w:t>
            </w:r>
          </w:p>
        </w:tc>
        <w:tc>
          <w:tcPr>
            <w:tcW w:w="626" w:type="pct"/>
            <w:tcBorders>
              <w:top w:val="single" w:sz="4" w:space="0" w:color="auto"/>
              <w:bottom w:val="single" w:sz="4" w:space="0" w:color="auto"/>
            </w:tcBorders>
          </w:tcPr>
          <w:p w14:paraId="501F364C"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T1</w:t>
            </w:r>
          </w:p>
        </w:tc>
        <w:tc>
          <w:tcPr>
            <w:tcW w:w="983" w:type="pct"/>
            <w:tcBorders>
              <w:top w:val="single" w:sz="4" w:space="0" w:color="auto"/>
              <w:bottom w:val="single" w:sz="4" w:space="0" w:color="auto"/>
            </w:tcBorders>
          </w:tcPr>
          <w:p w14:paraId="5872CEDC"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ES</w:t>
            </w:r>
          </w:p>
        </w:tc>
      </w:tr>
      <w:tr w:rsidR="006E6DE8" w:rsidRPr="006E6DE8" w14:paraId="6F4B2FD5" w14:textId="77777777" w:rsidTr="00CE658E">
        <w:trPr>
          <w:trHeight w:val="299"/>
          <w:jc w:val="center"/>
        </w:trPr>
        <w:tc>
          <w:tcPr>
            <w:tcW w:w="1068" w:type="pct"/>
            <w:vMerge w:val="restart"/>
            <w:tcBorders>
              <w:top w:val="single" w:sz="4" w:space="0" w:color="auto"/>
            </w:tcBorders>
            <w:shd w:val="clear" w:color="auto" w:fill="auto"/>
            <w:noWrap/>
            <w:vAlign w:val="center"/>
          </w:tcPr>
          <w:p w14:paraId="2F9E4389" w14:textId="77777777" w:rsidR="006E6DE8" w:rsidRPr="006E6DE8" w:rsidRDefault="006E6DE8" w:rsidP="00CE658E">
            <w:pPr>
              <w:spacing w:after="0" w:line="240" w:lineRule="auto"/>
              <w:jc w:val="center"/>
              <w:rPr>
                <w:rFonts w:eastAsia="Times New Roman" w:cs="Times New Roman"/>
                <w:color w:val="000000"/>
                <w:sz w:val="20"/>
                <w:szCs w:val="18"/>
                <w:lang w:val="en-US" w:eastAsia="es-ES"/>
              </w:rPr>
            </w:pPr>
            <w:r w:rsidRPr="006E6DE8">
              <w:rPr>
                <w:rFonts w:eastAsia="Times New Roman" w:cs="Times New Roman"/>
                <w:bCs/>
                <w:color w:val="000000"/>
                <w:sz w:val="20"/>
                <w:szCs w:val="18"/>
                <w:lang w:val="en-US" w:eastAsia="es-ES"/>
              </w:rPr>
              <w:t>F-SQ (</w:t>
            </w:r>
            <w:r w:rsidRPr="006E6DE8">
              <w:rPr>
                <w:rFonts w:eastAsia="Times New Roman" w:cs="Times New Roman"/>
                <w:bCs/>
                <w:i/>
                <w:color w:val="000000"/>
                <w:sz w:val="20"/>
                <w:szCs w:val="18"/>
                <w:lang w:val="en-US" w:eastAsia="es-ES"/>
              </w:rPr>
              <w:t>n</w:t>
            </w:r>
            <w:r w:rsidRPr="006E6DE8">
              <w:rPr>
                <w:rFonts w:eastAsia="Times New Roman" w:cs="Times New Roman"/>
                <w:bCs/>
                <w:color w:val="000000"/>
                <w:sz w:val="20"/>
                <w:szCs w:val="18"/>
                <w:lang w:val="en-US" w:eastAsia="es-ES"/>
              </w:rPr>
              <w:t xml:space="preserve"> = 12)</w:t>
            </w:r>
          </w:p>
        </w:tc>
        <w:tc>
          <w:tcPr>
            <w:tcW w:w="1058" w:type="pct"/>
            <w:tcBorders>
              <w:top w:val="single" w:sz="4" w:space="0" w:color="auto"/>
            </w:tcBorders>
            <w:vAlign w:val="center"/>
          </w:tcPr>
          <w:p w14:paraId="6591BAC8"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WGT</w:t>
            </w:r>
            <w:r w:rsidRPr="006E6DE8">
              <w:rPr>
                <w:rFonts w:eastAsia="Times New Roman" w:cs="Times New Roman"/>
                <w:color w:val="000000"/>
                <w:sz w:val="20"/>
                <w:szCs w:val="18"/>
                <w:vertAlign w:val="subscript"/>
                <w:lang w:val="en-US" w:eastAsia="es-ES"/>
              </w:rPr>
              <w:t>PEAK</w:t>
            </w:r>
            <w:r w:rsidRPr="006E6DE8">
              <w:rPr>
                <w:rFonts w:eastAsia="Times New Roman" w:cs="Times New Roman"/>
                <w:color w:val="000000"/>
                <w:sz w:val="20"/>
                <w:szCs w:val="18"/>
                <w:lang w:val="en-US" w:eastAsia="es-ES"/>
              </w:rPr>
              <w:t xml:space="preserve"> (W)</w:t>
            </w:r>
          </w:p>
        </w:tc>
        <w:tc>
          <w:tcPr>
            <w:tcW w:w="1265" w:type="pct"/>
            <w:tcBorders>
              <w:top w:val="single" w:sz="4" w:space="0" w:color="auto"/>
            </w:tcBorders>
            <w:vAlign w:val="center"/>
          </w:tcPr>
          <w:p w14:paraId="22B76698"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0"/>
                <w:sz w:val="20"/>
                <w:szCs w:val="18"/>
                <w:lang w:val="en-US"/>
              </w:rPr>
              <w:t>1035 ± 185</w:t>
            </w:r>
          </w:p>
        </w:tc>
        <w:tc>
          <w:tcPr>
            <w:tcW w:w="626" w:type="pct"/>
            <w:tcBorders>
              <w:top w:val="single" w:sz="4" w:space="0" w:color="auto"/>
            </w:tcBorders>
          </w:tcPr>
          <w:p w14:paraId="70E7AA2F"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1103 ± 200</w:t>
            </w:r>
          </w:p>
        </w:tc>
        <w:tc>
          <w:tcPr>
            <w:tcW w:w="983" w:type="pct"/>
            <w:tcBorders>
              <w:top w:val="single" w:sz="4" w:space="0" w:color="auto"/>
            </w:tcBorders>
          </w:tcPr>
          <w:p w14:paraId="0278CC88"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0.35</w:t>
            </w:r>
          </w:p>
        </w:tc>
      </w:tr>
      <w:tr w:rsidR="006E6DE8" w:rsidRPr="006E6DE8" w14:paraId="5DAFE9AC" w14:textId="77777777" w:rsidTr="00CE658E">
        <w:trPr>
          <w:trHeight w:val="299"/>
          <w:jc w:val="center"/>
        </w:trPr>
        <w:tc>
          <w:tcPr>
            <w:tcW w:w="1068" w:type="pct"/>
            <w:vMerge/>
            <w:shd w:val="clear" w:color="auto" w:fill="auto"/>
            <w:noWrap/>
            <w:vAlign w:val="center"/>
          </w:tcPr>
          <w:p w14:paraId="3276E196"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1058" w:type="pct"/>
            <w:vAlign w:val="center"/>
          </w:tcPr>
          <w:p w14:paraId="15B914EE"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WGT</w:t>
            </w:r>
            <w:r w:rsidRPr="006E6DE8">
              <w:rPr>
                <w:rFonts w:eastAsia="Times New Roman" w:cs="Times New Roman"/>
                <w:color w:val="000000"/>
                <w:sz w:val="20"/>
                <w:szCs w:val="18"/>
                <w:vertAlign w:val="subscript"/>
                <w:lang w:val="en-US" w:eastAsia="es-ES"/>
              </w:rPr>
              <w:t xml:space="preserve">MEAN </w:t>
            </w:r>
            <w:r w:rsidRPr="006E6DE8">
              <w:rPr>
                <w:rFonts w:eastAsia="Times New Roman" w:cs="Times New Roman"/>
                <w:color w:val="000000"/>
                <w:sz w:val="20"/>
                <w:szCs w:val="18"/>
                <w:lang w:val="en-US" w:eastAsia="es-ES"/>
              </w:rPr>
              <w:t>(W)</w:t>
            </w:r>
          </w:p>
        </w:tc>
        <w:tc>
          <w:tcPr>
            <w:tcW w:w="1265" w:type="pct"/>
            <w:vAlign w:val="center"/>
          </w:tcPr>
          <w:p w14:paraId="7864B557"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0"/>
                <w:sz w:val="20"/>
                <w:szCs w:val="18"/>
                <w:lang w:val="en-US"/>
              </w:rPr>
              <w:t>677 ± 84</w:t>
            </w:r>
          </w:p>
        </w:tc>
        <w:tc>
          <w:tcPr>
            <w:tcW w:w="626" w:type="pct"/>
          </w:tcPr>
          <w:p w14:paraId="4A8DC45D"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707 ± 72</w:t>
            </w:r>
          </w:p>
        </w:tc>
        <w:tc>
          <w:tcPr>
            <w:tcW w:w="983" w:type="pct"/>
          </w:tcPr>
          <w:p w14:paraId="3BB30412"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0.38</w:t>
            </w:r>
          </w:p>
        </w:tc>
      </w:tr>
      <w:tr w:rsidR="006E6DE8" w:rsidRPr="006E6DE8" w14:paraId="116DDCD0" w14:textId="77777777" w:rsidTr="00CE658E">
        <w:trPr>
          <w:trHeight w:val="299"/>
          <w:jc w:val="center"/>
        </w:trPr>
        <w:tc>
          <w:tcPr>
            <w:tcW w:w="1068" w:type="pct"/>
            <w:vMerge/>
            <w:shd w:val="clear" w:color="auto" w:fill="auto"/>
            <w:noWrap/>
            <w:vAlign w:val="center"/>
          </w:tcPr>
          <w:p w14:paraId="40A46219"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1058" w:type="pct"/>
            <w:vAlign w:val="center"/>
          </w:tcPr>
          <w:p w14:paraId="7D542129"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CMJ (cm)</w:t>
            </w:r>
          </w:p>
        </w:tc>
        <w:tc>
          <w:tcPr>
            <w:tcW w:w="1265" w:type="pct"/>
            <w:vAlign w:val="center"/>
          </w:tcPr>
          <w:p w14:paraId="1F89180F"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0"/>
                <w:sz w:val="20"/>
                <w:szCs w:val="18"/>
                <w:lang w:val="en-US"/>
              </w:rPr>
              <w:t>35.8 ± 5.3</w:t>
            </w:r>
          </w:p>
        </w:tc>
        <w:tc>
          <w:tcPr>
            <w:tcW w:w="626" w:type="pct"/>
          </w:tcPr>
          <w:p w14:paraId="696CBC28"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40.4 ± 5.5*</w:t>
            </w:r>
          </w:p>
        </w:tc>
        <w:tc>
          <w:tcPr>
            <w:tcW w:w="983" w:type="pct"/>
          </w:tcPr>
          <w:p w14:paraId="0B7B3A07"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0.85</w:t>
            </w:r>
          </w:p>
        </w:tc>
      </w:tr>
      <w:tr w:rsidR="006E6DE8" w:rsidRPr="006E6DE8" w14:paraId="6E75B0F9" w14:textId="77777777" w:rsidTr="00CE658E">
        <w:trPr>
          <w:trHeight w:val="299"/>
          <w:jc w:val="center"/>
        </w:trPr>
        <w:tc>
          <w:tcPr>
            <w:tcW w:w="1068" w:type="pct"/>
            <w:vMerge/>
            <w:shd w:val="clear" w:color="auto" w:fill="auto"/>
            <w:noWrap/>
            <w:vAlign w:val="center"/>
          </w:tcPr>
          <w:p w14:paraId="3EBCC8DE"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1058" w:type="pct"/>
            <w:vAlign w:val="center"/>
          </w:tcPr>
          <w:p w14:paraId="6B72B40E"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Time 0-20m (s)</w:t>
            </w:r>
          </w:p>
        </w:tc>
        <w:tc>
          <w:tcPr>
            <w:tcW w:w="1265" w:type="pct"/>
            <w:vAlign w:val="center"/>
          </w:tcPr>
          <w:p w14:paraId="2A725AE6"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0"/>
                <w:sz w:val="20"/>
                <w:szCs w:val="18"/>
                <w:lang w:val="en-US"/>
              </w:rPr>
              <w:t>2.95 ± 0.14</w:t>
            </w:r>
          </w:p>
        </w:tc>
        <w:tc>
          <w:tcPr>
            <w:tcW w:w="626" w:type="pct"/>
          </w:tcPr>
          <w:p w14:paraId="0015ECEB"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2.88 ± 0.15</w:t>
            </w:r>
          </w:p>
        </w:tc>
        <w:tc>
          <w:tcPr>
            <w:tcW w:w="983" w:type="pct"/>
          </w:tcPr>
          <w:p w14:paraId="642EB229"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0.48</w:t>
            </w:r>
          </w:p>
        </w:tc>
      </w:tr>
      <w:tr w:rsidR="006E6DE8" w:rsidRPr="006E6DE8" w14:paraId="70F5134E" w14:textId="77777777" w:rsidTr="00CE658E">
        <w:trPr>
          <w:trHeight w:val="299"/>
          <w:jc w:val="center"/>
        </w:trPr>
        <w:tc>
          <w:tcPr>
            <w:tcW w:w="1068" w:type="pct"/>
            <w:vMerge w:val="restart"/>
            <w:shd w:val="clear" w:color="auto" w:fill="auto"/>
            <w:noWrap/>
            <w:vAlign w:val="center"/>
            <w:hideMark/>
          </w:tcPr>
          <w:p w14:paraId="34134562" w14:textId="77777777" w:rsidR="006E6DE8" w:rsidRPr="006E6DE8" w:rsidRDefault="006E6DE8" w:rsidP="00CE658E">
            <w:pPr>
              <w:spacing w:after="0" w:line="240" w:lineRule="auto"/>
              <w:jc w:val="center"/>
              <w:rPr>
                <w:rFonts w:eastAsia="Times New Roman" w:cs="Times New Roman"/>
                <w:bCs/>
                <w:color w:val="000000"/>
                <w:sz w:val="20"/>
                <w:szCs w:val="18"/>
                <w:lang w:val="en-US" w:eastAsia="es-ES"/>
              </w:rPr>
            </w:pPr>
            <w:r w:rsidRPr="006E6DE8">
              <w:rPr>
                <w:rFonts w:eastAsia="Times New Roman" w:cs="Times New Roman"/>
                <w:bCs/>
                <w:color w:val="000000"/>
                <w:sz w:val="20"/>
                <w:szCs w:val="18"/>
                <w:lang w:val="en-US" w:eastAsia="es-ES"/>
              </w:rPr>
              <w:t>P-SQ (</w:t>
            </w:r>
            <w:r w:rsidRPr="006E6DE8">
              <w:rPr>
                <w:rFonts w:eastAsia="Times New Roman" w:cs="Times New Roman"/>
                <w:bCs/>
                <w:i/>
                <w:color w:val="000000"/>
                <w:sz w:val="20"/>
                <w:szCs w:val="18"/>
                <w:lang w:val="en-US" w:eastAsia="es-ES"/>
              </w:rPr>
              <w:t>n</w:t>
            </w:r>
            <w:r w:rsidRPr="006E6DE8">
              <w:rPr>
                <w:rFonts w:eastAsia="Times New Roman" w:cs="Times New Roman"/>
                <w:bCs/>
                <w:color w:val="000000"/>
                <w:sz w:val="20"/>
                <w:szCs w:val="18"/>
                <w:lang w:val="en-US" w:eastAsia="es-ES"/>
              </w:rPr>
              <w:t xml:space="preserve"> = 13)</w:t>
            </w:r>
          </w:p>
        </w:tc>
        <w:tc>
          <w:tcPr>
            <w:tcW w:w="1058" w:type="pct"/>
          </w:tcPr>
          <w:p w14:paraId="62597D11"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1265" w:type="pct"/>
            <w:vAlign w:val="center"/>
          </w:tcPr>
          <w:p w14:paraId="1E1FE56C"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626" w:type="pct"/>
          </w:tcPr>
          <w:p w14:paraId="48B11775"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983" w:type="pct"/>
          </w:tcPr>
          <w:p w14:paraId="4CDDB853"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p>
        </w:tc>
      </w:tr>
      <w:tr w:rsidR="006E6DE8" w:rsidRPr="006E6DE8" w14:paraId="41B92A63" w14:textId="77777777" w:rsidTr="00CE658E">
        <w:trPr>
          <w:trHeight w:val="299"/>
          <w:jc w:val="center"/>
        </w:trPr>
        <w:tc>
          <w:tcPr>
            <w:tcW w:w="1068" w:type="pct"/>
            <w:vMerge/>
            <w:shd w:val="clear" w:color="auto" w:fill="auto"/>
            <w:noWrap/>
            <w:vAlign w:val="center"/>
          </w:tcPr>
          <w:p w14:paraId="04F2784C"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1058" w:type="pct"/>
            <w:vAlign w:val="center"/>
          </w:tcPr>
          <w:p w14:paraId="64FDB0E2"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WGT</w:t>
            </w:r>
            <w:r w:rsidRPr="006E6DE8">
              <w:rPr>
                <w:rFonts w:eastAsia="Times New Roman" w:cs="Times New Roman"/>
                <w:color w:val="000000"/>
                <w:sz w:val="20"/>
                <w:szCs w:val="18"/>
                <w:vertAlign w:val="subscript"/>
                <w:lang w:val="en-US" w:eastAsia="es-ES"/>
              </w:rPr>
              <w:t>PEAK</w:t>
            </w:r>
            <w:r w:rsidRPr="006E6DE8">
              <w:rPr>
                <w:rFonts w:eastAsia="Times New Roman" w:cs="Times New Roman"/>
                <w:color w:val="000000"/>
                <w:sz w:val="20"/>
                <w:szCs w:val="18"/>
                <w:lang w:val="en-US" w:eastAsia="es-ES"/>
              </w:rPr>
              <w:t xml:space="preserve"> (W)</w:t>
            </w:r>
          </w:p>
        </w:tc>
        <w:tc>
          <w:tcPr>
            <w:tcW w:w="1265" w:type="pct"/>
            <w:vAlign w:val="center"/>
          </w:tcPr>
          <w:p w14:paraId="7377AD8F"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0"/>
                <w:sz w:val="20"/>
                <w:szCs w:val="18"/>
                <w:lang w:val="en-US"/>
              </w:rPr>
              <w:t>855 ± 323</w:t>
            </w:r>
          </w:p>
        </w:tc>
        <w:tc>
          <w:tcPr>
            <w:tcW w:w="626" w:type="pct"/>
          </w:tcPr>
          <w:p w14:paraId="514A3086"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906 ± 338</w:t>
            </w:r>
          </w:p>
        </w:tc>
        <w:tc>
          <w:tcPr>
            <w:tcW w:w="983" w:type="pct"/>
          </w:tcPr>
          <w:p w14:paraId="26345BF9"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0.15</w:t>
            </w:r>
          </w:p>
        </w:tc>
      </w:tr>
      <w:tr w:rsidR="006E6DE8" w:rsidRPr="006E6DE8" w14:paraId="436AA256" w14:textId="77777777" w:rsidTr="00CE658E">
        <w:trPr>
          <w:trHeight w:val="299"/>
          <w:jc w:val="center"/>
        </w:trPr>
        <w:tc>
          <w:tcPr>
            <w:tcW w:w="1068" w:type="pct"/>
            <w:vMerge/>
            <w:shd w:val="clear" w:color="auto" w:fill="auto"/>
            <w:noWrap/>
            <w:vAlign w:val="center"/>
          </w:tcPr>
          <w:p w14:paraId="779BE404"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1058" w:type="pct"/>
            <w:vAlign w:val="center"/>
          </w:tcPr>
          <w:p w14:paraId="3287554E"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WGT</w:t>
            </w:r>
            <w:r w:rsidRPr="006E6DE8">
              <w:rPr>
                <w:rFonts w:eastAsia="Times New Roman" w:cs="Times New Roman"/>
                <w:color w:val="000000"/>
                <w:sz w:val="20"/>
                <w:szCs w:val="18"/>
                <w:vertAlign w:val="subscript"/>
                <w:lang w:val="en-US" w:eastAsia="es-ES"/>
              </w:rPr>
              <w:t xml:space="preserve">MEAN </w:t>
            </w:r>
            <w:r w:rsidRPr="006E6DE8">
              <w:rPr>
                <w:rFonts w:eastAsia="Times New Roman" w:cs="Times New Roman"/>
                <w:color w:val="000000"/>
                <w:sz w:val="20"/>
                <w:szCs w:val="18"/>
                <w:lang w:val="en-US" w:eastAsia="es-ES"/>
              </w:rPr>
              <w:t>(W)</w:t>
            </w:r>
          </w:p>
        </w:tc>
        <w:tc>
          <w:tcPr>
            <w:tcW w:w="1265" w:type="pct"/>
            <w:vAlign w:val="center"/>
          </w:tcPr>
          <w:p w14:paraId="0CE061E3"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0"/>
                <w:sz w:val="20"/>
                <w:szCs w:val="18"/>
                <w:lang w:val="en-US"/>
              </w:rPr>
              <w:t>643 ± 79</w:t>
            </w:r>
          </w:p>
        </w:tc>
        <w:tc>
          <w:tcPr>
            <w:tcW w:w="626" w:type="pct"/>
          </w:tcPr>
          <w:p w14:paraId="1717FF0F"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667 ± 75</w:t>
            </w:r>
          </w:p>
        </w:tc>
        <w:tc>
          <w:tcPr>
            <w:tcW w:w="983" w:type="pct"/>
          </w:tcPr>
          <w:p w14:paraId="0EA0A1C4"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0.31</w:t>
            </w:r>
          </w:p>
        </w:tc>
      </w:tr>
      <w:tr w:rsidR="006E6DE8" w:rsidRPr="006E6DE8" w14:paraId="6125F71A" w14:textId="77777777" w:rsidTr="00CE658E">
        <w:trPr>
          <w:trHeight w:val="299"/>
          <w:jc w:val="center"/>
        </w:trPr>
        <w:tc>
          <w:tcPr>
            <w:tcW w:w="1068" w:type="pct"/>
            <w:vMerge/>
            <w:shd w:val="clear" w:color="auto" w:fill="auto"/>
            <w:noWrap/>
            <w:vAlign w:val="center"/>
          </w:tcPr>
          <w:p w14:paraId="6CE297AE"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1058" w:type="pct"/>
            <w:vAlign w:val="center"/>
          </w:tcPr>
          <w:p w14:paraId="4BE1D144"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CMJ (cm)</w:t>
            </w:r>
          </w:p>
        </w:tc>
        <w:tc>
          <w:tcPr>
            <w:tcW w:w="1265" w:type="pct"/>
            <w:vAlign w:val="center"/>
          </w:tcPr>
          <w:p w14:paraId="3125FCA3"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0"/>
                <w:sz w:val="20"/>
                <w:szCs w:val="18"/>
                <w:lang w:val="en-US"/>
              </w:rPr>
              <w:t>34.0 ± 5.6</w:t>
            </w:r>
          </w:p>
        </w:tc>
        <w:tc>
          <w:tcPr>
            <w:tcW w:w="626" w:type="pct"/>
          </w:tcPr>
          <w:p w14:paraId="1959D860"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37.1 ± 5.5</w:t>
            </w:r>
          </w:p>
        </w:tc>
        <w:tc>
          <w:tcPr>
            <w:tcW w:w="983" w:type="pct"/>
          </w:tcPr>
          <w:p w14:paraId="26CEA894"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0.56</w:t>
            </w:r>
          </w:p>
        </w:tc>
      </w:tr>
      <w:tr w:rsidR="006E6DE8" w:rsidRPr="006E6DE8" w14:paraId="7D3E0BDF" w14:textId="77777777" w:rsidTr="00CE658E">
        <w:trPr>
          <w:trHeight w:val="314"/>
          <w:jc w:val="center"/>
        </w:trPr>
        <w:tc>
          <w:tcPr>
            <w:tcW w:w="1068" w:type="pct"/>
            <w:vMerge/>
            <w:shd w:val="clear" w:color="auto" w:fill="auto"/>
            <w:noWrap/>
            <w:vAlign w:val="center"/>
          </w:tcPr>
          <w:p w14:paraId="08858946"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1058" w:type="pct"/>
            <w:vAlign w:val="center"/>
          </w:tcPr>
          <w:p w14:paraId="05EFFA54"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Time 0-20m (s)</w:t>
            </w:r>
          </w:p>
        </w:tc>
        <w:tc>
          <w:tcPr>
            <w:tcW w:w="1265" w:type="pct"/>
            <w:vAlign w:val="center"/>
          </w:tcPr>
          <w:p w14:paraId="62632F52"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0"/>
                <w:sz w:val="20"/>
                <w:szCs w:val="18"/>
                <w:lang w:val="en-US"/>
              </w:rPr>
              <w:t>2.96 ± 0.11</w:t>
            </w:r>
          </w:p>
        </w:tc>
        <w:tc>
          <w:tcPr>
            <w:tcW w:w="626" w:type="pct"/>
          </w:tcPr>
          <w:p w14:paraId="121B4F95"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2.93 ± 0.09</w:t>
            </w:r>
          </w:p>
        </w:tc>
        <w:tc>
          <w:tcPr>
            <w:tcW w:w="983" w:type="pct"/>
          </w:tcPr>
          <w:p w14:paraId="3CC8C518"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0.30</w:t>
            </w:r>
          </w:p>
        </w:tc>
      </w:tr>
      <w:tr w:rsidR="006E6DE8" w:rsidRPr="006E6DE8" w14:paraId="7BB0B9B9" w14:textId="77777777" w:rsidTr="00CE658E">
        <w:trPr>
          <w:trHeight w:val="299"/>
          <w:jc w:val="center"/>
        </w:trPr>
        <w:tc>
          <w:tcPr>
            <w:tcW w:w="1068" w:type="pct"/>
            <w:vMerge w:val="restart"/>
            <w:shd w:val="clear" w:color="auto" w:fill="auto"/>
            <w:noWrap/>
            <w:vAlign w:val="center"/>
            <w:hideMark/>
          </w:tcPr>
          <w:p w14:paraId="505A6844" w14:textId="77777777" w:rsidR="006E6DE8" w:rsidRPr="006E6DE8" w:rsidRDefault="006E6DE8" w:rsidP="00CE658E">
            <w:pPr>
              <w:spacing w:after="0" w:line="240" w:lineRule="auto"/>
              <w:jc w:val="center"/>
              <w:rPr>
                <w:rFonts w:eastAsia="Times New Roman" w:cs="Times New Roman"/>
                <w:bCs/>
                <w:color w:val="000000"/>
                <w:sz w:val="20"/>
                <w:szCs w:val="18"/>
                <w:lang w:val="en-US" w:eastAsia="es-ES"/>
              </w:rPr>
            </w:pPr>
            <w:r w:rsidRPr="006E6DE8">
              <w:rPr>
                <w:rFonts w:eastAsia="Times New Roman" w:cs="Times New Roman"/>
                <w:bCs/>
                <w:color w:val="000000"/>
                <w:sz w:val="20"/>
                <w:szCs w:val="18"/>
                <w:lang w:val="en-US" w:eastAsia="es-ES"/>
              </w:rPr>
              <w:t>H-SQ (</w:t>
            </w:r>
            <w:r w:rsidRPr="006E6DE8">
              <w:rPr>
                <w:rFonts w:eastAsia="Times New Roman" w:cs="Times New Roman"/>
                <w:bCs/>
                <w:i/>
                <w:color w:val="000000"/>
                <w:sz w:val="20"/>
                <w:szCs w:val="18"/>
                <w:lang w:val="en-US" w:eastAsia="es-ES"/>
              </w:rPr>
              <w:t>n</w:t>
            </w:r>
            <w:r w:rsidRPr="006E6DE8">
              <w:rPr>
                <w:rFonts w:eastAsia="Times New Roman" w:cs="Times New Roman"/>
                <w:bCs/>
                <w:color w:val="000000"/>
                <w:sz w:val="20"/>
                <w:szCs w:val="18"/>
                <w:lang w:val="en-US" w:eastAsia="es-ES"/>
              </w:rPr>
              <w:t xml:space="preserve"> = 11)</w:t>
            </w:r>
          </w:p>
        </w:tc>
        <w:tc>
          <w:tcPr>
            <w:tcW w:w="1058" w:type="pct"/>
          </w:tcPr>
          <w:p w14:paraId="375ED517"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1265" w:type="pct"/>
            <w:vAlign w:val="center"/>
          </w:tcPr>
          <w:p w14:paraId="4C21ABC5"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626" w:type="pct"/>
          </w:tcPr>
          <w:p w14:paraId="42C78B4B"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983" w:type="pct"/>
          </w:tcPr>
          <w:p w14:paraId="7C379735"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p>
        </w:tc>
      </w:tr>
      <w:tr w:rsidR="006E6DE8" w:rsidRPr="006E6DE8" w14:paraId="77C2837B" w14:textId="77777777" w:rsidTr="00CE658E">
        <w:trPr>
          <w:trHeight w:val="299"/>
          <w:jc w:val="center"/>
        </w:trPr>
        <w:tc>
          <w:tcPr>
            <w:tcW w:w="1068" w:type="pct"/>
            <w:vMerge/>
            <w:shd w:val="clear" w:color="auto" w:fill="auto"/>
            <w:noWrap/>
            <w:vAlign w:val="center"/>
          </w:tcPr>
          <w:p w14:paraId="45D1D695" w14:textId="77777777" w:rsidR="006E6DE8" w:rsidRPr="006E6DE8" w:rsidRDefault="006E6DE8" w:rsidP="00CE658E">
            <w:pPr>
              <w:spacing w:after="0" w:line="240" w:lineRule="auto"/>
              <w:jc w:val="center"/>
              <w:rPr>
                <w:rFonts w:eastAsia="Times New Roman" w:cs="Times New Roman"/>
                <w:color w:val="000000"/>
                <w:sz w:val="20"/>
                <w:szCs w:val="18"/>
                <w:lang w:val="en-US" w:eastAsia="es-ES"/>
              </w:rPr>
            </w:pPr>
          </w:p>
        </w:tc>
        <w:tc>
          <w:tcPr>
            <w:tcW w:w="1058" w:type="pct"/>
            <w:vAlign w:val="center"/>
          </w:tcPr>
          <w:p w14:paraId="1E21ED05"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WGT</w:t>
            </w:r>
            <w:r w:rsidRPr="006E6DE8">
              <w:rPr>
                <w:rFonts w:eastAsia="Times New Roman" w:cs="Times New Roman"/>
                <w:color w:val="000000"/>
                <w:sz w:val="20"/>
                <w:szCs w:val="18"/>
                <w:vertAlign w:val="subscript"/>
                <w:lang w:val="en-US" w:eastAsia="es-ES"/>
              </w:rPr>
              <w:t>PEAK</w:t>
            </w:r>
            <w:r w:rsidRPr="006E6DE8">
              <w:rPr>
                <w:rFonts w:eastAsia="Times New Roman" w:cs="Times New Roman"/>
                <w:color w:val="000000"/>
                <w:sz w:val="20"/>
                <w:szCs w:val="18"/>
                <w:lang w:val="en-US" w:eastAsia="es-ES"/>
              </w:rPr>
              <w:t xml:space="preserve"> (W)</w:t>
            </w:r>
          </w:p>
        </w:tc>
        <w:tc>
          <w:tcPr>
            <w:tcW w:w="1265" w:type="pct"/>
            <w:vAlign w:val="center"/>
          </w:tcPr>
          <w:p w14:paraId="168E98F5"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5"/>
                <w:sz w:val="20"/>
                <w:szCs w:val="18"/>
                <w:lang w:val="en-US"/>
              </w:rPr>
              <w:t>996 ± 121</w:t>
            </w:r>
          </w:p>
        </w:tc>
        <w:tc>
          <w:tcPr>
            <w:tcW w:w="626" w:type="pct"/>
          </w:tcPr>
          <w:p w14:paraId="778EB50F"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984 ± 103</w:t>
            </w:r>
          </w:p>
        </w:tc>
        <w:tc>
          <w:tcPr>
            <w:tcW w:w="983" w:type="pct"/>
          </w:tcPr>
          <w:p w14:paraId="38C4FA49"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−0.11</w:t>
            </w:r>
          </w:p>
        </w:tc>
      </w:tr>
      <w:tr w:rsidR="006E6DE8" w:rsidRPr="006E6DE8" w14:paraId="689642C8" w14:textId="77777777" w:rsidTr="00CE658E">
        <w:trPr>
          <w:trHeight w:val="299"/>
          <w:jc w:val="center"/>
        </w:trPr>
        <w:tc>
          <w:tcPr>
            <w:tcW w:w="1068" w:type="pct"/>
            <w:vMerge/>
            <w:shd w:val="clear" w:color="auto" w:fill="auto"/>
            <w:noWrap/>
            <w:vAlign w:val="center"/>
          </w:tcPr>
          <w:p w14:paraId="7C3AF207" w14:textId="77777777" w:rsidR="006E6DE8" w:rsidRPr="006E6DE8" w:rsidRDefault="006E6DE8" w:rsidP="00CE658E">
            <w:pPr>
              <w:spacing w:after="0" w:line="240" w:lineRule="auto"/>
              <w:jc w:val="center"/>
              <w:rPr>
                <w:rFonts w:eastAsia="Times New Roman" w:cs="Times New Roman"/>
                <w:color w:val="000000"/>
                <w:sz w:val="20"/>
                <w:szCs w:val="18"/>
                <w:lang w:val="en-US" w:eastAsia="es-ES"/>
              </w:rPr>
            </w:pPr>
          </w:p>
        </w:tc>
        <w:tc>
          <w:tcPr>
            <w:tcW w:w="1058" w:type="pct"/>
            <w:vAlign w:val="center"/>
          </w:tcPr>
          <w:p w14:paraId="7C63E98E"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WGT</w:t>
            </w:r>
            <w:r w:rsidRPr="006E6DE8">
              <w:rPr>
                <w:rFonts w:eastAsia="Times New Roman" w:cs="Times New Roman"/>
                <w:color w:val="000000"/>
                <w:sz w:val="20"/>
                <w:szCs w:val="18"/>
                <w:vertAlign w:val="subscript"/>
                <w:lang w:val="en-US" w:eastAsia="es-ES"/>
              </w:rPr>
              <w:t xml:space="preserve">MEAN </w:t>
            </w:r>
            <w:r w:rsidRPr="006E6DE8">
              <w:rPr>
                <w:rFonts w:eastAsia="Times New Roman" w:cs="Times New Roman"/>
                <w:color w:val="000000"/>
                <w:sz w:val="20"/>
                <w:szCs w:val="18"/>
                <w:lang w:val="en-US" w:eastAsia="es-ES"/>
              </w:rPr>
              <w:t>(W)</w:t>
            </w:r>
          </w:p>
        </w:tc>
        <w:tc>
          <w:tcPr>
            <w:tcW w:w="1265" w:type="pct"/>
            <w:vAlign w:val="center"/>
          </w:tcPr>
          <w:p w14:paraId="2003E5E6"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0"/>
                <w:sz w:val="20"/>
                <w:szCs w:val="18"/>
                <w:lang w:val="en-US"/>
              </w:rPr>
              <w:t>650 ± 211</w:t>
            </w:r>
          </w:p>
        </w:tc>
        <w:tc>
          <w:tcPr>
            <w:tcW w:w="626" w:type="pct"/>
          </w:tcPr>
          <w:p w14:paraId="50975F07"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656 ± 59</w:t>
            </w:r>
          </w:p>
        </w:tc>
        <w:tc>
          <w:tcPr>
            <w:tcW w:w="983" w:type="pct"/>
          </w:tcPr>
          <w:p w14:paraId="5A256B67"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0.04</w:t>
            </w:r>
          </w:p>
        </w:tc>
      </w:tr>
      <w:tr w:rsidR="006E6DE8" w:rsidRPr="006E6DE8" w14:paraId="182E4D5F" w14:textId="77777777" w:rsidTr="00CE658E">
        <w:trPr>
          <w:trHeight w:val="299"/>
          <w:jc w:val="center"/>
        </w:trPr>
        <w:tc>
          <w:tcPr>
            <w:tcW w:w="1068" w:type="pct"/>
            <w:vMerge/>
            <w:shd w:val="clear" w:color="auto" w:fill="auto"/>
            <w:noWrap/>
            <w:vAlign w:val="center"/>
          </w:tcPr>
          <w:p w14:paraId="678CCFDD" w14:textId="77777777" w:rsidR="006E6DE8" w:rsidRPr="006E6DE8" w:rsidRDefault="006E6DE8" w:rsidP="00CE658E">
            <w:pPr>
              <w:spacing w:after="0" w:line="240" w:lineRule="auto"/>
              <w:jc w:val="center"/>
              <w:rPr>
                <w:rFonts w:eastAsia="Times New Roman" w:cs="Times New Roman"/>
                <w:color w:val="000000"/>
                <w:sz w:val="20"/>
                <w:szCs w:val="18"/>
                <w:lang w:val="en-US" w:eastAsia="es-ES"/>
              </w:rPr>
            </w:pPr>
          </w:p>
        </w:tc>
        <w:tc>
          <w:tcPr>
            <w:tcW w:w="1058" w:type="pct"/>
            <w:vAlign w:val="center"/>
          </w:tcPr>
          <w:p w14:paraId="200F4FFE"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CMJ (cm)</w:t>
            </w:r>
          </w:p>
        </w:tc>
        <w:tc>
          <w:tcPr>
            <w:tcW w:w="1265" w:type="pct"/>
            <w:vAlign w:val="center"/>
          </w:tcPr>
          <w:p w14:paraId="067C7CAC"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0"/>
                <w:sz w:val="20"/>
                <w:szCs w:val="18"/>
                <w:lang w:val="en-US"/>
              </w:rPr>
              <w:t>33.9 ± 6.6</w:t>
            </w:r>
          </w:p>
        </w:tc>
        <w:tc>
          <w:tcPr>
            <w:tcW w:w="626" w:type="pct"/>
          </w:tcPr>
          <w:p w14:paraId="70C78B34"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35.7 ± 6.3</w:t>
            </w:r>
          </w:p>
        </w:tc>
        <w:tc>
          <w:tcPr>
            <w:tcW w:w="983" w:type="pct"/>
          </w:tcPr>
          <w:p w14:paraId="323436FD"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0.28</w:t>
            </w:r>
          </w:p>
        </w:tc>
      </w:tr>
      <w:tr w:rsidR="006E6DE8" w:rsidRPr="006E6DE8" w14:paraId="3A7A69FC" w14:textId="77777777" w:rsidTr="00CE658E">
        <w:trPr>
          <w:trHeight w:val="314"/>
          <w:jc w:val="center"/>
        </w:trPr>
        <w:tc>
          <w:tcPr>
            <w:tcW w:w="1068" w:type="pct"/>
            <w:vMerge/>
            <w:shd w:val="clear" w:color="auto" w:fill="auto"/>
            <w:noWrap/>
            <w:vAlign w:val="center"/>
          </w:tcPr>
          <w:p w14:paraId="435AF799" w14:textId="77777777" w:rsidR="006E6DE8" w:rsidRPr="006E6DE8" w:rsidRDefault="006E6DE8" w:rsidP="00CE658E">
            <w:pPr>
              <w:spacing w:after="0" w:line="240" w:lineRule="auto"/>
              <w:jc w:val="center"/>
              <w:rPr>
                <w:rFonts w:eastAsia="Times New Roman" w:cs="Times New Roman"/>
                <w:color w:val="000000"/>
                <w:sz w:val="20"/>
                <w:szCs w:val="18"/>
                <w:lang w:val="en-US" w:eastAsia="es-ES"/>
              </w:rPr>
            </w:pPr>
          </w:p>
        </w:tc>
        <w:tc>
          <w:tcPr>
            <w:tcW w:w="1058" w:type="pct"/>
            <w:vAlign w:val="center"/>
          </w:tcPr>
          <w:p w14:paraId="13D98A5E"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Time 0-20m (s)</w:t>
            </w:r>
          </w:p>
        </w:tc>
        <w:tc>
          <w:tcPr>
            <w:tcW w:w="1265" w:type="pct"/>
            <w:vAlign w:val="center"/>
          </w:tcPr>
          <w:p w14:paraId="1B9DED33"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0"/>
                <w:sz w:val="20"/>
                <w:szCs w:val="18"/>
                <w:lang w:val="en-US"/>
              </w:rPr>
              <w:t>2.94 ± 0.09</w:t>
            </w:r>
          </w:p>
        </w:tc>
        <w:tc>
          <w:tcPr>
            <w:tcW w:w="626" w:type="pct"/>
          </w:tcPr>
          <w:p w14:paraId="14A18815"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2.94 ± 0.09</w:t>
            </w:r>
          </w:p>
        </w:tc>
        <w:tc>
          <w:tcPr>
            <w:tcW w:w="983" w:type="pct"/>
          </w:tcPr>
          <w:p w14:paraId="13EE5D35"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&lt;0.01</w:t>
            </w:r>
          </w:p>
        </w:tc>
      </w:tr>
      <w:tr w:rsidR="006E6DE8" w:rsidRPr="006E6DE8" w14:paraId="570927C9" w14:textId="77777777" w:rsidTr="00CE658E">
        <w:trPr>
          <w:trHeight w:val="314"/>
          <w:jc w:val="center"/>
        </w:trPr>
        <w:tc>
          <w:tcPr>
            <w:tcW w:w="1068" w:type="pct"/>
            <w:vMerge w:val="restart"/>
            <w:shd w:val="clear" w:color="auto" w:fill="auto"/>
            <w:noWrap/>
            <w:vAlign w:val="center"/>
            <w:hideMark/>
          </w:tcPr>
          <w:p w14:paraId="0540B713" w14:textId="77777777" w:rsidR="006E6DE8" w:rsidRPr="006E6DE8" w:rsidRDefault="006E6DE8" w:rsidP="00CE658E">
            <w:pPr>
              <w:spacing w:after="0" w:line="240" w:lineRule="auto"/>
              <w:jc w:val="center"/>
              <w:rPr>
                <w:rFonts w:eastAsia="Times New Roman" w:cs="Times New Roman"/>
                <w:bCs/>
                <w:color w:val="000000"/>
                <w:sz w:val="20"/>
                <w:szCs w:val="18"/>
                <w:lang w:val="en-US" w:eastAsia="es-ES"/>
              </w:rPr>
            </w:pPr>
            <w:r w:rsidRPr="006E6DE8">
              <w:rPr>
                <w:rFonts w:eastAsia="Times New Roman" w:cs="Times New Roman"/>
                <w:bCs/>
                <w:color w:val="000000"/>
                <w:sz w:val="20"/>
                <w:szCs w:val="18"/>
                <w:lang w:val="en-US" w:eastAsia="es-ES"/>
              </w:rPr>
              <w:t>Control (</w:t>
            </w:r>
            <w:r w:rsidRPr="006E6DE8">
              <w:rPr>
                <w:rFonts w:eastAsia="Times New Roman" w:cs="Times New Roman"/>
                <w:bCs/>
                <w:i/>
                <w:color w:val="000000"/>
                <w:sz w:val="20"/>
                <w:szCs w:val="18"/>
                <w:lang w:val="en-US" w:eastAsia="es-ES"/>
              </w:rPr>
              <w:t>n</w:t>
            </w:r>
            <w:r w:rsidRPr="006E6DE8">
              <w:rPr>
                <w:rFonts w:eastAsia="Times New Roman" w:cs="Times New Roman"/>
                <w:bCs/>
                <w:color w:val="000000"/>
                <w:sz w:val="20"/>
                <w:szCs w:val="18"/>
                <w:lang w:val="en-US" w:eastAsia="es-ES"/>
              </w:rPr>
              <w:t xml:space="preserve"> = 14)</w:t>
            </w:r>
          </w:p>
        </w:tc>
        <w:tc>
          <w:tcPr>
            <w:tcW w:w="1058" w:type="pct"/>
          </w:tcPr>
          <w:p w14:paraId="1EBC152B"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1265" w:type="pct"/>
            <w:vAlign w:val="center"/>
          </w:tcPr>
          <w:p w14:paraId="3084CE1E"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626" w:type="pct"/>
          </w:tcPr>
          <w:p w14:paraId="71E410EA" w14:textId="77777777" w:rsidR="006E6DE8" w:rsidRPr="006E6DE8" w:rsidRDefault="006E6DE8" w:rsidP="00CE658E">
            <w:pPr>
              <w:spacing w:after="0" w:line="240" w:lineRule="auto"/>
              <w:rPr>
                <w:rFonts w:eastAsia="Times New Roman" w:cs="Times New Roman"/>
                <w:color w:val="000000"/>
                <w:sz w:val="20"/>
                <w:szCs w:val="18"/>
                <w:lang w:val="en-US" w:eastAsia="es-ES"/>
              </w:rPr>
            </w:pPr>
          </w:p>
        </w:tc>
        <w:tc>
          <w:tcPr>
            <w:tcW w:w="983" w:type="pct"/>
          </w:tcPr>
          <w:p w14:paraId="5569CDCD"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 xml:space="preserve"> </w:t>
            </w:r>
          </w:p>
        </w:tc>
      </w:tr>
      <w:tr w:rsidR="006E6DE8" w:rsidRPr="006E6DE8" w14:paraId="58435DC0" w14:textId="77777777" w:rsidTr="00CE658E">
        <w:trPr>
          <w:trHeight w:val="299"/>
          <w:jc w:val="center"/>
        </w:trPr>
        <w:tc>
          <w:tcPr>
            <w:tcW w:w="1068" w:type="pct"/>
            <w:vMerge/>
            <w:shd w:val="clear" w:color="auto" w:fill="auto"/>
            <w:noWrap/>
            <w:vAlign w:val="center"/>
          </w:tcPr>
          <w:p w14:paraId="15481C98" w14:textId="77777777" w:rsidR="006E6DE8" w:rsidRPr="006E6DE8" w:rsidRDefault="006E6DE8" w:rsidP="00CE658E">
            <w:pPr>
              <w:spacing w:after="0" w:line="240" w:lineRule="auto"/>
              <w:jc w:val="center"/>
              <w:rPr>
                <w:rFonts w:eastAsia="Times New Roman" w:cs="Times New Roman"/>
                <w:color w:val="000000"/>
                <w:sz w:val="20"/>
                <w:szCs w:val="18"/>
                <w:lang w:val="en-US" w:eastAsia="es-ES"/>
              </w:rPr>
            </w:pPr>
          </w:p>
        </w:tc>
        <w:tc>
          <w:tcPr>
            <w:tcW w:w="1058" w:type="pct"/>
            <w:vAlign w:val="center"/>
          </w:tcPr>
          <w:p w14:paraId="0A7DAD24"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WGT</w:t>
            </w:r>
            <w:r w:rsidRPr="006E6DE8">
              <w:rPr>
                <w:rFonts w:eastAsia="Times New Roman" w:cs="Times New Roman"/>
                <w:color w:val="000000"/>
                <w:sz w:val="20"/>
                <w:szCs w:val="18"/>
                <w:vertAlign w:val="subscript"/>
                <w:lang w:val="en-US" w:eastAsia="es-ES"/>
              </w:rPr>
              <w:t>PEAK</w:t>
            </w:r>
            <w:r w:rsidRPr="006E6DE8">
              <w:rPr>
                <w:rFonts w:eastAsia="Times New Roman" w:cs="Times New Roman"/>
                <w:color w:val="000000"/>
                <w:sz w:val="20"/>
                <w:szCs w:val="18"/>
                <w:lang w:val="en-US" w:eastAsia="es-ES"/>
              </w:rPr>
              <w:t xml:space="preserve"> (W)</w:t>
            </w:r>
          </w:p>
        </w:tc>
        <w:tc>
          <w:tcPr>
            <w:tcW w:w="1265" w:type="pct"/>
            <w:vAlign w:val="center"/>
          </w:tcPr>
          <w:p w14:paraId="12680138"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0"/>
                <w:sz w:val="20"/>
                <w:szCs w:val="18"/>
                <w:lang w:val="en-US"/>
              </w:rPr>
              <w:t>1023 ± 121</w:t>
            </w:r>
          </w:p>
        </w:tc>
        <w:tc>
          <w:tcPr>
            <w:tcW w:w="626" w:type="pct"/>
          </w:tcPr>
          <w:p w14:paraId="3B036B3B"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1020 ± 134</w:t>
            </w:r>
          </w:p>
        </w:tc>
        <w:tc>
          <w:tcPr>
            <w:tcW w:w="983" w:type="pct"/>
          </w:tcPr>
          <w:p w14:paraId="0D357E85"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0.02</w:t>
            </w:r>
          </w:p>
        </w:tc>
      </w:tr>
      <w:tr w:rsidR="006E6DE8" w:rsidRPr="006E6DE8" w14:paraId="5257865F" w14:textId="77777777" w:rsidTr="00CE658E">
        <w:trPr>
          <w:trHeight w:val="299"/>
          <w:jc w:val="center"/>
        </w:trPr>
        <w:tc>
          <w:tcPr>
            <w:tcW w:w="1068" w:type="pct"/>
            <w:vMerge/>
            <w:shd w:val="clear" w:color="auto" w:fill="auto"/>
            <w:noWrap/>
            <w:vAlign w:val="center"/>
          </w:tcPr>
          <w:p w14:paraId="2B7079C0" w14:textId="77777777" w:rsidR="006E6DE8" w:rsidRPr="006E6DE8" w:rsidRDefault="006E6DE8" w:rsidP="00CE658E">
            <w:pPr>
              <w:spacing w:after="0" w:line="240" w:lineRule="auto"/>
              <w:jc w:val="center"/>
              <w:rPr>
                <w:rFonts w:eastAsia="Times New Roman" w:cs="Times New Roman"/>
                <w:color w:val="000000"/>
                <w:sz w:val="20"/>
                <w:szCs w:val="18"/>
                <w:lang w:val="en-US" w:eastAsia="es-ES"/>
              </w:rPr>
            </w:pPr>
          </w:p>
        </w:tc>
        <w:tc>
          <w:tcPr>
            <w:tcW w:w="1058" w:type="pct"/>
            <w:vAlign w:val="center"/>
          </w:tcPr>
          <w:p w14:paraId="14FB7CEA"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WGT</w:t>
            </w:r>
            <w:r w:rsidRPr="006E6DE8">
              <w:rPr>
                <w:rFonts w:eastAsia="Times New Roman" w:cs="Times New Roman"/>
                <w:color w:val="000000"/>
                <w:sz w:val="20"/>
                <w:szCs w:val="18"/>
                <w:vertAlign w:val="subscript"/>
                <w:lang w:val="en-US" w:eastAsia="es-ES"/>
              </w:rPr>
              <w:t xml:space="preserve">MEAN </w:t>
            </w:r>
            <w:r w:rsidRPr="006E6DE8">
              <w:rPr>
                <w:rFonts w:eastAsia="Times New Roman" w:cs="Times New Roman"/>
                <w:color w:val="000000"/>
                <w:sz w:val="20"/>
                <w:szCs w:val="18"/>
                <w:lang w:val="en-US" w:eastAsia="es-ES"/>
              </w:rPr>
              <w:t>(W)</w:t>
            </w:r>
          </w:p>
        </w:tc>
        <w:tc>
          <w:tcPr>
            <w:tcW w:w="1265" w:type="pct"/>
            <w:vAlign w:val="center"/>
          </w:tcPr>
          <w:p w14:paraId="0EF3DF66"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0"/>
                <w:sz w:val="20"/>
                <w:szCs w:val="18"/>
                <w:lang w:val="en-US"/>
              </w:rPr>
              <w:t>648 ± 57</w:t>
            </w:r>
          </w:p>
        </w:tc>
        <w:tc>
          <w:tcPr>
            <w:tcW w:w="626" w:type="pct"/>
          </w:tcPr>
          <w:p w14:paraId="3CCDFCFC"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642 ± 65</w:t>
            </w:r>
          </w:p>
        </w:tc>
        <w:tc>
          <w:tcPr>
            <w:tcW w:w="983" w:type="pct"/>
          </w:tcPr>
          <w:p w14:paraId="456F1A7A"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0.10</w:t>
            </w:r>
          </w:p>
        </w:tc>
      </w:tr>
      <w:tr w:rsidR="006E6DE8" w:rsidRPr="006E6DE8" w14:paraId="4B95B043" w14:textId="77777777" w:rsidTr="00CE658E">
        <w:trPr>
          <w:trHeight w:val="299"/>
          <w:jc w:val="center"/>
        </w:trPr>
        <w:tc>
          <w:tcPr>
            <w:tcW w:w="1068" w:type="pct"/>
            <w:vMerge/>
            <w:shd w:val="clear" w:color="auto" w:fill="auto"/>
            <w:noWrap/>
            <w:vAlign w:val="center"/>
          </w:tcPr>
          <w:p w14:paraId="02CAD25E" w14:textId="77777777" w:rsidR="006E6DE8" w:rsidRPr="006E6DE8" w:rsidRDefault="006E6DE8" w:rsidP="00CE658E">
            <w:pPr>
              <w:spacing w:after="0" w:line="240" w:lineRule="auto"/>
              <w:jc w:val="center"/>
              <w:rPr>
                <w:rFonts w:eastAsia="Times New Roman" w:cs="Times New Roman"/>
                <w:color w:val="000000"/>
                <w:sz w:val="20"/>
                <w:szCs w:val="18"/>
                <w:lang w:val="en-US" w:eastAsia="es-ES"/>
              </w:rPr>
            </w:pPr>
          </w:p>
        </w:tc>
        <w:tc>
          <w:tcPr>
            <w:tcW w:w="1058" w:type="pct"/>
            <w:vAlign w:val="center"/>
          </w:tcPr>
          <w:p w14:paraId="39F50A2F"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CMJ (cm)</w:t>
            </w:r>
          </w:p>
        </w:tc>
        <w:tc>
          <w:tcPr>
            <w:tcW w:w="1265" w:type="pct"/>
            <w:vAlign w:val="center"/>
          </w:tcPr>
          <w:p w14:paraId="08948319"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0"/>
                <w:sz w:val="20"/>
                <w:szCs w:val="18"/>
                <w:lang w:val="en-US"/>
              </w:rPr>
              <w:t>37.5 ± 5.1</w:t>
            </w:r>
          </w:p>
        </w:tc>
        <w:tc>
          <w:tcPr>
            <w:tcW w:w="626" w:type="pct"/>
          </w:tcPr>
          <w:p w14:paraId="44760E47"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36.2 ± 5.1</w:t>
            </w:r>
          </w:p>
        </w:tc>
        <w:tc>
          <w:tcPr>
            <w:tcW w:w="983" w:type="pct"/>
          </w:tcPr>
          <w:p w14:paraId="000E9C7A"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0.25</w:t>
            </w:r>
          </w:p>
        </w:tc>
      </w:tr>
      <w:tr w:rsidR="006E6DE8" w:rsidRPr="006E6DE8" w14:paraId="6D4419C7" w14:textId="77777777" w:rsidTr="00CE658E">
        <w:trPr>
          <w:trHeight w:val="314"/>
          <w:jc w:val="center"/>
        </w:trPr>
        <w:tc>
          <w:tcPr>
            <w:tcW w:w="1068" w:type="pct"/>
            <w:vMerge/>
            <w:shd w:val="clear" w:color="auto" w:fill="auto"/>
            <w:noWrap/>
            <w:vAlign w:val="center"/>
          </w:tcPr>
          <w:p w14:paraId="4897E02B" w14:textId="77777777" w:rsidR="006E6DE8" w:rsidRPr="006E6DE8" w:rsidRDefault="006E6DE8" w:rsidP="00CE658E">
            <w:pPr>
              <w:spacing w:after="0" w:line="240" w:lineRule="auto"/>
              <w:jc w:val="center"/>
              <w:rPr>
                <w:rFonts w:eastAsia="Times New Roman" w:cs="Times New Roman"/>
                <w:color w:val="000000"/>
                <w:sz w:val="20"/>
                <w:szCs w:val="18"/>
                <w:lang w:val="en-US" w:eastAsia="es-ES"/>
              </w:rPr>
            </w:pPr>
          </w:p>
        </w:tc>
        <w:tc>
          <w:tcPr>
            <w:tcW w:w="1058" w:type="pct"/>
            <w:vAlign w:val="center"/>
          </w:tcPr>
          <w:p w14:paraId="057FB355"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eastAsia="Times New Roman" w:cs="Times New Roman"/>
                <w:color w:val="000000"/>
                <w:sz w:val="20"/>
                <w:szCs w:val="18"/>
                <w:lang w:val="en-US" w:eastAsia="es-ES"/>
              </w:rPr>
              <w:t>Time 0-20m (s)</w:t>
            </w:r>
          </w:p>
        </w:tc>
        <w:tc>
          <w:tcPr>
            <w:tcW w:w="1265" w:type="pct"/>
            <w:vAlign w:val="center"/>
          </w:tcPr>
          <w:p w14:paraId="0F0F71F7"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rFonts w:cs="Times New Roman"/>
                <w:color w:val="000000"/>
                <w:w w:val="110"/>
                <w:sz w:val="20"/>
                <w:szCs w:val="18"/>
                <w:lang w:val="en-US"/>
              </w:rPr>
              <w:t>2.92 ± 0.14</w:t>
            </w:r>
          </w:p>
        </w:tc>
        <w:tc>
          <w:tcPr>
            <w:tcW w:w="626" w:type="pct"/>
          </w:tcPr>
          <w:p w14:paraId="5E93B90A" w14:textId="77777777" w:rsidR="006E6DE8" w:rsidRPr="006E6DE8" w:rsidRDefault="006E6DE8" w:rsidP="00CE658E">
            <w:pPr>
              <w:spacing w:after="0" w:line="240" w:lineRule="auto"/>
              <w:rPr>
                <w:rFonts w:eastAsia="Times New Roman" w:cs="Times New Roman"/>
                <w:color w:val="000000"/>
                <w:sz w:val="20"/>
                <w:szCs w:val="18"/>
                <w:lang w:val="en-US" w:eastAsia="es-ES"/>
              </w:rPr>
            </w:pPr>
            <w:r w:rsidRPr="006E6DE8">
              <w:rPr>
                <w:sz w:val="20"/>
                <w:szCs w:val="18"/>
              </w:rPr>
              <w:t>2.97 ± 0.12</w:t>
            </w:r>
          </w:p>
        </w:tc>
        <w:tc>
          <w:tcPr>
            <w:tcW w:w="983" w:type="pct"/>
          </w:tcPr>
          <w:p w14:paraId="642EAA32" w14:textId="77777777" w:rsidR="006E6DE8" w:rsidRPr="006E6DE8" w:rsidRDefault="006E6DE8" w:rsidP="00CE658E">
            <w:pPr>
              <w:spacing w:after="0" w:line="240" w:lineRule="auto"/>
              <w:jc w:val="right"/>
              <w:rPr>
                <w:rFonts w:eastAsia="Times New Roman" w:cs="Times New Roman"/>
                <w:color w:val="000000"/>
                <w:sz w:val="20"/>
                <w:szCs w:val="18"/>
                <w:lang w:val="en-US" w:eastAsia="es-ES"/>
              </w:rPr>
            </w:pPr>
            <w:r w:rsidRPr="006E6DE8">
              <w:rPr>
                <w:sz w:val="20"/>
                <w:szCs w:val="18"/>
              </w:rPr>
              <w:t>0.38</w:t>
            </w:r>
          </w:p>
        </w:tc>
      </w:tr>
    </w:tbl>
    <w:p w14:paraId="689DCA6C" w14:textId="77777777" w:rsidR="006E6DE8" w:rsidRPr="00A411ED" w:rsidRDefault="006E6DE8" w:rsidP="006E6DE8">
      <w:pPr>
        <w:ind w:right="-30"/>
        <w:rPr>
          <w:rFonts w:cs="Times New Roman"/>
          <w:lang w:val="en-US"/>
        </w:rPr>
      </w:pPr>
      <w:r>
        <w:rPr>
          <w:rFonts w:cs="Times New Roman"/>
          <w:lang w:val="en-US"/>
        </w:rPr>
        <w:t xml:space="preserve">Note: </w:t>
      </w:r>
      <w:r w:rsidRPr="00A411ED">
        <w:rPr>
          <w:rFonts w:cs="Times New Roman"/>
          <w:lang w:val="en-US"/>
        </w:rPr>
        <w:t xml:space="preserve">Data are mean ± SD. ES: effect size; F-SQ: Full Squat; P-SQ: Parallel Squat; H-SQ: Half Squat; </w:t>
      </w:r>
      <w:r w:rsidRPr="00A411ED">
        <w:rPr>
          <w:rFonts w:eastAsia="Times New Roman" w:cs="Times New Roman"/>
          <w:color w:val="000000"/>
          <w:lang w:val="en-US" w:eastAsia="es-ES"/>
        </w:rPr>
        <w:t>WGT</w:t>
      </w:r>
      <w:r w:rsidRPr="00A411ED">
        <w:rPr>
          <w:rFonts w:eastAsia="Times New Roman" w:cs="Times New Roman"/>
          <w:color w:val="000000"/>
          <w:vertAlign w:val="subscript"/>
          <w:lang w:val="en-US" w:eastAsia="es-ES"/>
        </w:rPr>
        <w:t>PEAK</w:t>
      </w:r>
      <w:r w:rsidRPr="00A411ED">
        <w:rPr>
          <w:rFonts w:cs="Times New Roman"/>
          <w:lang w:val="en-US"/>
        </w:rPr>
        <w:t xml:space="preserve">: Wingate peak power output; </w:t>
      </w:r>
      <w:r w:rsidRPr="00A411ED">
        <w:rPr>
          <w:rFonts w:eastAsia="Times New Roman" w:cs="Times New Roman"/>
          <w:color w:val="000000"/>
          <w:lang w:val="en-US" w:eastAsia="es-ES"/>
        </w:rPr>
        <w:t>WGT</w:t>
      </w:r>
      <w:r w:rsidRPr="00A411ED">
        <w:rPr>
          <w:rFonts w:eastAsia="Times New Roman" w:cs="Times New Roman"/>
          <w:color w:val="000000"/>
          <w:vertAlign w:val="subscript"/>
          <w:lang w:val="en-US" w:eastAsia="es-ES"/>
        </w:rPr>
        <w:t>MEAN</w:t>
      </w:r>
      <w:r w:rsidRPr="00A411ED">
        <w:rPr>
          <w:rFonts w:cs="Times New Roman"/>
          <w:lang w:val="en-US"/>
        </w:rPr>
        <w:t>: Wingate mean power output; CMJ: counter movement jump height. * Significant differences</w:t>
      </w:r>
      <w:r>
        <w:rPr>
          <w:rFonts w:cs="Times New Roman"/>
          <w:lang w:val="en-US"/>
        </w:rPr>
        <w:t xml:space="preserve"> </w:t>
      </w:r>
      <w:r w:rsidRPr="00A411ED">
        <w:rPr>
          <w:rFonts w:cs="Times New Roman"/>
          <w:lang w:val="en-US"/>
        </w:rPr>
        <w:t>compared to T0.</w:t>
      </w:r>
    </w:p>
    <w:p w14:paraId="2F64F602" w14:textId="77777777" w:rsidR="005819EF" w:rsidRDefault="005819EF" w:rsidP="00CC7E8A">
      <w:pPr>
        <w:spacing w:line="276" w:lineRule="auto"/>
        <w:rPr>
          <w:rFonts w:cs="Times New Roman"/>
          <w:b/>
          <w:szCs w:val="24"/>
          <w:lang w:val="en-US"/>
        </w:rPr>
      </w:pPr>
    </w:p>
    <w:p w14:paraId="2A3D19B2" w14:textId="77777777" w:rsidR="005819EF" w:rsidRDefault="005819EF" w:rsidP="00CC7E8A">
      <w:pPr>
        <w:spacing w:line="276" w:lineRule="auto"/>
        <w:rPr>
          <w:rFonts w:cs="Times New Roman"/>
          <w:b/>
          <w:szCs w:val="24"/>
          <w:lang w:val="en-US"/>
        </w:rPr>
      </w:pPr>
    </w:p>
    <w:p w14:paraId="430CB2B1" w14:textId="77777777" w:rsidR="005819EF" w:rsidRDefault="005819EF" w:rsidP="00CC7E8A">
      <w:pPr>
        <w:spacing w:line="276" w:lineRule="auto"/>
        <w:rPr>
          <w:rFonts w:cs="Times New Roman"/>
          <w:b/>
          <w:szCs w:val="24"/>
          <w:lang w:val="en-US"/>
        </w:rPr>
      </w:pPr>
    </w:p>
    <w:p w14:paraId="20D9F195" w14:textId="77777777" w:rsidR="005819EF" w:rsidRDefault="005819EF" w:rsidP="00CC7E8A">
      <w:pPr>
        <w:spacing w:line="276" w:lineRule="auto"/>
        <w:rPr>
          <w:rFonts w:cs="Times New Roman"/>
          <w:b/>
          <w:szCs w:val="24"/>
          <w:lang w:val="en-US"/>
        </w:rPr>
      </w:pPr>
    </w:p>
    <w:p w14:paraId="2E796760" w14:textId="77777777" w:rsidR="005819EF" w:rsidRDefault="005819EF" w:rsidP="00CC7E8A">
      <w:pPr>
        <w:spacing w:line="276" w:lineRule="auto"/>
        <w:rPr>
          <w:rFonts w:cs="Times New Roman"/>
          <w:b/>
          <w:szCs w:val="24"/>
          <w:lang w:val="en-US"/>
        </w:rPr>
      </w:pPr>
    </w:p>
    <w:p w14:paraId="7E5BCFF6" w14:textId="77777777" w:rsidR="006E6DE8" w:rsidRDefault="006E6DE8" w:rsidP="00CC7E8A">
      <w:pPr>
        <w:spacing w:line="276" w:lineRule="auto"/>
        <w:rPr>
          <w:rFonts w:cs="Times New Roman"/>
          <w:b/>
          <w:szCs w:val="24"/>
          <w:lang w:val="en-US"/>
        </w:rPr>
      </w:pPr>
    </w:p>
    <w:p w14:paraId="4F8C7E84" w14:textId="77777777" w:rsidR="006E6DE8" w:rsidRDefault="006E6DE8" w:rsidP="00CC7E8A">
      <w:pPr>
        <w:spacing w:line="276" w:lineRule="auto"/>
        <w:rPr>
          <w:rFonts w:cs="Times New Roman"/>
          <w:b/>
          <w:szCs w:val="24"/>
          <w:lang w:val="en-US"/>
        </w:rPr>
      </w:pPr>
    </w:p>
    <w:p w14:paraId="7EBC42DA" w14:textId="77777777" w:rsidR="006E6DE8" w:rsidRDefault="006E6DE8" w:rsidP="00CC7E8A">
      <w:pPr>
        <w:spacing w:line="276" w:lineRule="auto"/>
        <w:rPr>
          <w:rFonts w:cs="Times New Roman"/>
          <w:b/>
          <w:szCs w:val="24"/>
          <w:lang w:val="en-US"/>
        </w:rPr>
      </w:pPr>
    </w:p>
    <w:p w14:paraId="00BE534A" w14:textId="77777777" w:rsidR="006E6DE8" w:rsidRDefault="006E6DE8" w:rsidP="00CC7E8A">
      <w:pPr>
        <w:spacing w:line="276" w:lineRule="auto"/>
        <w:rPr>
          <w:rFonts w:cs="Times New Roman"/>
          <w:b/>
          <w:szCs w:val="24"/>
          <w:lang w:val="en-US"/>
        </w:rPr>
      </w:pPr>
    </w:p>
    <w:p w14:paraId="7EA25CEA" w14:textId="77777777" w:rsidR="006E6DE8" w:rsidRDefault="006E6DE8" w:rsidP="00CC7E8A">
      <w:pPr>
        <w:spacing w:line="276" w:lineRule="auto"/>
        <w:rPr>
          <w:rFonts w:cs="Times New Roman"/>
          <w:b/>
          <w:szCs w:val="24"/>
          <w:lang w:val="en-US"/>
        </w:rPr>
      </w:pPr>
    </w:p>
    <w:p w14:paraId="0B119DF1" w14:textId="77777777" w:rsidR="006E6DE8" w:rsidRDefault="006E6DE8" w:rsidP="00CC7E8A">
      <w:pPr>
        <w:spacing w:line="276" w:lineRule="auto"/>
        <w:rPr>
          <w:rFonts w:cs="Times New Roman"/>
          <w:b/>
          <w:szCs w:val="24"/>
          <w:lang w:val="en-US"/>
        </w:rPr>
      </w:pPr>
    </w:p>
    <w:p w14:paraId="04D75A8C" w14:textId="2505A626" w:rsidR="00A91C82" w:rsidRPr="00A411ED" w:rsidRDefault="00A91C82" w:rsidP="00A91C82">
      <w:pPr>
        <w:ind w:right="1133"/>
        <w:rPr>
          <w:rFonts w:cs="Times New Roman"/>
          <w:lang w:val="en-US"/>
        </w:rPr>
      </w:pPr>
      <w:r w:rsidRPr="00C36AF4">
        <w:rPr>
          <w:rFonts w:cs="Times New Roman"/>
          <w:lang w:val="en-US"/>
        </w:rPr>
        <w:lastRenderedPageBreak/>
        <w:t xml:space="preserve">Table </w:t>
      </w:r>
      <w:r>
        <w:rPr>
          <w:rFonts w:cs="Times New Roman"/>
          <w:lang w:val="en-US"/>
        </w:rPr>
        <w:t>4</w:t>
      </w:r>
      <w:r w:rsidRPr="00C36AF4">
        <w:rPr>
          <w:rFonts w:cs="Times New Roman"/>
          <w:lang w:val="en-US"/>
        </w:rPr>
        <w:t>. Changes in selected measures of pain, stiffness, and physical functional disability thought the WOMAC questionnaire from pre- to post-training for each squat group</w:t>
      </w:r>
    </w:p>
    <w:tbl>
      <w:tblPr>
        <w:tblW w:w="5000"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816"/>
        <w:gridCol w:w="1799"/>
        <w:gridCol w:w="2152"/>
        <w:gridCol w:w="1065"/>
        <w:gridCol w:w="1672"/>
      </w:tblGrid>
      <w:tr w:rsidR="00A91C82" w:rsidRPr="00A91C82" w14:paraId="38B874F8" w14:textId="77777777" w:rsidTr="00CE658E">
        <w:trPr>
          <w:trHeight w:val="299"/>
          <w:jc w:val="center"/>
        </w:trPr>
        <w:tc>
          <w:tcPr>
            <w:tcW w:w="1068" w:type="pct"/>
            <w:vMerge w:val="restart"/>
            <w:shd w:val="clear" w:color="auto" w:fill="auto"/>
            <w:noWrap/>
            <w:vAlign w:val="center"/>
            <w:hideMark/>
          </w:tcPr>
          <w:p w14:paraId="54B95D43" w14:textId="77777777" w:rsidR="00A91C82" w:rsidRPr="00A91C82" w:rsidRDefault="00A91C82" w:rsidP="00CE658E">
            <w:pPr>
              <w:spacing w:after="0" w:line="240" w:lineRule="auto"/>
              <w:jc w:val="center"/>
              <w:rPr>
                <w:rFonts w:eastAsia="Times New Roman" w:cs="Times New Roman"/>
                <w:bCs/>
                <w:color w:val="000000"/>
                <w:sz w:val="18"/>
                <w:szCs w:val="16"/>
                <w:lang w:val="en-US" w:eastAsia="es-ES"/>
              </w:rPr>
            </w:pPr>
            <w:r w:rsidRPr="00A91C82">
              <w:rPr>
                <w:rFonts w:eastAsia="Times New Roman" w:cs="Times New Roman"/>
                <w:bCs/>
                <w:color w:val="000000"/>
                <w:sz w:val="18"/>
                <w:szCs w:val="16"/>
                <w:lang w:val="en-US" w:eastAsia="es-ES"/>
              </w:rPr>
              <w:t>Group</w:t>
            </w:r>
          </w:p>
        </w:tc>
        <w:tc>
          <w:tcPr>
            <w:tcW w:w="1058" w:type="pct"/>
            <w:vMerge w:val="restart"/>
            <w:vAlign w:val="center"/>
          </w:tcPr>
          <w:p w14:paraId="663BBA37" w14:textId="77777777" w:rsidR="00A91C82" w:rsidRPr="00A91C82" w:rsidRDefault="00A91C82" w:rsidP="00CE658E">
            <w:pPr>
              <w:spacing w:after="0" w:line="240" w:lineRule="auto"/>
              <w:jc w:val="center"/>
              <w:rPr>
                <w:rFonts w:eastAsia="Times New Roman" w:cs="Times New Roman"/>
                <w:bCs/>
                <w:color w:val="000000"/>
                <w:sz w:val="18"/>
                <w:szCs w:val="16"/>
                <w:lang w:val="en-US" w:eastAsia="es-ES"/>
              </w:rPr>
            </w:pPr>
            <w:r w:rsidRPr="00A91C82">
              <w:rPr>
                <w:rFonts w:eastAsia="Times New Roman" w:cs="Times New Roman"/>
                <w:bCs/>
                <w:color w:val="000000"/>
                <w:sz w:val="18"/>
                <w:szCs w:val="16"/>
                <w:lang w:val="en-US" w:eastAsia="es-ES"/>
              </w:rPr>
              <w:t>Variable</w:t>
            </w:r>
          </w:p>
        </w:tc>
        <w:tc>
          <w:tcPr>
            <w:tcW w:w="2874" w:type="pct"/>
            <w:gridSpan w:val="3"/>
            <w:tcBorders>
              <w:top w:val="single" w:sz="4" w:space="0" w:color="auto"/>
              <w:bottom w:val="single" w:sz="4" w:space="0" w:color="auto"/>
            </w:tcBorders>
          </w:tcPr>
          <w:p w14:paraId="1C63B8E2" w14:textId="77777777" w:rsidR="00A91C82" w:rsidRPr="00A91C82" w:rsidRDefault="00A91C82" w:rsidP="00CE658E">
            <w:pPr>
              <w:spacing w:after="0" w:line="240" w:lineRule="auto"/>
              <w:jc w:val="center"/>
              <w:rPr>
                <w:rFonts w:eastAsia="Times New Roman" w:cs="Times New Roman"/>
                <w:bCs/>
                <w:color w:val="000000"/>
                <w:sz w:val="18"/>
                <w:szCs w:val="16"/>
                <w:lang w:val="en-US" w:eastAsia="es-ES"/>
              </w:rPr>
            </w:pPr>
            <w:r w:rsidRPr="00A91C82">
              <w:rPr>
                <w:rFonts w:eastAsia="Times New Roman" w:cs="Times New Roman"/>
                <w:bCs/>
                <w:color w:val="000000"/>
                <w:sz w:val="18"/>
                <w:szCs w:val="16"/>
                <w:lang w:val="en-US" w:eastAsia="es-ES"/>
              </w:rPr>
              <w:t>Pre-post</w:t>
            </w:r>
          </w:p>
        </w:tc>
      </w:tr>
      <w:tr w:rsidR="00A91C82" w:rsidRPr="00A91C82" w14:paraId="69D68F1F" w14:textId="77777777" w:rsidTr="00CE658E">
        <w:trPr>
          <w:trHeight w:val="299"/>
          <w:jc w:val="center"/>
        </w:trPr>
        <w:tc>
          <w:tcPr>
            <w:tcW w:w="1068" w:type="pct"/>
            <w:vMerge/>
            <w:tcBorders>
              <w:bottom w:val="single" w:sz="4" w:space="0" w:color="auto"/>
            </w:tcBorders>
            <w:shd w:val="clear" w:color="auto" w:fill="auto"/>
            <w:noWrap/>
            <w:vAlign w:val="center"/>
            <w:hideMark/>
          </w:tcPr>
          <w:p w14:paraId="176C10C8" w14:textId="77777777" w:rsidR="00A91C82" w:rsidRPr="00A91C82" w:rsidRDefault="00A91C82" w:rsidP="00CE658E">
            <w:pPr>
              <w:spacing w:after="0" w:line="240" w:lineRule="auto"/>
              <w:rPr>
                <w:rFonts w:eastAsia="Times New Roman" w:cs="Times New Roman"/>
                <w:bCs/>
                <w:color w:val="000000"/>
                <w:sz w:val="18"/>
                <w:szCs w:val="16"/>
                <w:lang w:val="en-US" w:eastAsia="es-ES"/>
              </w:rPr>
            </w:pPr>
          </w:p>
        </w:tc>
        <w:tc>
          <w:tcPr>
            <w:tcW w:w="1058" w:type="pct"/>
            <w:vMerge/>
            <w:tcBorders>
              <w:bottom w:val="single" w:sz="4" w:space="0" w:color="auto"/>
            </w:tcBorders>
          </w:tcPr>
          <w:p w14:paraId="27CC9576" w14:textId="77777777" w:rsidR="00A91C82" w:rsidRPr="00A91C82" w:rsidRDefault="00A91C82" w:rsidP="00CE658E">
            <w:pPr>
              <w:spacing w:after="0" w:line="240" w:lineRule="auto"/>
              <w:jc w:val="center"/>
              <w:rPr>
                <w:rFonts w:eastAsia="Times New Roman" w:cs="Times New Roman"/>
                <w:color w:val="000000"/>
                <w:sz w:val="18"/>
                <w:szCs w:val="16"/>
                <w:lang w:val="en-US" w:eastAsia="es-ES"/>
              </w:rPr>
            </w:pPr>
          </w:p>
        </w:tc>
        <w:tc>
          <w:tcPr>
            <w:tcW w:w="1265" w:type="pct"/>
            <w:tcBorders>
              <w:top w:val="single" w:sz="4" w:space="0" w:color="auto"/>
              <w:bottom w:val="single" w:sz="4" w:space="0" w:color="auto"/>
            </w:tcBorders>
          </w:tcPr>
          <w:p w14:paraId="6E8E8A4F"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rFonts w:eastAsia="Times New Roman" w:cs="Times New Roman"/>
                <w:color w:val="000000"/>
                <w:sz w:val="18"/>
                <w:szCs w:val="16"/>
                <w:lang w:val="en-US" w:eastAsia="es-ES"/>
              </w:rPr>
              <w:t>T0</w:t>
            </w:r>
          </w:p>
        </w:tc>
        <w:tc>
          <w:tcPr>
            <w:tcW w:w="626" w:type="pct"/>
            <w:tcBorders>
              <w:top w:val="single" w:sz="4" w:space="0" w:color="auto"/>
              <w:bottom w:val="single" w:sz="4" w:space="0" w:color="auto"/>
            </w:tcBorders>
          </w:tcPr>
          <w:p w14:paraId="6D5CEC9C"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rFonts w:eastAsia="Times New Roman" w:cs="Times New Roman"/>
                <w:color w:val="000000"/>
                <w:sz w:val="18"/>
                <w:szCs w:val="16"/>
                <w:lang w:val="en-US" w:eastAsia="es-ES"/>
              </w:rPr>
              <w:t>T1</w:t>
            </w:r>
          </w:p>
        </w:tc>
        <w:tc>
          <w:tcPr>
            <w:tcW w:w="983" w:type="pct"/>
            <w:tcBorders>
              <w:top w:val="single" w:sz="4" w:space="0" w:color="auto"/>
              <w:bottom w:val="single" w:sz="4" w:space="0" w:color="auto"/>
            </w:tcBorders>
          </w:tcPr>
          <w:p w14:paraId="20EE1CE0"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rFonts w:eastAsia="Times New Roman" w:cs="Times New Roman"/>
                <w:color w:val="000000"/>
                <w:sz w:val="18"/>
                <w:szCs w:val="16"/>
                <w:lang w:val="en-US" w:eastAsia="es-ES"/>
              </w:rPr>
              <w:t>ES</w:t>
            </w:r>
          </w:p>
        </w:tc>
      </w:tr>
      <w:tr w:rsidR="00A91C82" w:rsidRPr="00A91C82" w14:paraId="53766BEF" w14:textId="77777777" w:rsidTr="00CE658E">
        <w:trPr>
          <w:trHeight w:val="299"/>
          <w:jc w:val="center"/>
        </w:trPr>
        <w:tc>
          <w:tcPr>
            <w:tcW w:w="1068" w:type="pct"/>
            <w:vMerge w:val="restart"/>
            <w:tcBorders>
              <w:top w:val="single" w:sz="4" w:space="0" w:color="auto"/>
            </w:tcBorders>
            <w:shd w:val="clear" w:color="auto" w:fill="auto"/>
            <w:noWrap/>
            <w:vAlign w:val="center"/>
          </w:tcPr>
          <w:p w14:paraId="673D789E" w14:textId="77777777" w:rsidR="00A91C82" w:rsidRPr="00A91C82" w:rsidRDefault="00A91C82" w:rsidP="00CE658E">
            <w:pPr>
              <w:spacing w:after="0" w:line="240" w:lineRule="auto"/>
              <w:jc w:val="center"/>
              <w:rPr>
                <w:rFonts w:eastAsia="Times New Roman" w:cs="Times New Roman"/>
                <w:color w:val="000000"/>
                <w:sz w:val="18"/>
                <w:szCs w:val="16"/>
                <w:lang w:val="en-US" w:eastAsia="es-ES"/>
              </w:rPr>
            </w:pPr>
            <w:r w:rsidRPr="00A91C82">
              <w:rPr>
                <w:rFonts w:eastAsia="Times New Roman" w:cs="Times New Roman"/>
                <w:bCs/>
                <w:color w:val="000000"/>
                <w:sz w:val="18"/>
                <w:szCs w:val="16"/>
                <w:lang w:val="en-US" w:eastAsia="es-ES"/>
              </w:rPr>
              <w:t>F-SQ (</w:t>
            </w:r>
            <w:r w:rsidRPr="00A91C82">
              <w:rPr>
                <w:rFonts w:eastAsia="Times New Roman" w:cs="Times New Roman"/>
                <w:bCs/>
                <w:i/>
                <w:color w:val="000000"/>
                <w:sz w:val="18"/>
                <w:szCs w:val="16"/>
                <w:lang w:val="en-US" w:eastAsia="es-ES"/>
              </w:rPr>
              <w:t>n</w:t>
            </w:r>
            <w:r w:rsidRPr="00A91C82">
              <w:rPr>
                <w:rFonts w:eastAsia="Times New Roman" w:cs="Times New Roman"/>
                <w:bCs/>
                <w:color w:val="000000"/>
                <w:sz w:val="18"/>
                <w:szCs w:val="16"/>
                <w:lang w:val="en-US" w:eastAsia="es-ES"/>
              </w:rPr>
              <w:t xml:space="preserve"> = 12)</w:t>
            </w:r>
          </w:p>
        </w:tc>
        <w:tc>
          <w:tcPr>
            <w:tcW w:w="1058" w:type="pct"/>
            <w:tcBorders>
              <w:top w:val="single" w:sz="4" w:space="0" w:color="auto"/>
            </w:tcBorders>
          </w:tcPr>
          <w:p w14:paraId="3C4935DE" w14:textId="77777777" w:rsidR="00A91C82" w:rsidRPr="00A91C82" w:rsidRDefault="00A91C82" w:rsidP="00CE658E">
            <w:pPr>
              <w:spacing w:after="0" w:line="240" w:lineRule="auto"/>
              <w:rPr>
                <w:rFonts w:eastAsia="Times New Roman" w:cs="Times New Roman"/>
                <w:color w:val="000000"/>
                <w:sz w:val="18"/>
                <w:szCs w:val="16"/>
                <w:lang w:val="en-GB" w:eastAsia="es-ES"/>
              </w:rPr>
            </w:pPr>
            <w:r w:rsidRPr="00A91C82">
              <w:rPr>
                <w:sz w:val="18"/>
                <w:szCs w:val="16"/>
                <w:lang w:val="en-GB"/>
              </w:rPr>
              <w:t>Pain Stiff</w:t>
            </w:r>
          </w:p>
        </w:tc>
        <w:tc>
          <w:tcPr>
            <w:tcW w:w="1265" w:type="pct"/>
            <w:tcBorders>
              <w:top w:val="single" w:sz="4" w:space="0" w:color="auto"/>
            </w:tcBorders>
          </w:tcPr>
          <w:p w14:paraId="5FA451C6"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0.02 ± 0.13</w:t>
            </w:r>
          </w:p>
        </w:tc>
        <w:tc>
          <w:tcPr>
            <w:tcW w:w="626" w:type="pct"/>
            <w:tcBorders>
              <w:top w:val="single" w:sz="4" w:space="0" w:color="auto"/>
            </w:tcBorders>
          </w:tcPr>
          <w:p w14:paraId="3DE207C0"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0.36 ± 0.68*</w:t>
            </w:r>
          </w:p>
        </w:tc>
        <w:tc>
          <w:tcPr>
            <w:tcW w:w="983" w:type="pct"/>
            <w:tcBorders>
              <w:top w:val="single" w:sz="4" w:space="0" w:color="auto"/>
            </w:tcBorders>
          </w:tcPr>
          <w:p w14:paraId="23501D07"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sz w:val="18"/>
                <w:szCs w:val="16"/>
              </w:rPr>
              <w:t>0.84</w:t>
            </w:r>
          </w:p>
        </w:tc>
      </w:tr>
      <w:tr w:rsidR="00A91C82" w:rsidRPr="00A91C82" w14:paraId="00DA7792" w14:textId="77777777" w:rsidTr="00CE658E">
        <w:trPr>
          <w:trHeight w:val="299"/>
          <w:jc w:val="center"/>
        </w:trPr>
        <w:tc>
          <w:tcPr>
            <w:tcW w:w="1068" w:type="pct"/>
            <w:vMerge/>
            <w:shd w:val="clear" w:color="auto" w:fill="auto"/>
            <w:noWrap/>
            <w:vAlign w:val="center"/>
          </w:tcPr>
          <w:p w14:paraId="01179A3A"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1058" w:type="pct"/>
          </w:tcPr>
          <w:p w14:paraId="018453DA" w14:textId="77777777" w:rsidR="00A91C82" w:rsidRPr="00A91C82" w:rsidRDefault="00A91C82" w:rsidP="00CE658E">
            <w:pPr>
              <w:spacing w:after="0" w:line="240" w:lineRule="auto"/>
              <w:rPr>
                <w:rFonts w:eastAsia="Times New Roman" w:cs="Times New Roman"/>
                <w:color w:val="000000"/>
                <w:sz w:val="18"/>
                <w:szCs w:val="16"/>
                <w:lang w:val="en-GB" w:eastAsia="es-ES"/>
              </w:rPr>
            </w:pPr>
            <w:r w:rsidRPr="00A91C82">
              <w:rPr>
                <w:sz w:val="18"/>
                <w:szCs w:val="16"/>
                <w:lang w:val="en-GB"/>
              </w:rPr>
              <w:t>Functional disability</w:t>
            </w:r>
          </w:p>
        </w:tc>
        <w:tc>
          <w:tcPr>
            <w:tcW w:w="1265" w:type="pct"/>
          </w:tcPr>
          <w:p w14:paraId="4C918F30"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0.17 ± 0.38</w:t>
            </w:r>
          </w:p>
        </w:tc>
        <w:tc>
          <w:tcPr>
            <w:tcW w:w="626" w:type="pct"/>
          </w:tcPr>
          <w:p w14:paraId="072F043C"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0.33 ± 0.59</w:t>
            </w:r>
          </w:p>
        </w:tc>
        <w:tc>
          <w:tcPr>
            <w:tcW w:w="983" w:type="pct"/>
          </w:tcPr>
          <w:p w14:paraId="31C22A38"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sz w:val="18"/>
                <w:szCs w:val="16"/>
              </w:rPr>
              <w:t>0.34</w:t>
            </w:r>
          </w:p>
        </w:tc>
      </w:tr>
      <w:tr w:rsidR="00A91C82" w:rsidRPr="00A91C82" w14:paraId="040739F9" w14:textId="77777777" w:rsidTr="00CE658E">
        <w:trPr>
          <w:trHeight w:val="299"/>
          <w:jc w:val="center"/>
        </w:trPr>
        <w:tc>
          <w:tcPr>
            <w:tcW w:w="1068" w:type="pct"/>
            <w:vMerge/>
            <w:shd w:val="clear" w:color="auto" w:fill="auto"/>
            <w:noWrap/>
            <w:vAlign w:val="center"/>
          </w:tcPr>
          <w:p w14:paraId="5829CB9E"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1058" w:type="pct"/>
          </w:tcPr>
          <w:p w14:paraId="5675535A" w14:textId="77777777" w:rsidR="00A91C82" w:rsidRPr="00A91C82" w:rsidRDefault="00A91C82" w:rsidP="00CE658E">
            <w:pPr>
              <w:spacing w:after="0" w:line="240" w:lineRule="auto"/>
              <w:rPr>
                <w:rFonts w:eastAsia="Times New Roman" w:cs="Times New Roman"/>
                <w:color w:val="000000"/>
                <w:sz w:val="18"/>
                <w:szCs w:val="16"/>
                <w:lang w:val="en-GB" w:eastAsia="es-ES"/>
              </w:rPr>
            </w:pPr>
            <w:r w:rsidRPr="00A91C82">
              <w:rPr>
                <w:sz w:val="18"/>
                <w:szCs w:val="16"/>
                <w:lang w:val="en-GB"/>
              </w:rPr>
              <w:t>Total score</w:t>
            </w:r>
          </w:p>
        </w:tc>
        <w:tc>
          <w:tcPr>
            <w:tcW w:w="1265" w:type="pct"/>
          </w:tcPr>
          <w:p w14:paraId="6E0B78A9"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0.01 ± 0.12</w:t>
            </w:r>
          </w:p>
        </w:tc>
        <w:tc>
          <w:tcPr>
            <w:tcW w:w="626" w:type="pct"/>
          </w:tcPr>
          <w:p w14:paraId="4920EAD9"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0.10 ± 0.40</w:t>
            </w:r>
          </w:p>
        </w:tc>
        <w:tc>
          <w:tcPr>
            <w:tcW w:w="983" w:type="pct"/>
          </w:tcPr>
          <w:p w14:paraId="0EDE5FA0"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sz w:val="18"/>
                <w:szCs w:val="16"/>
              </w:rPr>
              <w:t>0.32</w:t>
            </w:r>
          </w:p>
        </w:tc>
      </w:tr>
      <w:tr w:rsidR="00A91C82" w:rsidRPr="00A91C82" w14:paraId="6771045A" w14:textId="77777777" w:rsidTr="00CE658E">
        <w:trPr>
          <w:trHeight w:val="299"/>
          <w:jc w:val="center"/>
        </w:trPr>
        <w:tc>
          <w:tcPr>
            <w:tcW w:w="1068" w:type="pct"/>
            <w:vMerge/>
            <w:shd w:val="clear" w:color="auto" w:fill="auto"/>
            <w:noWrap/>
            <w:vAlign w:val="center"/>
          </w:tcPr>
          <w:p w14:paraId="2447A574"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1058" w:type="pct"/>
          </w:tcPr>
          <w:p w14:paraId="6BA31C1E" w14:textId="77777777" w:rsidR="00A91C82" w:rsidRPr="00A91C82" w:rsidRDefault="00A91C82" w:rsidP="00CE658E">
            <w:pPr>
              <w:spacing w:after="0" w:line="240" w:lineRule="auto"/>
              <w:rPr>
                <w:rFonts w:eastAsia="Times New Roman" w:cs="Times New Roman"/>
                <w:color w:val="000000"/>
                <w:sz w:val="18"/>
                <w:szCs w:val="16"/>
                <w:lang w:val="en-GB" w:eastAsia="es-ES"/>
              </w:rPr>
            </w:pPr>
            <w:r w:rsidRPr="00A91C82">
              <w:rPr>
                <w:sz w:val="18"/>
                <w:szCs w:val="16"/>
                <w:lang w:val="en-GB"/>
              </w:rPr>
              <w:t>Pain Stiff</w:t>
            </w:r>
          </w:p>
        </w:tc>
        <w:tc>
          <w:tcPr>
            <w:tcW w:w="1265" w:type="pct"/>
          </w:tcPr>
          <w:p w14:paraId="6B7AA7F4"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0.03 ± 0.16</w:t>
            </w:r>
          </w:p>
        </w:tc>
        <w:tc>
          <w:tcPr>
            <w:tcW w:w="626" w:type="pct"/>
          </w:tcPr>
          <w:p w14:paraId="5B8A1B9F"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0.18 ± 0.49</w:t>
            </w:r>
          </w:p>
        </w:tc>
        <w:tc>
          <w:tcPr>
            <w:tcW w:w="983" w:type="pct"/>
          </w:tcPr>
          <w:p w14:paraId="5C5296D3"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sz w:val="18"/>
                <w:szCs w:val="16"/>
              </w:rPr>
              <w:t>0.46</w:t>
            </w:r>
          </w:p>
        </w:tc>
      </w:tr>
      <w:tr w:rsidR="00A91C82" w:rsidRPr="00A91C82" w14:paraId="01A16FD5" w14:textId="77777777" w:rsidTr="00CE658E">
        <w:trPr>
          <w:trHeight w:val="299"/>
          <w:jc w:val="center"/>
        </w:trPr>
        <w:tc>
          <w:tcPr>
            <w:tcW w:w="1068" w:type="pct"/>
            <w:vMerge w:val="restart"/>
            <w:shd w:val="clear" w:color="auto" w:fill="auto"/>
            <w:noWrap/>
            <w:vAlign w:val="center"/>
            <w:hideMark/>
          </w:tcPr>
          <w:p w14:paraId="75C0D984" w14:textId="77777777" w:rsidR="00A91C82" w:rsidRPr="00A91C82" w:rsidRDefault="00A91C82" w:rsidP="00CE658E">
            <w:pPr>
              <w:spacing w:after="0" w:line="240" w:lineRule="auto"/>
              <w:jc w:val="center"/>
              <w:rPr>
                <w:rFonts w:eastAsia="Times New Roman" w:cs="Times New Roman"/>
                <w:bCs/>
                <w:color w:val="000000"/>
                <w:sz w:val="18"/>
                <w:szCs w:val="16"/>
                <w:lang w:val="en-US" w:eastAsia="es-ES"/>
              </w:rPr>
            </w:pPr>
            <w:r w:rsidRPr="00A91C82">
              <w:rPr>
                <w:rFonts w:eastAsia="Times New Roman" w:cs="Times New Roman"/>
                <w:bCs/>
                <w:color w:val="000000"/>
                <w:sz w:val="18"/>
                <w:szCs w:val="16"/>
                <w:lang w:val="en-US" w:eastAsia="es-ES"/>
              </w:rPr>
              <w:t>P-SQ (</w:t>
            </w:r>
            <w:r w:rsidRPr="00A91C82">
              <w:rPr>
                <w:rFonts w:eastAsia="Times New Roman" w:cs="Times New Roman"/>
                <w:bCs/>
                <w:i/>
                <w:color w:val="000000"/>
                <w:sz w:val="18"/>
                <w:szCs w:val="16"/>
                <w:lang w:val="en-US" w:eastAsia="es-ES"/>
              </w:rPr>
              <w:t>n</w:t>
            </w:r>
            <w:r w:rsidRPr="00A91C82">
              <w:rPr>
                <w:rFonts w:eastAsia="Times New Roman" w:cs="Times New Roman"/>
                <w:bCs/>
                <w:color w:val="000000"/>
                <w:sz w:val="18"/>
                <w:szCs w:val="16"/>
                <w:lang w:val="en-US" w:eastAsia="es-ES"/>
              </w:rPr>
              <w:t xml:space="preserve"> = 13)</w:t>
            </w:r>
          </w:p>
        </w:tc>
        <w:tc>
          <w:tcPr>
            <w:tcW w:w="1058" w:type="pct"/>
          </w:tcPr>
          <w:p w14:paraId="0265A195"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1265" w:type="pct"/>
            <w:vAlign w:val="center"/>
          </w:tcPr>
          <w:p w14:paraId="0FF471BA"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626" w:type="pct"/>
          </w:tcPr>
          <w:p w14:paraId="2FBBA093"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983" w:type="pct"/>
          </w:tcPr>
          <w:p w14:paraId="4C0BF421"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p>
        </w:tc>
      </w:tr>
      <w:tr w:rsidR="00A91C82" w:rsidRPr="00A91C82" w14:paraId="0BB61622" w14:textId="77777777" w:rsidTr="00CE658E">
        <w:trPr>
          <w:trHeight w:val="299"/>
          <w:jc w:val="center"/>
        </w:trPr>
        <w:tc>
          <w:tcPr>
            <w:tcW w:w="1068" w:type="pct"/>
            <w:vMerge/>
            <w:shd w:val="clear" w:color="auto" w:fill="auto"/>
            <w:noWrap/>
            <w:vAlign w:val="center"/>
          </w:tcPr>
          <w:p w14:paraId="294BE9B0"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1058" w:type="pct"/>
          </w:tcPr>
          <w:p w14:paraId="6050DE54"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lang w:val="en-GB"/>
              </w:rPr>
              <w:t>Pain Stiff</w:t>
            </w:r>
          </w:p>
        </w:tc>
        <w:tc>
          <w:tcPr>
            <w:tcW w:w="1265" w:type="pct"/>
          </w:tcPr>
          <w:p w14:paraId="196E163F"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0.05 ± 0.22</w:t>
            </w:r>
          </w:p>
        </w:tc>
        <w:tc>
          <w:tcPr>
            <w:tcW w:w="626" w:type="pct"/>
          </w:tcPr>
          <w:p w14:paraId="2F5822E3"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0.40 ± 0.67*</w:t>
            </w:r>
          </w:p>
        </w:tc>
        <w:tc>
          <w:tcPr>
            <w:tcW w:w="983" w:type="pct"/>
          </w:tcPr>
          <w:p w14:paraId="633F3A8D"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sz w:val="18"/>
                <w:szCs w:val="16"/>
              </w:rPr>
              <w:t>0.79</w:t>
            </w:r>
          </w:p>
        </w:tc>
      </w:tr>
      <w:tr w:rsidR="00A91C82" w:rsidRPr="00A91C82" w14:paraId="7156217F" w14:textId="77777777" w:rsidTr="00CE658E">
        <w:trPr>
          <w:trHeight w:val="299"/>
          <w:jc w:val="center"/>
        </w:trPr>
        <w:tc>
          <w:tcPr>
            <w:tcW w:w="1068" w:type="pct"/>
            <w:vMerge/>
            <w:shd w:val="clear" w:color="auto" w:fill="auto"/>
            <w:noWrap/>
            <w:vAlign w:val="center"/>
          </w:tcPr>
          <w:p w14:paraId="637BC0D6"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1058" w:type="pct"/>
          </w:tcPr>
          <w:p w14:paraId="1DA1AB36"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lang w:val="en-GB"/>
              </w:rPr>
              <w:t>Functional disability</w:t>
            </w:r>
          </w:p>
        </w:tc>
        <w:tc>
          <w:tcPr>
            <w:tcW w:w="1265" w:type="pct"/>
          </w:tcPr>
          <w:p w14:paraId="5E31E572"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0.25 ± 0.44</w:t>
            </w:r>
          </w:p>
        </w:tc>
        <w:tc>
          <w:tcPr>
            <w:tcW w:w="626" w:type="pct"/>
          </w:tcPr>
          <w:p w14:paraId="3B3C3469"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0.33 ± 0.48</w:t>
            </w:r>
          </w:p>
        </w:tc>
        <w:tc>
          <w:tcPr>
            <w:tcW w:w="983" w:type="pct"/>
          </w:tcPr>
          <w:p w14:paraId="0FB36C80"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sz w:val="18"/>
                <w:szCs w:val="16"/>
              </w:rPr>
              <w:t>0.18</w:t>
            </w:r>
          </w:p>
        </w:tc>
      </w:tr>
      <w:tr w:rsidR="00A91C82" w:rsidRPr="00A91C82" w14:paraId="1FE9344A" w14:textId="77777777" w:rsidTr="00CE658E">
        <w:trPr>
          <w:trHeight w:val="299"/>
          <w:jc w:val="center"/>
        </w:trPr>
        <w:tc>
          <w:tcPr>
            <w:tcW w:w="1068" w:type="pct"/>
            <w:vMerge/>
            <w:shd w:val="clear" w:color="auto" w:fill="auto"/>
            <w:noWrap/>
            <w:vAlign w:val="center"/>
          </w:tcPr>
          <w:p w14:paraId="104FEB6B"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1058" w:type="pct"/>
          </w:tcPr>
          <w:p w14:paraId="65071919"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lang w:val="en-GB"/>
              </w:rPr>
              <w:t>Total score</w:t>
            </w:r>
          </w:p>
        </w:tc>
        <w:tc>
          <w:tcPr>
            <w:tcW w:w="1265" w:type="pct"/>
          </w:tcPr>
          <w:p w14:paraId="5C5ABAE2"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0.02 ± 0.14</w:t>
            </w:r>
          </w:p>
        </w:tc>
        <w:tc>
          <w:tcPr>
            <w:tcW w:w="626" w:type="pct"/>
          </w:tcPr>
          <w:p w14:paraId="1FC05209"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0.09 ± 0.31</w:t>
            </w:r>
          </w:p>
        </w:tc>
        <w:tc>
          <w:tcPr>
            <w:tcW w:w="983" w:type="pct"/>
          </w:tcPr>
          <w:p w14:paraId="3017E642"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sz w:val="18"/>
                <w:szCs w:val="16"/>
              </w:rPr>
              <w:t>0.33</w:t>
            </w:r>
          </w:p>
        </w:tc>
      </w:tr>
      <w:tr w:rsidR="00A91C82" w:rsidRPr="00A91C82" w14:paraId="4F596F07" w14:textId="77777777" w:rsidTr="00CE658E">
        <w:trPr>
          <w:trHeight w:val="314"/>
          <w:jc w:val="center"/>
        </w:trPr>
        <w:tc>
          <w:tcPr>
            <w:tcW w:w="1068" w:type="pct"/>
            <w:vMerge/>
            <w:shd w:val="clear" w:color="auto" w:fill="auto"/>
            <w:noWrap/>
            <w:vAlign w:val="center"/>
          </w:tcPr>
          <w:p w14:paraId="5087CB35"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1058" w:type="pct"/>
          </w:tcPr>
          <w:p w14:paraId="048B7F4F"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lang w:val="en-GB"/>
              </w:rPr>
              <w:t>Pain Stiff</w:t>
            </w:r>
          </w:p>
        </w:tc>
        <w:tc>
          <w:tcPr>
            <w:tcW w:w="1265" w:type="pct"/>
          </w:tcPr>
          <w:p w14:paraId="769F9F03"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0.05 ± 0.21</w:t>
            </w:r>
          </w:p>
        </w:tc>
        <w:tc>
          <w:tcPr>
            <w:tcW w:w="626" w:type="pct"/>
          </w:tcPr>
          <w:p w14:paraId="64A42176"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0.18 ± 0.44</w:t>
            </w:r>
          </w:p>
        </w:tc>
        <w:tc>
          <w:tcPr>
            <w:tcW w:w="983" w:type="pct"/>
          </w:tcPr>
          <w:p w14:paraId="07A490F3"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sz w:val="18"/>
                <w:szCs w:val="16"/>
              </w:rPr>
              <w:t>0.41</w:t>
            </w:r>
          </w:p>
        </w:tc>
      </w:tr>
      <w:tr w:rsidR="00A91C82" w:rsidRPr="00A91C82" w14:paraId="126152B9" w14:textId="77777777" w:rsidTr="00CE658E">
        <w:trPr>
          <w:trHeight w:val="299"/>
          <w:jc w:val="center"/>
        </w:trPr>
        <w:tc>
          <w:tcPr>
            <w:tcW w:w="1068" w:type="pct"/>
            <w:vMerge w:val="restart"/>
            <w:shd w:val="clear" w:color="auto" w:fill="auto"/>
            <w:noWrap/>
            <w:vAlign w:val="center"/>
            <w:hideMark/>
          </w:tcPr>
          <w:p w14:paraId="35053496" w14:textId="77777777" w:rsidR="00A91C82" w:rsidRPr="00A91C82" w:rsidRDefault="00A91C82" w:rsidP="00CE658E">
            <w:pPr>
              <w:spacing w:after="0" w:line="240" w:lineRule="auto"/>
              <w:jc w:val="center"/>
              <w:rPr>
                <w:rFonts w:eastAsia="Times New Roman" w:cs="Times New Roman"/>
                <w:bCs/>
                <w:color w:val="000000"/>
                <w:sz w:val="18"/>
                <w:szCs w:val="16"/>
                <w:lang w:val="en-US" w:eastAsia="es-ES"/>
              </w:rPr>
            </w:pPr>
            <w:r w:rsidRPr="00A91C82">
              <w:rPr>
                <w:rFonts w:eastAsia="Times New Roman" w:cs="Times New Roman"/>
                <w:bCs/>
                <w:color w:val="000000"/>
                <w:sz w:val="18"/>
                <w:szCs w:val="16"/>
                <w:lang w:val="en-US" w:eastAsia="es-ES"/>
              </w:rPr>
              <w:t>H-SQ (</w:t>
            </w:r>
            <w:r w:rsidRPr="00A91C82">
              <w:rPr>
                <w:rFonts w:eastAsia="Times New Roman" w:cs="Times New Roman"/>
                <w:bCs/>
                <w:i/>
                <w:color w:val="000000"/>
                <w:sz w:val="18"/>
                <w:szCs w:val="16"/>
                <w:lang w:val="en-US" w:eastAsia="es-ES"/>
              </w:rPr>
              <w:t>n</w:t>
            </w:r>
            <w:r w:rsidRPr="00A91C82">
              <w:rPr>
                <w:rFonts w:eastAsia="Times New Roman" w:cs="Times New Roman"/>
                <w:bCs/>
                <w:color w:val="000000"/>
                <w:sz w:val="18"/>
                <w:szCs w:val="16"/>
                <w:lang w:val="en-US" w:eastAsia="es-ES"/>
              </w:rPr>
              <w:t xml:space="preserve"> = 11)</w:t>
            </w:r>
          </w:p>
        </w:tc>
        <w:tc>
          <w:tcPr>
            <w:tcW w:w="1058" w:type="pct"/>
          </w:tcPr>
          <w:p w14:paraId="23BF3E8D"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1265" w:type="pct"/>
            <w:vAlign w:val="center"/>
          </w:tcPr>
          <w:p w14:paraId="7ACF7BD0"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626" w:type="pct"/>
          </w:tcPr>
          <w:p w14:paraId="04CDDD8B"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983" w:type="pct"/>
          </w:tcPr>
          <w:p w14:paraId="68B8BE16"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p>
        </w:tc>
      </w:tr>
      <w:tr w:rsidR="00A91C82" w:rsidRPr="00A91C82" w14:paraId="61EE5A19" w14:textId="77777777" w:rsidTr="00CE658E">
        <w:trPr>
          <w:trHeight w:val="299"/>
          <w:jc w:val="center"/>
        </w:trPr>
        <w:tc>
          <w:tcPr>
            <w:tcW w:w="1068" w:type="pct"/>
            <w:vMerge/>
            <w:shd w:val="clear" w:color="auto" w:fill="auto"/>
            <w:noWrap/>
            <w:vAlign w:val="center"/>
          </w:tcPr>
          <w:p w14:paraId="3AAF38EE" w14:textId="77777777" w:rsidR="00A91C82" w:rsidRPr="00A91C82" w:rsidRDefault="00A91C82" w:rsidP="00CE658E">
            <w:pPr>
              <w:spacing w:after="0" w:line="240" w:lineRule="auto"/>
              <w:jc w:val="center"/>
              <w:rPr>
                <w:rFonts w:eastAsia="Times New Roman" w:cs="Times New Roman"/>
                <w:color w:val="000000"/>
                <w:sz w:val="18"/>
                <w:szCs w:val="16"/>
                <w:lang w:val="en-US" w:eastAsia="es-ES"/>
              </w:rPr>
            </w:pPr>
          </w:p>
        </w:tc>
        <w:tc>
          <w:tcPr>
            <w:tcW w:w="1058" w:type="pct"/>
          </w:tcPr>
          <w:p w14:paraId="6F27E55D"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lang w:val="en-GB"/>
              </w:rPr>
              <w:t>Pain Stiff</w:t>
            </w:r>
          </w:p>
        </w:tc>
        <w:tc>
          <w:tcPr>
            <w:tcW w:w="1265" w:type="pct"/>
          </w:tcPr>
          <w:p w14:paraId="689717FE"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0.05 ± 0.38</w:t>
            </w:r>
          </w:p>
        </w:tc>
        <w:tc>
          <w:tcPr>
            <w:tcW w:w="626" w:type="pct"/>
          </w:tcPr>
          <w:p w14:paraId="07806B2E"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1.40 ± 1.29*</w:t>
            </w:r>
          </w:p>
        </w:tc>
        <w:tc>
          <w:tcPr>
            <w:tcW w:w="983" w:type="pct"/>
          </w:tcPr>
          <w:p w14:paraId="649C7982"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sz w:val="18"/>
                <w:szCs w:val="16"/>
              </w:rPr>
              <w:t>1.62</w:t>
            </w:r>
          </w:p>
        </w:tc>
      </w:tr>
      <w:tr w:rsidR="00A91C82" w:rsidRPr="00A91C82" w14:paraId="1F0088BE" w14:textId="77777777" w:rsidTr="00CE658E">
        <w:trPr>
          <w:trHeight w:val="299"/>
          <w:jc w:val="center"/>
        </w:trPr>
        <w:tc>
          <w:tcPr>
            <w:tcW w:w="1068" w:type="pct"/>
            <w:vMerge/>
            <w:shd w:val="clear" w:color="auto" w:fill="auto"/>
            <w:noWrap/>
            <w:vAlign w:val="center"/>
          </w:tcPr>
          <w:p w14:paraId="1003642D" w14:textId="77777777" w:rsidR="00A91C82" w:rsidRPr="00A91C82" w:rsidRDefault="00A91C82" w:rsidP="00CE658E">
            <w:pPr>
              <w:spacing w:after="0" w:line="240" w:lineRule="auto"/>
              <w:jc w:val="center"/>
              <w:rPr>
                <w:rFonts w:eastAsia="Times New Roman" w:cs="Times New Roman"/>
                <w:color w:val="000000"/>
                <w:sz w:val="18"/>
                <w:szCs w:val="16"/>
                <w:lang w:val="en-US" w:eastAsia="es-ES"/>
              </w:rPr>
            </w:pPr>
          </w:p>
        </w:tc>
        <w:tc>
          <w:tcPr>
            <w:tcW w:w="1058" w:type="pct"/>
          </w:tcPr>
          <w:p w14:paraId="6D26C5D2"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lang w:val="en-GB"/>
              </w:rPr>
              <w:t>Functional disability</w:t>
            </w:r>
          </w:p>
        </w:tc>
        <w:tc>
          <w:tcPr>
            <w:tcW w:w="1265" w:type="pct"/>
          </w:tcPr>
          <w:p w14:paraId="03800154"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0.14 ± 0.36</w:t>
            </w:r>
          </w:p>
        </w:tc>
        <w:tc>
          <w:tcPr>
            <w:tcW w:w="626" w:type="pct"/>
          </w:tcPr>
          <w:p w14:paraId="60BFA6B1"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1.32 ± 1.58*</w:t>
            </w:r>
          </w:p>
        </w:tc>
        <w:tc>
          <w:tcPr>
            <w:tcW w:w="983" w:type="pct"/>
          </w:tcPr>
          <w:p w14:paraId="336AB077"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sz w:val="18"/>
                <w:szCs w:val="16"/>
              </w:rPr>
              <w:t>1.21</w:t>
            </w:r>
          </w:p>
        </w:tc>
      </w:tr>
      <w:tr w:rsidR="00A91C82" w:rsidRPr="00A91C82" w14:paraId="6D9FD32D" w14:textId="77777777" w:rsidTr="00CE658E">
        <w:trPr>
          <w:trHeight w:val="299"/>
          <w:jc w:val="center"/>
        </w:trPr>
        <w:tc>
          <w:tcPr>
            <w:tcW w:w="1068" w:type="pct"/>
            <w:vMerge/>
            <w:shd w:val="clear" w:color="auto" w:fill="auto"/>
            <w:noWrap/>
            <w:vAlign w:val="center"/>
          </w:tcPr>
          <w:p w14:paraId="728AADBF" w14:textId="77777777" w:rsidR="00A91C82" w:rsidRPr="00A91C82" w:rsidRDefault="00A91C82" w:rsidP="00CE658E">
            <w:pPr>
              <w:spacing w:after="0" w:line="240" w:lineRule="auto"/>
              <w:jc w:val="center"/>
              <w:rPr>
                <w:rFonts w:eastAsia="Times New Roman" w:cs="Times New Roman"/>
                <w:color w:val="000000"/>
                <w:sz w:val="18"/>
                <w:szCs w:val="16"/>
                <w:lang w:val="en-US" w:eastAsia="es-ES"/>
              </w:rPr>
            </w:pPr>
          </w:p>
        </w:tc>
        <w:tc>
          <w:tcPr>
            <w:tcW w:w="1058" w:type="pct"/>
          </w:tcPr>
          <w:p w14:paraId="4D387897"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lang w:val="en-GB"/>
              </w:rPr>
              <w:t>Total score</w:t>
            </w:r>
          </w:p>
        </w:tc>
        <w:tc>
          <w:tcPr>
            <w:tcW w:w="1265" w:type="pct"/>
          </w:tcPr>
          <w:p w14:paraId="0A770A9B"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0.14 ± 0.40</w:t>
            </w:r>
          </w:p>
        </w:tc>
        <w:tc>
          <w:tcPr>
            <w:tcW w:w="626" w:type="pct"/>
          </w:tcPr>
          <w:p w14:paraId="13DE964E"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0.86 ± 1.27*</w:t>
            </w:r>
          </w:p>
        </w:tc>
        <w:tc>
          <w:tcPr>
            <w:tcW w:w="983" w:type="pct"/>
          </w:tcPr>
          <w:p w14:paraId="5D38F870"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sz w:val="18"/>
                <w:szCs w:val="16"/>
              </w:rPr>
              <w:t>0.87</w:t>
            </w:r>
          </w:p>
        </w:tc>
      </w:tr>
      <w:tr w:rsidR="00A91C82" w:rsidRPr="00A91C82" w14:paraId="5868B99D" w14:textId="77777777" w:rsidTr="00CE658E">
        <w:trPr>
          <w:trHeight w:val="314"/>
          <w:jc w:val="center"/>
        </w:trPr>
        <w:tc>
          <w:tcPr>
            <w:tcW w:w="1068" w:type="pct"/>
            <w:vMerge/>
            <w:shd w:val="clear" w:color="auto" w:fill="auto"/>
            <w:noWrap/>
            <w:vAlign w:val="center"/>
          </w:tcPr>
          <w:p w14:paraId="2775542B" w14:textId="77777777" w:rsidR="00A91C82" w:rsidRPr="00A91C82" w:rsidRDefault="00A91C82" w:rsidP="00CE658E">
            <w:pPr>
              <w:spacing w:after="0" w:line="240" w:lineRule="auto"/>
              <w:jc w:val="center"/>
              <w:rPr>
                <w:rFonts w:eastAsia="Times New Roman" w:cs="Times New Roman"/>
                <w:color w:val="000000"/>
                <w:sz w:val="18"/>
                <w:szCs w:val="16"/>
                <w:lang w:val="en-US" w:eastAsia="es-ES"/>
              </w:rPr>
            </w:pPr>
          </w:p>
        </w:tc>
        <w:tc>
          <w:tcPr>
            <w:tcW w:w="1058" w:type="pct"/>
          </w:tcPr>
          <w:p w14:paraId="5B2AC1F9"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lang w:val="en-GB"/>
              </w:rPr>
              <w:t>Pain Stiff</w:t>
            </w:r>
          </w:p>
        </w:tc>
        <w:tc>
          <w:tcPr>
            <w:tcW w:w="1265" w:type="pct"/>
          </w:tcPr>
          <w:p w14:paraId="12604AD2"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0.14 ± 0.39</w:t>
            </w:r>
          </w:p>
        </w:tc>
        <w:tc>
          <w:tcPr>
            <w:tcW w:w="626" w:type="pct"/>
          </w:tcPr>
          <w:p w14:paraId="13231A35"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1.01 ± 1.32*</w:t>
            </w:r>
          </w:p>
        </w:tc>
        <w:tc>
          <w:tcPr>
            <w:tcW w:w="983" w:type="pct"/>
          </w:tcPr>
          <w:p w14:paraId="44B11468"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sz w:val="18"/>
                <w:szCs w:val="16"/>
              </w:rPr>
              <w:t>1.03</w:t>
            </w:r>
          </w:p>
        </w:tc>
      </w:tr>
      <w:tr w:rsidR="00A91C82" w:rsidRPr="00A91C82" w14:paraId="5C14CF21" w14:textId="77777777" w:rsidTr="00CE658E">
        <w:trPr>
          <w:trHeight w:val="314"/>
          <w:jc w:val="center"/>
        </w:trPr>
        <w:tc>
          <w:tcPr>
            <w:tcW w:w="1068" w:type="pct"/>
            <w:vMerge w:val="restart"/>
            <w:shd w:val="clear" w:color="auto" w:fill="auto"/>
            <w:noWrap/>
            <w:vAlign w:val="center"/>
            <w:hideMark/>
          </w:tcPr>
          <w:p w14:paraId="44A5A216" w14:textId="77777777" w:rsidR="00A91C82" w:rsidRPr="00A91C82" w:rsidRDefault="00A91C82" w:rsidP="00CE658E">
            <w:pPr>
              <w:spacing w:after="0" w:line="240" w:lineRule="auto"/>
              <w:jc w:val="center"/>
              <w:rPr>
                <w:rFonts w:eastAsia="Times New Roman" w:cs="Times New Roman"/>
                <w:bCs/>
                <w:color w:val="000000"/>
                <w:sz w:val="18"/>
                <w:szCs w:val="16"/>
                <w:lang w:val="en-US" w:eastAsia="es-ES"/>
              </w:rPr>
            </w:pPr>
            <w:r w:rsidRPr="00A91C82">
              <w:rPr>
                <w:rFonts w:eastAsia="Times New Roman" w:cs="Times New Roman"/>
                <w:bCs/>
                <w:color w:val="000000"/>
                <w:sz w:val="18"/>
                <w:szCs w:val="16"/>
                <w:lang w:val="en-US" w:eastAsia="es-ES"/>
              </w:rPr>
              <w:t>Control (</w:t>
            </w:r>
            <w:r w:rsidRPr="00A91C82">
              <w:rPr>
                <w:rFonts w:eastAsia="Times New Roman" w:cs="Times New Roman"/>
                <w:bCs/>
                <w:i/>
                <w:color w:val="000000"/>
                <w:sz w:val="18"/>
                <w:szCs w:val="16"/>
                <w:lang w:val="en-US" w:eastAsia="es-ES"/>
              </w:rPr>
              <w:t>n</w:t>
            </w:r>
            <w:r w:rsidRPr="00A91C82">
              <w:rPr>
                <w:rFonts w:eastAsia="Times New Roman" w:cs="Times New Roman"/>
                <w:bCs/>
                <w:color w:val="000000"/>
                <w:sz w:val="18"/>
                <w:szCs w:val="16"/>
                <w:lang w:val="en-US" w:eastAsia="es-ES"/>
              </w:rPr>
              <w:t xml:space="preserve"> = 14)</w:t>
            </w:r>
          </w:p>
        </w:tc>
        <w:tc>
          <w:tcPr>
            <w:tcW w:w="1058" w:type="pct"/>
          </w:tcPr>
          <w:p w14:paraId="21480EF8"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1265" w:type="pct"/>
            <w:vAlign w:val="center"/>
          </w:tcPr>
          <w:p w14:paraId="647305ED"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626" w:type="pct"/>
          </w:tcPr>
          <w:p w14:paraId="2BB73A07" w14:textId="77777777" w:rsidR="00A91C82" w:rsidRPr="00A91C82" w:rsidRDefault="00A91C82" w:rsidP="00CE658E">
            <w:pPr>
              <w:spacing w:after="0" w:line="240" w:lineRule="auto"/>
              <w:rPr>
                <w:rFonts w:eastAsia="Times New Roman" w:cs="Times New Roman"/>
                <w:color w:val="000000"/>
                <w:sz w:val="18"/>
                <w:szCs w:val="16"/>
                <w:lang w:val="en-US" w:eastAsia="es-ES"/>
              </w:rPr>
            </w:pPr>
          </w:p>
        </w:tc>
        <w:tc>
          <w:tcPr>
            <w:tcW w:w="983" w:type="pct"/>
          </w:tcPr>
          <w:p w14:paraId="2F39EBB8"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rFonts w:eastAsia="Times New Roman" w:cs="Times New Roman"/>
                <w:color w:val="000000"/>
                <w:sz w:val="18"/>
                <w:szCs w:val="16"/>
                <w:lang w:val="en-US" w:eastAsia="es-ES"/>
              </w:rPr>
              <w:t xml:space="preserve"> </w:t>
            </w:r>
          </w:p>
        </w:tc>
      </w:tr>
      <w:tr w:rsidR="00A91C82" w:rsidRPr="00A91C82" w14:paraId="72FEA370" w14:textId="77777777" w:rsidTr="00CE658E">
        <w:trPr>
          <w:trHeight w:val="299"/>
          <w:jc w:val="center"/>
        </w:trPr>
        <w:tc>
          <w:tcPr>
            <w:tcW w:w="1068" w:type="pct"/>
            <w:vMerge/>
            <w:shd w:val="clear" w:color="auto" w:fill="auto"/>
            <w:noWrap/>
            <w:vAlign w:val="center"/>
          </w:tcPr>
          <w:p w14:paraId="255B044D" w14:textId="77777777" w:rsidR="00A91C82" w:rsidRPr="00A91C82" w:rsidRDefault="00A91C82" w:rsidP="00CE658E">
            <w:pPr>
              <w:spacing w:after="0" w:line="240" w:lineRule="auto"/>
              <w:jc w:val="center"/>
              <w:rPr>
                <w:rFonts w:eastAsia="Times New Roman" w:cs="Times New Roman"/>
                <w:color w:val="000000"/>
                <w:sz w:val="18"/>
                <w:szCs w:val="16"/>
                <w:lang w:val="en-US" w:eastAsia="es-ES"/>
              </w:rPr>
            </w:pPr>
          </w:p>
        </w:tc>
        <w:tc>
          <w:tcPr>
            <w:tcW w:w="1058" w:type="pct"/>
          </w:tcPr>
          <w:p w14:paraId="2FC0B33F"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lang w:val="en-GB"/>
              </w:rPr>
              <w:t>Pain Stiff</w:t>
            </w:r>
          </w:p>
        </w:tc>
        <w:tc>
          <w:tcPr>
            <w:tcW w:w="1265" w:type="pct"/>
          </w:tcPr>
          <w:p w14:paraId="0EA95759"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0.62 ± 0.90</w:t>
            </w:r>
          </w:p>
        </w:tc>
        <w:tc>
          <w:tcPr>
            <w:tcW w:w="626" w:type="pct"/>
          </w:tcPr>
          <w:p w14:paraId="1188B48C"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0.18 ± 0.39*</w:t>
            </w:r>
          </w:p>
        </w:tc>
        <w:tc>
          <w:tcPr>
            <w:tcW w:w="983" w:type="pct"/>
          </w:tcPr>
          <w:p w14:paraId="44830FB6"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rFonts w:ascii="Calibri" w:hAnsi="Calibri" w:cs="Calibri"/>
                <w:sz w:val="18"/>
                <w:szCs w:val="16"/>
              </w:rPr>
              <w:t>−</w:t>
            </w:r>
            <w:r w:rsidRPr="00A91C82">
              <w:rPr>
                <w:sz w:val="18"/>
                <w:szCs w:val="16"/>
              </w:rPr>
              <w:t>0.67</w:t>
            </w:r>
          </w:p>
        </w:tc>
      </w:tr>
      <w:tr w:rsidR="00A91C82" w:rsidRPr="00A91C82" w14:paraId="267642E4" w14:textId="77777777" w:rsidTr="00CE658E">
        <w:trPr>
          <w:trHeight w:val="299"/>
          <w:jc w:val="center"/>
        </w:trPr>
        <w:tc>
          <w:tcPr>
            <w:tcW w:w="1068" w:type="pct"/>
            <w:vMerge/>
            <w:shd w:val="clear" w:color="auto" w:fill="auto"/>
            <w:noWrap/>
            <w:vAlign w:val="center"/>
          </w:tcPr>
          <w:p w14:paraId="2DD0F63A" w14:textId="77777777" w:rsidR="00A91C82" w:rsidRPr="00A91C82" w:rsidRDefault="00A91C82" w:rsidP="00CE658E">
            <w:pPr>
              <w:spacing w:after="0" w:line="240" w:lineRule="auto"/>
              <w:jc w:val="center"/>
              <w:rPr>
                <w:rFonts w:eastAsia="Times New Roman" w:cs="Times New Roman"/>
                <w:color w:val="000000"/>
                <w:sz w:val="18"/>
                <w:szCs w:val="16"/>
                <w:lang w:val="en-US" w:eastAsia="es-ES"/>
              </w:rPr>
            </w:pPr>
          </w:p>
        </w:tc>
        <w:tc>
          <w:tcPr>
            <w:tcW w:w="1058" w:type="pct"/>
          </w:tcPr>
          <w:p w14:paraId="4482D055"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lang w:val="en-GB"/>
              </w:rPr>
              <w:t>Functional disability</w:t>
            </w:r>
          </w:p>
        </w:tc>
        <w:tc>
          <w:tcPr>
            <w:tcW w:w="1265" w:type="pct"/>
          </w:tcPr>
          <w:p w14:paraId="697F2EBC"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0.65 ± 0.63</w:t>
            </w:r>
          </w:p>
        </w:tc>
        <w:tc>
          <w:tcPr>
            <w:tcW w:w="626" w:type="pct"/>
          </w:tcPr>
          <w:p w14:paraId="4F30C4AD"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0.23 ± 0.43*</w:t>
            </w:r>
          </w:p>
        </w:tc>
        <w:tc>
          <w:tcPr>
            <w:tcW w:w="983" w:type="pct"/>
          </w:tcPr>
          <w:p w14:paraId="1CF60DA5"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rFonts w:ascii="Calibri" w:hAnsi="Calibri" w:cs="Calibri"/>
                <w:sz w:val="18"/>
                <w:szCs w:val="16"/>
              </w:rPr>
              <w:t>−</w:t>
            </w:r>
            <w:r w:rsidRPr="00A91C82">
              <w:rPr>
                <w:sz w:val="18"/>
                <w:szCs w:val="16"/>
              </w:rPr>
              <w:t>0.80</w:t>
            </w:r>
          </w:p>
        </w:tc>
      </w:tr>
      <w:tr w:rsidR="00A91C82" w:rsidRPr="00A91C82" w14:paraId="58FAD355" w14:textId="77777777" w:rsidTr="00CE658E">
        <w:trPr>
          <w:trHeight w:val="299"/>
          <w:jc w:val="center"/>
        </w:trPr>
        <w:tc>
          <w:tcPr>
            <w:tcW w:w="1068" w:type="pct"/>
            <w:vMerge/>
            <w:shd w:val="clear" w:color="auto" w:fill="auto"/>
            <w:noWrap/>
            <w:vAlign w:val="center"/>
          </w:tcPr>
          <w:p w14:paraId="21F0F767" w14:textId="77777777" w:rsidR="00A91C82" w:rsidRPr="00A91C82" w:rsidRDefault="00A91C82" w:rsidP="00CE658E">
            <w:pPr>
              <w:spacing w:after="0" w:line="240" w:lineRule="auto"/>
              <w:jc w:val="center"/>
              <w:rPr>
                <w:rFonts w:eastAsia="Times New Roman" w:cs="Times New Roman"/>
                <w:color w:val="000000"/>
                <w:sz w:val="18"/>
                <w:szCs w:val="16"/>
                <w:lang w:val="en-US" w:eastAsia="es-ES"/>
              </w:rPr>
            </w:pPr>
          </w:p>
        </w:tc>
        <w:tc>
          <w:tcPr>
            <w:tcW w:w="1058" w:type="pct"/>
          </w:tcPr>
          <w:p w14:paraId="344FE457"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lang w:val="en-GB"/>
              </w:rPr>
              <w:t>Total score</w:t>
            </w:r>
          </w:p>
        </w:tc>
        <w:tc>
          <w:tcPr>
            <w:tcW w:w="1265" w:type="pct"/>
          </w:tcPr>
          <w:p w14:paraId="77F7A0BD"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0.13 ± 0.37</w:t>
            </w:r>
          </w:p>
        </w:tc>
        <w:tc>
          <w:tcPr>
            <w:tcW w:w="626" w:type="pct"/>
          </w:tcPr>
          <w:p w14:paraId="71DE6945"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0.03 ± 0.18</w:t>
            </w:r>
          </w:p>
        </w:tc>
        <w:tc>
          <w:tcPr>
            <w:tcW w:w="983" w:type="pct"/>
          </w:tcPr>
          <w:p w14:paraId="7C796A95"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sz w:val="18"/>
                <w:szCs w:val="16"/>
              </w:rPr>
              <w:t>−0.35</w:t>
            </w:r>
          </w:p>
        </w:tc>
      </w:tr>
      <w:tr w:rsidR="00A91C82" w:rsidRPr="00A91C82" w14:paraId="4DC84346" w14:textId="77777777" w:rsidTr="00CE658E">
        <w:trPr>
          <w:trHeight w:val="314"/>
          <w:jc w:val="center"/>
        </w:trPr>
        <w:tc>
          <w:tcPr>
            <w:tcW w:w="1068" w:type="pct"/>
            <w:vMerge/>
            <w:shd w:val="clear" w:color="auto" w:fill="auto"/>
            <w:noWrap/>
            <w:vAlign w:val="center"/>
          </w:tcPr>
          <w:p w14:paraId="298A51CD" w14:textId="77777777" w:rsidR="00A91C82" w:rsidRPr="00A91C82" w:rsidRDefault="00A91C82" w:rsidP="00CE658E">
            <w:pPr>
              <w:spacing w:after="0" w:line="240" w:lineRule="auto"/>
              <w:jc w:val="center"/>
              <w:rPr>
                <w:rFonts w:eastAsia="Times New Roman" w:cs="Times New Roman"/>
                <w:color w:val="000000"/>
                <w:sz w:val="18"/>
                <w:szCs w:val="16"/>
                <w:lang w:val="en-US" w:eastAsia="es-ES"/>
              </w:rPr>
            </w:pPr>
          </w:p>
        </w:tc>
        <w:tc>
          <w:tcPr>
            <w:tcW w:w="1058" w:type="pct"/>
          </w:tcPr>
          <w:p w14:paraId="3A70EADB"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lang w:val="en-GB"/>
              </w:rPr>
              <w:t>Pain Stiff</w:t>
            </w:r>
          </w:p>
        </w:tc>
        <w:tc>
          <w:tcPr>
            <w:tcW w:w="1265" w:type="pct"/>
          </w:tcPr>
          <w:p w14:paraId="18EEB50B"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0.27 ± 0.59</w:t>
            </w:r>
          </w:p>
        </w:tc>
        <w:tc>
          <w:tcPr>
            <w:tcW w:w="626" w:type="pct"/>
          </w:tcPr>
          <w:p w14:paraId="18A4268A" w14:textId="77777777" w:rsidR="00A91C82" w:rsidRPr="00A91C82" w:rsidRDefault="00A91C82" w:rsidP="00CE658E">
            <w:pPr>
              <w:spacing w:after="0" w:line="240" w:lineRule="auto"/>
              <w:rPr>
                <w:rFonts w:eastAsia="Times New Roman" w:cs="Times New Roman"/>
                <w:color w:val="000000"/>
                <w:sz w:val="18"/>
                <w:szCs w:val="16"/>
                <w:lang w:val="en-US" w:eastAsia="es-ES"/>
              </w:rPr>
            </w:pPr>
            <w:r w:rsidRPr="00A91C82">
              <w:rPr>
                <w:sz w:val="18"/>
                <w:szCs w:val="16"/>
              </w:rPr>
              <w:t>0.08 ± 0.27</w:t>
            </w:r>
          </w:p>
        </w:tc>
        <w:tc>
          <w:tcPr>
            <w:tcW w:w="983" w:type="pct"/>
          </w:tcPr>
          <w:p w14:paraId="6C6730CE" w14:textId="77777777" w:rsidR="00A91C82" w:rsidRPr="00A91C82" w:rsidRDefault="00A91C82" w:rsidP="00CE658E">
            <w:pPr>
              <w:spacing w:after="0" w:line="240" w:lineRule="auto"/>
              <w:jc w:val="right"/>
              <w:rPr>
                <w:rFonts w:eastAsia="Times New Roman" w:cs="Times New Roman"/>
                <w:color w:val="000000"/>
                <w:sz w:val="18"/>
                <w:szCs w:val="16"/>
                <w:lang w:val="en-US" w:eastAsia="es-ES"/>
              </w:rPr>
            </w:pPr>
            <w:r w:rsidRPr="00A91C82">
              <w:rPr>
                <w:sz w:val="18"/>
                <w:szCs w:val="16"/>
              </w:rPr>
              <w:t>−0.45</w:t>
            </w:r>
          </w:p>
        </w:tc>
      </w:tr>
    </w:tbl>
    <w:p w14:paraId="16C9B8C3" w14:textId="77777777" w:rsidR="00A91C82" w:rsidRPr="00A411ED" w:rsidRDefault="00A91C82" w:rsidP="00A91C82">
      <w:pPr>
        <w:ind w:right="-30"/>
        <w:rPr>
          <w:rFonts w:cs="Times New Roman"/>
          <w:lang w:val="en-US"/>
        </w:rPr>
      </w:pPr>
      <w:r w:rsidRPr="00C36AF4">
        <w:rPr>
          <w:rFonts w:cs="Times New Roman"/>
          <w:lang w:val="en-US"/>
        </w:rPr>
        <w:t xml:space="preserve">Note: Data are mean ± SD. ES: effect size; F-SQ: Full Squat; P-SQ: Parallel Squat; H-SQ: Half Squat. </w:t>
      </w:r>
      <w:r w:rsidRPr="00A411ED">
        <w:rPr>
          <w:rFonts w:cs="Times New Roman"/>
          <w:lang w:val="en-US"/>
        </w:rPr>
        <w:t>* Significant differences</w:t>
      </w:r>
      <w:r>
        <w:rPr>
          <w:rFonts w:cs="Times New Roman"/>
          <w:lang w:val="en-US"/>
        </w:rPr>
        <w:t xml:space="preserve"> </w:t>
      </w:r>
      <w:r w:rsidRPr="00A411ED">
        <w:rPr>
          <w:rFonts w:cs="Times New Roman"/>
          <w:lang w:val="en-US"/>
        </w:rPr>
        <w:t>compared to T0.</w:t>
      </w:r>
    </w:p>
    <w:p w14:paraId="53C1CCA2" w14:textId="77777777" w:rsidR="00A91C82" w:rsidRDefault="00A91C82" w:rsidP="00A91C82"/>
    <w:p w14:paraId="0FA12F50" w14:textId="77777777" w:rsidR="006E6DE8" w:rsidRDefault="006E6DE8" w:rsidP="00CC7E8A">
      <w:pPr>
        <w:spacing w:line="276" w:lineRule="auto"/>
        <w:rPr>
          <w:rFonts w:cs="Times New Roman"/>
          <w:b/>
          <w:szCs w:val="24"/>
          <w:lang w:val="en-US"/>
        </w:rPr>
      </w:pPr>
    </w:p>
    <w:p w14:paraId="6187D933" w14:textId="77777777" w:rsidR="00783EDD" w:rsidRDefault="00783EDD" w:rsidP="00CC7E8A">
      <w:pPr>
        <w:spacing w:line="276" w:lineRule="auto"/>
        <w:rPr>
          <w:rFonts w:cs="Times New Roman"/>
          <w:b/>
          <w:szCs w:val="24"/>
          <w:lang w:val="en-US"/>
        </w:rPr>
      </w:pPr>
    </w:p>
    <w:p w14:paraId="4449D5DC" w14:textId="77777777" w:rsidR="00783EDD" w:rsidRDefault="00783EDD" w:rsidP="00CC7E8A">
      <w:pPr>
        <w:spacing w:line="276" w:lineRule="auto"/>
        <w:rPr>
          <w:rFonts w:cs="Times New Roman"/>
          <w:b/>
          <w:szCs w:val="24"/>
          <w:lang w:val="en-US"/>
        </w:rPr>
      </w:pPr>
    </w:p>
    <w:p w14:paraId="5486C392" w14:textId="77777777" w:rsidR="00783EDD" w:rsidRDefault="00783EDD" w:rsidP="00CC7E8A">
      <w:pPr>
        <w:spacing w:line="276" w:lineRule="auto"/>
        <w:rPr>
          <w:rFonts w:cs="Times New Roman"/>
          <w:b/>
          <w:szCs w:val="24"/>
          <w:lang w:val="en-US"/>
        </w:rPr>
      </w:pPr>
    </w:p>
    <w:p w14:paraId="76B29BF8" w14:textId="77777777" w:rsidR="00783EDD" w:rsidRDefault="00783EDD" w:rsidP="00CC7E8A">
      <w:pPr>
        <w:spacing w:line="276" w:lineRule="auto"/>
        <w:rPr>
          <w:rFonts w:cs="Times New Roman"/>
          <w:b/>
          <w:szCs w:val="24"/>
          <w:lang w:val="en-US"/>
        </w:rPr>
      </w:pPr>
    </w:p>
    <w:p w14:paraId="1FF6646E" w14:textId="77777777" w:rsidR="00783EDD" w:rsidRDefault="00783EDD" w:rsidP="00CC7E8A">
      <w:pPr>
        <w:spacing w:line="276" w:lineRule="auto"/>
        <w:rPr>
          <w:rFonts w:cs="Times New Roman"/>
          <w:b/>
          <w:szCs w:val="24"/>
          <w:lang w:val="en-US"/>
        </w:rPr>
      </w:pPr>
    </w:p>
    <w:p w14:paraId="65A6D51C" w14:textId="77777777" w:rsidR="00783EDD" w:rsidRDefault="00783EDD" w:rsidP="00CC7E8A">
      <w:pPr>
        <w:spacing w:line="276" w:lineRule="auto"/>
        <w:rPr>
          <w:rFonts w:cs="Times New Roman"/>
          <w:b/>
          <w:szCs w:val="24"/>
          <w:lang w:val="en-US"/>
        </w:rPr>
      </w:pPr>
    </w:p>
    <w:p w14:paraId="5EDD36E8" w14:textId="77777777" w:rsidR="00783EDD" w:rsidRDefault="00783EDD" w:rsidP="00CC7E8A">
      <w:pPr>
        <w:spacing w:line="276" w:lineRule="auto"/>
        <w:rPr>
          <w:rFonts w:cs="Times New Roman"/>
          <w:b/>
          <w:szCs w:val="24"/>
          <w:lang w:val="en-US"/>
        </w:rPr>
      </w:pPr>
    </w:p>
    <w:p w14:paraId="74D62727" w14:textId="77777777" w:rsidR="006E6DE8" w:rsidRDefault="006E6DE8" w:rsidP="00CC7E8A">
      <w:pPr>
        <w:spacing w:line="276" w:lineRule="auto"/>
        <w:rPr>
          <w:rFonts w:cs="Times New Roman"/>
          <w:b/>
          <w:szCs w:val="24"/>
          <w:lang w:val="en-US"/>
        </w:rPr>
      </w:pPr>
    </w:p>
    <w:p w14:paraId="2CE4C5FB" w14:textId="77777777" w:rsidR="006E6DE8" w:rsidRDefault="006E6DE8" w:rsidP="00CC7E8A">
      <w:pPr>
        <w:spacing w:line="276" w:lineRule="auto"/>
        <w:rPr>
          <w:rFonts w:cs="Times New Roman"/>
          <w:b/>
          <w:szCs w:val="24"/>
          <w:lang w:val="en-US"/>
        </w:rPr>
      </w:pPr>
    </w:p>
    <w:p w14:paraId="720D9A4B" w14:textId="77777777" w:rsidR="005819EF" w:rsidRDefault="005819EF" w:rsidP="00CC7E8A">
      <w:pPr>
        <w:spacing w:line="276" w:lineRule="auto"/>
        <w:rPr>
          <w:rFonts w:cs="Times New Roman"/>
          <w:b/>
          <w:szCs w:val="24"/>
          <w:lang w:val="en-US"/>
        </w:rPr>
      </w:pPr>
    </w:p>
    <w:p w14:paraId="6737155D" w14:textId="1EED74A1" w:rsidR="001C45EF" w:rsidRPr="0021030B" w:rsidRDefault="00A41748" w:rsidP="00CC7E8A">
      <w:pPr>
        <w:spacing w:after="0" w:line="276" w:lineRule="auto"/>
        <w:rPr>
          <w:rFonts w:cs="Times New Roman"/>
          <w:szCs w:val="24"/>
          <w:lang w:val="en-US"/>
        </w:rPr>
      </w:pPr>
      <w:r w:rsidRPr="0021030B">
        <w:rPr>
          <w:rFonts w:cs="Times New Roman"/>
          <w:b/>
          <w:szCs w:val="24"/>
          <w:lang w:val="en-US"/>
        </w:rPr>
        <w:lastRenderedPageBreak/>
        <w:t>Supplementary Material 1</w:t>
      </w:r>
      <w:r w:rsidR="00CC7E8A" w:rsidRPr="0021030B">
        <w:rPr>
          <w:rFonts w:cs="Times New Roman"/>
          <w:szCs w:val="24"/>
          <w:lang w:val="en-US"/>
        </w:rPr>
        <w:t xml:space="preserve">. Relative changes in relative strength ratio (A), and velocity developed against all (B), low (&lt; 50% 1RM - C) and high (&gt; 50% 1RM - D) loads common to pre- and post-tests. F-SQ: Full Squat; P-SQ: Parallel Squat; H-SQ: Half Squat; CON: Control. * Significant differences when compared to P-SQ group; # Significant differences when compared to H-SQ group; † Significant differences when compared to C group. ES = range of effect size for each resistance training group. Data are presented as mean ± SEM. </w:t>
      </w:r>
    </w:p>
    <w:sectPr w:rsidR="001C45EF" w:rsidRPr="0021030B" w:rsidSect="00705C9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DBB1" w14:textId="77777777" w:rsidR="00336B50" w:rsidRDefault="00336B50" w:rsidP="00CE66A4">
      <w:pPr>
        <w:spacing w:after="0" w:line="240" w:lineRule="auto"/>
      </w:pPr>
      <w:r>
        <w:separator/>
      </w:r>
    </w:p>
  </w:endnote>
  <w:endnote w:type="continuationSeparator" w:id="0">
    <w:p w14:paraId="1E15CA96" w14:textId="77777777" w:rsidR="00336B50" w:rsidRDefault="00336B50" w:rsidP="00CE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922826"/>
      <w:docPartObj>
        <w:docPartGallery w:val="Page Numbers (Bottom of Page)"/>
        <w:docPartUnique/>
      </w:docPartObj>
    </w:sdtPr>
    <w:sdtContent>
      <w:p w14:paraId="201F9BB5" w14:textId="4EF5D88E" w:rsidR="00433589" w:rsidRDefault="00433589">
        <w:pPr>
          <w:pStyle w:val="Footer"/>
          <w:jc w:val="right"/>
        </w:pPr>
        <w:r>
          <w:fldChar w:fldCharType="begin"/>
        </w:r>
        <w:r>
          <w:instrText>PAGE   \* MERGEFORMAT</w:instrText>
        </w:r>
        <w:r>
          <w:fldChar w:fldCharType="separate"/>
        </w:r>
        <w:r>
          <w:rPr>
            <w:noProof/>
          </w:rPr>
          <w:t>20</w:t>
        </w:r>
        <w:r>
          <w:fldChar w:fldCharType="end"/>
        </w:r>
      </w:p>
    </w:sdtContent>
  </w:sdt>
  <w:p w14:paraId="3056CEAF" w14:textId="77777777" w:rsidR="00433589" w:rsidRDefault="00433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ADAB" w14:textId="77777777" w:rsidR="00336B50" w:rsidRDefault="00336B50" w:rsidP="00CE66A4">
      <w:pPr>
        <w:spacing w:after="0" w:line="240" w:lineRule="auto"/>
      </w:pPr>
      <w:r>
        <w:separator/>
      </w:r>
    </w:p>
  </w:footnote>
  <w:footnote w:type="continuationSeparator" w:id="0">
    <w:p w14:paraId="7B0CD117" w14:textId="77777777" w:rsidR="00336B50" w:rsidRDefault="00336B50" w:rsidP="00CE6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23300FDB"/>
    <w:multiLevelType w:val="hybridMultilevel"/>
    <w:tmpl w:val="EB56D7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8A3CFB"/>
    <w:multiLevelType w:val="multilevel"/>
    <w:tmpl w:val="3806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00848"/>
    <w:multiLevelType w:val="hybridMultilevel"/>
    <w:tmpl w:val="BC0246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C75D52"/>
    <w:multiLevelType w:val="hybridMultilevel"/>
    <w:tmpl w:val="A756FC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4A702D"/>
    <w:multiLevelType w:val="hybridMultilevel"/>
    <w:tmpl w:val="7EC00B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AC6D7E"/>
    <w:multiLevelType w:val="hybridMultilevel"/>
    <w:tmpl w:val="8DD0F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24187044">
    <w:abstractNumId w:val="2"/>
  </w:num>
  <w:num w:numId="2" w16cid:durableId="186601720">
    <w:abstractNumId w:val="6"/>
  </w:num>
  <w:num w:numId="3" w16cid:durableId="462504605">
    <w:abstractNumId w:val="1"/>
  </w:num>
  <w:num w:numId="4" w16cid:durableId="781388970">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5" w16cid:durableId="1978215440">
    <w:abstractNumId w:val="0"/>
  </w:num>
  <w:num w:numId="6" w16cid:durableId="629282482">
    <w:abstractNumId w:val="4"/>
  </w:num>
  <w:num w:numId="7" w16cid:durableId="879168658">
    <w:abstractNumId w:val="3"/>
  </w:num>
  <w:num w:numId="8" w16cid:durableId="673848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97"/>
    <w:rsid w:val="00000297"/>
    <w:rsid w:val="00001CC5"/>
    <w:rsid w:val="00005597"/>
    <w:rsid w:val="00007112"/>
    <w:rsid w:val="000103D1"/>
    <w:rsid w:val="00011921"/>
    <w:rsid w:val="00011998"/>
    <w:rsid w:val="00013F7E"/>
    <w:rsid w:val="00014155"/>
    <w:rsid w:val="00014736"/>
    <w:rsid w:val="0002330C"/>
    <w:rsid w:val="0002477A"/>
    <w:rsid w:val="00025EEF"/>
    <w:rsid w:val="00027E33"/>
    <w:rsid w:val="00030785"/>
    <w:rsid w:val="00032368"/>
    <w:rsid w:val="00033114"/>
    <w:rsid w:val="00034DC0"/>
    <w:rsid w:val="00036AA1"/>
    <w:rsid w:val="0003706C"/>
    <w:rsid w:val="000370CB"/>
    <w:rsid w:val="00040A73"/>
    <w:rsid w:val="0004115B"/>
    <w:rsid w:val="00043791"/>
    <w:rsid w:val="0004510B"/>
    <w:rsid w:val="00052D54"/>
    <w:rsid w:val="000555EE"/>
    <w:rsid w:val="00062815"/>
    <w:rsid w:val="00063D53"/>
    <w:rsid w:val="00065A58"/>
    <w:rsid w:val="000661F7"/>
    <w:rsid w:val="000665A0"/>
    <w:rsid w:val="000666F5"/>
    <w:rsid w:val="00067505"/>
    <w:rsid w:val="000679E7"/>
    <w:rsid w:val="00073C7E"/>
    <w:rsid w:val="0007439C"/>
    <w:rsid w:val="00074545"/>
    <w:rsid w:val="000753BE"/>
    <w:rsid w:val="00077A75"/>
    <w:rsid w:val="00081023"/>
    <w:rsid w:val="000816F2"/>
    <w:rsid w:val="0009096C"/>
    <w:rsid w:val="00091A03"/>
    <w:rsid w:val="00092A3E"/>
    <w:rsid w:val="0009364F"/>
    <w:rsid w:val="000A4FFF"/>
    <w:rsid w:val="000B4144"/>
    <w:rsid w:val="000B5376"/>
    <w:rsid w:val="000B5AA1"/>
    <w:rsid w:val="000B62B0"/>
    <w:rsid w:val="000B74A8"/>
    <w:rsid w:val="000B7682"/>
    <w:rsid w:val="000B7810"/>
    <w:rsid w:val="000C126E"/>
    <w:rsid w:val="000C1753"/>
    <w:rsid w:val="000C2E94"/>
    <w:rsid w:val="000C3E1E"/>
    <w:rsid w:val="000C5919"/>
    <w:rsid w:val="000C5E90"/>
    <w:rsid w:val="000C783D"/>
    <w:rsid w:val="000C7F03"/>
    <w:rsid w:val="000D05DE"/>
    <w:rsid w:val="000D0764"/>
    <w:rsid w:val="000D07FB"/>
    <w:rsid w:val="000D2311"/>
    <w:rsid w:val="000D3EF8"/>
    <w:rsid w:val="000D55F4"/>
    <w:rsid w:val="000D60C0"/>
    <w:rsid w:val="000D66A6"/>
    <w:rsid w:val="000D67E9"/>
    <w:rsid w:val="000D6A94"/>
    <w:rsid w:val="000E02FC"/>
    <w:rsid w:val="000E08FD"/>
    <w:rsid w:val="000E31B9"/>
    <w:rsid w:val="000E399E"/>
    <w:rsid w:val="000E3E25"/>
    <w:rsid w:val="000E6695"/>
    <w:rsid w:val="000E6D95"/>
    <w:rsid w:val="000E70D4"/>
    <w:rsid w:val="000E75EA"/>
    <w:rsid w:val="000F1A55"/>
    <w:rsid w:val="000F2033"/>
    <w:rsid w:val="000F226E"/>
    <w:rsid w:val="000F306D"/>
    <w:rsid w:val="000F33D6"/>
    <w:rsid w:val="000F3A67"/>
    <w:rsid w:val="000F40EF"/>
    <w:rsid w:val="000F4C0D"/>
    <w:rsid w:val="000F69BB"/>
    <w:rsid w:val="001018D0"/>
    <w:rsid w:val="00101F9D"/>
    <w:rsid w:val="001020D4"/>
    <w:rsid w:val="001037FA"/>
    <w:rsid w:val="00104BB0"/>
    <w:rsid w:val="00105688"/>
    <w:rsid w:val="00106385"/>
    <w:rsid w:val="00106496"/>
    <w:rsid w:val="00110131"/>
    <w:rsid w:val="00110CFB"/>
    <w:rsid w:val="00111523"/>
    <w:rsid w:val="0011154A"/>
    <w:rsid w:val="00111F35"/>
    <w:rsid w:val="00113AEE"/>
    <w:rsid w:val="0011484B"/>
    <w:rsid w:val="00114B9E"/>
    <w:rsid w:val="001168EB"/>
    <w:rsid w:val="0012031D"/>
    <w:rsid w:val="00120401"/>
    <w:rsid w:val="00120F91"/>
    <w:rsid w:val="00122E65"/>
    <w:rsid w:val="00123B36"/>
    <w:rsid w:val="00124CE0"/>
    <w:rsid w:val="00125566"/>
    <w:rsid w:val="00131345"/>
    <w:rsid w:val="00131B07"/>
    <w:rsid w:val="00131E83"/>
    <w:rsid w:val="00133F7B"/>
    <w:rsid w:val="00135133"/>
    <w:rsid w:val="00135B43"/>
    <w:rsid w:val="001368E7"/>
    <w:rsid w:val="00136FFA"/>
    <w:rsid w:val="00137A7D"/>
    <w:rsid w:val="00140C1D"/>
    <w:rsid w:val="00141504"/>
    <w:rsid w:val="00142096"/>
    <w:rsid w:val="00142CF5"/>
    <w:rsid w:val="00143630"/>
    <w:rsid w:val="00143A60"/>
    <w:rsid w:val="00144987"/>
    <w:rsid w:val="00144A63"/>
    <w:rsid w:val="00145F20"/>
    <w:rsid w:val="001542BD"/>
    <w:rsid w:val="00155930"/>
    <w:rsid w:val="00156560"/>
    <w:rsid w:val="0016725C"/>
    <w:rsid w:val="0017043C"/>
    <w:rsid w:val="00171282"/>
    <w:rsid w:val="00173137"/>
    <w:rsid w:val="00175CCA"/>
    <w:rsid w:val="00177C91"/>
    <w:rsid w:val="00177F83"/>
    <w:rsid w:val="00180DE6"/>
    <w:rsid w:val="00180DED"/>
    <w:rsid w:val="00181738"/>
    <w:rsid w:val="00182411"/>
    <w:rsid w:val="00184677"/>
    <w:rsid w:val="00186871"/>
    <w:rsid w:val="0019223B"/>
    <w:rsid w:val="001934FC"/>
    <w:rsid w:val="001955F6"/>
    <w:rsid w:val="00196645"/>
    <w:rsid w:val="00196731"/>
    <w:rsid w:val="001A3E29"/>
    <w:rsid w:val="001A4C4E"/>
    <w:rsid w:val="001A617B"/>
    <w:rsid w:val="001A63EE"/>
    <w:rsid w:val="001A6E36"/>
    <w:rsid w:val="001B058A"/>
    <w:rsid w:val="001B20B1"/>
    <w:rsid w:val="001B2519"/>
    <w:rsid w:val="001B323B"/>
    <w:rsid w:val="001C0A41"/>
    <w:rsid w:val="001C0CF0"/>
    <w:rsid w:val="001C3293"/>
    <w:rsid w:val="001C45EF"/>
    <w:rsid w:val="001C68A1"/>
    <w:rsid w:val="001C7C27"/>
    <w:rsid w:val="001D0677"/>
    <w:rsid w:val="001D0CAE"/>
    <w:rsid w:val="001D16BE"/>
    <w:rsid w:val="001D2A5A"/>
    <w:rsid w:val="001D36A3"/>
    <w:rsid w:val="001D49CD"/>
    <w:rsid w:val="001D6180"/>
    <w:rsid w:val="001D6E1B"/>
    <w:rsid w:val="001D76AD"/>
    <w:rsid w:val="001E02A0"/>
    <w:rsid w:val="001E2380"/>
    <w:rsid w:val="001E271A"/>
    <w:rsid w:val="001E3F7B"/>
    <w:rsid w:val="001E58B7"/>
    <w:rsid w:val="001F00AD"/>
    <w:rsid w:val="001F34D2"/>
    <w:rsid w:val="001F423E"/>
    <w:rsid w:val="001F6D3D"/>
    <w:rsid w:val="00201DE5"/>
    <w:rsid w:val="002034C2"/>
    <w:rsid w:val="00205333"/>
    <w:rsid w:val="00205B27"/>
    <w:rsid w:val="00206514"/>
    <w:rsid w:val="00206F94"/>
    <w:rsid w:val="0021030B"/>
    <w:rsid w:val="002106D3"/>
    <w:rsid w:val="002147C4"/>
    <w:rsid w:val="002153D7"/>
    <w:rsid w:val="002157B7"/>
    <w:rsid w:val="00216A2D"/>
    <w:rsid w:val="00217DEB"/>
    <w:rsid w:val="0022014E"/>
    <w:rsid w:val="002213C4"/>
    <w:rsid w:val="00223420"/>
    <w:rsid w:val="00225524"/>
    <w:rsid w:val="00227D82"/>
    <w:rsid w:val="00231846"/>
    <w:rsid w:val="00236AF5"/>
    <w:rsid w:val="00237398"/>
    <w:rsid w:val="00237E8C"/>
    <w:rsid w:val="00240F6C"/>
    <w:rsid w:val="00241F6B"/>
    <w:rsid w:val="0024203F"/>
    <w:rsid w:val="00244D24"/>
    <w:rsid w:val="00245672"/>
    <w:rsid w:val="0024616D"/>
    <w:rsid w:val="00247B72"/>
    <w:rsid w:val="002507B5"/>
    <w:rsid w:val="00252CD6"/>
    <w:rsid w:val="002539FD"/>
    <w:rsid w:val="00255705"/>
    <w:rsid w:val="00255F64"/>
    <w:rsid w:val="002560C5"/>
    <w:rsid w:val="00256793"/>
    <w:rsid w:val="002615E8"/>
    <w:rsid w:val="0026195A"/>
    <w:rsid w:val="00262B54"/>
    <w:rsid w:val="00262CCC"/>
    <w:rsid w:val="00263849"/>
    <w:rsid w:val="00267615"/>
    <w:rsid w:val="00272009"/>
    <w:rsid w:val="00272372"/>
    <w:rsid w:val="002735B4"/>
    <w:rsid w:val="002736C2"/>
    <w:rsid w:val="002750FF"/>
    <w:rsid w:val="002803D2"/>
    <w:rsid w:val="00282E49"/>
    <w:rsid w:val="00282F25"/>
    <w:rsid w:val="0028452F"/>
    <w:rsid w:val="0028597A"/>
    <w:rsid w:val="00285C9B"/>
    <w:rsid w:val="00286992"/>
    <w:rsid w:val="00287520"/>
    <w:rsid w:val="00287A8E"/>
    <w:rsid w:val="002927F3"/>
    <w:rsid w:val="00293A8F"/>
    <w:rsid w:val="00296D3E"/>
    <w:rsid w:val="002973EA"/>
    <w:rsid w:val="002978D3"/>
    <w:rsid w:val="002A2435"/>
    <w:rsid w:val="002A24DF"/>
    <w:rsid w:val="002A2729"/>
    <w:rsid w:val="002A31D0"/>
    <w:rsid w:val="002A359D"/>
    <w:rsid w:val="002A41C1"/>
    <w:rsid w:val="002A54BC"/>
    <w:rsid w:val="002A5594"/>
    <w:rsid w:val="002A5C36"/>
    <w:rsid w:val="002A72DB"/>
    <w:rsid w:val="002B0C7B"/>
    <w:rsid w:val="002B1D4B"/>
    <w:rsid w:val="002B2000"/>
    <w:rsid w:val="002B2F71"/>
    <w:rsid w:val="002B32D8"/>
    <w:rsid w:val="002B4043"/>
    <w:rsid w:val="002B5396"/>
    <w:rsid w:val="002B5A74"/>
    <w:rsid w:val="002B7739"/>
    <w:rsid w:val="002C052F"/>
    <w:rsid w:val="002C0534"/>
    <w:rsid w:val="002C3F47"/>
    <w:rsid w:val="002C4588"/>
    <w:rsid w:val="002D6459"/>
    <w:rsid w:val="002D699C"/>
    <w:rsid w:val="002D7996"/>
    <w:rsid w:val="002E2708"/>
    <w:rsid w:val="002E3093"/>
    <w:rsid w:val="002E475F"/>
    <w:rsid w:val="002E63CF"/>
    <w:rsid w:val="002F0862"/>
    <w:rsid w:val="002F0E4B"/>
    <w:rsid w:val="002F1069"/>
    <w:rsid w:val="002F148D"/>
    <w:rsid w:val="002F54DE"/>
    <w:rsid w:val="002F623E"/>
    <w:rsid w:val="002F6731"/>
    <w:rsid w:val="002F760B"/>
    <w:rsid w:val="00302849"/>
    <w:rsid w:val="0030474A"/>
    <w:rsid w:val="003058EA"/>
    <w:rsid w:val="0030760B"/>
    <w:rsid w:val="00307BA9"/>
    <w:rsid w:val="0031048C"/>
    <w:rsid w:val="003106CF"/>
    <w:rsid w:val="00310BCC"/>
    <w:rsid w:val="00311D98"/>
    <w:rsid w:val="0031316E"/>
    <w:rsid w:val="00313A47"/>
    <w:rsid w:val="00314E7D"/>
    <w:rsid w:val="00317AE7"/>
    <w:rsid w:val="003207C1"/>
    <w:rsid w:val="00322FC2"/>
    <w:rsid w:val="0032318B"/>
    <w:rsid w:val="0032560E"/>
    <w:rsid w:val="00325FBF"/>
    <w:rsid w:val="00327F47"/>
    <w:rsid w:val="003325C5"/>
    <w:rsid w:val="00333442"/>
    <w:rsid w:val="00333559"/>
    <w:rsid w:val="0033407F"/>
    <w:rsid w:val="00334ADC"/>
    <w:rsid w:val="00335495"/>
    <w:rsid w:val="00336B50"/>
    <w:rsid w:val="003376E0"/>
    <w:rsid w:val="00340C9E"/>
    <w:rsid w:val="003419D9"/>
    <w:rsid w:val="003445C9"/>
    <w:rsid w:val="00352CAC"/>
    <w:rsid w:val="00353BA9"/>
    <w:rsid w:val="00354E97"/>
    <w:rsid w:val="00356008"/>
    <w:rsid w:val="00356921"/>
    <w:rsid w:val="0035777C"/>
    <w:rsid w:val="00367FBE"/>
    <w:rsid w:val="00372CBA"/>
    <w:rsid w:val="00374921"/>
    <w:rsid w:val="00375C1A"/>
    <w:rsid w:val="00381055"/>
    <w:rsid w:val="0038197A"/>
    <w:rsid w:val="00381FA8"/>
    <w:rsid w:val="0038485B"/>
    <w:rsid w:val="00384BAC"/>
    <w:rsid w:val="00385C82"/>
    <w:rsid w:val="00387AE8"/>
    <w:rsid w:val="00390615"/>
    <w:rsid w:val="003922DB"/>
    <w:rsid w:val="00393300"/>
    <w:rsid w:val="00393E77"/>
    <w:rsid w:val="00396919"/>
    <w:rsid w:val="003A2892"/>
    <w:rsid w:val="003A3A5C"/>
    <w:rsid w:val="003A4BBA"/>
    <w:rsid w:val="003A4FDF"/>
    <w:rsid w:val="003A5402"/>
    <w:rsid w:val="003A7FB2"/>
    <w:rsid w:val="003B4B33"/>
    <w:rsid w:val="003C43D8"/>
    <w:rsid w:val="003C4B9C"/>
    <w:rsid w:val="003C6DFF"/>
    <w:rsid w:val="003D2BB5"/>
    <w:rsid w:val="003D3D83"/>
    <w:rsid w:val="003D4718"/>
    <w:rsid w:val="003D5E21"/>
    <w:rsid w:val="003D66CC"/>
    <w:rsid w:val="003E0B59"/>
    <w:rsid w:val="003E1ACE"/>
    <w:rsid w:val="003E259D"/>
    <w:rsid w:val="003E2FAB"/>
    <w:rsid w:val="003E4CFB"/>
    <w:rsid w:val="003E72B8"/>
    <w:rsid w:val="003E787D"/>
    <w:rsid w:val="003F3808"/>
    <w:rsid w:val="003F53CC"/>
    <w:rsid w:val="003F65CA"/>
    <w:rsid w:val="003F7DF7"/>
    <w:rsid w:val="0040059C"/>
    <w:rsid w:val="00404E60"/>
    <w:rsid w:val="0041080A"/>
    <w:rsid w:val="004126D9"/>
    <w:rsid w:val="00414136"/>
    <w:rsid w:val="0041516A"/>
    <w:rsid w:val="00415181"/>
    <w:rsid w:val="004217C3"/>
    <w:rsid w:val="00422FF1"/>
    <w:rsid w:val="004237ED"/>
    <w:rsid w:val="0042460C"/>
    <w:rsid w:val="00424682"/>
    <w:rsid w:val="004246E0"/>
    <w:rsid w:val="00425229"/>
    <w:rsid w:val="00426D36"/>
    <w:rsid w:val="00430287"/>
    <w:rsid w:val="00430A29"/>
    <w:rsid w:val="004312E6"/>
    <w:rsid w:val="004312F8"/>
    <w:rsid w:val="00433385"/>
    <w:rsid w:val="00433589"/>
    <w:rsid w:val="00434781"/>
    <w:rsid w:val="00434802"/>
    <w:rsid w:val="004369EA"/>
    <w:rsid w:val="00436D55"/>
    <w:rsid w:val="00442E66"/>
    <w:rsid w:val="004458DD"/>
    <w:rsid w:val="00446051"/>
    <w:rsid w:val="004508CA"/>
    <w:rsid w:val="00450A6C"/>
    <w:rsid w:val="004515AF"/>
    <w:rsid w:val="00451902"/>
    <w:rsid w:val="004524B0"/>
    <w:rsid w:val="00452AB8"/>
    <w:rsid w:val="0045509C"/>
    <w:rsid w:val="00455DF3"/>
    <w:rsid w:val="00455FB5"/>
    <w:rsid w:val="00461A4A"/>
    <w:rsid w:val="00464FF6"/>
    <w:rsid w:val="00467ED2"/>
    <w:rsid w:val="00471074"/>
    <w:rsid w:val="00471C6A"/>
    <w:rsid w:val="00472904"/>
    <w:rsid w:val="00472DA3"/>
    <w:rsid w:val="00476053"/>
    <w:rsid w:val="0047608C"/>
    <w:rsid w:val="00476DA9"/>
    <w:rsid w:val="00477F2B"/>
    <w:rsid w:val="004837EB"/>
    <w:rsid w:val="0049110B"/>
    <w:rsid w:val="00493653"/>
    <w:rsid w:val="004A18E3"/>
    <w:rsid w:val="004A221E"/>
    <w:rsid w:val="004A365F"/>
    <w:rsid w:val="004A4056"/>
    <w:rsid w:val="004A4B9B"/>
    <w:rsid w:val="004A5025"/>
    <w:rsid w:val="004A6763"/>
    <w:rsid w:val="004B13A9"/>
    <w:rsid w:val="004B5310"/>
    <w:rsid w:val="004B65E2"/>
    <w:rsid w:val="004B761D"/>
    <w:rsid w:val="004B76EA"/>
    <w:rsid w:val="004C0673"/>
    <w:rsid w:val="004C3C14"/>
    <w:rsid w:val="004C444C"/>
    <w:rsid w:val="004C5B43"/>
    <w:rsid w:val="004C67D9"/>
    <w:rsid w:val="004C75EB"/>
    <w:rsid w:val="004C7FEE"/>
    <w:rsid w:val="004D148B"/>
    <w:rsid w:val="004D287A"/>
    <w:rsid w:val="004D2CFF"/>
    <w:rsid w:val="004D32DC"/>
    <w:rsid w:val="004D75E6"/>
    <w:rsid w:val="004E204D"/>
    <w:rsid w:val="004E4322"/>
    <w:rsid w:val="004E5357"/>
    <w:rsid w:val="004E5431"/>
    <w:rsid w:val="004E5C42"/>
    <w:rsid w:val="004F0691"/>
    <w:rsid w:val="004F162B"/>
    <w:rsid w:val="004F1C49"/>
    <w:rsid w:val="004F6474"/>
    <w:rsid w:val="00501572"/>
    <w:rsid w:val="00503333"/>
    <w:rsid w:val="0050393F"/>
    <w:rsid w:val="00503A3C"/>
    <w:rsid w:val="00507781"/>
    <w:rsid w:val="0051184A"/>
    <w:rsid w:val="0051188F"/>
    <w:rsid w:val="00512FC4"/>
    <w:rsid w:val="00513628"/>
    <w:rsid w:val="00514BF1"/>
    <w:rsid w:val="0051715C"/>
    <w:rsid w:val="00525445"/>
    <w:rsid w:val="005267E4"/>
    <w:rsid w:val="0053158A"/>
    <w:rsid w:val="00533F0E"/>
    <w:rsid w:val="00533F7D"/>
    <w:rsid w:val="0054096F"/>
    <w:rsid w:val="00541291"/>
    <w:rsid w:val="00541AC9"/>
    <w:rsid w:val="005434BB"/>
    <w:rsid w:val="0054596D"/>
    <w:rsid w:val="00546653"/>
    <w:rsid w:val="00546C19"/>
    <w:rsid w:val="005473CF"/>
    <w:rsid w:val="0054768F"/>
    <w:rsid w:val="00551BDE"/>
    <w:rsid w:val="00552843"/>
    <w:rsid w:val="00552C39"/>
    <w:rsid w:val="00553332"/>
    <w:rsid w:val="00554CDF"/>
    <w:rsid w:val="00555A78"/>
    <w:rsid w:val="00556A11"/>
    <w:rsid w:val="00557C19"/>
    <w:rsid w:val="00563B03"/>
    <w:rsid w:val="00566610"/>
    <w:rsid w:val="005671C9"/>
    <w:rsid w:val="00570822"/>
    <w:rsid w:val="005720A7"/>
    <w:rsid w:val="00574625"/>
    <w:rsid w:val="0057640A"/>
    <w:rsid w:val="00577294"/>
    <w:rsid w:val="0058017A"/>
    <w:rsid w:val="005819EF"/>
    <w:rsid w:val="005835B1"/>
    <w:rsid w:val="00583A2A"/>
    <w:rsid w:val="00583E19"/>
    <w:rsid w:val="005843EA"/>
    <w:rsid w:val="0058520C"/>
    <w:rsid w:val="00585531"/>
    <w:rsid w:val="00590DDC"/>
    <w:rsid w:val="00590E4D"/>
    <w:rsid w:val="00592DFF"/>
    <w:rsid w:val="00594868"/>
    <w:rsid w:val="00594FB2"/>
    <w:rsid w:val="0059583D"/>
    <w:rsid w:val="0059665D"/>
    <w:rsid w:val="005966B7"/>
    <w:rsid w:val="00597A65"/>
    <w:rsid w:val="005A23EA"/>
    <w:rsid w:val="005A2CFD"/>
    <w:rsid w:val="005A46DC"/>
    <w:rsid w:val="005A47B8"/>
    <w:rsid w:val="005A598F"/>
    <w:rsid w:val="005A691E"/>
    <w:rsid w:val="005A7BB7"/>
    <w:rsid w:val="005B0895"/>
    <w:rsid w:val="005B0AB9"/>
    <w:rsid w:val="005B1622"/>
    <w:rsid w:val="005B1BB7"/>
    <w:rsid w:val="005B25B3"/>
    <w:rsid w:val="005B3211"/>
    <w:rsid w:val="005B6963"/>
    <w:rsid w:val="005B75DF"/>
    <w:rsid w:val="005B7BCD"/>
    <w:rsid w:val="005C0ACA"/>
    <w:rsid w:val="005C323A"/>
    <w:rsid w:val="005C3CBB"/>
    <w:rsid w:val="005C7834"/>
    <w:rsid w:val="005C79E8"/>
    <w:rsid w:val="005D0843"/>
    <w:rsid w:val="005D1916"/>
    <w:rsid w:val="005D252D"/>
    <w:rsid w:val="005D26AF"/>
    <w:rsid w:val="005D3E6C"/>
    <w:rsid w:val="005D4D3E"/>
    <w:rsid w:val="005D4FB3"/>
    <w:rsid w:val="005D59F5"/>
    <w:rsid w:val="005D6F87"/>
    <w:rsid w:val="005E0898"/>
    <w:rsid w:val="005E2AF4"/>
    <w:rsid w:val="005E38A9"/>
    <w:rsid w:val="005E44AB"/>
    <w:rsid w:val="005E504C"/>
    <w:rsid w:val="005E5845"/>
    <w:rsid w:val="005E61AA"/>
    <w:rsid w:val="005F1866"/>
    <w:rsid w:val="005F1FC2"/>
    <w:rsid w:val="005F2252"/>
    <w:rsid w:val="005F22D1"/>
    <w:rsid w:val="005F3D10"/>
    <w:rsid w:val="005F42A9"/>
    <w:rsid w:val="005F42F9"/>
    <w:rsid w:val="005F5619"/>
    <w:rsid w:val="005F6816"/>
    <w:rsid w:val="005F7FC7"/>
    <w:rsid w:val="00600CD1"/>
    <w:rsid w:val="00601DC7"/>
    <w:rsid w:val="00601F2C"/>
    <w:rsid w:val="006053E8"/>
    <w:rsid w:val="00612FA4"/>
    <w:rsid w:val="00612FE4"/>
    <w:rsid w:val="006136F7"/>
    <w:rsid w:val="0061383B"/>
    <w:rsid w:val="00613936"/>
    <w:rsid w:val="00617F3F"/>
    <w:rsid w:val="0063056D"/>
    <w:rsid w:val="00634142"/>
    <w:rsid w:val="00634970"/>
    <w:rsid w:val="00635799"/>
    <w:rsid w:val="00635B4B"/>
    <w:rsid w:val="006366A3"/>
    <w:rsid w:val="00637F6B"/>
    <w:rsid w:val="00640DD5"/>
    <w:rsid w:val="00643C8E"/>
    <w:rsid w:val="00645E21"/>
    <w:rsid w:val="006462CE"/>
    <w:rsid w:val="006502F0"/>
    <w:rsid w:val="006532C0"/>
    <w:rsid w:val="00654F43"/>
    <w:rsid w:val="00656933"/>
    <w:rsid w:val="0065769B"/>
    <w:rsid w:val="00662ED7"/>
    <w:rsid w:val="00664516"/>
    <w:rsid w:val="00666C6C"/>
    <w:rsid w:val="00670189"/>
    <w:rsid w:val="0067119A"/>
    <w:rsid w:val="006727FC"/>
    <w:rsid w:val="00672E2F"/>
    <w:rsid w:val="00675B94"/>
    <w:rsid w:val="006767A3"/>
    <w:rsid w:val="00677C9A"/>
    <w:rsid w:val="00680BA5"/>
    <w:rsid w:val="00681D2C"/>
    <w:rsid w:val="0068201E"/>
    <w:rsid w:val="006836BE"/>
    <w:rsid w:val="00684A2D"/>
    <w:rsid w:val="0068705D"/>
    <w:rsid w:val="006920DA"/>
    <w:rsid w:val="00693390"/>
    <w:rsid w:val="00696073"/>
    <w:rsid w:val="00697615"/>
    <w:rsid w:val="00697647"/>
    <w:rsid w:val="006A0034"/>
    <w:rsid w:val="006A1D98"/>
    <w:rsid w:val="006A39BF"/>
    <w:rsid w:val="006A67D4"/>
    <w:rsid w:val="006A6CD2"/>
    <w:rsid w:val="006B2690"/>
    <w:rsid w:val="006B3154"/>
    <w:rsid w:val="006B5A29"/>
    <w:rsid w:val="006B5F29"/>
    <w:rsid w:val="006B6630"/>
    <w:rsid w:val="006B7430"/>
    <w:rsid w:val="006C1BFA"/>
    <w:rsid w:val="006C3623"/>
    <w:rsid w:val="006C3BEF"/>
    <w:rsid w:val="006C5C88"/>
    <w:rsid w:val="006C61C5"/>
    <w:rsid w:val="006D10A6"/>
    <w:rsid w:val="006D12DC"/>
    <w:rsid w:val="006D1CED"/>
    <w:rsid w:val="006D4A79"/>
    <w:rsid w:val="006E1414"/>
    <w:rsid w:val="006E1B81"/>
    <w:rsid w:val="006E5F5B"/>
    <w:rsid w:val="006E6DE8"/>
    <w:rsid w:val="006E76AE"/>
    <w:rsid w:val="006F064F"/>
    <w:rsid w:val="006F15C8"/>
    <w:rsid w:val="006F162D"/>
    <w:rsid w:val="006F61CE"/>
    <w:rsid w:val="00702EC4"/>
    <w:rsid w:val="007058A1"/>
    <w:rsid w:val="00705C9E"/>
    <w:rsid w:val="007117F4"/>
    <w:rsid w:val="007117FB"/>
    <w:rsid w:val="0071280C"/>
    <w:rsid w:val="00715B6D"/>
    <w:rsid w:val="007176E8"/>
    <w:rsid w:val="00717DF0"/>
    <w:rsid w:val="00722143"/>
    <w:rsid w:val="00724F11"/>
    <w:rsid w:val="00725CF5"/>
    <w:rsid w:val="0072717B"/>
    <w:rsid w:val="007274FA"/>
    <w:rsid w:val="00733440"/>
    <w:rsid w:val="00734A1D"/>
    <w:rsid w:val="0073656E"/>
    <w:rsid w:val="007405C7"/>
    <w:rsid w:val="00744772"/>
    <w:rsid w:val="00744F96"/>
    <w:rsid w:val="00745048"/>
    <w:rsid w:val="00745129"/>
    <w:rsid w:val="00745C53"/>
    <w:rsid w:val="0075076A"/>
    <w:rsid w:val="00750BC5"/>
    <w:rsid w:val="007517B6"/>
    <w:rsid w:val="007527E3"/>
    <w:rsid w:val="00752836"/>
    <w:rsid w:val="00753DD2"/>
    <w:rsid w:val="007543C4"/>
    <w:rsid w:val="007566D7"/>
    <w:rsid w:val="00761747"/>
    <w:rsid w:val="00763BC4"/>
    <w:rsid w:val="00764FC2"/>
    <w:rsid w:val="0076703C"/>
    <w:rsid w:val="00767078"/>
    <w:rsid w:val="00772A9B"/>
    <w:rsid w:val="0077385E"/>
    <w:rsid w:val="00773B4A"/>
    <w:rsid w:val="00773CD7"/>
    <w:rsid w:val="00775E6F"/>
    <w:rsid w:val="00776B1B"/>
    <w:rsid w:val="007818D7"/>
    <w:rsid w:val="00782A6C"/>
    <w:rsid w:val="00783B36"/>
    <w:rsid w:val="00783EDD"/>
    <w:rsid w:val="0078412C"/>
    <w:rsid w:val="00784285"/>
    <w:rsid w:val="00785465"/>
    <w:rsid w:val="007861F7"/>
    <w:rsid w:val="0079130F"/>
    <w:rsid w:val="00791F64"/>
    <w:rsid w:val="00792D03"/>
    <w:rsid w:val="00794923"/>
    <w:rsid w:val="00795F3C"/>
    <w:rsid w:val="00797DC4"/>
    <w:rsid w:val="007A0FB4"/>
    <w:rsid w:val="007A1C0C"/>
    <w:rsid w:val="007A2064"/>
    <w:rsid w:val="007A3D21"/>
    <w:rsid w:val="007A414F"/>
    <w:rsid w:val="007A4874"/>
    <w:rsid w:val="007A49E3"/>
    <w:rsid w:val="007A59AB"/>
    <w:rsid w:val="007A6371"/>
    <w:rsid w:val="007A7884"/>
    <w:rsid w:val="007B3676"/>
    <w:rsid w:val="007B518B"/>
    <w:rsid w:val="007B624E"/>
    <w:rsid w:val="007B6338"/>
    <w:rsid w:val="007C24DF"/>
    <w:rsid w:val="007C25B4"/>
    <w:rsid w:val="007C37E6"/>
    <w:rsid w:val="007C3F74"/>
    <w:rsid w:val="007C5943"/>
    <w:rsid w:val="007C773F"/>
    <w:rsid w:val="007C7DA6"/>
    <w:rsid w:val="007C7E96"/>
    <w:rsid w:val="007D0CBE"/>
    <w:rsid w:val="007D11BA"/>
    <w:rsid w:val="007D2687"/>
    <w:rsid w:val="007D639C"/>
    <w:rsid w:val="007D77C3"/>
    <w:rsid w:val="007D7909"/>
    <w:rsid w:val="007E0798"/>
    <w:rsid w:val="007F02E7"/>
    <w:rsid w:val="007F033B"/>
    <w:rsid w:val="007F08F9"/>
    <w:rsid w:val="007F436F"/>
    <w:rsid w:val="007F63FD"/>
    <w:rsid w:val="007F7422"/>
    <w:rsid w:val="00800D63"/>
    <w:rsid w:val="00801BD2"/>
    <w:rsid w:val="008028A3"/>
    <w:rsid w:val="008030A5"/>
    <w:rsid w:val="008041DA"/>
    <w:rsid w:val="008078EE"/>
    <w:rsid w:val="00807D5E"/>
    <w:rsid w:val="008112BA"/>
    <w:rsid w:val="00813233"/>
    <w:rsid w:val="008138B6"/>
    <w:rsid w:val="0082281F"/>
    <w:rsid w:val="008235ED"/>
    <w:rsid w:val="00823692"/>
    <w:rsid w:val="00826185"/>
    <w:rsid w:val="00826FF6"/>
    <w:rsid w:val="00832DB6"/>
    <w:rsid w:val="008331F9"/>
    <w:rsid w:val="00833F15"/>
    <w:rsid w:val="00834BE1"/>
    <w:rsid w:val="00835219"/>
    <w:rsid w:val="00837F16"/>
    <w:rsid w:val="00840216"/>
    <w:rsid w:val="0084032E"/>
    <w:rsid w:val="00841229"/>
    <w:rsid w:val="00842166"/>
    <w:rsid w:val="00843C50"/>
    <w:rsid w:val="00844FD5"/>
    <w:rsid w:val="0084724E"/>
    <w:rsid w:val="00851E1E"/>
    <w:rsid w:val="00854C34"/>
    <w:rsid w:val="008559C3"/>
    <w:rsid w:val="008575AF"/>
    <w:rsid w:val="008612AC"/>
    <w:rsid w:val="00863746"/>
    <w:rsid w:val="00863DE6"/>
    <w:rsid w:val="00864009"/>
    <w:rsid w:val="00866A6C"/>
    <w:rsid w:val="00867BA6"/>
    <w:rsid w:val="00870174"/>
    <w:rsid w:val="00870C12"/>
    <w:rsid w:val="00871052"/>
    <w:rsid w:val="00871453"/>
    <w:rsid w:val="00872F9F"/>
    <w:rsid w:val="00873E9A"/>
    <w:rsid w:val="0087438C"/>
    <w:rsid w:val="0087453A"/>
    <w:rsid w:val="00874B2A"/>
    <w:rsid w:val="00875093"/>
    <w:rsid w:val="008758C5"/>
    <w:rsid w:val="0088063A"/>
    <w:rsid w:val="0088126A"/>
    <w:rsid w:val="008821EC"/>
    <w:rsid w:val="00882363"/>
    <w:rsid w:val="00882B12"/>
    <w:rsid w:val="0088394E"/>
    <w:rsid w:val="0088416B"/>
    <w:rsid w:val="008851A3"/>
    <w:rsid w:val="008860F5"/>
    <w:rsid w:val="0089239B"/>
    <w:rsid w:val="0089244E"/>
    <w:rsid w:val="0089683A"/>
    <w:rsid w:val="008A23DF"/>
    <w:rsid w:val="008A5EB8"/>
    <w:rsid w:val="008B052A"/>
    <w:rsid w:val="008B0DE3"/>
    <w:rsid w:val="008B0FB0"/>
    <w:rsid w:val="008B5061"/>
    <w:rsid w:val="008B56E8"/>
    <w:rsid w:val="008B5976"/>
    <w:rsid w:val="008C012D"/>
    <w:rsid w:val="008C0F3E"/>
    <w:rsid w:val="008C15BF"/>
    <w:rsid w:val="008C206E"/>
    <w:rsid w:val="008C4775"/>
    <w:rsid w:val="008C6B4D"/>
    <w:rsid w:val="008C6F7F"/>
    <w:rsid w:val="008D1061"/>
    <w:rsid w:val="008D2BD0"/>
    <w:rsid w:val="008D689F"/>
    <w:rsid w:val="008D6B69"/>
    <w:rsid w:val="008D77F4"/>
    <w:rsid w:val="008E1140"/>
    <w:rsid w:val="008E18A4"/>
    <w:rsid w:val="008E2128"/>
    <w:rsid w:val="008E22EC"/>
    <w:rsid w:val="008E2911"/>
    <w:rsid w:val="008E5281"/>
    <w:rsid w:val="008E7878"/>
    <w:rsid w:val="008E7BBB"/>
    <w:rsid w:val="008E7CD4"/>
    <w:rsid w:val="008F0C18"/>
    <w:rsid w:val="008F59AB"/>
    <w:rsid w:val="008F6650"/>
    <w:rsid w:val="008F6D3F"/>
    <w:rsid w:val="009001D4"/>
    <w:rsid w:val="0090253E"/>
    <w:rsid w:val="009026B7"/>
    <w:rsid w:val="00904393"/>
    <w:rsid w:val="00905D69"/>
    <w:rsid w:val="0091383F"/>
    <w:rsid w:val="00913BAD"/>
    <w:rsid w:val="00914D40"/>
    <w:rsid w:val="00917D52"/>
    <w:rsid w:val="00925ACD"/>
    <w:rsid w:val="00925C6C"/>
    <w:rsid w:val="00926B0A"/>
    <w:rsid w:val="00932AC5"/>
    <w:rsid w:val="00932BCC"/>
    <w:rsid w:val="00934264"/>
    <w:rsid w:val="0093560B"/>
    <w:rsid w:val="0093647C"/>
    <w:rsid w:val="00937035"/>
    <w:rsid w:val="009374C5"/>
    <w:rsid w:val="0094126E"/>
    <w:rsid w:val="009413FE"/>
    <w:rsid w:val="00941CD0"/>
    <w:rsid w:val="00941DBE"/>
    <w:rsid w:val="009426AF"/>
    <w:rsid w:val="009450B4"/>
    <w:rsid w:val="009456D4"/>
    <w:rsid w:val="00946769"/>
    <w:rsid w:val="00947B82"/>
    <w:rsid w:val="00954C85"/>
    <w:rsid w:val="00955512"/>
    <w:rsid w:val="009572B7"/>
    <w:rsid w:val="00957B7A"/>
    <w:rsid w:val="0096044B"/>
    <w:rsid w:val="009611C0"/>
    <w:rsid w:val="00962E53"/>
    <w:rsid w:val="00964F85"/>
    <w:rsid w:val="00965584"/>
    <w:rsid w:val="009749FF"/>
    <w:rsid w:val="00975E86"/>
    <w:rsid w:val="009814C7"/>
    <w:rsid w:val="00986685"/>
    <w:rsid w:val="00987973"/>
    <w:rsid w:val="00992353"/>
    <w:rsid w:val="00993891"/>
    <w:rsid w:val="009A3A3C"/>
    <w:rsid w:val="009A403B"/>
    <w:rsid w:val="009A5E0A"/>
    <w:rsid w:val="009A5F98"/>
    <w:rsid w:val="009A7C11"/>
    <w:rsid w:val="009A7F64"/>
    <w:rsid w:val="009A7F84"/>
    <w:rsid w:val="009B3510"/>
    <w:rsid w:val="009B36CB"/>
    <w:rsid w:val="009B404D"/>
    <w:rsid w:val="009B4360"/>
    <w:rsid w:val="009B4C5A"/>
    <w:rsid w:val="009B5560"/>
    <w:rsid w:val="009B55C8"/>
    <w:rsid w:val="009C18AC"/>
    <w:rsid w:val="009C2094"/>
    <w:rsid w:val="009C284F"/>
    <w:rsid w:val="009C3F01"/>
    <w:rsid w:val="009C4D78"/>
    <w:rsid w:val="009C56B4"/>
    <w:rsid w:val="009C60A3"/>
    <w:rsid w:val="009C719C"/>
    <w:rsid w:val="009D0FFC"/>
    <w:rsid w:val="009D21E9"/>
    <w:rsid w:val="009D2201"/>
    <w:rsid w:val="009D28F4"/>
    <w:rsid w:val="009D29A6"/>
    <w:rsid w:val="009D2DD7"/>
    <w:rsid w:val="009D5379"/>
    <w:rsid w:val="009E0061"/>
    <w:rsid w:val="009E20A4"/>
    <w:rsid w:val="009E2916"/>
    <w:rsid w:val="009E2F96"/>
    <w:rsid w:val="009E375C"/>
    <w:rsid w:val="009E398A"/>
    <w:rsid w:val="009E3AD0"/>
    <w:rsid w:val="009F142E"/>
    <w:rsid w:val="009F3F82"/>
    <w:rsid w:val="009F562E"/>
    <w:rsid w:val="009F5A24"/>
    <w:rsid w:val="009F6063"/>
    <w:rsid w:val="009F7356"/>
    <w:rsid w:val="009F74A9"/>
    <w:rsid w:val="00A01418"/>
    <w:rsid w:val="00A021D3"/>
    <w:rsid w:val="00A0320B"/>
    <w:rsid w:val="00A03470"/>
    <w:rsid w:val="00A06720"/>
    <w:rsid w:val="00A11A91"/>
    <w:rsid w:val="00A14781"/>
    <w:rsid w:val="00A14B29"/>
    <w:rsid w:val="00A17DBB"/>
    <w:rsid w:val="00A203DE"/>
    <w:rsid w:val="00A219FB"/>
    <w:rsid w:val="00A23377"/>
    <w:rsid w:val="00A23CCE"/>
    <w:rsid w:val="00A3084D"/>
    <w:rsid w:val="00A314BD"/>
    <w:rsid w:val="00A3191A"/>
    <w:rsid w:val="00A326E2"/>
    <w:rsid w:val="00A34F50"/>
    <w:rsid w:val="00A34FFA"/>
    <w:rsid w:val="00A36A35"/>
    <w:rsid w:val="00A36E85"/>
    <w:rsid w:val="00A37C40"/>
    <w:rsid w:val="00A37F4E"/>
    <w:rsid w:val="00A411ED"/>
    <w:rsid w:val="00A412D2"/>
    <w:rsid w:val="00A41748"/>
    <w:rsid w:val="00A43FD0"/>
    <w:rsid w:val="00A442C6"/>
    <w:rsid w:val="00A44757"/>
    <w:rsid w:val="00A47EEE"/>
    <w:rsid w:val="00A50667"/>
    <w:rsid w:val="00A513E4"/>
    <w:rsid w:val="00A52834"/>
    <w:rsid w:val="00A530FC"/>
    <w:rsid w:val="00A55E16"/>
    <w:rsid w:val="00A565B2"/>
    <w:rsid w:val="00A568B5"/>
    <w:rsid w:val="00A573AC"/>
    <w:rsid w:val="00A601B9"/>
    <w:rsid w:val="00A6291C"/>
    <w:rsid w:val="00A62F41"/>
    <w:rsid w:val="00A651B1"/>
    <w:rsid w:val="00A71AC0"/>
    <w:rsid w:val="00A73A65"/>
    <w:rsid w:val="00A74ECC"/>
    <w:rsid w:val="00A77F51"/>
    <w:rsid w:val="00A80245"/>
    <w:rsid w:val="00A812B3"/>
    <w:rsid w:val="00A81B2A"/>
    <w:rsid w:val="00A82F4B"/>
    <w:rsid w:val="00A87814"/>
    <w:rsid w:val="00A87DAC"/>
    <w:rsid w:val="00A91C82"/>
    <w:rsid w:val="00A9270C"/>
    <w:rsid w:val="00A92A00"/>
    <w:rsid w:val="00A92C43"/>
    <w:rsid w:val="00A93AD0"/>
    <w:rsid w:val="00A9467F"/>
    <w:rsid w:val="00A947BF"/>
    <w:rsid w:val="00A95EBA"/>
    <w:rsid w:val="00A973AF"/>
    <w:rsid w:val="00AA0335"/>
    <w:rsid w:val="00AA0822"/>
    <w:rsid w:val="00AA2AD1"/>
    <w:rsid w:val="00AB0CFC"/>
    <w:rsid w:val="00AB19A2"/>
    <w:rsid w:val="00AB2DEC"/>
    <w:rsid w:val="00AB3822"/>
    <w:rsid w:val="00AB5F55"/>
    <w:rsid w:val="00AB7E5B"/>
    <w:rsid w:val="00AC057B"/>
    <w:rsid w:val="00AC0727"/>
    <w:rsid w:val="00AC1B5D"/>
    <w:rsid w:val="00AC5229"/>
    <w:rsid w:val="00AC6E64"/>
    <w:rsid w:val="00AC716C"/>
    <w:rsid w:val="00AC7F0F"/>
    <w:rsid w:val="00AD0985"/>
    <w:rsid w:val="00AD12C0"/>
    <w:rsid w:val="00AD24B8"/>
    <w:rsid w:val="00AD3E48"/>
    <w:rsid w:val="00AD5006"/>
    <w:rsid w:val="00AD5342"/>
    <w:rsid w:val="00AD679E"/>
    <w:rsid w:val="00AE0254"/>
    <w:rsid w:val="00AE1300"/>
    <w:rsid w:val="00AE1CF1"/>
    <w:rsid w:val="00AE2B06"/>
    <w:rsid w:val="00AE3DD2"/>
    <w:rsid w:val="00AF0417"/>
    <w:rsid w:val="00AF1105"/>
    <w:rsid w:val="00AF18B8"/>
    <w:rsid w:val="00AF35CB"/>
    <w:rsid w:val="00AF73FD"/>
    <w:rsid w:val="00AF786E"/>
    <w:rsid w:val="00B01540"/>
    <w:rsid w:val="00B03CBC"/>
    <w:rsid w:val="00B06D31"/>
    <w:rsid w:val="00B10A9F"/>
    <w:rsid w:val="00B1341B"/>
    <w:rsid w:val="00B13573"/>
    <w:rsid w:val="00B17DAE"/>
    <w:rsid w:val="00B202B3"/>
    <w:rsid w:val="00B21938"/>
    <w:rsid w:val="00B22575"/>
    <w:rsid w:val="00B23293"/>
    <w:rsid w:val="00B23516"/>
    <w:rsid w:val="00B237EF"/>
    <w:rsid w:val="00B24BE7"/>
    <w:rsid w:val="00B260C3"/>
    <w:rsid w:val="00B27912"/>
    <w:rsid w:val="00B3086B"/>
    <w:rsid w:val="00B314B9"/>
    <w:rsid w:val="00B3180C"/>
    <w:rsid w:val="00B31EF0"/>
    <w:rsid w:val="00B326AB"/>
    <w:rsid w:val="00B32D8F"/>
    <w:rsid w:val="00B3639D"/>
    <w:rsid w:val="00B368FE"/>
    <w:rsid w:val="00B375BF"/>
    <w:rsid w:val="00B4133B"/>
    <w:rsid w:val="00B418FE"/>
    <w:rsid w:val="00B4229B"/>
    <w:rsid w:val="00B44517"/>
    <w:rsid w:val="00B44CB0"/>
    <w:rsid w:val="00B50952"/>
    <w:rsid w:val="00B510AE"/>
    <w:rsid w:val="00B57F63"/>
    <w:rsid w:val="00B63263"/>
    <w:rsid w:val="00B637B4"/>
    <w:rsid w:val="00B64C96"/>
    <w:rsid w:val="00B64E7B"/>
    <w:rsid w:val="00B6695D"/>
    <w:rsid w:val="00B70835"/>
    <w:rsid w:val="00B76933"/>
    <w:rsid w:val="00B77FEE"/>
    <w:rsid w:val="00B80BEE"/>
    <w:rsid w:val="00B85505"/>
    <w:rsid w:val="00B85827"/>
    <w:rsid w:val="00B8710A"/>
    <w:rsid w:val="00B87150"/>
    <w:rsid w:val="00B9079B"/>
    <w:rsid w:val="00B92CC3"/>
    <w:rsid w:val="00B944B0"/>
    <w:rsid w:val="00B95DE2"/>
    <w:rsid w:val="00B966CC"/>
    <w:rsid w:val="00B9682C"/>
    <w:rsid w:val="00B96C95"/>
    <w:rsid w:val="00BA30DA"/>
    <w:rsid w:val="00BA3270"/>
    <w:rsid w:val="00BA376E"/>
    <w:rsid w:val="00BA7B90"/>
    <w:rsid w:val="00BB04EE"/>
    <w:rsid w:val="00BB17AF"/>
    <w:rsid w:val="00BB2BD6"/>
    <w:rsid w:val="00BB2EA0"/>
    <w:rsid w:val="00BB3248"/>
    <w:rsid w:val="00BB6BDA"/>
    <w:rsid w:val="00BB6C3C"/>
    <w:rsid w:val="00BB716B"/>
    <w:rsid w:val="00BB79A8"/>
    <w:rsid w:val="00BC0290"/>
    <w:rsid w:val="00BC0859"/>
    <w:rsid w:val="00BC2F12"/>
    <w:rsid w:val="00BC40BB"/>
    <w:rsid w:val="00BC4967"/>
    <w:rsid w:val="00BD055C"/>
    <w:rsid w:val="00BD213E"/>
    <w:rsid w:val="00BD3DB3"/>
    <w:rsid w:val="00BD5510"/>
    <w:rsid w:val="00BD6E84"/>
    <w:rsid w:val="00BD7090"/>
    <w:rsid w:val="00BE0E93"/>
    <w:rsid w:val="00BE1089"/>
    <w:rsid w:val="00BE1486"/>
    <w:rsid w:val="00BE28C1"/>
    <w:rsid w:val="00BE2F6C"/>
    <w:rsid w:val="00BE37E1"/>
    <w:rsid w:val="00BE4625"/>
    <w:rsid w:val="00BE5125"/>
    <w:rsid w:val="00BE69A1"/>
    <w:rsid w:val="00BE6F89"/>
    <w:rsid w:val="00BF0EB0"/>
    <w:rsid w:val="00BF1B75"/>
    <w:rsid w:val="00BF4CF3"/>
    <w:rsid w:val="00BF5651"/>
    <w:rsid w:val="00C0119D"/>
    <w:rsid w:val="00C032AF"/>
    <w:rsid w:val="00C0336C"/>
    <w:rsid w:val="00C03694"/>
    <w:rsid w:val="00C0417D"/>
    <w:rsid w:val="00C047AB"/>
    <w:rsid w:val="00C075A1"/>
    <w:rsid w:val="00C11580"/>
    <w:rsid w:val="00C11C3D"/>
    <w:rsid w:val="00C16158"/>
    <w:rsid w:val="00C16510"/>
    <w:rsid w:val="00C16C43"/>
    <w:rsid w:val="00C2092E"/>
    <w:rsid w:val="00C20B67"/>
    <w:rsid w:val="00C26123"/>
    <w:rsid w:val="00C277CE"/>
    <w:rsid w:val="00C31C1A"/>
    <w:rsid w:val="00C3570F"/>
    <w:rsid w:val="00C37896"/>
    <w:rsid w:val="00C40801"/>
    <w:rsid w:val="00C4105F"/>
    <w:rsid w:val="00C41751"/>
    <w:rsid w:val="00C46825"/>
    <w:rsid w:val="00C51B1B"/>
    <w:rsid w:val="00C617A8"/>
    <w:rsid w:val="00C64855"/>
    <w:rsid w:val="00C652AC"/>
    <w:rsid w:val="00C662A7"/>
    <w:rsid w:val="00C7194A"/>
    <w:rsid w:val="00C727BC"/>
    <w:rsid w:val="00C72947"/>
    <w:rsid w:val="00C74EB5"/>
    <w:rsid w:val="00C75775"/>
    <w:rsid w:val="00C76457"/>
    <w:rsid w:val="00C76D61"/>
    <w:rsid w:val="00C80B99"/>
    <w:rsid w:val="00C81FDE"/>
    <w:rsid w:val="00C82C68"/>
    <w:rsid w:val="00C8335B"/>
    <w:rsid w:val="00C86234"/>
    <w:rsid w:val="00C86487"/>
    <w:rsid w:val="00C8698A"/>
    <w:rsid w:val="00C9126A"/>
    <w:rsid w:val="00C91985"/>
    <w:rsid w:val="00C93F70"/>
    <w:rsid w:val="00C945A5"/>
    <w:rsid w:val="00C9605B"/>
    <w:rsid w:val="00C97EFB"/>
    <w:rsid w:val="00CA15DB"/>
    <w:rsid w:val="00CA1A47"/>
    <w:rsid w:val="00CA1ECF"/>
    <w:rsid w:val="00CA205E"/>
    <w:rsid w:val="00CA35C2"/>
    <w:rsid w:val="00CA3646"/>
    <w:rsid w:val="00CA3A03"/>
    <w:rsid w:val="00CA3FAD"/>
    <w:rsid w:val="00CA4B31"/>
    <w:rsid w:val="00CA6632"/>
    <w:rsid w:val="00CA67D2"/>
    <w:rsid w:val="00CB15C9"/>
    <w:rsid w:val="00CB1934"/>
    <w:rsid w:val="00CB2ECE"/>
    <w:rsid w:val="00CB346F"/>
    <w:rsid w:val="00CB4A33"/>
    <w:rsid w:val="00CB4E5B"/>
    <w:rsid w:val="00CB4EB1"/>
    <w:rsid w:val="00CB4EDD"/>
    <w:rsid w:val="00CB776D"/>
    <w:rsid w:val="00CC01F6"/>
    <w:rsid w:val="00CC0541"/>
    <w:rsid w:val="00CC081F"/>
    <w:rsid w:val="00CC0959"/>
    <w:rsid w:val="00CC1FC2"/>
    <w:rsid w:val="00CC3081"/>
    <w:rsid w:val="00CC32F1"/>
    <w:rsid w:val="00CC428C"/>
    <w:rsid w:val="00CC67FA"/>
    <w:rsid w:val="00CC7E8A"/>
    <w:rsid w:val="00CD0358"/>
    <w:rsid w:val="00CD1BA6"/>
    <w:rsid w:val="00CD3716"/>
    <w:rsid w:val="00CD4E1A"/>
    <w:rsid w:val="00CD5823"/>
    <w:rsid w:val="00CD638A"/>
    <w:rsid w:val="00CD72DB"/>
    <w:rsid w:val="00CE11AB"/>
    <w:rsid w:val="00CE3CCF"/>
    <w:rsid w:val="00CE4B85"/>
    <w:rsid w:val="00CE4D89"/>
    <w:rsid w:val="00CE50B0"/>
    <w:rsid w:val="00CE65AF"/>
    <w:rsid w:val="00CE66A4"/>
    <w:rsid w:val="00CE69C5"/>
    <w:rsid w:val="00CE6E34"/>
    <w:rsid w:val="00CF171D"/>
    <w:rsid w:val="00CF22AC"/>
    <w:rsid w:val="00CF34A1"/>
    <w:rsid w:val="00CF3E88"/>
    <w:rsid w:val="00CF614C"/>
    <w:rsid w:val="00CF724E"/>
    <w:rsid w:val="00D009F8"/>
    <w:rsid w:val="00D02476"/>
    <w:rsid w:val="00D02C6C"/>
    <w:rsid w:val="00D03034"/>
    <w:rsid w:val="00D0362A"/>
    <w:rsid w:val="00D03A86"/>
    <w:rsid w:val="00D03C3A"/>
    <w:rsid w:val="00D05FA9"/>
    <w:rsid w:val="00D10AAA"/>
    <w:rsid w:val="00D1158F"/>
    <w:rsid w:val="00D1192B"/>
    <w:rsid w:val="00D14469"/>
    <w:rsid w:val="00D14C2D"/>
    <w:rsid w:val="00D156F3"/>
    <w:rsid w:val="00D16E7B"/>
    <w:rsid w:val="00D1702F"/>
    <w:rsid w:val="00D1780E"/>
    <w:rsid w:val="00D25A6B"/>
    <w:rsid w:val="00D30401"/>
    <w:rsid w:val="00D31E05"/>
    <w:rsid w:val="00D31E37"/>
    <w:rsid w:val="00D32A2B"/>
    <w:rsid w:val="00D32B02"/>
    <w:rsid w:val="00D35CE4"/>
    <w:rsid w:val="00D36955"/>
    <w:rsid w:val="00D36DAA"/>
    <w:rsid w:val="00D4283C"/>
    <w:rsid w:val="00D43E12"/>
    <w:rsid w:val="00D442B6"/>
    <w:rsid w:val="00D450D0"/>
    <w:rsid w:val="00D4520D"/>
    <w:rsid w:val="00D45C22"/>
    <w:rsid w:val="00D47236"/>
    <w:rsid w:val="00D4777C"/>
    <w:rsid w:val="00D5098D"/>
    <w:rsid w:val="00D5231E"/>
    <w:rsid w:val="00D53BE3"/>
    <w:rsid w:val="00D53E4A"/>
    <w:rsid w:val="00D54796"/>
    <w:rsid w:val="00D55CF3"/>
    <w:rsid w:val="00D609B5"/>
    <w:rsid w:val="00D6156C"/>
    <w:rsid w:val="00D64F23"/>
    <w:rsid w:val="00D66B10"/>
    <w:rsid w:val="00D66B11"/>
    <w:rsid w:val="00D66E1F"/>
    <w:rsid w:val="00D6745C"/>
    <w:rsid w:val="00D676D0"/>
    <w:rsid w:val="00D70051"/>
    <w:rsid w:val="00D7241A"/>
    <w:rsid w:val="00D77418"/>
    <w:rsid w:val="00D77486"/>
    <w:rsid w:val="00D814FD"/>
    <w:rsid w:val="00D81BBE"/>
    <w:rsid w:val="00D825DF"/>
    <w:rsid w:val="00D83905"/>
    <w:rsid w:val="00D84C67"/>
    <w:rsid w:val="00D853BF"/>
    <w:rsid w:val="00D85C67"/>
    <w:rsid w:val="00D86627"/>
    <w:rsid w:val="00D90D5D"/>
    <w:rsid w:val="00D93A5B"/>
    <w:rsid w:val="00D93D45"/>
    <w:rsid w:val="00D94B6F"/>
    <w:rsid w:val="00D95F91"/>
    <w:rsid w:val="00D965CD"/>
    <w:rsid w:val="00DA18A8"/>
    <w:rsid w:val="00DA4889"/>
    <w:rsid w:val="00DA4936"/>
    <w:rsid w:val="00DA5A81"/>
    <w:rsid w:val="00DA5D51"/>
    <w:rsid w:val="00DA6D44"/>
    <w:rsid w:val="00DB16D8"/>
    <w:rsid w:val="00DB2E72"/>
    <w:rsid w:val="00DB35C0"/>
    <w:rsid w:val="00DB37FD"/>
    <w:rsid w:val="00DB444C"/>
    <w:rsid w:val="00DB48DF"/>
    <w:rsid w:val="00DB4A6E"/>
    <w:rsid w:val="00DB4E48"/>
    <w:rsid w:val="00DB578C"/>
    <w:rsid w:val="00DB744C"/>
    <w:rsid w:val="00DB77B9"/>
    <w:rsid w:val="00DB7E49"/>
    <w:rsid w:val="00DC29AC"/>
    <w:rsid w:val="00DC4810"/>
    <w:rsid w:val="00DC5936"/>
    <w:rsid w:val="00DC5DB5"/>
    <w:rsid w:val="00DD0C18"/>
    <w:rsid w:val="00DD3018"/>
    <w:rsid w:val="00DD4044"/>
    <w:rsid w:val="00DD46A7"/>
    <w:rsid w:val="00DD75A4"/>
    <w:rsid w:val="00DE18D7"/>
    <w:rsid w:val="00DE2B32"/>
    <w:rsid w:val="00DE71B1"/>
    <w:rsid w:val="00DE7368"/>
    <w:rsid w:val="00DF1E18"/>
    <w:rsid w:val="00DF29CC"/>
    <w:rsid w:val="00DF37F7"/>
    <w:rsid w:val="00E02D3E"/>
    <w:rsid w:val="00E02E5A"/>
    <w:rsid w:val="00E069BA"/>
    <w:rsid w:val="00E07350"/>
    <w:rsid w:val="00E10D83"/>
    <w:rsid w:val="00E1179B"/>
    <w:rsid w:val="00E11935"/>
    <w:rsid w:val="00E17205"/>
    <w:rsid w:val="00E17262"/>
    <w:rsid w:val="00E2131E"/>
    <w:rsid w:val="00E21FB1"/>
    <w:rsid w:val="00E227B4"/>
    <w:rsid w:val="00E235EF"/>
    <w:rsid w:val="00E23C93"/>
    <w:rsid w:val="00E25B7F"/>
    <w:rsid w:val="00E267E8"/>
    <w:rsid w:val="00E311D9"/>
    <w:rsid w:val="00E31AB1"/>
    <w:rsid w:val="00E33406"/>
    <w:rsid w:val="00E358FE"/>
    <w:rsid w:val="00E42B44"/>
    <w:rsid w:val="00E43FAE"/>
    <w:rsid w:val="00E45A34"/>
    <w:rsid w:val="00E500A3"/>
    <w:rsid w:val="00E51413"/>
    <w:rsid w:val="00E52644"/>
    <w:rsid w:val="00E55549"/>
    <w:rsid w:val="00E60385"/>
    <w:rsid w:val="00E64B1D"/>
    <w:rsid w:val="00E667B3"/>
    <w:rsid w:val="00E66C3A"/>
    <w:rsid w:val="00E67796"/>
    <w:rsid w:val="00E70CB8"/>
    <w:rsid w:val="00E71AEC"/>
    <w:rsid w:val="00E72657"/>
    <w:rsid w:val="00E73FB1"/>
    <w:rsid w:val="00E73FCF"/>
    <w:rsid w:val="00E74550"/>
    <w:rsid w:val="00E747BE"/>
    <w:rsid w:val="00E74BDA"/>
    <w:rsid w:val="00E74EF8"/>
    <w:rsid w:val="00E77124"/>
    <w:rsid w:val="00E827B1"/>
    <w:rsid w:val="00E82AD4"/>
    <w:rsid w:val="00E82AED"/>
    <w:rsid w:val="00E841F3"/>
    <w:rsid w:val="00E86712"/>
    <w:rsid w:val="00E86DCD"/>
    <w:rsid w:val="00E879F4"/>
    <w:rsid w:val="00E90832"/>
    <w:rsid w:val="00E91304"/>
    <w:rsid w:val="00E913B0"/>
    <w:rsid w:val="00E948BD"/>
    <w:rsid w:val="00E97775"/>
    <w:rsid w:val="00EA407B"/>
    <w:rsid w:val="00EA520E"/>
    <w:rsid w:val="00EA72B6"/>
    <w:rsid w:val="00EB0DB0"/>
    <w:rsid w:val="00EB1BDF"/>
    <w:rsid w:val="00EB5072"/>
    <w:rsid w:val="00EB5A03"/>
    <w:rsid w:val="00EB6419"/>
    <w:rsid w:val="00EC11F9"/>
    <w:rsid w:val="00EC2327"/>
    <w:rsid w:val="00EC43AC"/>
    <w:rsid w:val="00EC64D7"/>
    <w:rsid w:val="00ED0889"/>
    <w:rsid w:val="00ED0CF0"/>
    <w:rsid w:val="00ED121D"/>
    <w:rsid w:val="00ED17A5"/>
    <w:rsid w:val="00ED1B00"/>
    <w:rsid w:val="00ED6CC5"/>
    <w:rsid w:val="00ED7701"/>
    <w:rsid w:val="00EE0706"/>
    <w:rsid w:val="00EE4AA9"/>
    <w:rsid w:val="00EF08D1"/>
    <w:rsid w:val="00EF0ACF"/>
    <w:rsid w:val="00EF515E"/>
    <w:rsid w:val="00EF5518"/>
    <w:rsid w:val="00EF6949"/>
    <w:rsid w:val="00EF6AD2"/>
    <w:rsid w:val="00EF79A6"/>
    <w:rsid w:val="00F026B3"/>
    <w:rsid w:val="00F05A0F"/>
    <w:rsid w:val="00F05D56"/>
    <w:rsid w:val="00F05FDA"/>
    <w:rsid w:val="00F06F22"/>
    <w:rsid w:val="00F078AE"/>
    <w:rsid w:val="00F11AAB"/>
    <w:rsid w:val="00F12348"/>
    <w:rsid w:val="00F126DB"/>
    <w:rsid w:val="00F1355F"/>
    <w:rsid w:val="00F1415F"/>
    <w:rsid w:val="00F14211"/>
    <w:rsid w:val="00F15CFD"/>
    <w:rsid w:val="00F16A1A"/>
    <w:rsid w:val="00F17207"/>
    <w:rsid w:val="00F17B72"/>
    <w:rsid w:val="00F2089A"/>
    <w:rsid w:val="00F20954"/>
    <w:rsid w:val="00F22BE2"/>
    <w:rsid w:val="00F2371E"/>
    <w:rsid w:val="00F2452F"/>
    <w:rsid w:val="00F245E4"/>
    <w:rsid w:val="00F26648"/>
    <w:rsid w:val="00F26903"/>
    <w:rsid w:val="00F26FB8"/>
    <w:rsid w:val="00F27B70"/>
    <w:rsid w:val="00F33A81"/>
    <w:rsid w:val="00F36ABE"/>
    <w:rsid w:val="00F36DB8"/>
    <w:rsid w:val="00F37369"/>
    <w:rsid w:val="00F37ADF"/>
    <w:rsid w:val="00F40340"/>
    <w:rsid w:val="00F404C6"/>
    <w:rsid w:val="00F42A1D"/>
    <w:rsid w:val="00F44BA7"/>
    <w:rsid w:val="00F44FE0"/>
    <w:rsid w:val="00F45C4A"/>
    <w:rsid w:val="00F46082"/>
    <w:rsid w:val="00F46154"/>
    <w:rsid w:val="00F507B7"/>
    <w:rsid w:val="00F50BA5"/>
    <w:rsid w:val="00F5107F"/>
    <w:rsid w:val="00F527CC"/>
    <w:rsid w:val="00F52A7E"/>
    <w:rsid w:val="00F548FE"/>
    <w:rsid w:val="00F55F51"/>
    <w:rsid w:val="00F56D7F"/>
    <w:rsid w:val="00F574B7"/>
    <w:rsid w:val="00F57833"/>
    <w:rsid w:val="00F605D1"/>
    <w:rsid w:val="00F61513"/>
    <w:rsid w:val="00F615EC"/>
    <w:rsid w:val="00F616E9"/>
    <w:rsid w:val="00F63411"/>
    <w:rsid w:val="00F63A10"/>
    <w:rsid w:val="00F64BB1"/>
    <w:rsid w:val="00F70599"/>
    <w:rsid w:val="00F70702"/>
    <w:rsid w:val="00F71E68"/>
    <w:rsid w:val="00F7360B"/>
    <w:rsid w:val="00F77F64"/>
    <w:rsid w:val="00F80228"/>
    <w:rsid w:val="00F86573"/>
    <w:rsid w:val="00F9017D"/>
    <w:rsid w:val="00F94690"/>
    <w:rsid w:val="00F966A2"/>
    <w:rsid w:val="00F97F2E"/>
    <w:rsid w:val="00FA3332"/>
    <w:rsid w:val="00FA3AD8"/>
    <w:rsid w:val="00FA3B2D"/>
    <w:rsid w:val="00FA4D00"/>
    <w:rsid w:val="00FA5DD7"/>
    <w:rsid w:val="00FB0AC0"/>
    <w:rsid w:val="00FB359E"/>
    <w:rsid w:val="00FB4380"/>
    <w:rsid w:val="00FB51D4"/>
    <w:rsid w:val="00FB5A50"/>
    <w:rsid w:val="00FB5ED9"/>
    <w:rsid w:val="00FB6CAB"/>
    <w:rsid w:val="00FC7425"/>
    <w:rsid w:val="00FD24FB"/>
    <w:rsid w:val="00FD5A36"/>
    <w:rsid w:val="00FD73FB"/>
    <w:rsid w:val="00FD748C"/>
    <w:rsid w:val="00FD779D"/>
    <w:rsid w:val="00FE04C6"/>
    <w:rsid w:val="00FE10C2"/>
    <w:rsid w:val="00FE1425"/>
    <w:rsid w:val="00FE1889"/>
    <w:rsid w:val="00FE1D69"/>
    <w:rsid w:val="00FE6B70"/>
    <w:rsid w:val="00FE7B53"/>
    <w:rsid w:val="00FF0794"/>
    <w:rsid w:val="00FF137E"/>
    <w:rsid w:val="00FF1ECF"/>
    <w:rsid w:val="00FF56FC"/>
    <w:rsid w:val="00FF6C8B"/>
    <w:rsid w:val="30ED40B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0DAA1"/>
  <w15:docId w15:val="{A361BCFB-BB58-4A07-9467-4DB8E979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36"/>
    <w:rPr>
      <w:rFonts w:ascii="Times New Roman" w:hAnsi="Times New Roman"/>
      <w:sz w:val="24"/>
    </w:rPr>
  </w:style>
  <w:style w:type="paragraph" w:styleId="Heading1">
    <w:name w:val="heading 1"/>
    <w:basedOn w:val="ListParagraph"/>
    <w:next w:val="Normal"/>
    <w:link w:val="Heading1Char"/>
    <w:uiPriority w:val="2"/>
    <w:qFormat/>
    <w:rsid w:val="000103D1"/>
    <w:pPr>
      <w:numPr>
        <w:numId w:val="4"/>
      </w:numPr>
      <w:spacing w:before="240" w:after="240" w:line="240" w:lineRule="auto"/>
      <w:contextualSpacing w:val="0"/>
      <w:outlineLvl w:val="0"/>
    </w:pPr>
    <w:rPr>
      <w:rFonts w:eastAsia="Cambria" w:cs="Times New Roman"/>
      <w:b/>
      <w:szCs w:val="24"/>
      <w:lang w:val="en-US"/>
    </w:rPr>
  </w:style>
  <w:style w:type="paragraph" w:styleId="Heading2">
    <w:name w:val="heading 2"/>
    <w:basedOn w:val="Heading1"/>
    <w:next w:val="Normal"/>
    <w:link w:val="Heading2Char"/>
    <w:uiPriority w:val="2"/>
    <w:qFormat/>
    <w:rsid w:val="000103D1"/>
    <w:pPr>
      <w:numPr>
        <w:ilvl w:val="1"/>
      </w:numPr>
      <w:spacing w:after="200"/>
      <w:outlineLvl w:val="1"/>
    </w:pPr>
  </w:style>
  <w:style w:type="paragraph" w:styleId="Heading3">
    <w:name w:val="heading 3"/>
    <w:basedOn w:val="Normal"/>
    <w:next w:val="Normal"/>
    <w:link w:val="Heading3Char"/>
    <w:uiPriority w:val="2"/>
    <w:qFormat/>
    <w:rsid w:val="000103D1"/>
    <w:pPr>
      <w:keepNext/>
      <w:keepLines/>
      <w:numPr>
        <w:ilvl w:val="2"/>
        <w:numId w:val="4"/>
      </w:numPr>
      <w:spacing w:before="40" w:after="120" w:line="240" w:lineRule="auto"/>
      <w:outlineLvl w:val="2"/>
    </w:pPr>
    <w:rPr>
      <w:rFonts w:eastAsiaTheme="majorEastAsia" w:cstheme="majorBidi"/>
      <w:b/>
      <w:szCs w:val="24"/>
      <w:lang w:val="en-US"/>
    </w:rPr>
  </w:style>
  <w:style w:type="paragraph" w:styleId="Heading4">
    <w:name w:val="heading 4"/>
    <w:basedOn w:val="Heading3"/>
    <w:next w:val="Normal"/>
    <w:link w:val="Heading4Char"/>
    <w:uiPriority w:val="2"/>
    <w:qFormat/>
    <w:rsid w:val="000103D1"/>
    <w:pPr>
      <w:numPr>
        <w:ilvl w:val="3"/>
      </w:numPr>
      <w:outlineLvl w:val="3"/>
    </w:pPr>
    <w:rPr>
      <w:iCs/>
    </w:rPr>
  </w:style>
  <w:style w:type="paragraph" w:styleId="Heading5">
    <w:name w:val="heading 5"/>
    <w:basedOn w:val="Heading4"/>
    <w:next w:val="Normal"/>
    <w:link w:val="Heading5Char"/>
    <w:uiPriority w:val="2"/>
    <w:qFormat/>
    <w:rsid w:val="000103D1"/>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6A4"/>
    <w:pPr>
      <w:tabs>
        <w:tab w:val="center" w:pos="4252"/>
        <w:tab w:val="right" w:pos="8504"/>
      </w:tabs>
      <w:spacing w:after="0" w:line="240" w:lineRule="auto"/>
    </w:pPr>
  </w:style>
  <w:style w:type="character" w:customStyle="1" w:styleId="HeaderChar">
    <w:name w:val="Header Char"/>
    <w:basedOn w:val="DefaultParagraphFont"/>
    <w:link w:val="Header"/>
    <w:uiPriority w:val="99"/>
    <w:rsid w:val="00CE66A4"/>
  </w:style>
  <w:style w:type="paragraph" w:styleId="Footer">
    <w:name w:val="footer"/>
    <w:basedOn w:val="Normal"/>
    <w:link w:val="FooterChar"/>
    <w:uiPriority w:val="99"/>
    <w:unhideWhenUsed/>
    <w:rsid w:val="00CE66A4"/>
    <w:pPr>
      <w:tabs>
        <w:tab w:val="center" w:pos="4252"/>
        <w:tab w:val="right" w:pos="8504"/>
      </w:tabs>
      <w:spacing w:after="0" w:line="240" w:lineRule="auto"/>
    </w:pPr>
  </w:style>
  <w:style w:type="character" w:customStyle="1" w:styleId="FooterChar">
    <w:name w:val="Footer Char"/>
    <w:basedOn w:val="DefaultParagraphFont"/>
    <w:link w:val="Footer"/>
    <w:uiPriority w:val="99"/>
    <w:rsid w:val="00CE66A4"/>
  </w:style>
  <w:style w:type="character" w:styleId="Emphasis">
    <w:name w:val="Emphasis"/>
    <w:basedOn w:val="DefaultParagraphFont"/>
    <w:uiPriority w:val="20"/>
    <w:qFormat/>
    <w:rsid w:val="00CE66A4"/>
    <w:rPr>
      <w:i/>
      <w:iCs/>
    </w:rPr>
  </w:style>
  <w:style w:type="character" w:styleId="CommentReference">
    <w:name w:val="annotation reference"/>
    <w:basedOn w:val="DefaultParagraphFont"/>
    <w:uiPriority w:val="99"/>
    <w:semiHidden/>
    <w:unhideWhenUsed/>
    <w:rsid w:val="009611C0"/>
    <w:rPr>
      <w:sz w:val="16"/>
      <w:szCs w:val="16"/>
    </w:rPr>
  </w:style>
  <w:style w:type="paragraph" w:styleId="CommentText">
    <w:name w:val="annotation text"/>
    <w:basedOn w:val="Normal"/>
    <w:link w:val="CommentTextChar"/>
    <w:uiPriority w:val="99"/>
    <w:unhideWhenUsed/>
    <w:rsid w:val="009611C0"/>
    <w:pPr>
      <w:spacing w:line="240" w:lineRule="auto"/>
    </w:pPr>
    <w:rPr>
      <w:sz w:val="20"/>
      <w:szCs w:val="20"/>
    </w:rPr>
  </w:style>
  <w:style w:type="character" w:customStyle="1" w:styleId="CommentTextChar">
    <w:name w:val="Comment Text Char"/>
    <w:basedOn w:val="DefaultParagraphFont"/>
    <w:link w:val="CommentText"/>
    <w:uiPriority w:val="99"/>
    <w:rsid w:val="009611C0"/>
    <w:rPr>
      <w:sz w:val="20"/>
      <w:szCs w:val="20"/>
    </w:rPr>
  </w:style>
  <w:style w:type="paragraph" w:styleId="CommentSubject">
    <w:name w:val="annotation subject"/>
    <w:basedOn w:val="CommentText"/>
    <w:next w:val="CommentText"/>
    <w:link w:val="CommentSubjectChar"/>
    <w:uiPriority w:val="99"/>
    <w:semiHidden/>
    <w:unhideWhenUsed/>
    <w:rsid w:val="009611C0"/>
    <w:rPr>
      <w:b/>
      <w:bCs/>
    </w:rPr>
  </w:style>
  <w:style w:type="character" w:customStyle="1" w:styleId="CommentSubjectChar">
    <w:name w:val="Comment Subject Char"/>
    <w:basedOn w:val="CommentTextChar"/>
    <w:link w:val="CommentSubject"/>
    <w:uiPriority w:val="99"/>
    <w:semiHidden/>
    <w:rsid w:val="009611C0"/>
    <w:rPr>
      <w:b/>
      <w:bCs/>
      <w:sz w:val="20"/>
      <w:szCs w:val="20"/>
    </w:rPr>
  </w:style>
  <w:style w:type="paragraph" w:styleId="BalloonText">
    <w:name w:val="Balloon Text"/>
    <w:basedOn w:val="Normal"/>
    <w:link w:val="BalloonTextChar"/>
    <w:uiPriority w:val="99"/>
    <w:semiHidden/>
    <w:unhideWhenUsed/>
    <w:rsid w:val="00961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1C0"/>
    <w:rPr>
      <w:rFonts w:ascii="Segoe UI" w:hAnsi="Segoe UI" w:cs="Segoe UI"/>
      <w:sz w:val="18"/>
      <w:szCs w:val="18"/>
    </w:rPr>
  </w:style>
  <w:style w:type="paragraph" w:styleId="Revision">
    <w:name w:val="Revision"/>
    <w:hidden/>
    <w:uiPriority w:val="99"/>
    <w:semiHidden/>
    <w:rsid w:val="005F7FC7"/>
    <w:pPr>
      <w:spacing w:after="0" w:line="240" w:lineRule="auto"/>
    </w:pPr>
  </w:style>
  <w:style w:type="paragraph" w:styleId="ListParagraph">
    <w:name w:val="List Paragraph"/>
    <w:basedOn w:val="Normal"/>
    <w:uiPriority w:val="34"/>
    <w:qFormat/>
    <w:rsid w:val="005F7FC7"/>
    <w:pPr>
      <w:ind w:left="720"/>
      <w:contextualSpacing/>
    </w:pPr>
  </w:style>
  <w:style w:type="paragraph" w:customStyle="1" w:styleId="Newparagraph">
    <w:name w:val="New paragraph"/>
    <w:basedOn w:val="Normal"/>
    <w:qFormat/>
    <w:rsid w:val="007566D7"/>
    <w:pPr>
      <w:spacing w:after="0" w:line="480" w:lineRule="auto"/>
      <w:ind w:firstLine="720"/>
    </w:pPr>
    <w:rPr>
      <w:rFonts w:eastAsia="Times New Roman" w:cs="Times New Roman"/>
      <w:szCs w:val="24"/>
      <w:lang w:val="en-GB" w:eastAsia="en-GB"/>
    </w:rPr>
  </w:style>
  <w:style w:type="paragraph" w:styleId="NoSpacing">
    <w:name w:val="No Spacing"/>
    <w:uiPriority w:val="1"/>
    <w:qFormat/>
    <w:rsid w:val="00C0336C"/>
    <w:pPr>
      <w:spacing w:after="0" w:line="240" w:lineRule="auto"/>
    </w:pPr>
  </w:style>
  <w:style w:type="character" w:styleId="Hyperlink">
    <w:name w:val="Hyperlink"/>
    <w:basedOn w:val="DefaultParagraphFont"/>
    <w:uiPriority w:val="99"/>
    <w:unhideWhenUsed/>
    <w:rsid w:val="000C5E90"/>
    <w:rPr>
      <w:color w:val="0563C1" w:themeColor="hyperlink"/>
      <w:u w:val="single"/>
    </w:rPr>
  </w:style>
  <w:style w:type="character" w:styleId="LineNumber">
    <w:name w:val="line number"/>
    <w:basedOn w:val="DefaultParagraphFont"/>
    <w:uiPriority w:val="99"/>
    <w:semiHidden/>
    <w:unhideWhenUsed/>
    <w:rsid w:val="00F52A7E"/>
  </w:style>
  <w:style w:type="character" w:customStyle="1" w:styleId="hps">
    <w:name w:val="hps"/>
    <w:uiPriority w:val="99"/>
    <w:rsid w:val="004F6474"/>
    <w:rPr>
      <w:rFonts w:cs="Times New Roman"/>
    </w:rPr>
  </w:style>
  <w:style w:type="character" w:customStyle="1" w:styleId="Heading1Char">
    <w:name w:val="Heading 1 Char"/>
    <w:basedOn w:val="DefaultParagraphFont"/>
    <w:link w:val="Heading1"/>
    <w:uiPriority w:val="2"/>
    <w:rsid w:val="000103D1"/>
    <w:rPr>
      <w:rFonts w:ascii="Times New Roman" w:eastAsia="Cambria" w:hAnsi="Times New Roman" w:cs="Times New Roman"/>
      <w:b/>
      <w:sz w:val="24"/>
      <w:szCs w:val="24"/>
      <w:lang w:val="en-US"/>
    </w:rPr>
  </w:style>
  <w:style w:type="character" w:customStyle="1" w:styleId="Heading2Char">
    <w:name w:val="Heading 2 Char"/>
    <w:basedOn w:val="DefaultParagraphFont"/>
    <w:link w:val="Heading2"/>
    <w:uiPriority w:val="2"/>
    <w:rsid w:val="000103D1"/>
    <w:rPr>
      <w:rFonts w:ascii="Times New Roman" w:eastAsia="Cambria" w:hAnsi="Times New Roman" w:cs="Times New Roman"/>
      <w:b/>
      <w:sz w:val="24"/>
      <w:szCs w:val="24"/>
      <w:lang w:val="en-US"/>
    </w:rPr>
  </w:style>
  <w:style w:type="character" w:customStyle="1" w:styleId="Heading3Char">
    <w:name w:val="Heading 3 Char"/>
    <w:basedOn w:val="DefaultParagraphFont"/>
    <w:link w:val="Heading3"/>
    <w:uiPriority w:val="2"/>
    <w:rsid w:val="000103D1"/>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2"/>
    <w:rsid w:val="000103D1"/>
    <w:rPr>
      <w:rFonts w:ascii="Times New Roman" w:eastAsiaTheme="majorEastAsia" w:hAnsi="Times New Roman" w:cstheme="majorBidi"/>
      <w:b/>
      <w:iCs/>
      <w:sz w:val="24"/>
      <w:szCs w:val="24"/>
      <w:lang w:val="en-US"/>
    </w:rPr>
  </w:style>
  <w:style w:type="character" w:customStyle="1" w:styleId="Heading5Char">
    <w:name w:val="Heading 5 Char"/>
    <w:basedOn w:val="DefaultParagraphFont"/>
    <w:link w:val="Heading5"/>
    <w:uiPriority w:val="2"/>
    <w:rsid w:val="000103D1"/>
    <w:rPr>
      <w:rFonts w:ascii="Times New Roman" w:eastAsiaTheme="majorEastAsia" w:hAnsi="Times New Roman" w:cstheme="majorBidi"/>
      <w:b/>
      <w:iCs/>
      <w:sz w:val="24"/>
      <w:szCs w:val="24"/>
      <w:lang w:val="en-US"/>
    </w:rPr>
  </w:style>
  <w:style w:type="numbering" w:customStyle="1" w:styleId="Headings">
    <w:name w:val="Headings"/>
    <w:uiPriority w:val="99"/>
    <w:rsid w:val="000103D1"/>
    <w:pPr>
      <w:numPr>
        <w:numId w:val="5"/>
      </w:numPr>
    </w:pPr>
  </w:style>
  <w:style w:type="paragraph" w:customStyle="1" w:styleId="Paragraph">
    <w:name w:val="Paragraph"/>
    <w:basedOn w:val="Normal"/>
    <w:next w:val="Newparagraph"/>
    <w:qFormat/>
    <w:rsid w:val="003058EA"/>
    <w:pPr>
      <w:widowControl w:val="0"/>
      <w:spacing w:before="240" w:after="0" w:line="480" w:lineRule="auto"/>
    </w:pPr>
    <w:rPr>
      <w:rFonts w:eastAsia="Times New Roman" w:cs="Times New Roman"/>
      <w:szCs w:val="24"/>
      <w:lang w:val="en-GB" w:eastAsia="en-GB"/>
    </w:rPr>
  </w:style>
  <w:style w:type="table" w:styleId="TableGrid">
    <w:name w:val="Table Grid"/>
    <w:basedOn w:val="TableNormal"/>
    <w:uiPriority w:val="39"/>
    <w:rsid w:val="00067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title">
    <w:name w:val="hlfld-title"/>
    <w:basedOn w:val="DefaultParagraphFont"/>
    <w:rsid w:val="002A2729"/>
  </w:style>
  <w:style w:type="paragraph" w:customStyle="1" w:styleId="Ttulo1">
    <w:name w:val="Título1"/>
    <w:basedOn w:val="Normal"/>
    <w:rsid w:val="00245672"/>
    <w:pPr>
      <w:spacing w:before="100" w:beforeAutospacing="1" w:after="100" w:afterAutospacing="1" w:line="240" w:lineRule="auto"/>
    </w:pPr>
    <w:rPr>
      <w:rFonts w:eastAsia="Times New Roman" w:cs="Times New Roman"/>
      <w:szCs w:val="24"/>
      <w:lang w:eastAsia="es-ES"/>
    </w:rPr>
  </w:style>
  <w:style w:type="paragraph" w:customStyle="1" w:styleId="desc">
    <w:name w:val="desc"/>
    <w:basedOn w:val="Normal"/>
    <w:rsid w:val="00245672"/>
    <w:pPr>
      <w:spacing w:before="100" w:beforeAutospacing="1" w:after="100" w:afterAutospacing="1" w:line="240" w:lineRule="auto"/>
    </w:pPr>
    <w:rPr>
      <w:rFonts w:eastAsia="Times New Roman" w:cs="Times New Roman"/>
      <w:szCs w:val="24"/>
      <w:lang w:eastAsia="es-ES"/>
    </w:rPr>
  </w:style>
  <w:style w:type="paragraph" w:customStyle="1" w:styleId="details">
    <w:name w:val="details"/>
    <w:basedOn w:val="Normal"/>
    <w:rsid w:val="00245672"/>
    <w:pPr>
      <w:spacing w:before="100" w:beforeAutospacing="1" w:after="100" w:afterAutospacing="1" w:line="240" w:lineRule="auto"/>
    </w:pPr>
    <w:rPr>
      <w:rFonts w:eastAsia="Times New Roman" w:cs="Times New Roman"/>
      <w:szCs w:val="24"/>
      <w:lang w:eastAsia="es-ES"/>
    </w:rPr>
  </w:style>
  <w:style w:type="character" w:customStyle="1" w:styleId="jrnl">
    <w:name w:val="jrnl"/>
    <w:basedOn w:val="DefaultParagraphFont"/>
    <w:rsid w:val="00245672"/>
  </w:style>
  <w:style w:type="character" w:customStyle="1" w:styleId="st">
    <w:name w:val="st"/>
    <w:basedOn w:val="DefaultParagraphFont"/>
    <w:rsid w:val="00A3191A"/>
  </w:style>
  <w:style w:type="paragraph" w:customStyle="1" w:styleId="TableParagraph">
    <w:name w:val="Table Paragraph"/>
    <w:basedOn w:val="Normal"/>
    <w:uiPriority w:val="1"/>
    <w:qFormat/>
    <w:rsid w:val="005819EF"/>
    <w:pPr>
      <w:widowControl w:val="0"/>
      <w:autoSpaceDE w:val="0"/>
      <w:autoSpaceDN w:val="0"/>
      <w:spacing w:after="0" w:line="240" w:lineRule="auto"/>
    </w:pPr>
    <w:rPr>
      <w:rFonts w:eastAsia="Times New Roman" w:cs="Times New Roman"/>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2980">
      <w:bodyDiv w:val="1"/>
      <w:marLeft w:val="0"/>
      <w:marRight w:val="0"/>
      <w:marTop w:val="0"/>
      <w:marBottom w:val="0"/>
      <w:divBdr>
        <w:top w:val="none" w:sz="0" w:space="0" w:color="auto"/>
        <w:left w:val="none" w:sz="0" w:space="0" w:color="auto"/>
        <w:bottom w:val="none" w:sz="0" w:space="0" w:color="auto"/>
        <w:right w:val="none" w:sz="0" w:space="0" w:color="auto"/>
      </w:divBdr>
    </w:div>
    <w:div w:id="45642564">
      <w:bodyDiv w:val="1"/>
      <w:marLeft w:val="0"/>
      <w:marRight w:val="0"/>
      <w:marTop w:val="0"/>
      <w:marBottom w:val="0"/>
      <w:divBdr>
        <w:top w:val="none" w:sz="0" w:space="0" w:color="auto"/>
        <w:left w:val="none" w:sz="0" w:space="0" w:color="auto"/>
        <w:bottom w:val="none" w:sz="0" w:space="0" w:color="auto"/>
        <w:right w:val="none" w:sz="0" w:space="0" w:color="auto"/>
      </w:divBdr>
    </w:div>
    <w:div w:id="99571344">
      <w:bodyDiv w:val="1"/>
      <w:marLeft w:val="0"/>
      <w:marRight w:val="0"/>
      <w:marTop w:val="0"/>
      <w:marBottom w:val="0"/>
      <w:divBdr>
        <w:top w:val="none" w:sz="0" w:space="0" w:color="auto"/>
        <w:left w:val="none" w:sz="0" w:space="0" w:color="auto"/>
        <w:bottom w:val="none" w:sz="0" w:space="0" w:color="auto"/>
        <w:right w:val="none" w:sz="0" w:space="0" w:color="auto"/>
      </w:divBdr>
    </w:div>
    <w:div w:id="137772160">
      <w:bodyDiv w:val="1"/>
      <w:marLeft w:val="0"/>
      <w:marRight w:val="0"/>
      <w:marTop w:val="0"/>
      <w:marBottom w:val="0"/>
      <w:divBdr>
        <w:top w:val="none" w:sz="0" w:space="0" w:color="auto"/>
        <w:left w:val="none" w:sz="0" w:space="0" w:color="auto"/>
        <w:bottom w:val="none" w:sz="0" w:space="0" w:color="auto"/>
        <w:right w:val="none" w:sz="0" w:space="0" w:color="auto"/>
      </w:divBdr>
    </w:div>
    <w:div w:id="258178368">
      <w:bodyDiv w:val="1"/>
      <w:marLeft w:val="0"/>
      <w:marRight w:val="0"/>
      <w:marTop w:val="0"/>
      <w:marBottom w:val="0"/>
      <w:divBdr>
        <w:top w:val="none" w:sz="0" w:space="0" w:color="auto"/>
        <w:left w:val="none" w:sz="0" w:space="0" w:color="auto"/>
        <w:bottom w:val="none" w:sz="0" w:space="0" w:color="auto"/>
        <w:right w:val="none" w:sz="0" w:space="0" w:color="auto"/>
      </w:divBdr>
    </w:div>
    <w:div w:id="449395877">
      <w:bodyDiv w:val="1"/>
      <w:marLeft w:val="0"/>
      <w:marRight w:val="0"/>
      <w:marTop w:val="0"/>
      <w:marBottom w:val="0"/>
      <w:divBdr>
        <w:top w:val="none" w:sz="0" w:space="0" w:color="auto"/>
        <w:left w:val="none" w:sz="0" w:space="0" w:color="auto"/>
        <w:bottom w:val="none" w:sz="0" w:space="0" w:color="auto"/>
        <w:right w:val="none" w:sz="0" w:space="0" w:color="auto"/>
      </w:divBdr>
    </w:div>
    <w:div w:id="450367653">
      <w:bodyDiv w:val="1"/>
      <w:marLeft w:val="0"/>
      <w:marRight w:val="0"/>
      <w:marTop w:val="0"/>
      <w:marBottom w:val="0"/>
      <w:divBdr>
        <w:top w:val="none" w:sz="0" w:space="0" w:color="auto"/>
        <w:left w:val="none" w:sz="0" w:space="0" w:color="auto"/>
        <w:bottom w:val="none" w:sz="0" w:space="0" w:color="auto"/>
        <w:right w:val="none" w:sz="0" w:space="0" w:color="auto"/>
      </w:divBdr>
      <w:divsChild>
        <w:div w:id="811681924">
          <w:marLeft w:val="0"/>
          <w:marRight w:val="0"/>
          <w:marTop w:val="34"/>
          <w:marBottom w:val="34"/>
          <w:divBdr>
            <w:top w:val="none" w:sz="0" w:space="0" w:color="auto"/>
            <w:left w:val="none" w:sz="0" w:space="0" w:color="auto"/>
            <w:bottom w:val="none" w:sz="0" w:space="0" w:color="auto"/>
            <w:right w:val="none" w:sz="0" w:space="0" w:color="auto"/>
          </w:divBdr>
        </w:div>
      </w:divsChild>
    </w:div>
    <w:div w:id="531575169">
      <w:bodyDiv w:val="1"/>
      <w:marLeft w:val="0"/>
      <w:marRight w:val="0"/>
      <w:marTop w:val="0"/>
      <w:marBottom w:val="0"/>
      <w:divBdr>
        <w:top w:val="none" w:sz="0" w:space="0" w:color="auto"/>
        <w:left w:val="none" w:sz="0" w:space="0" w:color="auto"/>
        <w:bottom w:val="none" w:sz="0" w:space="0" w:color="auto"/>
        <w:right w:val="none" w:sz="0" w:space="0" w:color="auto"/>
      </w:divBdr>
    </w:div>
    <w:div w:id="622883296">
      <w:bodyDiv w:val="1"/>
      <w:marLeft w:val="0"/>
      <w:marRight w:val="0"/>
      <w:marTop w:val="0"/>
      <w:marBottom w:val="0"/>
      <w:divBdr>
        <w:top w:val="none" w:sz="0" w:space="0" w:color="auto"/>
        <w:left w:val="none" w:sz="0" w:space="0" w:color="auto"/>
        <w:bottom w:val="none" w:sz="0" w:space="0" w:color="auto"/>
        <w:right w:val="none" w:sz="0" w:space="0" w:color="auto"/>
      </w:divBdr>
    </w:div>
    <w:div w:id="731001697">
      <w:bodyDiv w:val="1"/>
      <w:marLeft w:val="0"/>
      <w:marRight w:val="0"/>
      <w:marTop w:val="0"/>
      <w:marBottom w:val="0"/>
      <w:divBdr>
        <w:top w:val="none" w:sz="0" w:space="0" w:color="auto"/>
        <w:left w:val="none" w:sz="0" w:space="0" w:color="auto"/>
        <w:bottom w:val="none" w:sz="0" w:space="0" w:color="auto"/>
        <w:right w:val="none" w:sz="0" w:space="0" w:color="auto"/>
      </w:divBdr>
    </w:div>
    <w:div w:id="742485597">
      <w:bodyDiv w:val="1"/>
      <w:marLeft w:val="0"/>
      <w:marRight w:val="0"/>
      <w:marTop w:val="0"/>
      <w:marBottom w:val="0"/>
      <w:divBdr>
        <w:top w:val="none" w:sz="0" w:space="0" w:color="auto"/>
        <w:left w:val="none" w:sz="0" w:space="0" w:color="auto"/>
        <w:bottom w:val="none" w:sz="0" w:space="0" w:color="auto"/>
        <w:right w:val="none" w:sz="0" w:space="0" w:color="auto"/>
      </w:divBdr>
    </w:div>
    <w:div w:id="819423510">
      <w:bodyDiv w:val="1"/>
      <w:marLeft w:val="0"/>
      <w:marRight w:val="0"/>
      <w:marTop w:val="0"/>
      <w:marBottom w:val="0"/>
      <w:divBdr>
        <w:top w:val="none" w:sz="0" w:space="0" w:color="auto"/>
        <w:left w:val="none" w:sz="0" w:space="0" w:color="auto"/>
        <w:bottom w:val="none" w:sz="0" w:space="0" w:color="auto"/>
        <w:right w:val="none" w:sz="0" w:space="0" w:color="auto"/>
      </w:divBdr>
    </w:div>
    <w:div w:id="860315582">
      <w:bodyDiv w:val="1"/>
      <w:marLeft w:val="0"/>
      <w:marRight w:val="0"/>
      <w:marTop w:val="0"/>
      <w:marBottom w:val="0"/>
      <w:divBdr>
        <w:top w:val="none" w:sz="0" w:space="0" w:color="auto"/>
        <w:left w:val="none" w:sz="0" w:space="0" w:color="auto"/>
        <w:bottom w:val="none" w:sz="0" w:space="0" w:color="auto"/>
        <w:right w:val="none" w:sz="0" w:space="0" w:color="auto"/>
      </w:divBdr>
    </w:div>
    <w:div w:id="936401360">
      <w:bodyDiv w:val="1"/>
      <w:marLeft w:val="0"/>
      <w:marRight w:val="0"/>
      <w:marTop w:val="0"/>
      <w:marBottom w:val="0"/>
      <w:divBdr>
        <w:top w:val="none" w:sz="0" w:space="0" w:color="auto"/>
        <w:left w:val="none" w:sz="0" w:space="0" w:color="auto"/>
        <w:bottom w:val="none" w:sz="0" w:space="0" w:color="auto"/>
        <w:right w:val="none" w:sz="0" w:space="0" w:color="auto"/>
      </w:divBdr>
    </w:div>
    <w:div w:id="1131051920">
      <w:bodyDiv w:val="1"/>
      <w:marLeft w:val="0"/>
      <w:marRight w:val="0"/>
      <w:marTop w:val="0"/>
      <w:marBottom w:val="0"/>
      <w:divBdr>
        <w:top w:val="none" w:sz="0" w:space="0" w:color="auto"/>
        <w:left w:val="none" w:sz="0" w:space="0" w:color="auto"/>
        <w:bottom w:val="none" w:sz="0" w:space="0" w:color="auto"/>
        <w:right w:val="none" w:sz="0" w:space="0" w:color="auto"/>
      </w:divBdr>
    </w:div>
    <w:div w:id="1190266503">
      <w:bodyDiv w:val="1"/>
      <w:marLeft w:val="0"/>
      <w:marRight w:val="0"/>
      <w:marTop w:val="0"/>
      <w:marBottom w:val="0"/>
      <w:divBdr>
        <w:top w:val="none" w:sz="0" w:space="0" w:color="auto"/>
        <w:left w:val="none" w:sz="0" w:space="0" w:color="auto"/>
        <w:bottom w:val="none" w:sz="0" w:space="0" w:color="auto"/>
        <w:right w:val="none" w:sz="0" w:space="0" w:color="auto"/>
      </w:divBdr>
    </w:div>
    <w:div w:id="1229996323">
      <w:bodyDiv w:val="1"/>
      <w:marLeft w:val="0"/>
      <w:marRight w:val="0"/>
      <w:marTop w:val="0"/>
      <w:marBottom w:val="0"/>
      <w:divBdr>
        <w:top w:val="none" w:sz="0" w:space="0" w:color="auto"/>
        <w:left w:val="none" w:sz="0" w:space="0" w:color="auto"/>
        <w:bottom w:val="none" w:sz="0" w:space="0" w:color="auto"/>
        <w:right w:val="none" w:sz="0" w:space="0" w:color="auto"/>
      </w:divBdr>
      <w:divsChild>
        <w:div w:id="1740907551">
          <w:marLeft w:val="0"/>
          <w:marRight w:val="0"/>
          <w:marTop w:val="34"/>
          <w:marBottom w:val="34"/>
          <w:divBdr>
            <w:top w:val="none" w:sz="0" w:space="0" w:color="auto"/>
            <w:left w:val="none" w:sz="0" w:space="0" w:color="auto"/>
            <w:bottom w:val="none" w:sz="0" w:space="0" w:color="auto"/>
            <w:right w:val="none" w:sz="0" w:space="0" w:color="auto"/>
          </w:divBdr>
        </w:div>
      </w:divsChild>
    </w:div>
    <w:div w:id="1268463326">
      <w:bodyDiv w:val="1"/>
      <w:marLeft w:val="0"/>
      <w:marRight w:val="0"/>
      <w:marTop w:val="0"/>
      <w:marBottom w:val="0"/>
      <w:divBdr>
        <w:top w:val="none" w:sz="0" w:space="0" w:color="auto"/>
        <w:left w:val="none" w:sz="0" w:space="0" w:color="auto"/>
        <w:bottom w:val="none" w:sz="0" w:space="0" w:color="auto"/>
        <w:right w:val="none" w:sz="0" w:space="0" w:color="auto"/>
      </w:divBdr>
    </w:div>
    <w:div w:id="1294170746">
      <w:bodyDiv w:val="1"/>
      <w:marLeft w:val="0"/>
      <w:marRight w:val="0"/>
      <w:marTop w:val="0"/>
      <w:marBottom w:val="0"/>
      <w:divBdr>
        <w:top w:val="none" w:sz="0" w:space="0" w:color="auto"/>
        <w:left w:val="none" w:sz="0" w:space="0" w:color="auto"/>
        <w:bottom w:val="none" w:sz="0" w:space="0" w:color="auto"/>
        <w:right w:val="none" w:sz="0" w:space="0" w:color="auto"/>
      </w:divBdr>
    </w:div>
    <w:div w:id="1296982342">
      <w:bodyDiv w:val="1"/>
      <w:marLeft w:val="0"/>
      <w:marRight w:val="0"/>
      <w:marTop w:val="0"/>
      <w:marBottom w:val="0"/>
      <w:divBdr>
        <w:top w:val="none" w:sz="0" w:space="0" w:color="auto"/>
        <w:left w:val="none" w:sz="0" w:space="0" w:color="auto"/>
        <w:bottom w:val="none" w:sz="0" w:space="0" w:color="auto"/>
        <w:right w:val="none" w:sz="0" w:space="0" w:color="auto"/>
      </w:divBdr>
    </w:div>
    <w:div w:id="1329406833">
      <w:bodyDiv w:val="1"/>
      <w:marLeft w:val="0"/>
      <w:marRight w:val="0"/>
      <w:marTop w:val="0"/>
      <w:marBottom w:val="0"/>
      <w:divBdr>
        <w:top w:val="none" w:sz="0" w:space="0" w:color="auto"/>
        <w:left w:val="none" w:sz="0" w:space="0" w:color="auto"/>
        <w:bottom w:val="none" w:sz="0" w:space="0" w:color="auto"/>
        <w:right w:val="none" w:sz="0" w:space="0" w:color="auto"/>
      </w:divBdr>
    </w:div>
    <w:div w:id="1376271597">
      <w:bodyDiv w:val="1"/>
      <w:marLeft w:val="0"/>
      <w:marRight w:val="0"/>
      <w:marTop w:val="0"/>
      <w:marBottom w:val="0"/>
      <w:divBdr>
        <w:top w:val="none" w:sz="0" w:space="0" w:color="auto"/>
        <w:left w:val="none" w:sz="0" w:space="0" w:color="auto"/>
        <w:bottom w:val="none" w:sz="0" w:space="0" w:color="auto"/>
        <w:right w:val="none" w:sz="0" w:space="0" w:color="auto"/>
      </w:divBdr>
    </w:div>
    <w:div w:id="1425178465">
      <w:bodyDiv w:val="1"/>
      <w:marLeft w:val="0"/>
      <w:marRight w:val="0"/>
      <w:marTop w:val="0"/>
      <w:marBottom w:val="0"/>
      <w:divBdr>
        <w:top w:val="none" w:sz="0" w:space="0" w:color="auto"/>
        <w:left w:val="none" w:sz="0" w:space="0" w:color="auto"/>
        <w:bottom w:val="none" w:sz="0" w:space="0" w:color="auto"/>
        <w:right w:val="none" w:sz="0" w:space="0" w:color="auto"/>
      </w:divBdr>
    </w:div>
    <w:div w:id="1641691251">
      <w:bodyDiv w:val="1"/>
      <w:marLeft w:val="0"/>
      <w:marRight w:val="0"/>
      <w:marTop w:val="0"/>
      <w:marBottom w:val="0"/>
      <w:divBdr>
        <w:top w:val="none" w:sz="0" w:space="0" w:color="auto"/>
        <w:left w:val="none" w:sz="0" w:space="0" w:color="auto"/>
        <w:bottom w:val="none" w:sz="0" w:space="0" w:color="auto"/>
        <w:right w:val="none" w:sz="0" w:space="0" w:color="auto"/>
      </w:divBdr>
    </w:div>
    <w:div w:id="1671248358">
      <w:bodyDiv w:val="1"/>
      <w:marLeft w:val="0"/>
      <w:marRight w:val="0"/>
      <w:marTop w:val="0"/>
      <w:marBottom w:val="0"/>
      <w:divBdr>
        <w:top w:val="none" w:sz="0" w:space="0" w:color="auto"/>
        <w:left w:val="none" w:sz="0" w:space="0" w:color="auto"/>
        <w:bottom w:val="none" w:sz="0" w:space="0" w:color="auto"/>
        <w:right w:val="none" w:sz="0" w:space="0" w:color="auto"/>
      </w:divBdr>
    </w:div>
    <w:div w:id="1708287202">
      <w:bodyDiv w:val="1"/>
      <w:marLeft w:val="0"/>
      <w:marRight w:val="0"/>
      <w:marTop w:val="0"/>
      <w:marBottom w:val="0"/>
      <w:divBdr>
        <w:top w:val="none" w:sz="0" w:space="0" w:color="auto"/>
        <w:left w:val="none" w:sz="0" w:space="0" w:color="auto"/>
        <w:bottom w:val="none" w:sz="0" w:space="0" w:color="auto"/>
        <w:right w:val="none" w:sz="0" w:space="0" w:color="auto"/>
      </w:divBdr>
      <w:divsChild>
        <w:div w:id="17515578">
          <w:marLeft w:val="0"/>
          <w:marRight w:val="0"/>
          <w:marTop w:val="0"/>
          <w:marBottom w:val="0"/>
          <w:divBdr>
            <w:top w:val="none" w:sz="0" w:space="0" w:color="auto"/>
            <w:left w:val="none" w:sz="0" w:space="0" w:color="auto"/>
            <w:bottom w:val="none" w:sz="0" w:space="0" w:color="auto"/>
            <w:right w:val="none" w:sz="0" w:space="0" w:color="auto"/>
          </w:divBdr>
        </w:div>
        <w:div w:id="115761568">
          <w:marLeft w:val="0"/>
          <w:marRight w:val="0"/>
          <w:marTop w:val="0"/>
          <w:marBottom w:val="0"/>
          <w:divBdr>
            <w:top w:val="none" w:sz="0" w:space="0" w:color="auto"/>
            <w:left w:val="none" w:sz="0" w:space="0" w:color="auto"/>
            <w:bottom w:val="none" w:sz="0" w:space="0" w:color="auto"/>
            <w:right w:val="none" w:sz="0" w:space="0" w:color="auto"/>
          </w:divBdr>
        </w:div>
        <w:div w:id="465895457">
          <w:marLeft w:val="0"/>
          <w:marRight w:val="0"/>
          <w:marTop w:val="0"/>
          <w:marBottom w:val="0"/>
          <w:divBdr>
            <w:top w:val="none" w:sz="0" w:space="0" w:color="auto"/>
            <w:left w:val="none" w:sz="0" w:space="0" w:color="auto"/>
            <w:bottom w:val="none" w:sz="0" w:space="0" w:color="auto"/>
            <w:right w:val="none" w:sz="0" w:space="0" w:color="auto"/>
          </w:divBdr>
          <w:divsChild>
            <w:div w:id="386414089">
              <w:marLeft w:val="0"/>
              <w:marRight w:val="0"/>
              <w:marTop w:val="0"/>
              <w:marBottom w:val="0"/>
              <w:divBdr>
                <w:top w:val="none" w:sz="0" w:space="0" w:color="auto"/>
                <w:left w:val="none" w:sz="0" w:space="0" w:color="auto"/>
                <w:bottom w:val="none" w:sz="0" w:space="0" w:color="auto"/>
                <w:right w:val="none" w:sz="0" w:space="0" w:color="auto"/>
              </w:divBdr>
            </w:div>
            <w:div w:id="860436643">
              <w:marLeft w:val="0"/>
              <w:marRight w:val="0"/>
              <w:marTop w:val="0"/>
              <w:marBottom w:val="0"/>
              <w:divBdr>
                <w:top w:val="none" w:sz="0" w:space="0" w:color="auto"/>
                <w:left w:val="none" w:sz="0" w:space="0" w:color="auto"/>
                <w:bottom w:val="none" w:sz="0" w:space="0" w:color="auto"/>
                <w:right w:val="none" w:sz="0" w:space="0" w:color="auto"/>
              </w:divBdr>
            </w:div>
            <w:div w:id="1397506640">
              <w:marLeft w:val="0"/>
              <w:marRight w:val="0"/>
              <w:marTop w:val="0"/>
              <w:marBottom w:val="0"/>
              <w:divBdr>
                <w:top w:val="none" w:sz="0" w:space="0" w:color="auto"/>
                <w:left w:val="none" w:sz="0" w:space="0" w:color="auto"/>
                <w:bottom w:val="none" w:sz="0" w:space="0" w:color="auto"/>
                <w:right w:val="none" w:sz="0" w:space="0" w:color="auto"/>
              </w:divBdr>
            </w:div>
            <w:div w:id="1904564885">
              <w:marLeft w:val="0"/>
              <w:marRight w:val="0"/>
              <w:marTop w:val="0"/>
              <w:marBottom w:val="0"/>
              <w:divBdr>
                <w:top w:val="none" w:sz="0" w:space="0" w:color="auto"/>
                <w:left w:val="none" w:sz="0" w:space="0" w:color="auto"/>
                <w:bottom w:val="none" w:sz="0" w:space="0" w:color="auto"/>
                <w:right w:val="none" w:sz="0" w:space="0" w:color="auto"/>
              </w:divBdr>
            </w:div>
            <w:div w:id="2112388568">
              <w:marLeft w:val="0"/>
              <w:marRight w:val="0"/>
              <w:marTop w:val="0"/>
              <w:marBottom w:val="0"/>
              <w:divBdr>
                <w:top w:val="none" w:sz="0" w:space="0" w:color="auto"/>
                <w:left w:val="none" w:sz="0" w:space="0" w:color="auto"/>
                <w:bottom w:val="none" w:sz="0" w:space="0" w:color="auto"/>
                <w:right w:val="none" w:sz="0" w:space="0" w:color="auto"/>
              </w:divBdr>
            </w:div>
          </w:divsChild>
        </w:div>
        <w:div w:id="1462502303">
          <w:marLeft w:val="0"/>
          <w:marRight w:val="0"/>
          <w:marTop w:val="0"/>
          <w:marBottom w:val="0"/>
          <w:divBdr>
            <w:top w:val="none" w:sz="0" w:space="0" w:color="auto"/>
            <w:left w:val="none" w:sz="0" w:space="0" w:color="auto"/>
            <w:bottom w:val="none" w:sz="0" w:space="0" w:color="auto"/>
            <w:right w:val="none" w:sz="0" w:space="0" w:color="auto"/>
          </w:divBdr>
        </w:div>
        <w:div w:id="1720545272">
          <w:marLeft w:val="0"/>
          <w:marRight w:val="0"/>
          <w:marTop w:val="0"/>
          <w:marBottom w:val="0"/>
          <w:divBdr>
            <w:top w:val="none" w:sz="0" w:space="0" w:color="auto"/>
            <w:left w:val="none" w:sz="0" w:space="0" w:color="auto"/>
            <w:bottom w:val="none" w:sz="0" w:space="0" w:color="auto"/>
            <w:right w:val="none" w:sz="0" w:space="0" w:color="auto"/>
          </w:divBdr>
        </w:div>
      </w:divsChild>
    </w:div>
    <w:div w:id="1709451519">
      <w:bodyDiv w:val="1"/>
      <w:marLeft w:val="0"/>
      <w:marRight w:val="0"/>
      <w:marTop w:val="0"/>
      <w:marBottom w:val="0"/>
      <w:divBdr>
        <w:top w:val="none" w:sz="0" w:space="0" w:color="auto"/>
        <w:left w:val="none" w:sz="0" w:space="0" w:color="auto"/>
        <w:bottom w:val="none" w:sz="0" w:space="0" w:color="auto"/>
        <w:right w:val="none" w:sz="0" w:space="0" w:color="auto"/>
      </w:divBdr>
    </w:div>
    <w:div w:id="1799837736">
      <w:bodyDiv w:val="1"/>
      <w:marLeft w:val="0"/>
      <w:marRight w:val="0"/>
      <w:marTop w:val="0"/>
      <w:marBottom w:val="0"/>
      <w:divBdr>
        <w:top w:val="none" w:sz="0" w:space="0" w:color="auto"/>
        <w:left w:val="none" w:sz="0" w:space="0" w:color="auto"/>
        <w:bottom w:val="none" w:sz="0" w:space="0" w:color="auto"/>
        <w:right w:val="none" w:sz="0" w:space="0" w:color="auto"/>
      </w:divBdr>
    </w:div>
    <w:div w:id="1920947439">
      <w:bodyDiv w:val="1"/>
      <w:marLeft w:val="0"/>
      <w:marRight w:val="0"/>
      <w:marTop w:val="0"/>
      <w:marBottom w:val="0"/>
      <w:divBdr>
        <w:top w:val="none" w:sz="0" w:space="0" w:color="auto"/>
        <w:left w:val="none" w:sz="0" w:space="0" w:color="auto"/>
        <w:bottom w:val="none" w:sz="0" w:space="0" w:color="auto"/>
        <w:right w:val="none" w:sz="0" w:space="0" w:color="auto"/>
      </w:divBdr>
    </w:div>
    <w:div w:id="1996644584">
      <w:bodyDiv w:val="1"/>
      <w:marLeft w:val="0"/>
      <w:marRight w:val="0"/>
      <w:marTop w:val="0"/>
      <w:marBottom w:val="0"/>
      <w:divBdr>
        <w:top w:val="none" w:sz="0" w:space="0" w:color="auto"/>
        <w:left w:val="none" w:sz="0" w:space="0" w:color="auto"/>
        <w:bottom w:val="none" w:sz="0" w:space="0" w:color="auto"/>
        <w:right w:val="none" w:sz="0" w:space="0" w:color="auto"/>
      </w:divBdr>
    </w:div>
    <w:div w:id="209867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F:\1.%20INVESTIGACI&#211;N%20Y%20DOCENCIA\1.%20INVESTIGACION\1.%20Proyectos\1.%20Art&#237;culos%20Publicados\2019.%20Squat%20depths%20(EJSS%23)\Tabl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286C-CC87-4AE0-A603-54F91913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26</Pages>
  <Words>33069</Words>
  <Characters>179898</Characters>
  <Application>Microsoft Office Word</Application>
  <DocSecurity>0</DocSecurity>
  <Lines>5803</Lines>
  <Paragraphs>2730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Javier Courel</cp:lastModifiedBy>
  <cp:revision>17</cp:revision>
  <cp:lastPrinted>2018-10-09T15:09:00Z</cp:lastPrinted>
  <dcterms:created xsi:type="dcterms:W3CDTF">2019-03-27T17:46:00Z</dcterms:created>
  <dcterms:modified xsi:type="dcterms:W3CDTF">2025-01-14T18:12:00Z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http://www.zotero.org/styles/journal-of-sports-sciences</vt:lpwstr>
  </property>
  <property fmtid="{D5CDD505-2E9C-101B-9397-08002B2CF9AE}" pid="4" name="Mendeley Unique User Id_1">
    <vt:lpwstr>897ea33f-84a9-3ee4-af28-3fe9d4d86d9a</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http://www.zotero.org/styles/annals-of-biomedical-engineering</vt:lpwstr>
  </property>
  <property fmtid="{D5CDD505-2E9C-101B-9397-08002B2CF9AE}" pid="8" name="Mendeley Recent Style Name 1_1">
    <vt:lpwstr>Annals of Biomedical Engineering</vt:lpwstr>
  </property>
  <property fmtid="{D5CDD505-2E9C-101B-9397-08002B2CF9AE}" pid="9" name="Mendeley Recent Style Id 2_1">
    <vt:lpwstr>http://www.zotero.org/styles/bmc-geriatrics</vt:lpwstr>
  </property>
  <property fmtid="{D5CDD505-2E9C-101B-9397-08002B2CF9AE}" pid="10" name="Mendeley Recent Style Name 2_1">
    <vt:lpwstr>BMC Geriatrics</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http://www.zotero.org/styles/journal-of-sports-sciences</vt:lpwstr>
  </property>
  <property fmtid="{D5CDD505-2E9C-101B-9397-08002B2CF9AE}" pid="18" name="Mendeley Recent Style Name 6_1">
    <vt:lpwstr>Journal of Sports Sciences</vt:lpwstr>
  </property>
  <property fmtid="{D5CDD505-2E9C-101B-9397-08002B2CF9AE}" pid="19" name="Mendeley Recent Style Id 7_1">
    <vt:lpwstr>http://www.zotero.org/styles/journal-of-strength-and-conditioning-research</vt:lpwstr>
  </property>
  <property fmtid="{D5CDD505-2E9C-101B-9397-08002B2CF9AE}" pid="20" name="Mendeley Recent Style Name 7_1">
    <vt:lpwstr>Journal of Strength and Conditioning Research</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GrammarlyDocumentId">
    <vt:lpwstr>73c894068c3c8c771061d1cd003c5ab63a9a09c188a0a19221d81d6f052b4b0a</vt:lpwstr>
  </property>
</Properties>
</file>