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F8" w:rsidRDefault="00D844F8" w:rsidP="00D844F8">
      <w:pPr>
        <w:pStyle w:val="titulo"/>
        <w:shd w:val="clear" w:color="auto" w:fill="F5F5F5"/>
        <w:spacing w:before="0" w:beforeAutospacing="0" w:after="0" w:afterAutospacing="0"/>
        <w:textAlignment w:val="baseline"/>
        <w:rPr>
          <w:rFonts w:ascii="Arial" w:hAnsi="Arial" w:cs="Arial"/>
          <w:color w:val="000000"/>
          <w:sz w:val="18"/>
          <w:szCs w:val="18"/>
        </w:rPr>
      </w:pPr>
      <w:r>
        <w:rPr>
          <w:rStyle w:val="titulo1"/>
          <w:rFonts w:ascii="inherit" w:hAnsi="inherit" w:cs="Arial"/>
          <w:b/>
          <w:bCs/>
          <w:color w:val="000000"/>
          <w:sz w:val="18"/>
          <w:szCs w:val="18"/>
          <w:bdr w:val="none" w:sz="0" w:space="0" w:color="auto" w:frame="1"/>
        </w:rPr>
        <w:fldChar w:fldCharType="begin"/>
      </w:r>
      <w:r>
        <w:rPr>
          <w:rStyle w:val="titulo1"/>
          <w:rFonts w:ascii="inherit" w:hAnsi="inherit" w:cs="Arial"/>
          <w:b/>
          <w:bCs/>
          <w:color w:val="000000"/>
          <w:sz w:val="18"/>
          <w:szCs w:val="18"/>
          <w:bdr w:val="none" w:sz="0" w:space="0" w:color="auto" w:frame="1"/>
        </w:rPr>
        <w:instrText xml:space="preserve"> HYPERLINK "https://dialnet.unirioja.es/servlet/articulo?codigo=7037239" </w:instrText>
      </w:r>
      <w:r>
        <w:rPr>
          <w:rStyle w:val="titulo1"/>
          <w:rFonts w:ascii="inherit" w:hAnsi="inherit" w:cs="Arial"/>
          <w:b/>
          <w:bCs/>
          <w:color w:val="000000"/>
          <w:sz w:val="18"/>
          <w:szCs w:val="18"/>
          <w:bdr w:val="none" w:sz="0" w:space="0" w:color="auto" w:frame="1"/>
        </w:rPr>
        <w:fldChar w:fldCharType="separate"/>
      </w:r>
      <w:r>
        <w:rPr>
          <w:rStyle w:val="Hipervnculo"/>
          <w:rFonts w:ascii="inherit" w:hAnsi="inherit" w:cs="Arial"/>
          <w:b/>
          <w:bCs/>
          <w:color w:val="990000"/>
          <w:sz w:val="18"/>
          <w:szCs w:val="18"/>
          <w:bdr w:val="none" w:sz="0" w:space="0" w:color="auto" w:frame="1"/>
        </w:rPr>
        <w:t>El deber de transparencia en la Ley 5/2019 de Crédito Inmobiliario</w:t>
      </w:r>
      <w:r>
        <w:rPr>
          <w:rStyle w:val="titulo1"/>
          <w:rFonts w:ascii="inherit" w:hAnsi="inherit" w:cs="Arial"/>
          <w:b/>
          <w:bCs/>
          <w:color w:val="000000"/>
          <w:sz w:val="18"/>
          <w:szCs w:val="18"/>
          <w:bdr w:val="none" w:sz="0" w:space="0" w:color="auto" w:frame="1"/>
        </w:rPr>
        <w:fldChar w:fldCharType="end"/>
      </w:r>
      <w:r>
        <w:rPr>
          <w:rStyle w:val="separador"/>
          <w:rFonts w:ascii="Arial" w:hAnsi="Arial" w:cs="Arial"/>
          <w:color w:val="000000"/>
          <w:sz w:val="18"/>
          <w:szCs w:val="18"/>
          <w:bdr w:val="none" w:sz="0" w:space="0" w:color="auto" w:frame="1"/>
        </w:rPr>
        <w:t>: </w:t>
      </w:r>
      <w:r>
        <w:rPr>
          <w:rStyle w:val="subtitulo"/>
          <w:rFonts w:ascii="Arial" w:hAnsi="Arial" w:cs="Arial"/>
          <w:color w:val="000000"/>
          <w:sz w:val="18"/>
          <w:szCs w:val="18"/>
          <w:bdr w:val="none" w:sz="0" w:space="0" w:color="auto" w:frame="1"/>
        </w:rPr>
        <w:t>información documental, explicaciones adecuadas y valor probatorio del acta notarial</w:t>
      </w:r>
    </w:p>
    <w:p w:rsidR="00D844F8" w:rsidRDefault="003F70EC" w:rsidP="00D844F8">
      <w:pPr>
        <w:pStyle w:val="autores"/>
        <w:shd w:val="clear" w:color="auto" w:fill="F5F5F5"/>
        <w:spacing w:before="0" w:beforeAutospacing="0" w:after="0" w:afterAutospacing="0"/>
        <w:textAlignment w:val="baseline"/>
        <w:rPr>
          <w:rFonts w:ascii="Arial" w:hAnsi="Arial" w:cs="Arial"/>
          <w:color w:val="000000"/>
          <w:sz w:val="18"/>
          <w:szCs w:val="18"/>
        </w:rPr>
      </w:pPr>
      <w:hyperlink r:id="rId8" w:history="1">
        <w:r w:rsidR="00D844F8">
          <w:rPr>
            <w:rStyle w:val="Hipervnculo"/>
            <w:rFonts w:ascii="Arial" w:hAnsi="Arial" w:cs="Arial"/>
            <w:color w:val="990000"/>
            <w:sz w:val="18"/>
            <w:szCs w:val="18"/>
            <w:bdr w:val="none" w:sz="0" w:space="0" w:color="auto" w:frame="1"/>
          </w:rPr>
          <w:t xml:space="preserve">Francisco </w:t>
        </w:r>
        <w:proofErr w:type="spellStart"/>
        <w:r w:rsidR="00D844F8">
          <w:rPr>
            <w:rStyle w:val="Hipervnculo"/>
            <w:rFonts w:ascii="Arial" w:hAnsi="Arial" w:cs="Arial"/>
            <w:color w:val="990000"/>
            <w:sz w:val="18"/>
            <w:szCs w:val="18"/>
            <w:bdr w:val="none" w:sz="0" w:space="0" w:color="auto" w:frame="1"/>
          </w:rPr>
          <w:t>Pertíñez</w:t>
        </w:r>
        <w:proofErr w:type="spellEnd"/>
        <w:r w:rsidR="00D844F8">
          <w:rPr>
            <w:rStyle w:val="Hipervnculo"/>
            <w:rFonts w:ascii="Arial" w:hAnsi="Arial" w:cs="Arial"/>
            <w:color w:val="990000"/>
            <w:sz w:val="18"/>
            <w:szCs w:val="18"/>
            <w:bdr w:val="none" w:sz="0" w:space="0" w:color="auto" w:frame="1"/>
          </w:rPr>
          <w:t xml:space="preserve"> Vílchez</w:t>
        </w:r>
      </w:hyperlink>
    </w:p>
    <w:p w:rsidR="00D844F8" w:rsidRDefault="003F70EC" w:rsidP="00D844F8">
      <w:pPr>
        <w:pStyle w:val="localizacion"/>
        <w:shd w:val="clear" w:color="auto" w:fill="F5F5F5"/>
        <w:spacing w:before="0" w:beforeAutospacing="0" w:after="0" w:afterAutospacing="0"/>
        <w:textAlignment w:val="baseline"/>
        <w:rPr>
          <w:rFonts w:ascii="Arial" w:hAnsi="Arial" w:cs="Arial"/>
          <w:color w:val="000000"/>
          <w:sz w:val="18"/>
          <w:szCs w:val="18"/>
        </w:rPr>
      </w:pPr>
      <w:hyperlink r:id="rId9" w:history="1">
        <w:r w:rsidR="00D844F8">
          <w:rPr>
            <w:rStyle w:val="Hipervnculo"/>
            <w:rFonts w:ascii="Arial" w:hAnsi="Arial" w:cs="Arial"/>
            <w:color w:val="990000"/>
            <w:sz w:val="18"/>
            <w:szCs w:val="18"/>
            <w:bdr w:val="none" w:sz="0" w:space="0" w:color="auto" w:frame="1"/>
          </w:rPr>
          <w:t>Revista de derecho bancario y bursátil</w:t>
        </w:r>
      </w:hyperlink>
      <w:r w:rsidR="00D844F8">
        <w:rPr>
          <w:rFonts w:ascii="Arial" w:hAnsi="Arial" w:cs="Arial"/>
          <w:color w:val="000000"/>
          <w:sz w:val="18"/>
          <w:szCs w:val="18"/>
        </w:rPr>
        <w:t>, </w:t>
      </w:r>
      <w:r w:rsidR="00D844F8">
        <w:rPr>
          <w:rStyle w:val="AcrnimoHTML"/>
          <w:rFonts w:ascii="Arial" w:hAnsi="Arial" w:cs="Arial"/>
          <w:color w:val="000000"/>
          <w:sz w:val="18"/>
          <w:szCs w:val="18"/>
          <w:bdr w:val="none" w:sz="0" w:space="0" w:color="auto" w:frame="1"/>
        </w:rPr>
        <w:t>ISSN</w:t>
      </w:r>
      <w:r w:rsidR="00D844F8">
        <w:rPr>
          <w:rFonts w:ascii="Arial" w:hAnsi="Arial" w:cs="Arial"/>
          <w:color w:val="000000"/>
          <w:sz w:val="18"/>
          <w:szCs w:val="18"/>
        </w:rPr>
        <w:t> 0211-6138, </w:t>
      </w:r>
      <w:hyperlink r:id="rId10" w:history="1">
        <w:r w:rsidR="00D844F8">
          <w:rPr>
            <w:rStyle w:val="Hipervnculo"/>
            <w:rFonts w:ascii="Arial" w:hAnsi="Arial" w:cs="Arial"/>
            <w:color w:val="990000"/>
            <w:sz w:val="18"/>
            <w:szCs w:val="18"/>
            <w:bdr w:val="none" w:sz="0" w:space="0" w:color="auto" w:frame="1"/>
          </w:rPr>
          <w:t>Año nº 38, Nº 154, 2019</w:t>
        </w:r>
      </w:hyperlink>
      <w:r w:rsidR="00D844F8">
        <w:rPr>
          <w:rFonts w:ascii="Arial" w:hAnsi="Arial" w:cs="Arial"/>
          <w:color w:val="000000"/>
          <w:sz w:val="18"/>
          <w:szCs w:val="18"/>
        </w:rPr>
        <w:t>, págs. 119-154</w:t>
      </w:r>
    </w:p>
    <w:p w:rsidR="00F60A8E" w:rsidRPr="007E6C38" w:rsidRDefault="00F60A8E" w:rsidP="00D844F8">
      <w:pPr>
        <w:spacing w:before="120" w:after="120" w:line="360" w:lineRule="auto"/>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r w:rsidRPr="007E6C38">
        <w:rPr>
          <w:rFonts w:ascii="Times New Roman" w:hAnsi="Times New Roman" w:cs="Times New Roman"/>
          <w:b/>
          <w:sz w:val="24"/>
          <w:szCs w:val="24"/>
        </w:rPr>
        <w:t xml:space="preserve">EL DEBER DE TRANSPARENCIA EN LA LEY </w:t>
      </w:r>
      <w:r w:rsidR="00BF3852" w:rsidRPr="007E6C38">
        <w:rPr>
          <w:rFonts w:ascii="Times New Roman" w:hAnsi="Times New Roman" w:cs="Times New Roman"/>
          <w:b/>
          <w:sz w:val="24"/>
          <w:szCs w:val="24"/>
        </w:rPr>
        <w:t xml:space="preserve">5/2019 </w:t>
      </w:r>
      <w:r w:rsidRPr="007E6C38">
        <w:rPr>
          <w:rFonts w:ascii="Times New Roman" w:hAnsi="Times New Roman" w:cs="Times New Roman"/>
          <w:b/>
          <w:sz w:val="24"/>
          <w:szCs w:val="24"/>
        </w:rPr>
        <w:t>DE CRÉDITO INMOBILIARIO: INFORMACIÓN DOCUMENTAL, EXPLICACIONES ADECUADAS Y VALOR PROBATORIO DEL ACTA NOTARIAL</w:t>
      </w:r>
    </w:p>
    <w:p w:rsidR="00BF3852" w:rsidRPr="007E6C38" w:rsidRDefault="00BF3852" w:rsidP="00F60A8E">
      <w:pPr>
        <w:spacing w:before="120" w:after="120" w:line="360" w:lineRule="auto"/>
        <w:jc w:val="center"/>
        <w:rPr>
          <w:rFonts w:ascii="Times New Roman" w:hAnsi="Times New Roman" w:cs="Times New Roman"/>
          <w:b/>
          <w:sz w:val="24"/>
          <w:szCs w:val="24"/>
        </w:rPr>
      </w:pPr>
    </w:p>
    <w:p w:rsidR="00BF3852" w:rsidRPr="007E6C38" w:rsidRDefault="00BF3852" w:rsidP="00F60A8E">
      <w:pPr>
        <w:spacing w:before="120" w:after="120" w:line="360" w:lineRule="auto"/>
        <w:jc w:val="center"/>
        <w:rPr>
          <w:rFonts w:ascii="Times New Roman" w:hAnsi="Times New Roman" w:cs="Times New Roman"/>
          <w:b/>
          <w:sz w:val="24"/>
          <w:szCs w:val="24"/>
          <w:lang w:val="en-US"/>
        </w:rPr>
      </w:pPr>
      <w:r w:rsidRPr="007E6C38">
        <w:rPr>
          <w:rFonts w:ascii="Times New Roman" w:hAnsi="Times New Roman" w:cs="Times New Roman"/>
          <w:b/>
          <w:sz w:val="24"/>
          <w:szCs w:val="24"/>
          <w:lang w:val="en-US"/>
        </w:rPr>
        <w:t>THE TRANSPARENCY DUTY IN THE LAW 5/2019 ON CREDIT AGREEMENTS RELATING TO RESIDENCIAL IMMOVABLE PROPERTY: DOCUMENTARY INFORMATION, ADEQUATE EXPLANATIONS AND PROBATIVE VALUE OF THE NOTARIAL AFFIDATIV</w:t>
      </w:r>
    </w:p>
    <w:p w:rsidR="00A65966" w:rsidRPr="007E6C38" w:rsidRDefault="00A65966" w:rsidP="00A65966">
      <w:pPr>
        <w:spacing w:before="120" w:after="120" w:line="360" w:lineRule="auto"/>
        <w:rPr>
          <w:rFonts w:ascii="Times New Roman" w:hAnsi="Times New Roman" w:cs="Times New Roman"/>
          <w:b/>
          <w:sz w:val="24"/>
          <w:szCs w:val="24"/>
          <w:lang w:val="en-US"/>
        </w:rPr>
      </w:pPr>
    </w:p>
    <w:p w:rsidR="00F60A8E" w:rsidRPr="007E6C38" w:rsidRDefault="00A65966" w:rsidP="00A65966">
      <w:pPr>
        <w:spacing w:before="120" w:after="120" w:line="360" w:lineRule="auto"/>
        <w:rPr>
          <w:rFonts w:ascii="Times New Roman" w:hAnsi="Times New Roman" w:cs="Times New Roman"/>
          <w:b/>
          <w:sz w:val="24"/>
          <w:szCs w:val="24"/>
        </w:rPr>
      </w:pPr>
      <w:r w:rsidRPr="007E6C38">
        <w:rPr>
          <w:rFonts w:ascii="Times New Roman" w:hAnsi="Times New Roman" w:cs="Times New Roman"/>
          <w:b/>
          <w:sz w:val="24"/>
          <w:szCs w:val="24"/>
        </w:rPr>
        <w:t xml:space="preserve">Francisco </w:t>
      </w:r>
      <w:proofErr w:type="spellStart"/>
      <w:r w:rsidRPr="007E6C38">
        <w:rPr>
          <w:rFonts w:ascii="Times New Roman" w:hAnsi="Times New Roman" w:cs="Times New Roman"/>
          <w:b/>
          <w:sz w:val="24"/>
          <w:szCs w:val="24"/>
        </w:rPr>
        <w:t>Pertíñez</w:t>
      </w:r>
      <w:proofErr w:type="spellEnd"/>
      <w:r w:rsidRPr="007E6C38">
        <w:rPr>
          <w:rFonts w:ascii="Times New Roman" w:hAnsi="Times New Roman" w:cs="Times New Roman"/>
          <w:b/>
          <w:sz w:val="24"/>
          <w:szCs w:val="24"/>
        </w:rPr>
        <w:t xml:space="preserve"> Vílchez</w:t>
      </w:r>
    </w:p>
    <w:p w:rsidR="00A65966" w:rsidRPr="007E6C38" w:rsidRDefault="00A65966" w:rsidP="00A65966">
      <w:pPr>
        <w:spacing w:before="120" w:after="120" w:line="360" w:lineRule="auto"/>
        <w:rPr>
          <w:rFonts w:ascii="Times New Roman" w:hAnsi="Times New Roman" w:cs="Times New Roman"/>
          <w:b/>
          <w:sz w:val="24"/>
          <w:szCs w:val="24"/>
        </w:rPr>
      </w:pPr>
      <w:r w:rsidRPr="007E6C38">
        <w:rPr>
          <w:rFonts w:ascii="Times New Roman" w:hAnsi="Times New Roman" w:cs="Times New Roman"/>
          <w:b/>
          <w:sz w:val="24"/>
          <w:szCs w:val="24"/>
        </w:rPr>
        <w:t>Prof. Titular Derecho Civil. Universidad de Granada</w:t>
      </w: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F60A8E" w:rsidRPr="007E6C38" w:rsidRDefault="00F60A8E" w:rsidP="006F51D0">
      <w:pPr>
        <w:spacing w:before="120" w:after="120" w:line="360" w:lineRule="auto"/>
        <w:rPr>
          <w:rFonts w:ascii="Times New Roman" w:hAnsi="Times New Roman" w:cs="Times New Roman"/>
          <w:b/>
          <w:sz w:val="24"/>
          <w:szCs w:val="24"/>
        </w:rPr>
      </w:pPr>
    </w:p>
    <w:p w:rsidR="00F60A8E" w:rsidRPr="007E6C38" w:rsidRDefault="00F60A8E" w:rsidP="00F60A8E">
      <w:pPr>
        <w:spacing w:before="120" w:after="120" w:line="360" w:lineRule="auto"/>
        <w:jc w:val="center"/>
        <w:rPr>
          <w:rFonts w:ascii="Times New Roman" w:hAnsi="Times New Roman" w:cs="Times New Roman"/>
          <w:b/>
          <w:sz w:val="24"/>
          <w:szCs w:val="24"/>
        </w:rPr>
      </w:pPr>
    </w:p>
    <w:p w:rsidR="00B57B3A" w:rsidRPr="007E6C38" w:rsidRDefault="00F60A8E" w:rsidP="00F60A8E">
      <w:pPr>
        <w:spacing w:before="120" w:after="120" w:line="360" w:lineRule="auto"/>
        <w:jc w:val="center"/>
        <w:rPr>
          <w:rFonts w:ascii="Times New Roman" w:hAnsi="Times New Roman" w:cs="Times New Roman"/>
          <w:b/>
          <w:sz w:val="24"/>
          <w:szCs w:val="24"/>
        </w:rPr>
      </w:pPr>
      <w:r w:rsidRPr="007E6C38">
        <w:rPr>
          <w:rFonts w:ascii="Times New Roman" w:hAnsi="Times New Roman" w:cs="Times New Roman"/>
          <w:b/>
          <w:sz w:val="24"/>
          <w:szCs w:val="24"/>
        </w:rPr>
        <w:lastRenderedPageBreak/>
        <w:t>EL DEBER</w:t>
      </w:r>
      <w:r w:rsidR="005D5ED4" w:rsidRPr="007E6C38">
        <w:rPr>
          <w:rFonts w:ascii="Times New Roman" w:hAnsi="Times New Roman" w:cs="Times New Roman"/>
          <w:b/>
          <w:sz w:val="24"/>
          <w:szCs w:val="24"/>
        </w:rPr>
        <w:t xml:space="preserve"> DE</w:t>
      </w:r>
      <w:r w:rsidR="009A6AF3" w:rsidRPr="007E6C38">
        <w:rPr>
          <w:rFonts w:ascii="Times New Roman" w:hAnsi="Times New Roman" w:cs="Times New Roman"/>
          <w:b/>
          <w:sz w:val="24"/>
          <w:szCs w:val="24"/>
        </w:rPr>
        <w:t xml:space="preserve"> TRANSPARENCIA EN LA LEY </w:t>
      </w:r>
      <w:r w:rsidR="00BF3852" w:rsidRPr="007E6C38">
        <w:rPr>
          <w:rFonts w:ascii="Times New Roman" w:hAnsi="Times New Roman" w:cs="Times New Roman"/>
          <w:b/>
          <w:sz w:val="24"/>
          <w:szCs w:val="24"/>
        </w:rPr>
        <w:t xml:space="preserve">5/2019 </w:t>
      </w:r>
      <w:r w:rsidR="009A6AF3" w:rsidRPr="007E6C38">
        <w:rPr>
          <w:rFonts w:ascii="Times New Roman" w:hAnsi="Times New Roman" w:cs="Times New Roman"/>
          <w:b/>
          <w:sz w:val="24"/>
          <w:szCs w:val="24"/>
        </w:rPr>
        <w:t xml:space="preserve">DE CRÉDITO INMOBILIARIO: INFORMACIÓN DOCUMENTAL, </w:t>
      </w:r>
      <w:r w:rsidR="00DA435F" w:rsidRPr="007E6C38">
        <w:rPr>
          <w:rFonts w:ascii="Times New Roman" w:hAnsi="Times New Roman" w:cs="Times New Roman"/>
          <w:b/>
          <w:sz w:val="24"/>
          <w:szCs w:val="24"/>
        </w:rPr>
        <w:t>EXPLICACIONES ADECUADAS</w:t>
      </w:r>
      <w:r w:rsidR="009A6AF3" w:rsidRPr="007E6C38">
        <w:rPr>
          <w:rFonts w:ascii="Times New Roman" w:hAnsi="Times New Roman" w:cs="Times New Roman"/>
          <w:b/>
          <w:sz w:val="24"/>
          <w:szCs w:val="24"/>
        </w:rPr>
        <w:t xml:space="preserve"> Y VALOR PROBATORIO DEL ACTA NOTARIAL</w:t>
      </w:r>
    </w:p>
    <w:p w:rsidR="00BF3852" w:rsidRPr="007E6C38" w:rsidRDefault="00BF3852" w:rsidP="00BF3852">
      <w:pPr>
        <w:spacing w:before="120" w:after="120" w:line="360" w:lineRule="auto"/>
        <w:jc w:val="center"/>
        <w:rPr>
          <w:rFonts w:ascii="Times New Roman" w:hAnsi="Times New Roman" w:cs="Times New Roman"/>
          <w:b/>
          <w:sz w:val="24"/>
          <w:szCs w:val="24"/>
          <w:lang w:val="en-US"/>
        </w:rPr>
      </w:pPr>
      <w:r w:rsidRPr="007E6C38">
        <w:rPr>
          <w:rFonts w:ascii="Times New Roman" w:hAnsi="Times New Roman" w:cs="Times New Roman"/>
          <w:b/>
          <w:sz w:val="24"/>
          <w:szCs w:val="24"/>
          <w:lang w:val="en-US"/>
        </w:rPr>
        <w:t xml:space="preserve">THE TRANSPARENCY DUTY IN THE LAW 5/2019 ON CREDIT AGREEMENTS RELATING TO RESIDENCIAL IMMOVABLE PROPERTY: DOCUMENTARY INFORMATION, ADEQUATE EXPLANATIONS AND PROBATIVE </w:t>
      </w:r>
      <w:r w:rsidR="006F172B" w:rsidRPr="007E6C38">
        <w:rPr>
          <w:rFonts w:ascii="Times New Roman" w:hAnsi="Times New Roman" w:cs="Times New Roman"/>
          <w:b/>
          <w:sz w:val="24"/>
          <w:szCs w:val="24"/>
          <w:lang w:val="en-US"/>
        </w:rPr>
        <w:t>VALUE OF THE NOTARIAL AFFIDATIV</w:t>
      </w:r>
    </w:p>
    <w:p w:rsidR="00BF3852" w:rsidRPr="007E6C38" w:rsidRDefault="00BF3852" w:rsidP="00F60A8E">
      <w:pPr>
        <w:spacing w:before="120" w:after="120" w:line="360" w:lineRule="auto"/>
        <w:jc w:val="center"/>
        <w:rPr>
          <w:rFonts w:ascii="Times New Roman" w:hAnsi="Times New Roman" w:cs="Times New Roman"/>
          <w:b/>
          <w:sz w:val="24"/>
          <w:szCs w:val="24"/>
          <w:lang w:val="en-US"/>
        </w:rPr>
      </w:pPr>
    </w:p>
    <w:p w:rsidR="00F762B0" w:rsidRPr="007E6C38" w:rsidRDefault="00F762B0" w:rsidP="00F60A8E">
      <w:pPr>
        <w:spacing w:before="120" w:after="120" w:line="360" w:lineRule="auto"/>
        <w:jc w:val="center"/>
        <w:rPr>
          <w:rFonts w:ascii="Times New Roman" w:hAnsi="Times New Roman" w:cs="Times New Roman"/>
          <w:b/>
          <w:sz w:val="24"/>
          <w:szCs w:val="24"/>
          <w:lang w:val="en-US"/>
        </w:rPr>
      </w:pPr>
    </w:p>
    <w:p w:rsidR="00F762B0" w:rsidRPr="007E6C38" w:rsidRDefault="00F762B0" w:rsidP="00F60A8E">
      <w:pPr>
        <w:spacing w:before="120" w:after="120" w:line="360" w:lineRule="auto"/>
        <w:jc w:val="center"/>
        <w:rPr>
          <w:rFonts w:ascii="Times New Roman" w:hAnsi="Times New Roman" w:cs="Times New Roman"/>
          <w:b/>
          <w:sz w:val="24"/>
          <w:szCs w:val="24"/>
        </w:rPr>
      </w:pPr>
      <w:r w:rsidRPr="007E6C38">
        <w:rPr>
          <w:rFonts w:ascii="Times New Roman" w:hAnsi="Times New Roman" w:cs="Times New Roman"/>
          <w:b/>
          <w:sz w:val="24"/>
          <w:szCs w:val="24"/>
        </w:rPr>
        <w:t>RESUMEN</w:t>
      </w:r>
    </w:p>
    <w:p w:rsidR="001F2E3E" w:rsidRPr="007E6C38" w:rsidRDefault="00F762B0"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Ley</w:t>
      </w:r>
      <w:r w:rsidR="00BF3852" w:rsidRPr="007E6C38">
        <w:rPr>
          <w:rFonts w:ascii="Times New Roman" w:hAnsi="Times New Roman" w:cs="Times New Roman"/>
          <w:sz w:val="24"/>
          <w:szCs w:val="24"/>
        </w:rPr>
        <w:t xml:space="preserve"> 5/2019, de 15 de marzo, Reguladora de los Contratos de Crédito I</w:t>
      </w:r>
      <w:r w:rsidRPr="007E6C38">
        <w:rPr>
          <w:rFonts w:ascii="Times New Roman" w:hAnsi="Times New Roman" w:cs="Times New Roman"/>
          <w:sz w:val="24"/>
          <w:szCs w:val="24"/>
        </w:rPr>
        <w:t>nmobiliario impone al prestamista unos deberes de información precontractual muy exhaustivos que están llamados a terminar con los problemas de falta de transparencia habidos en el mercado hipotecario español en cuestiones tales como las cláusulas suelo, los préstamos en divisas, los swaps de interés, los préstamos</w:t>
      </w:r>
      <w:r w:rsidR="001F2E3E" w:rsidRPr="007E6C38">
        <w:rPr>
          <w:rFonts w:ascii="Times New Roman" w:hAnsi="Times New Roman" w:cs="Times New Roman"/>
          <w:sz w:val="24"/>
          <w:szCs w:val="24"/>
        </w:rPr>
        <w:t xml:space="preserve"> con índice IRPH o los costes por</w:t>
      </w:r>
      <w:r w:rsidRPr="007E6C38">
        <w:rPr>
          <w:rFonts w:ascii="Times New Roman" w:hAnsi="Times New Roman" w:cs="Times New Roman"/>
          <w:sz w:val="24"/>
          <w:szCs w:val="24"/>
        </w:rPr>
        <w:t xml:space="preserve"> los servicios accesorios al préstamo. </w:t>
      </w:r>
      <w:r w:rsidR="000E6732" w:rsidRPr="007E6C38">
        <w:rPr>
          <w:rFonts w:ascii="Times New Roman" w:hAnsi="Times New Roman" w:cs="Times New Roman"/>
          <w:sz w:val="24"/>
          <w:szCs w:val="24"/>
        </w:rPr>
        <w:t>En este trabajo s</w:t>
      </w:r>
      <w:r w:rsidR="001F2E3E" w:rsidRPr="007E6C38">
        <w:rPr>
          <w:rFonts w:ascii="Times New Roman" w:hAnsi="Times New Roman" w:cs="Times New Roman"/>
          <w:sz w:val="24"/>
          <w:szCs w:val="24"/>
        </w:rPr>
        <w:t xml:space="preserve">e analizan los deberes de información documental en relación a </w:t>
      </w:r>
      <w:r w:rsidR="000E6732" w:rsidRPr="007E6C38">
        <w:rPr>
          <w:rFonts w:ascii="Times New Roman" w:hAnsi="Times New Roman" w:cs="Times New Roman"/>
          <w:sz w:val="24"/>
          <w:szCs w:val="24"/>
        </w:rPr>
        <w:t xml:space="preserve">cada uno de </w:t>
      </w:r>
      <w:r w:rsidR="001F2E3E" w:rsidRPr="007E6C38">
        <w:rPr>
          <w:rFonts w:ascii="Times New Roman" w:hAnsi="Times New Roman" w:cs="Times New Roman"/>
          <w:sz w:val="24"/>
          <w:szCs w:val="24"/>
        </w:rPr>
        <w:t>los distintos problemas señalados,</w:t>
      </w:r>
      <w:r w:rsidR="000E6732" w:rsidRPr="007E6C38">
        <w:rPr>
          <w:rFonts w:ascii="Times New Roman" w:hAnsi="Times New Roman" w:cs="Times New Roman"/>
          <w:sz w:val="24"/>
          <w:szCs w:val="24"/>
        </w:rPr>
        <w:t xml:space="preserve"> así como</w:t>
      </w:r>
      <w:r w:rsidR="001F2E3E" w:rsidRPr="007E6C38">
        <w:rPr>
          <w:rFonts w:ascii="Times New Roman" w:hAnsi="Times New Roman" w:cs="Times New Roman"/>
          <w:sz w:val="24"/>
          <w:szCs w:val="24"/>
        </w:rPr>
        <w:t xml:space="preserve"> el sentid</w:t>
      </w:r>
      <w:r w:rsidR="000E6732" w:rsidRPr="007E6C38">
        <w:rPr>
          <w:rFonts w:ascii="Times New Roman" w:hAnsi="Times New Roman" w:cs="Times New Roman"/>
          <w:sz w:val="24"/>
          <w:szCs w:val="24"/>
        </w:rPr>
        <w:t>o que se le ha de atribuir a la obligación de proporcionar</w:t>
      </w:r>
      <w:r w:rsidR="001F2E3E" w:rsidRPr="007E6C38">
        <w:rPr>
          <w:rFonts w:ascii="Times New Roman" w:hAnsi="Times New Roman" w:cs="Times New Roman"/>
          <w:sz w:val="24"/>
          <w:szCs w:val="24"/>
        </w:rPr>
        <w:t xml:space="preserve"> explicaciones adecuadas complementarias y la extensión del valor probatorio del acta notarial en la que ha de constar el cumplimiento de dichas obligaciones de información y el asesoramiento prestado por el notario.</w:t>
      </w:r>
    </w:p>
    <w:p w:rsidR="00A27F7A" w:rsidRPr="007E6C38" w:rsidRDefault="00A27F7A" w:rsidP="00F60A8E">
      <w:pPr>
        <w:spacing w:before="120" w:after="120" w:line="360" w:lineRule="auto"/>
        <w:jc w:val="both"/>
        <w:rPr>
          <w:rFonts w:ascii="Times New Roman" w:hAnsi="Times New Roman" w:cs="Times New Roman"/>
          <w:sz w:val="24"/>
          <w:szCs w:val="24"/>
        </w:rPr>
      </w:pPr>
    </w:p>
    <w:p w:rsidR="00A27F7A" w:rsidRPr="007E6C38" w:rsidRDefault="00A27F7A"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Palabras clave: transparencia, información precontractual, préstamos hipotecarios, protección consumidor</w:t>
      </w:r>
    </w:p>
    <w:p w:rsidR="00A27F7A" w:rsidRPr="007E6C38" w:rsidRDefault="00A27F7A" w:rsidP="00F60A8E">
      <w:pPr>
        <w:spacing w:before="120" w:after="120" w:line="360" w:lineRule="auto"/>
        <w:jc w:val="both"/>
        <w:rPr>
          <w:rFonts w:ascii="Times New Roman" w:hAnsi="Times New Roman" w:cs="Times New Roman"/>
          <w:sz w:val="24"/>
          <w:szCs w:val="24"/>
        </w:rPr>
      </w:pPr>
    </w:p>
    <w:p w:rsidR="00A27F7A" w:rsidRPr="007E6C38" w:rsidRDefault="00A27F7A" w:rsidP="00F60A8E">
      <w:pPr>
        <w:spacing w:before="120" w:after="120" w:line="360" w:lineRule="auto"/>
        <w:jc w:val="both"/>
        <w:rPr>
          <w:rFonts w:ascii="Times New Roman" w:hAnsi="Times New Roman" w:cs="Times New Roman"/>
          <w:sz w:val="24"/>
          <w:szCs w:val="24"/>
        </w:rPr>
      </w:pPr>
    </w:p>
    <w:p w:rsidR="00A27F7A" w:rsidRPr="007E6C38" w:rsidRDefault="00A27F7A" w:rsidP="00F60A8E">
      <w:pPr>
        <w:spacing w:before="120" w:after="120" w:line="360" w:lineRule="auto"/>
        <w:jc w:val="center"/>
        <w:rPr>
          <w:rFonts w:ascii="Times New Roman" w:hAnsi="Times New Roman" w:cs="Times New Roman"/>
          <w:b/>
          <w:sz w:val="24"/>
          <w:szCs w:val="24"/>
          <w:lang w:val="en-US"/>
        </w:rPr>
      </w:pPr>
      <w:r w:rsidRPr="007E6C38">
        <w:rPr>
          <w:rFonts w:ascii="Times New Roman" w:hAnsi="Times New Roman" w:cs="Times New Roman"/>
          <w:b/>
          <w:sz w:val="24"/>
          <w:szCs w:val="24"/>
          <w:lang w:val="en-US"/>
        </w:rPr>
        <w:t>ABSTRACT</w:t>
      </w:r>
    </w:p>
    <w:p w:rsidR="00A27F7A" w:rsidRPr="007E6C38" w:rsidRDefault="00A27F7A" w:rsidP="00F60A8E">
      <w:pPr>
        <w:spacing w:before="120" w:after="120" w:line="360" w:lineRule="auto"/>
        <w:jc w:val="both"/>
        <w:rPr>
          <w:rFonts w:ascii="Times New Roman" w:hAnsi="Times New Roman" w:cs="Times New Roman"/>
          <w:sz w:val="24"/>
          <w:szCs w:val="24"/>
          <w:lang w:val="en-US"/>
        </w:rPr>
      </w:pPr>
      <w:r w:rsidRPr="007E6C38">
        <w:rPr>
          <w:rFonts w:ascii="Times New Roman" w:hAnsi="Times New Roman" w:cs="Times New Roman"/>
          <w:sz w:val="24"/>
          <w:szCs w:val="24"/>
          <w:lang w:val="en-US"/>
        </w:rPr>
        <w:t>The Law</w:t>
      </w:r>
      <w:r w:rsidR="00BF3852" w:rsidRPr="007E6C38">
        <w:rPr>
          <w:rFonts w:ascii="Times New Roman" w:hAnsi="Times New Roman" w:cs="Times New Roman"/>
          <w:sz w:val="24"/>
          <w:szCs w:val="24"/>
          <w:lang w:val="en-US"/>
        </w:rPr>
        <w:t xml:space="preserve"> 5/2019, 15</w:t>
      </w:r>
      <w:r w:rsidR="00BF3852" w:rsidRPr="007E6C38">
        <w:rPr>
          <w:rFonts w:ascii="Times New Roman" w:hAnsi="Times New Roman" w:cs="Times New Roman"/>
          <w:sz w:val="24"/>
          <w:szCs w:val="24"/>
          <w:vertAlign w:val="superscript"/>
          <w:lang w:val="en-US"/>
        </w:rPr>
        <w:t>th</w:t>
      </w:r>
      <w:r w:rsidR="00BF3852" w:rsidRPr="007E6C38">
        <w:rPr>
          <w:rFonts w:ascii="Times New Roman" w:hAnsi="Times New Roman" w:cs="Times New Roman"/>
          <w:sz w:val="24"/>
          <w:szCs w:val="24"/>
          <w:lang w:val="en-US"/>
        </w:rPr>
        <w:t xml:space="preserve"> march,</w:t>
      </w:r>
      <w:r w:rsidRPr="007E6C38">
        <w:rPr>
          <w:rFonts w:ascii="Times New Roman" w:hAnsi="Times New Roman" w:cs="Times New Roman"/>
          <w:sz w:val="24"/>
          <w:szCs w:val="24"/>
          <w:lang w:val="en-US"/>
        </w:rPr>
        <w:t xml:space="preserve"> on</w:t>
      </w:r>
      <w:r w:rsidR="00BF3852" w:rsidRPr="007E6C38">
        <w:rPr>
          <w:rFonts w:ascii="Times New Roman" w:hAnsi="Times New Roman" w:cs="Times New Roman"/>
          <w:sz w:val="24"/>
          <w:szCs w:val="24"/>
          <w:lang w:val="en-US"/>
        </w:rPr>
        <w:t xml:space="preserve"> Credit Agreements relating to Residential Immovable P</w:t>
      </w:r>
      <w:r w:rsidRPr="007E6C38">
        <w:rPr>
          <w:rFonts w:ascii="Times New Roman" w:hAnsi="Times New Roman" w:cs="Times New Roman"/>
          <w:sz w:val="24"/>
          <w:szCs w:val="24"/>
          <w:lang w:val="en-US"/>
        </w:rPr>
        <w:t xml:space="preserve">roperty imposes very exhaustive pre-contractual information duties on the lender, in order to end the problems of lack of transparency in the Spanish mortgage market in matters such as the floor clauses, foreign currency loans, interest swaps, loans with an IRPH index or costs </w:t>
      </w:r>
      <w:r w:rsidRPr="007E6C38">
        <w:rPr>
          <w:rFonts w:ascii="Times New Roman" w:hAnsi="Times New Roman" w:cs="Times New Roman"/>
          <w:sz w:val="24"/>
          <w:szCs w:val="24"/>
          <w:lang w:val="en-US"/>
        </w:rPr>
        <w:lastRenderedPageBreak/>
        <w:t>for accessory se</w:t>
      </w:r>
      <w:r w:rsidR="006F172B" w:rsidRPr="007E6C38">
        <w:rPr>
          <w:rFonts w:ascii="Times New Roman" w:hAnsi="Times New Roman" w:cs="Times New Roman"/>
          <w:sz w:val="24"/>
          <w:szCs w:val="24"/>
          <w:lang w:val="en-US"/>
        </w:rPr>
        <w:t>rvices to the loan. In this paper</w:t>
      </w:r>
      <w:r w:rsidRPr="007E6C38">
        <w:rPr>
          <w:rFonts w:ascii="Times New Roman" w:hAnsi="Times New Roman" w:cs="Times New Roman"/>
          <w:sz w:val="24"/>
          <w:szCs w:val="24"/>
          <w:lang w:val="en-US"/>
        </w:rPr>
        <w:t xml:space="preserve"> we analyze the duties of documentary information in relation to the different problems indicated, the sense of the obligation to provide complementary adequate explanations and the probative </w:t>
      </w:r>
      <w:r w:rsidR="006F172B" w:rsidRPr="007E6C38">
        <w:rPr>
          <w:rFonts w:ascii="Times New Roman" w:hAnsi="Times New Roman" w:cs="Times New Roman"/>
          <w:sz w:val="24"/>
          <w:szCs w:val="24"/>
          <w:lang w:val="en-US"/>
        </w:rPr>
        <w:t xml:space="preserve">value of the notarial </w:t>
      </w:r>
      <w:proofErr w:type="spellStart"/>
      <w:r w:rsidR="006F172B" w:rsidRPr="007E6C38">
        <w:rPr>
          <w:rFonts w:ascii="Times New Roman" w:hAnsi="Times New Roman" w:cs="Times New Roman"/>
          <w:sz w:val="24"/>
          <w:szCs w:val="24"/>
          <w:lang w:val="en-US"/>
        </w:rPr>
        <w:t>affidativ</w:t>
      </w:r>
      <w:proofErr w:type="spellEnd"/>
      <w:r w:rsidRPr="007E6C38">
        <w:rPr>
          <w:rFonts w:ascii="Times New Roman" w:hAnsi="Times New Roman" w:cs="Times New Roman"/>
          <w:sz w:val="24"/>
          <w:szCs w:val="24"/>
          <w:lang w:val="en-US"/>
        </w:rPr>
        <w:t xml:space="preserve"> in which these information obligations must be recorded.</w:t>
      </w:r>
    </w:p>
    <w:p w:rsidR="00A27F7A" w:rsidRPr="007E6C38" w:rsidRDefault="00A27F7A" w:rsidP="00F60A8E">
      <w:pPr>
        <w:spacing w:before="120" w:after="120" w:line="360" w:lineRule="auto"/>
        <w:jc w:val="both"/>
        <w:rPr>
          <w:rFonts w:ascii="Times New Roman" w:hAnsi="Times New Roman" w:cs="Times New Roman"/>
          <w:sz w:val="24"/>
          <w:szCs w:val="24"/>
          <w:lang w:val="en-US"/>
        </w:rPr>
      </w:pPr>
    </w:p>
    <w:p w:rsidR="00A27F7A" w:rsidRPr="007E6C38" w:rsidRDefault="00A27F7A" w:rsidP="00F60A8E">
      <w:pPr>
        <w:spacing w:before="120" w:after="120" w:line="360" w:lineRule="auto"/>
        <w:jc w:val="both"/>
        <w:rPr>
          <w:rFonts w:ascii="Times New Roman" w:hAnsi="Times New Roman" w:cs="Times New Roman"/>
          <w:sz w:val="24"/>
          <w:szCs w:val="24"/>
          <w:lang w:val="en-US"/>
        </w:rPr>
      </w:pPr>
      <w:r w:rsidRPr="007E6C38">
        <w:rPr>
          <w:rFonts w:ascii="Times New Roman" w:hAnsi="Times New Roman" w:cs="Times New Roman"/>
          <w:sz w:val="24"/>
          <w:szCs w:val="24"/>
          <w:lang w:val="en-US"/>
        </w:rPr>
        <w:t>Keywords: transparency, pre-contractual information, mortgage loans, consumer protection</w:t>
      </w:r>
    </w:p>
    <w:p w:rsidR="00A27F7A" w:rsidRPr="007E6C38" w:rsidRDefault="00A27F7A" w:rsidP="00F60A8E">
      <w:pPr>
        <w:spacing w:before="120" w:after="120" w:line="360" w:lineRule="auto"/>
        <w:jc w:val="both"/>
        <w:rPr>
          <w:rFonts w:ascii="Times New Roman" w:hAnsi="Times New Roman" w:cs="Times New Roman"/>
          <w:sz w:val="24"/>
          <w:szCs w:val="24"/>
          <w:lang w:val="en-US"/>
        </w:rPr>
      </w:pPr>
    </w:p>
    <w:p w:rsidR="00F60A8E" w:rsidRPr="007E6C38" w:rsidRDefault="00F60A8E" w:rsidP="00F60A8E">
      <w:pPr>
        <w:spacing w:line="360" w:lineRule="auto"/>
        <w:jc w:val="both"/>
        <w:rPr>
          <w:rFonts w:ascii="Times New Roman" w:hAnsi="Times New Roman" w:cs="Times New Roman"/>
          <w:sz w:val="24"/>
          <w:szCs w:val="24"/>
        </w:rPr>
      </w:pPr>
      <w:r w:rsidRPr="007E6C38">
        <w:rPr>
          <w:rFonts w:ascii="Times New Roman" w:hAnsi="Times New Roman" w:cs="Times New Roman"/>
          <w:sz w:val="24"/>
          <w:szCs w:val="24"/>
        </w:rPr>
        <w:t>SUMARIO: I. INTRODUCCIÓN. II. LA FICHA EUROPEA DE INFORMACIÓN NORMALIZADA. 2.1 La FEIN como instrumento de armonización de la información precontractual. 2.2 La información sobre el coste del crédito en la FEIN. La importancia de la TAE.  III. LA DOCUMENTACIÓN COMPLEMENTARIA A LA FEIN. IV. EL MOMENTO DE LA ENTREGA DE LA INFORMACIÓN PRECONTRACTUAL. V. LA INFORMACIÓN SOBRE ASPECTOS CONCRETOS DEL CONTRATO DE PRÉSTAMO EN LA FEIN Y EN LA DEMÁS DOCUMENTACIÓN PRECONTRACTUAL. 5.1. Información sobre las cláusulas suelo. 5.2. Información sobre los swaps de interés. 5.3. Información sobre los préstamos en divisas. 5.4. Información sobre costes por servicios accesorios. 5.5. Información sobre los gastos del préstamo. 5.6 Información sobre las implicaciones del índice IRPH. VI. LAS EXPLICACIONES ADECUADAS ADICIONALES. VII. EL VALOR PROBATORIO DEL ACTA NOTARIAL</w:t>
      </w:r>
    </w:p>
    <w:p w:rsidR="00A27F7A" w:rsidRPr="007E6C38" w:rsidRDefault="00A27F7A" w:rsidP="00F60A8E">
      <w:pPr>
        <w:spacing w:before="120" w:after="120" w:line="360" w:lineRule="auto"/>
        <w:jc w:val="both"/>
        <w:rPr>
          <w:rFonts w:ascii="Times New Roman" w:hAnsi="Times New Roman" w:cs="Times New Roman"/>
          <w:sz w:val="24"/>
          <w:szCs w:val="24"/>
        </w:rPr>
      </w:pPr>
    </w:p>
    <w:p w:rsidR="00A27F7A" w:rsidRPr="007E6C38" w:rsidRDefault="00A27F7A" w:rsidP="00F60A8E">
      <w:pPr>
        <w:spacing w:before="120" w:after="120" w:line="360" w:lineRule="auto"/>
        <w:jc w:val="both"/>
        <w:rPr>
          <w:rFonts w:ascii="Times New Roman" w:hAnsi="Times New Roman" w:cs="Times New Roman"/>
          <w:b/>
          <w:sz w:val="24"/>
          <w:szCs w:val="24"/>
        </w:rPr>
      </w:pPr>
    </w:p>
    <w:p w:rsidR="00C67DC0" w:rsidRPr="007E6C38" w:rsidRDefault="001F27D9"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I. INTRODUCCIÓN</w:t>
      </w:r>
    </w:p>
    <w:p w:rsidR="00234C2A" w:rsidRPr="007E6C38" w:rsidRDefault="00A62C0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Ley</w:t>
      </w:r>
      <w:r w:rsidR="00BF3852" w:rsidRPr="007E6C38">
        <w:rPr>
          <w:rFonts w:ascii="Times New Roman" w:hAnsi="Times New Roman" w:cs="Times New Roman"/>
          <w:sz w:val="24"/>
          <w:szCs w:val="24"/>
        </w:rPr>
        <w:t xml:space="preserve"> 5/2019, de 15 de marzo,</w:t>
      </w:r>
      <w:r w:rsidRPr="007E6C38">
        <w:rPr>
          <w:rFonts w:ascii="Times New Roman" w:hAnsi="Times New Roman" w:cs="Times New Roman"/>
          <w:sz w:val="24"/>
          <w:szCs w:val="24"/>
        </w:rPr>
        <w:t xml:space="preserve"> Reguladora de los contratos de crédito inmobiliario</w:t>
      </w:r>
      <w:r w:rsidR="00BF3852" w:rsidRPr="007E6C38">
        <w:rPr>
          <w:rFonts w:ascii="Times New Roman" w:hAnsi="Times New Roman" w:cs="Times New Roman"/>
          <w:sz w:val="24"/>
          <w:szCs w:val="24"/>
        </w:rPr>
        <w:t xml:space="preserve"> (BOE 16 marzo 2019)</w:t>
      </w:r>
      <w:r w:rsidRPr="007E6C38">
        <w:rPr>
          <w:rFonts w:ascii="Times New Roman" w:hAnsi="Times New Roman" w:cs="Times New Roman"/>
          <w:b/>
          <w:sz w:val="24"/>
          <w:szCs w:val="24"/>
        </w:rPr>
        <w:t xml:space="preserve"> </w:t>
      </w:r>
      <w:r w:rsidRPr="007E6C38">
        <w:rPr>
          <w:rFonts w:ascii="Times New Roman" w:hAnsi="Times New Roman" w:cs="Times New Roman"/>
          <w:sz w:val="24"/>
          <w:szCs w:val="24"/>
        </w:rPr>
        <w:t>(en adelante, LCCI)</w:t>
      </w:r>
      <w:r w:rsidRPr="007E6C38">
        <w:rPr>
          <w:rFonts w:ascii="Times New Roman" w:hAnsi="Times New Roman" w:cs="Times New Roman"/>
          <w:b/>
          <w:sz w:val="24"/>
          <w:szCs w:val="24"/>
        </w:rPr>
        <w:t xml:space="preserve"> </w:t>
      </w:r>
      <w:r w:rsidRPr="007E6C38">
        <w:rPr>
          <w:rFonts w:ascii="Times New Roman" w:hAnsi="Times New Roman" w:cs="Times New Roman"/>
          <w:sz w:val="24"/>
          <w:szCs w:val="24"/>
        </w:rPr>
        <w:t>ha regulado para su ámbito de aplicación de una manera muy exhaustiva y exigente la obligación de información preco</w:t>
      </w:r>
      <w:r w:rsidR="005932CA" w:rsidRPr="007E6C38">
        <w:rPr>
          <w:rFonts w:ascii="Times New Roman" w:hAnsi="Times New Roman" w:cs="Times New Roman"/>
          <w:sz w:val="24"/>
          <w:szCs w:val="24"/>
        </w:rPr>
        <w:t xml:space="preserve">ntractual a cargo del </w:t>
      </w:r>
      <w:r w:rsidRPr="007E6C38">
        <w:rPr>
          <w:rFonts w:ascii="Times New Roman" w:hAnsi="Times New Roman" w:cs="Times New Roman"/>
          <w:sz w:val="24"/>
          <w:szCs w:val="24"/>
        </w:rPr>
        <w:t xml:space="preserve">prestamista, superando las exigencias requeridas por la Directiva 2014/17/UE, de 4 de febrero 2014, sobre los sobre los contratos de crédito celebrados con los consumidores para bienes inmuebles de uso residencial. </w:t>
      </w:r>
    </w:p>
    <w:p w:rsidR="008B2148" w:rsidRPr="007E6C38" w:rsidRDefault="00A62C0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De este modo, no sólo requiere que se haga entrega al prestatario</w:t>
      </w:r>
      <w:r w:rsidR="00234C2A" w:rsidRPr="007E6C38">
        <w:rPr>
          <w:rFonts w:ascii="Times New Roman" w:hAnsi="Times New Roman" w:cs="Times New Roman"/>
          <w:sz w:val="24"/>
          <w:szCs w:val="24"/>
        </w:rPr>
        <w:t xml:space="preserve"> y, en su caso, a la persona física que actúe como fiador o garante</w:t>
      </w:r>
      <w:r w:rsidR="00386FED" w:rsidRPr="007E6C38">
        <w:rPr>
          <w:rFonts w:ascii="Times New Roman" w:hAnsi="Times New Roman" w:cs="Times New Roman"/>
          <w:sz w:val="24"/>
          <w:szCs w:val="24"/>
        </w:rPr>
        <w:t>,</w:t>
      </w:r>
      <w:r w:rsidR="00234C2A" w:rsidRPr="007E6C38">
        <w:rPr>
          <w:rFonts w:ascii="Times New Roman" w:hAnsi="Times New Roman" w:cs="Times New Roman"/>
          <w:sz w:val="24"/>
          <w:szCs w:val="24"/>
        </w:rPr>
        <w:t xml:space="preserve"> de la Ficha Europea de Información Normalizada (FEIN),</w:t>
      </w:r>
      <w:r w:rsidR="008B2148" w:rsidRPr="007E6C38">
        <w:rPr>
          <w:rFonts w:ascii="Times New Roman" w:hAnsi="Times New Roman" w:cs="Times New Roman"/>
          <w:sz w:val="24"/>
          <w:szCs w:val="24"/>
        </w:rPr>
        <w:t xml:space="preserve"> con diez de</w:t>
      </w:r>
      <w:r w:rsidRPr="007E6C38">
        <w:rPr>
          <w:rFonts w:ascii="Times New Roman" w:hAnsi="Times New Roman" w:cs="Times New Roman"/>
          <w:sz w:val="24"/>
          <w:szCs w:val="24"/>
        </w:rPr>
        <w:t xml:space="preserve"> antelación</w:t>
      </w:r>
      <w:r w:rsidR="008B2148" w:rsidRPr="007E6C38">
        <w:rPr>
          <w:rFonts w:ascii="Times New Roman" w:hAnsi="Times New Roman" w:cs="Times New Roman"/>
          <w:sz w:val="24"/>
          <w:szCs w:val="24"/>
        </w:rPr>
        <w:t xml:space="preserve"> a la firma del préstamo</w:t>
      </w:r>
      <w:r w:rsidRPr="007E6C38">
        <w:rPr>
          <w:rFonts w:ascii="Times New Roman" w:hAnsi="Times New Roman" w:cs="Times New Roman"/>
          <w:sz w:val="24"/>
          <w:szCs w:val="24"/>
        </w:rPr>
        <w:t>, en la forma y con el contenido que imperativamente exige la Directiva 2014/17/UE en su Anexo II, sino que además, de acuerdo con la habilitación conferida a</w:t>
      </w:r>
      <w:r w:rsidR="008B2148" w:rsidRPr="007E6C38">
        <w:rPr>
          <w:rFonts w:ascii="Times New Roman" w:hAnsi="Times New Roman" w:cs="Times New Roman"/>
          <w:sz w:val="24"/>
          <w:szCs w:val="24"/>
        </w:rPr>
        <w:t>l respecto a</w:t>
      </w:r>
      <w:r w:rsidRPr="007E6C38">
        <w:rPr>
          <w:rFonts w:ascii="Times New Roman" w:hAnsi="Times New Roman" w:cs="Times New Roman"/>
          <w:sz w:val="24"/>
          <w:szCs w:val="24"/>
        </w:rPr>
        <w:t xml:space="preserve"> los ordenamientos nacionales por el art. </w:t>
      </w:r>
      <w:r w:rsidR="008B2148" w:rsidRPr="007E6C38">
        <w:rPr>
          <w:rFonts w:ascii="Times New Roman" w:hAnsi="Times New Roman" w:cs="Times New Roman"/>
          <w:sz w:val="24"/>
          <w:szCs w:val="24"/>
        </w:rPr>
        <w:t>14.8 de la Directiva 2014/17/UE</w:t>
      </w:r>
      <w:r w:rsidR="00386FED" w:rsidRPr="007E6C38">
        <w:rPr>
          <w:rFonts w:ascii="Times New Roman" w:hAnsi="Times New Roman" w:cs="Times New Roman"/>
          <w:sz w:val="24"/>
          <w:szCs w:val="24"/>
        </w:rPr>
        <w:t>,</w:t>
      </w:r>
      <w:r w:rsidR="00E67BB1" w:rsidRPr="007E6C38">
        <w:rPr>
          <w:rFonts w:ascii="Times New Roman" w:hAnsi="Times New Roman" w:cs="Times New Roman"/>
          <w:sz w:val="24"/>
          <w:szCs w:val="24"/>
        </w:rPr>
        <w:t xml:space="preserve"> en su</w:t>
      </w:r>
      <w:r w:rsidR="00E975B1" w:rsidRPr="007E6C38">
        <w:rPr>
          <w:rFonts w:ascii="Times New Roman" w:hAnsi="Times New Roman" w:cs="Times New Roman"/>
          <w:sz w:val="24"/>
          <w:szCs w:val="24"/>
        </w:rPr>
        <w:t xml:space="preserve"> </w:t>
      </w:r>
      <w:r w:rsidR="00654E83" w:rsidRPr="007E6C38">
        <w:rPr>
          <w:rFonts w:ascii="Times New Roman" w:hAnsi="Times New Roman" w:cs="Times New Roman"/>
          <w:sz w:val="24"/>
          <w:szCs w:val="24"/>
        </w:rPr>
        <w:t>art. 14</w:t>
      </w:r>
      <w:r w:rsidR="00E975B1" w:rsidRPr="007E6C38">
        <w:rPr>
          <w:rFonts w:ascii="Times New Roman" w:hAnsi="Times New Roman" w:cs="Times New Roman"/>
          <w:sz w:val="24"/>
          <w:szCs w:val="24"/>
        </w:rPr>
        <w:t>.1</w:t>
      </w:r>
      <w:r w:rsidR="0030668B" w:rsidRPr="007E6C38">
        <w:rPr>
          <w:rFonts w:ascii="Times New Roman" w:hAnsi="Times New Roman" w:cs="Times New Roman"/>
          <w:sz w:val="24"/>
          <w:szCs w:val="24"/>
        </w:rPr>
        <w:t xml:space="preserve"> exige</w:t>
      </w:r>
      <w:r w:rsidR="008B2148" w:rsidRPr="007E6C38">
        <w:rPr>
          <w:rFonts w:ascii="Times New Roman" w:hAnsi="Times New Roman" w:cs="Times New Roman"/>
          <w:sz w:val="24"/>
          <w:szCs w:val="24"/>
        </w:rPr>
        <w:t xml:space="preserve"> que con la misma antelación</w:t>
      </w:r>
      <w:r w:rsidR="0030668B" w:rsidRPr="007E6C38">
        <w:rPr>
          <w:rFonts w:ascii="Times New Roman" w:hAnsi="Times New Roman" w:cs="Times New Roman"/>
          <w:sz w:val="24"/>
          <w:szCs w:val="24"/>
        </w:rPr>
        <w:t xml:space="preserve"> de diez días</w:t>
      </w:r>
      <w:r w:rsidR="008B2148" w:rsidRPr="007E6C38">
        <w:rPr>
          <w:rFonts w:ascii="Times New Roman" w:hAnsi="Times New Roman" w:cs="Times New Roman"/>
          <w:sz w:val="24"/>
          <w:szCs w:val="24"/>
        </w:rPr>
        <w:t xml:space="preserve"> se le haga entrega de una </w:t>
      </w:r>
      <w:r w:rsidR="008B2148" w:rsidRPr="00A240FD">
        <w:rPr>
          <w:rFonts w:ascii="Times New Roman" w:hAnsi="Times New Roman" w:cs="Times New Roman"/>
          <w:color w:val="FF0000"/>
          <w:sz w:val="24"/>
          <w:szCs w:val="24"/>
        </w:rPr>
        <w:t>documentación adicional</w:t>
      </w:r>
      <w:r w:rsidR="008B2148" w:rsidRPr="007E6C38">
        <w:rPr>
          <w:rFonts w:ascii="Times New Roman" w:hAnsi="Times New Roman" w:cs="Times New Roman"/>
          <w:sz w:val="24"/>
          <w:szCs w:val="24"/>
        </w:rPr>
        <w:t xml:space="preserve">: </w:t>
      </w:r>
      <w:r w:rsidR="00A147C7" w:rsidRPr="007E6C38">
        <w:rPr>
          <w:rFonts w:ascii="Times New Roman" w:hAnsi="Times New Roman" w:cs="Times New Roman"/>
          <w:sz w:val="24"/>
          <w:szCs w:val="24"/>
        </w:rPr>
        <w:t xml:space="preserve">- </w:t>
      </w:r>
      <w:r w:rsidR="008B2148" w:rsidRPr="007E6C38">
        <w:rPr>
          <w:rFonts w:ascii="Times New Roman" w:hAnsi="Times New Roman" w:cs="Times New Roman"/>
          <w:sz w:val="24"/>
          <w:szCs w:val="24"/>
        </w:rPr>
        <w:t>la Ficha de Advertencias Estandarizadas (</w:t>
      </w:r>
      <w:proofErr w:type="spellStart"/>
      <w:r w:rsidR="008B2148" w:rsidRPr="007E6C38">
        <w:rPr>
          <w:rFonts w:ascii="Times New Roman" w:hAnsi="Times New Roman" w:cs="Times New Roman"/>
          <w:sz w:val="24"/>
          <w:szCs w:val="24"/>
        </w:rPr>
        <w:t>FiAE</w:t>
      </w:r>
      <w:proofErr w:type="spellEnd"/>
      <w:r w:rsidR="008B2148" w:rsidRPr="007E6C38">
        <w:rPr>
          <w:rFonts w:ascii="Times New Roman" w:hAnsi="Times New Roman" w:cs="Times New Roman"/>
          <w:sz w:val="24"/>
          <w:szCs w:val="24"/>
        </w:rPr>
        <w:t>), en la que se debe informar sobre la existencia de algunas cláusulas o elementos relev</w:t>
      </w:r>
      <w:r w:rsidR="000A055C" w:rsidRPr="007E6C38">
        <w:rPr>
          <w:rFonts w:ascii="Times New Roman" w:hAnsi="Times New Roman" w:cs="Times New Roman"/>
          <w:sz w:val="24"/>
          <w:szCs w:val="24"/>
        </w:rPr>
        <w:t>antes del contrato de préstamo</w:t>
      </w:r>
      <w:r w:rsidR="008B2148" w:rsidRPr="007E6C38">
        <w:rPr>
          <w:rFonts w:ascii="Times New Roman" w:hAnsi="Times New Roman" w:cs="Times New Roman"/>
          <w:sz w:val="24"/>
          <w:szCs w:val="24"/>
        </w:rPr>
        <w:t xml:space="preserve">; </w:t>
      </w:r>
      <w:r w:rsidR="00A147C7" w:rsidRPr="007E6C38">
        <w:rPr>
          <w:rFonts w:ascii="Times New Roman" w:hAnsi="Times New Roman" w:cs="Times New Roman"/>
          <w:sz w:val="24"/>
          <w:szCs w:val="24"/>
        </w:rPr>
        <w:t xml:space="preserve">- </w:t>
      </w:r>
      <w:r w:rsidR="008B2148" w:rsidRPr="007E6C38">
        <w:rPr>
          <w:rFonts w:ascii="Times New Roman" w:hAnsi="Times New Roman" w:cs="Times New Roman"/>
          <w:sz w:val="24"/>
          <w:szCs w:val="24"/>
        </w:rPr>
        <w:t>tratándose de un préstamo a interés variable, un documento separado con una referencia especial a las cuotas periódicas a satisfacer por el prestatario en diferentes escenarios de evolución de los tipos de interés;</w:t>
      </w:r>
      <w:r w:rsidR="00A147C7" w:rsidRPr="007E6C38">
        <w:rPr>
          <w:rFonts w:ascii="Times New Roman" w:hAnsi="Times New Roman" w:cs="Times New Roman"/>
          <w:sz w:val="24"/>
          <w:szCs w:val="24"/>
        </w:rPr>
        <w:t xml:space="preserve"> -</w:t>
      </w:r>
      <w:r w:rsidR="008B2148" w:rsidRPr="007E6C38">
        <w:rPr>
          <w:rFonts w:ascii="Times New Roman" w:hAnsi="Times New Roman" w:cs="Times New Roman"/>
          <w:sz w:val="24"/>
          <w:szCs w:val="24"/>
        </w:rPr>
        <w:t xml:space="preserve"> una copia del proyecto de contrato; </w:t>
      </w:r>
      <w:r w:rsidR="00A147C7" w:rsidRPr="007E6C38">
        <w:rPr>
          <w:rFonts w:ascii="Times New Roman" w:hAnsi="Times New Roman" w:cs="Times New Roman"/>
          <w:sz w:val="24"/>
          <w:szCs w:val="24"/>
        </w:rPr>
        <w:t xml:space="preserve">- </w:t>
      </w:r>
      <w:r w:rsidR="008B2148" w:rsidRPr="007E6C38">
        <w:rPr>
          <w:rFonts w:ascii="Times New Roman" w:hAnsi="Times New Roman" w:cs="Times New Roman"/>
          <w:sz w:val="24"/>
          <w:szCs w:val="24"/>
        </w:rPr>
        <w:t xml:space="preserve">información clara y veraz de los gastos que corresponden al prestamista y al prestatario; </w:t>
      </w:r>
      <w:r w:rsidR="00A147C7" w:rsidRPr="007E6C38">
        <w:rPr>
          <w:rFonts w:ascii="Times New Roman" w:hAnsi="Times New Roman" w:cs="Times New Roman"/>
          <w:sz w:val="24"/>
          <w:szCs w:val="24"/>
        </w:rPr>
        <w:t xml:space="preserve">- </w:t>
      </w:r>
      <w:r w:rsidR="008B2148" w:rsidRPr="00A240FD">
        <w:rPr>
          <w:rFonts w:ascii="Times New Roman" w:hAnsi="Times New Roman" w:cs="Times New Roman"/>
          <w:color w:val="FF0000"/>
          <w:sz w:val="24"/>
          <w:szCs w:val="24"/>
        </w:rPr>
        <w:t>las condiciones de los seguros</w:t>
      </w:r>
      <w:r w:rsidR="000A055C" w:rsidRPr="00A240FD">
        <w:rPr>
          <w:rFonts w:ascii="Times New Roman" w:hAnsi="Times New Roman" w:cs="Times New Roman"/>
          <w:color w:val="FF0000"/>
          <w:sz w:val="24"/>
          <w:szCs w:val="24"/>
        </w:rPr>
        <w:t xml:space="preserve"> de amortización y de daños en el inmueble</w:t>
      </w:r>
      <w:r w:rsidR="008B2148" w:rsidRPr="00A240FD">
        <w:rPr>
          <w:rFonts w:ascii="Times New Roman" w:hAnsi="Times New Roman" w:cs="Times New Roman"/>
          <w:color w:val="FF0000"/>
          <w:sz w:val="24"/>
          <w:szCs w:val="24"/>
        </w:rPr>
        <w:t xml:space="preserve"> que se exigen;</w:t>
      </w:r>
      <w:r w:rsidR="00A147C7" w:rsidRPr="00A240FD">
        <w:rPr>
          <w:rFonts w:ascii="Times New Roman" w:hAnsi="Times New Roman" w:cs="Times New Roman"/>
          <w:color w:val="FF0000"/>
          <w:sz w:val="24"/>
          <w:szCs w:val="24"/>
        </w:rPr>
        <w:t xml:space="preserve"> </w:t>
      </w:r>
      <w:r w:rsidR="00A147C7" w:rsidRPr="007E6C38">
        <w:rPr>
          <w:rFonts w:ascii="Times New Roman" w:hAnsi="Times New Roman" w:cs="Times New Roman"/>
          <w:sz w:val="24"/>
          <w:szCs w:val="24"/>
        </w:rPr>
        <w:t>-</w:t>
      </w:r>
      <w:r w:rsidR="008B2148" w:rsidRPr="007E6C38">
        <w:rPr>
          <w:rFonts w:ascii="Times New Roman" w:hAnsi="Times New Roman" w:cs="Times New Roman"/>
          <w:sz w:val="24"/>
          <w:szCs w:val="24"/>
        </w:rPr>
        <w:t xml:space="preserve"> y cuando esté previsto que el préstamo se formalice en escritura pública, la advertencia al prestatario de la obligación de recibir asesoramiento personalizado y gratuito del not</w:t>
      </w:r>
      <w:r w:rsidR="00234C2A" w:rsidRPr="007E6C38">
        <w:rPr>
          <w:rFonts w:ascii="Times New Roman" w:hAnsi="Times New Roman" w:cs="Times New Roman"/>
          <w:sz w:val="24"/>
          <w:szCs w:val="24"/>
        </w:rPr>
        <w:t xml:space="preserve">ario que elija el prestatario. </w:t>
      </w:r>
      <w:r w:rsidR="0030668B" w:rsidRPr="007E6C38">
        <w:rPr>
          <w:rFonts w:ascii="Times New Roman" w:hAnsi="Times New Roman" w:cs="Times New Roman"/>
          <w:sz w:val="24"/>
          <w:szCs w:val="24"/>
        </w:rPr>
        <w:t xml:space="preserve">Esta información documental se ha de complementar según exige el </w:t>
      </w:r>
      <w:r w:rsidR="00654E83" w:rsidRPr="007E6C38">
        <w:rPr>
          <w:rFonts w:ascii="Times New Roman" w:hAnsi="Times New Roman" w:cs="Times New Roman"/>
          <w:sz w:val="24"/>
          <w:szCs w:val="24"/>
        </w:rPr>
        <w:t>art. 14</w:t>
      </w:r>
      <w:r w:rsidR="0030668B" w:rsidRPr="007E6C38">
        <w:rPr>
          <w:rFonts w:ascii="Times New Roman" w:hAnsi="Times New Roman" w:cs="Times New Roman"/>
          <w:sz w:val="24"/>
          <w:szCs w:val="24"/>
        </w:rPr>
        <w:t>.2 LCCI, de manera</w:t>
      </w:r>
      <w:r w:rsidR="00A147C7" w:rsidRPr="007E6C38">
        <w:rPr>
          <w:rFonts w:ascii="Times New Roman" w:hAnsi="Times New Roman" w:cs="Times New Roman"/>
          <w:sz w:val="24"/>
          <w:szCs w:val="24"/>
        </w:rPr>
        <w:t xml:space="preserve"> altamente</w:t>
      </w:r>
      <w:r w:rsidR="0030668B" w:rsidRPr="007E6C38">
        <w:rPr>
          <w:rFonts w:ascii="Times New Roman" w:hAnsi="Times New Roman" w:cs="Times New Roman"/>
          <w:sz w:val="24"/>
          <w:szCs w:val="24"/>
        </w:rPr>
        <w:t xml:space="preserve"> imprecisa, con “toda la información que fuera necesaria”.</w:t>
      </w:r>
    </w:p>
    <w:p w:rsidR="00A62C0B" w:rsidRPr="007E6C38" w:rsidRDefault="008B214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Además, el cumplimiento de estas exig</w:t>
      </w:r>
      <w:r w:rsidR="00386FED" w:rsidRPr="007E6C38">
        <w:rPr>
          <w:rFonts w:ascii="Times New Roman" w:hAnsi="Times New Roman" w:cs="Times New Roman"/>
          <w:sz w:val="24"/>
          <w:szCs w:val="24"/>
        </w:rPr>
        <w:t>encias de entrega documental</w:t>
      </w:r>
      <w:r w:rsidR="00DB3247" w:rsidRPr="007E6C38">
        <w:rPr>
          <w:rFonts w:ascii="Times New Roman" w:hAnsi="Times New Roman" w:cs="Times New Roman"/>
          <w:sz w:val="24"/>
          <w:szCs w:val="24"/>
        </w:rPr>
        <w:t xml:space="preserve"> </w:t>
      </w:r>
      <w:r w:rsidR="001F2E3E" w:rsidRPr="007E6C38">
        <w:rPr>
          <w:rFonts w:ascii="Times New Roman" w:hAnsi="Times New Roman" w:cs="Times New Roman"/>
          <w:sz w:val="24"/>
          <w:szCs w:val="24"/>
        </w:rPr>
        <w:t>se verific</w:t>
      </w:r>
      <w:r w:rsidR="00BF3852" w:rsidRPr="007E6C38">
        <w:rPr>
          <w:rFonts w:ascii="Times New Roman" w:hAnsi="Times New Roman" w:cs="Times New Roman"/>
          <w:sz w:val="24"/>
          <w:szCs w:val="24"/>
        </w:rPr>
        <w:t>ará</w:t>
      </w:r>
      <w:r w:rsidR="001F2E3E" w:rsidRPr="007E6C38">
        <w:rPr>
          <w:rFonts w:ascii="Times New Roman" w:hAnsi="Times New Roman" w:cs="Times New Roman"/>
          <w:sz w:val="24"/>
          <w:szCs w:val="24"/>
        </w:rPr>
        <w:t xml:space="preserve"> </w:t>
      </w:r>
      <w:r w:rsidRPr="007E6C38">
        <w:rPr>
          <w:rFonts w:ascii="Times New Roman" w:hAnsi="Times New Roman" w:cs="Times New Roman"/>
          <w:sz w:val="24"/>
          <w:szCs w:val="24"/>
        </w:rPr>
        <w:t xml:space="preserve">mediante el acta notarial a la que se refiere el </w:t>
      </w:r>
      <w:r w:rsidR="00654E83" w:rsidRPr="007E6C38">
        <w:rPr>
          <w:rFonts w:ascii="Times New Roman" w:hAnsi="Times New Roman" w:cs="Times New Roman"/>
          <w:sz w:val="24"/>
          <w:szCs w:val="24"/>
        </w:rPr>
        <w:t>art. 15</w:t>
      </w:r>
      <w:r w:rsidRPr="007E6C38">
        <w:rPr>
          <w:rFonts w:ascii="Times New Roman" w:hAnsi="Times New Roman" w:cs="Times New Roman"/>
          <w:sz w:val="24"/>
          <w:szCs w:val="24"/>
        </w:rPr>
        <w:t xml:space="preserve"> LCCI</w:t>
      </w:r>
      <w:r w:rsidR="00BF3852" w:rsidRPr="007E6C38">
        <w:rPr>
          <w:rFonts w:ascii="Times New Roman" w:hAnsi="Times New Roman" w:cs="Times New Roman"/>
          <w:sz w:val="24"/>
          <w:szCs w:val="24"/>
        </w:rPr>
        <w:t>, que se ha de extender como mínimo el día antes del otorgamiento de la escritura pública de préstamo, con comparecencia del prestatario o de su representante</w:t>
      </w:r>
      <w:r w:rsidR="00E975B1" w:rsidRPr="007E6C38">
        <w:rPr>
          <w:rFonts w:ascii="Times New Roman" w:hAnsi="Times New Roman" w:cs="Times New Roman"/>
          <w:sz w:val="24"/>
          <w:szCs w:val="24"/>
        </w:rPr>
        <w:t>.</w:t>
      </w:r>
      <w:r w:rsidR="00DB3247" w:rsidRPr="007E6C38">
        <w:rPr>
          <w:rFonts w:ascii="Times New Roman" w:hAnsi="Times New Roman" w:cs="Times New Roman"/>
          <w:sz w:val="24"/>
          <w:szCs w:val="24"/>
        </w:rPr>
        <w:t xml:space="preserve"> El mismo artículo</w:t>
      </w:r>
      <w:r w:rsidRPr="007E6C38">
        <w:rPr>
          <w:rFonts w:ascii="Times New Roman" w:hAnsi="Times New Roman" w:cs="Times New Roman"/>
          <w:sz w:val="24"/>
          <w:szCs w:val="24"/>
        </w:rPr>
        <w:t xml:space="preserve"> impone al notario un deber de asesoramie</w:t>
      </w:r>
      <w:r w:rsidR="00DB3247" w:rsidRPr="007E6C38">
        <w:rPr>
          <w:rFonts w:ascii="Times New Roman" w:hAnsi="Times New Roman" w:cs="Times New Roman"/>
          <w:sz w:val="24"/>
          <w:szCs w:val="24"/>
        </w:rPr>
        <w:t xml:space="preserve">nto al prestatario sobre las cláusulas específicas recogidas en la FEIN y en la </w:t>
      </w:r>
      <w:proofErr w:type="spellStart"/>
      <w:r w:rsidR="00DB3247" w:rsidRPr="007E6C38">
        <w:rPr>
          <w:rFonts w:ascii="Times New Roman" w:hAnsi="Times New Roman" w:cs="Times New Roman"/>
          <w:sz w:val="24"/>
          <w:szCs w:val="24"/>
        </w:rPr>
        <w:t>FiAE</w:t>
      </w:r>
      <w:proofErr w:type="spellEnd"/>
      <w:r w:rsidR="00DB3247" w:rsidRPr="007E6C38">
        <w:rPr>
          <w:rFonts w:ascii="Times New Roman" w:hAnsi="Times New Roman" w:cs="Times New Roman"/>
          <w:sz w:val="24"/>
          <w:szCs w:val="24"/>
        </w:rPr>
        <w:t xml:space="preserve"> (</w:t>
      </w:r>
      <w:r w:rsidR="00654E83" w:rsidRPr="007E6C38">
        <w:rPr>
          <w:rFonts w:ascii="Times New Roman" w:hAnsi="Times New Roman" w:cs="Times New Roman"/>
          <w:sz w:val="24"/>
          <w:szCs w:val="24"/>
        </w:rPr>
        <w:t>art. 15</w:t>
      </w:r>
      <w:r w:rsidR="00DB3247" w:rsidRPr="007E6C38">
        <w:rPr>
          <w:rFonts w:ascii="Times New Roman" w:hAnsi="Times New Roman" w:cs="Times New Roman"/>
          <w:sz w:val="24"/>
          <w:szCs w:val="24"/>
        </w:rPr>
        <w:t>.</w:t>
      </w:r>
      <w:r w:rsidR="00923956" w:rsidRPr="007E6C38">
        <w:rPr>
          <w:rFonts w:ascii="Times New Roman" w:hAnsi="Times New Roman" w:cs="Times New Roman"/>
          <w:sz w:val="24"/>
          <w:szCs w:val="24"/>
        </w:rPr>
        <w:t>2.</w:t>
      </w:r>
      <w:r w:rsidR="00DB3247" w:rsidRPr="007E6C38">
        <w:rPr>
          <w:rFonts w:ascii="Times New Roman" w:hAnsi="Times New Roman" w:cs="Times New Roman"/>
          <w:sz w:val="24"/>
          <w:szCs w:val="24"/>
        </w:rPr>
        <w:t>c) y sobre las distintas cuestiones que el mismo plantee (</w:t>
      </w:r>
      <w:r w:rsidR="00654E83" w:rsidRPr="007E6C38">
        <w:rPr>
          <w:rFonts w:ascii="Times New Roman" w:hAnsi="Times New Roman" w:cs="Times New Roman"/>
          <w:sz w:val="24"/>
          <w:szCs w:val="24"/>
        </w:rPr>
        <w:t>art. 15</w:t>
      </w:r>
      <w:r w:rsidR="00DB3247" w:rsidRPr="007E6C38">
        <w:rPr>
          <w:rFonts w:ascii="Times New Roman" w:hAnsi="Times New Roman" w:cs="Times New Roman"/>
          <w:sz w:val="24"/>
          <w:szCs w:val="24"/>
        </w:rPr>
        <w:t>.</w:t>
      </w:r>
      <w:r w:rsidR="00923956" w:rsidRPr="007E6C38">
        <w:rPr>
          <w:rFonts w:ascii="Times New Roman" w:hAnsi="Times New Roman" w:cs="Times New Roman"/>
          <w:sz w:val="24"/>
          <w:szCs w:val="24"/>
        </w:rPr>
        <w:t>2.</w:t>
      </w:r>
      <w:r w:rsidR="00DB3247" w:rsidRPr="007E6C38">
        <w:rPr>
          <w:rFonts w:ascii="Times New Roman" w:hAnsi="Times New Roman" w:cs="Times New Roman"/>
          <w:sz w:val="24"/>
          <w:szCs w:val="24"/>
        </w:rPr>
        <w:t>b)</w:t>
      </w:r>
      <w:r w:rsidR="00386FED" w:rsidRPr="007E6C38">
        <w:rPr>
          <w:rFonts w:ascii="Times New Roman" w:hAnsi="Times New Roman" w:cs="Times New Roman"/>
          <w:sz w:val="24"/>
          <w:szCs w:val="24"/>
        </w:rPr>
        <w:t>.</w:t>
      </w:r>
    </w:p>
    <w:p w:rsidR="00DB3247" w:rsidRPr="007E6C38" w:rsidRDefault="00DB3247"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Todas estas ex</w:t>
      </w:r>
      <w:r w:rsidR="00E975B1" w:rsidRPr="007E6C38">
        <w:rPr>
          <w:rFonts w:ascii="Times New Roman" w:hAnsi="Times New Roman" w:cs="Times New Roman"/>
          <w:sz w:val="24"/>
          <w:szCs w:val="24"/>
        </w:rPr>
        <w:t>igencias de información subsumen</w:t>
      </w:r>
      <w:r w:rsidR="00D5767D" w:rsidRPr="007E6C38">
        <w:rPr>
          <w:rFonts w:ascii="Times New Roman" w:hAnsi="Times New Roman" w:cs="Times New Roman"/>
          <w:sz w:val="24"/>
          <w:szCs w:val="24"/>
        </w:rPr>
        <w:t xml:space="preserve"> sobradamente</w:t>
      </w:r>
      <w:r w:rsidRPr="007E6C38">
        <w:rPr>
          <w:rFonts w:ascii="Times New Roman" w:hAnsi="Times New Roman" w:cs="Times New Roman"/>
          <w:sz w:val="24"/>
          <w:szCs w:val="24"/>
        </w:rPr>
        <w:t xml:space="preserve"> los parámetros que a título orientativo había esta</w:t>
      </w:r>
      <w:r w:rsidR="00100736" w:rsidRPr="007E6C38">
        <w:rPr>
          <w:rFonts w:ascii="Times New Roman" w:hAnsi="Times New Roman" w:cs="Times New Roman"/>
          <w:sz w:val="24"/>
          <w:szCs w:val="24"/>
        </w:rPr>
        <w:t xml:space="preserve">blecido la STS 9 mayo 2013 (Ar. </w:t>
      </w:r>
      <w:r w:rsidRPr="007E6C38">
        <w:rPr>
          <w:rFonts w:ascii="Times New Roman" w:hAnsi="Times New Roman" w:cs="Times New Roman"/>
          <w:sz w:val="24"/>
          <w:szCs w:val="24"/>
        </w:rPr>
        <w:t xml:space="preserve">2013/3088) para la superación del denominado segundo control de transparencia o control de transparencia material en relación </w:t>
      </w:r>
      <w:r w:rsidR="00386FED" w:rsidRPr="007E6C38">
        <w:rPr>
          <w:rFonts w:ascii="Times New Roman" w:hAnsi="Times New Roman" w:cs="Times New Roman"/>
          <w:sz w:val="24"/>
          <w:szCs w:val="24"/>
        </w:rPr>
        <w:t xml:space="preserve">al caso concreto </w:t>
      </w:r>
      <w:r w:rsidRPr="007E6C38">
        <w:rPr>
          <w:rFonts w:ascii="Times New Roman" w:hAnsi="Times New Roman" w:cs="Times New Roman"/>
          <w:sz w:val="24"/>
          <w:szCs w:val="24"/>
        </w:rPr>
        <w:t>a las cláusulas suelo</w:t>
      </w:r>
      <w:r w:rsidR="00386FED" w:rsidRPr="007E6C38">
        <w:rPr>
          <w:rStyle w:val="Refdenotaalpie"/>
          <w:rFonts w:ascii="Times New Roman" w:hAnsi="Times New Roman" w:cs="Times New Roman"/>
          <w:sz w:val="24"/>
          <w:szCs w:val="24"/>
        </w:rPr>
        <w:footnoteReference w:id="1"/>
      </w:r>
      <w:r w:rsidR="00A147C7" w:rsidRPr="007E6C38">
        <w:rPr>
          <w:rFonts w:ascii="Times New Roman" w:hAnsi="Times New Roman" w:cs="Times New Roman"/>
          <w:sz w:val="24"/>
          <w:szCs w:val="24"/>
        </w:rPr>
        <w:t>. En este sentido, no cabe duda de</w:t>
      </w:r>
      <w:r w:rsidRPr="007E6C38">
        <w:rPr>
          <w:rFonts w:ascii="Times New Roman" w:hAnsi="Times New Roman" w:cs="Times New Roman"/>
          <w:sz w:val="24"/>
          <w:szCs w:val="24"/>
        </w:rPr>
        <w:t xml:space="preserve"> que las nuevas exigencias de información del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 LCCI, tanto por su intensidad, como por la prueba de su cumplimiento que implica la referida acta notarial del </w:t>
      </w:r>
      <w:r w:rsidR="00654E83" w:rsidRPr="007E6C38">
        <w:rPr>
          <w:rFonts w:ascii="Times New Roman" w:hAnsi="Times New Roman" w:cs="Times New Roman"/>
          <w:sz w:val="24"/>
          <w:szCs w:val="24"/>
        </w:rPr>
        <w:t>art. 15</w:t>
      </w:r>
      <w:r w:rsidRPr="007E6C38">
        <w:rPr>
          <w:rFonts w:ascii="Times New Roman" w:hAnsi="Times New Roman" w:cs="Times New Roman"/>
          <w:sz w:val="24"/>
          <w:szCs w:val="24"/>
        </w:rPr>
        <w:t xml:space="preserve"> LCCI, supondrá</w:t>
      </w:r>
      <w:r w:rsidR="00386FED" w:rsidRPr="007E6C38">
        <w:rPr>
          <w:rFonts w:ascii="Times New Roman" w:hAnsi="Times New Roman" w:cs="Times New Roman"/>
          <w:sz w:val="24"/>
          <w:szCs w:val="24"/>
        </w:rPr>
        <w:t>n</w:t>
      </w:r>
      <w:r w:rsidRPr="007E6C38">
        <w:rPr>
          <w:rFonts w:ascii="Times New Roman" w:hAnsi="Times New Roman" w:cs="Times New Roman"/>
          <w:sz w:val="24"/>
          <w:szCs w:val="24"/>
        </w:rPr>
        <w:t xml:space="preserve"> en relación a los</w:t>
      </w:r>
      <w:r w:rsidR="00E67BB1" w:rsidRPr="007E6C38">
        <w:rPr>
          <w:rFonts w:ascii="Times New Roman" w:hAnsi="Times New Roman" w:cs="Times New Roman"/>
          <w:sz w:val="24"/>
          <w:szCs w:val="24"/>
        </w:rPr>
        <w:t xml:space="preserve"> nuevos</w:t>
      </w:r>
      <w:r w:rsidRPr="007E6C38">
        <w:rPr>
          <w:rFonts w:ascii="Times New Roman" w:hAnsi="Times New Roman" w:cs="Times New Roman"/>
          <w:sz w:val="24"/>
          <w:szCs w:val="24"/>
        </w:rPr>
        <w:t xml:space="preserve"> préstamos que se for</w:t>
      </w:r>
      <w:r w:rsidR="00DA435F" w:rsidRPr="007E6C38">
        <w:rPr>
          <w:rFonts w:ascii="Times New Roman" w:hAnsi="Times New Roman" w:cs="Times New Roman"/>
          <w:sz w:val="24"/>
          <w:szCs w:val="24"/>
        </w:rPr>
        <w:t>malicen</w:t>
      </w:r>
      <w:r w:rsidRPr="007E6C38">
        <w:rPr>
          <w:rFonts w:ascii="Times New Roman" w:hAnsi="Times New Roman" w:cs="Times New Roman"/>
          <w:sz w:val="24"/>
          <w:szCs w:val="24"/>
        </w:rPr>
        <w:t xml:space="preserve"> una deseable reducción</w:t>
      </w:r>
      <w:r w:rsidR="00E975B1" w:rsidRPr="007E6C38">
        <w:rPr>
          <w:rFonts w:ascii="Times New Roman" w:hAnsi="Times New Roman" w:cs="Times New Roman"/>
          <w:sz w:val="24"/>
          <w:szCs w:val="24"/>
        </w:rPr>
        <w:t xml:space="preserve"> de los litigios causados por</w:t>
      </w:r>
      <w:r w:rsidRPr="007E6C38">
        <w:rPr>
          <w:rFonts w:ascii="Times New Roman" w:hAnsi="Times New Roman" w:cs="Times New Roman"/>
          <w:sz w:val="24"/>
          <w:szCs w:val="24"/>
        </w:rPr>
        <w:t xml:space="preserve"> falta</w:t>
      </w:r>
      <w:r w:rsidR="00E975B1" w:rsidRPr="007E6C38">
        <w:rPr>
          <w:rFonts w:ascii="Times New Roman" w:hAnsi="Times New Roman" w:cs="Times New Roman"/>
          <w:sz w:val="24"/>
          <w:szCs w:val="24"/>
        </w:rPr>
        <w:t xml:space="preserve"> de transparencia.</w:t>
      </w:r>
      <w:r w:rsidR="00F762B0" w:rsidRPr="007E6C38">
        <w:rPr>
          <w:rFonts w:ascii="Times New Roman" w:hAnsi="Times New Roman" w:cs="Times New Roman"/>
          <w:sz w:val="24"/>
          <w:szCs w:val="24"/>
        </w:rPr>
        <w:t xml:space="preserve"> En principio,</w:t>
      </w:r>
      <w:r w:rsidR="00E975B1" w:rsidRPr="007E6C38">
        <w:rPr>
          <w:rFonts w:ascii="Times New Roman" w:hAnsi="Times New Roman" w:cs="Times New Roman"/>
          <w:sz w:val="24"/>
          <w:szCs w:val="24"/>
        </w:rPr>
        <w:t xml:space="preserve"> </w:t>
      </w:r>
      <w:r w:rsidR="00F762B0" w:rsidRPr="007E6C38">
        <w:rPr>
          <w:rFonts w:ascii="Times New Roman" w:hAnsi="Times New Roman" w:cs="Times New Roman"/>
          <w:sz w:val="24"/>
          <w:szCs w:val="24"/>
        </w:rPr>
        <w:t>l</w:t>
      </w:r>
      <w:r w:rsidR="00E975B1" w:rsidRPr="007E6C38">
        <w:rPr>
          <w:rFonts w:ascii="Times New Roman" w:hAnsi="Times New Roman" w:cs="Times New Roman"/>
          <w:sz w:val="24"/>
          <w:szCs w:val="24"/>
        </w:rPr>
        <w:t>a entrega</w:t>
      </w:r>
      <w:r w:rsidRPr="007E6C38">
        <w:rPr>
          <w:rFonts w:ascii="Times New Roman" w:hAnsi="Times New Roman" w:cs="Times New Roman"/>
          <w:sz w:val="24"/>
          <w:szCs w:val="24"/>
        </w:rPr>
        <w:t xml:space="preserve"> por la entidad prestamista al prestatario de la documentación e</w:t>
      </w:r>
      <w:r w:rsidR="00E975B1" w:rsidRPr="007E6C38">
        <w:rPr>
          <w:rFonts w:ascii="Times New Roman" w:hAnsi="Times New Roman" w:cs="Times New Roman"/>
          <w:sz w:val="24"/>
          <w:szCs w:val="24"/>
        </w:rPr>
        <w:t>xigida</w:t>
      </w:r>
      <w:r w:rsidR="00C6438C" w:rsidRPr="007E6C38">
        <w:rPr>
          <w:rFonts w:ascii="Times New Roman" w:hAnsi="Times New Roman" w:cs="Times New Roman"/>
          <w:sz w:val="24"/>
          <w:szCs w:val="24"/>
        </w:rPr>
        <w:t xml:space="preserve"> por el </w:t>
      </w:r>
      <w:r w:rsidR="00654E83" w:rsidRPr="007E6C38">
        <w:rPr>
          <w:rFonts w:ascii="Times New Roman" w:hAnsi="Times New Roman" w:cs="Times New Roman"/>
          <w:sz w:val="24"/>
          <w:szCs w:val="24"/>
        </w:rPr>
        <w:t>art. 14</w:t>
      </w:r>
      <w:r w:rsidR="00386FED" w:rsidRPr="007E6C38">
        <w:rPr>
          <w:rFonts w:ascii="Times New Roman" w:hAnsi="Times New Roman" w:cs="Times New Roman"/>
          <w:sz w:val="24"/>
          <w:szCs w:val="24"/>
        </w:rPr>
        <w:t>.1</w:t>
      </w:r>
      <w:r w:rsidR="00C6438C" w:rsidRPr="007E6C38">
        <w:rPr>
          <w:rFonts w:ascii="Times New Roman" w:hAnsi="Times New Roman" w:cs="Times New Roman"/>
          <w:sz w:val="24"/>
          <w:szCs w:val="24"/>
        </w:rPr>
        <w:t xml:space="preserve"> LCCI</w:t>
      </w:r>
      <w:r w:rsidR="00923956" w:rsidRPr="007E6C38">
        <w:rPr>
          <w:rFonts w:ascii="Times New Roman" w:hAnsi="Times New Roman" w:cs="Times New Roman"/>
          <w:sz w:val="24"/>
          <w:szCs w:val="24"/>
        </w:rPr>
        <w:t>,</w:t>
      </w:r>
      <w:r w:rsidR="005932CA" w:rsidRPr="007E6C38">
        <w:rPr>
          <w:rFonts w:ascii="Times New Roman" w:hAnsi="Times New Roman" w:cs="Times New Roman"/>
          <w:sz w:val="24"/>
          <w:szCs w:val="24"/>
        </w:rPr>
        <w:t xml:space="preserve"> con la</w:t>
      </w:r>
      <w:r w:rsidR="00E975B1" w:rsidRPr="007E6C38">
        <w:rPr>
          <w:rFonts w:ascii="Times New Roman" w:hAnsi="Times New Roman" w:cs="Times New Roman"/>
          <w:sz w:val="24"/>
          <w:szCs w:val="24"/>
        </w:rPr>
        <w:t xml:space="preserve"> antelación</w:t>
      </w:r>
      <w:r w:rsidR="005932CA" w:rsidRPr="007E6C38">
        <w:rPr>
          <w:rFonts w:ascii="Times New Roman" w:hAnsi="Times New Roman" w:cs="Times New Roman"/>
          <w:sz w:val="24"/>
          <w:szCs w:val="24"/>
        </w:rPr>
        <w:t xml:space="preserve"> requerida</w:t>
      </w:r>
      <w:r w:rsidR="00923956" w:rsidRPr="007E6C38">
        <w:rPr>
          <w:rFonts w:ascii="Times New Roman" w:hAnsi="Times New Roman" w:cs="Times New Roman"/>
          <w:sz w:val="24"/>
          <w:szCs w:val="24"/>
        </w:rPr>
        <w:t>,</w:t>
      </w:r>
      <w:r w:rsidRPr="007E6C38">
        <w:rPr>
          <w:rFonts w:ascii="Times New Roman" w:hAnsi="Times New Roman" w:cs="Times New Roman"/>
          <w:sz w:val="24"/>
          <w:szCs w:val="24"/>
        </w:rPr>
        <w:t xml:space="preserve"> traslada sobre el cliente la carga de informarse o, en su caso, de asesorarse por el notario</w:t>
      </w:r>
      <w:r w:rsidR="00DA435F" w:rsidRPr="007E6C38">
        <w:rPr>
          <w:rFonts w:ascii="Times New Roman" w:hAnsi="Times New Roman" w:cs="Times New Roman"/>
          <w:sz w:val="24"/>
          <w:szCs w:val="24"/>
        </w:rPr>
        <w:t>, por la propia entidad prestamista</w:t>
      </w:r>
      <w:r w:rsidRPr="007E6C38">
        <w:rPr>
          <w:rFonts w:ascii="Times New Roman" w:hAnsi="Times New Roman" w:cs="Times New Roman"/>
          <w:sz w:val="24"/>
          <w:szCs w:val="24"/>
        </w:rPr>
        <w:t xml:space="preserve"> o por otro profesional y si no ha conocido la trascendencia de aquello sobre lo que ha sido suficientemente informa</w:t>
      </w:r>
      <w:r w:rsidR="00A147C7" w:rsidRPr="007E6C38">
        <w:rPr>
          <w:rFonts w:ascii="Times New Roman" w:hAnsi="Times New Roman" w:cs="Times New Roman"/>
          <w:sz w:val="24"/>
          <w:szCs w:val="24"/>
        </w:rPr>
        <w:t>do</w:t>
      </w:r>
      <w:r w:rsidR="00923956" w:rsidRPr="007E6C38">
        <w:rPr>
          <w:rFonts w:ascii="Times New Roman" w:hAnsi="Times New Roman" w:cs="Times New Roman"/>
          <w:sz w:val="24"/>
          <w:szCs w:val="24"/>
        </w:rPr>
        <w:t>,</w:t>
      </w:r>
      <w:r w:rsidR="00A147C7" w:rsidRPr="007E6C38">
        <w:rPr>
          <w:rFonts w:ascii="Times New Roman" w:hAnsi="Times New Roman" w:cs="Times New Roman"/>
          <w:sz w:val="24"/>
          <w:szCs w:val="24"/>
        </w:rPr>
        <w:t xml:space="preserve"> este desconocimiento no podrá</w:t>
      </w:r>
      <w:r w:rsidRPr="007E6C38">
        <w:rPr>
          <w:rFonts w:ascii="Times New Roman" w:hAnsi="Times New Roman" w:cs="Times New Roman"/>
          <w:sz w:val="24"/>
          <w:szCs w:val="24"/>
        </w:rPr>
        <w:t xml:space="preserve"> imputarse a</w:t>
      </w:r>
      <w:r w:rsidR="005932CA" w:rsidRPr="007E6C38">
        <w:rPr>
          <w:rFonts w:ascii="Times New Roman" w:hAnsi="Times New Roman" w:cs="Times New Roman"/>
          <w:sz w:val="24"/>
          <w:szCs w:val="24"/>
        </w:rPr>
        <w:t xml:space="preserve"> la</w:t>
      </w:r>
      <w:r w:rsidRPr="007E6C38">
        <w:rPr>
          <w:rFonts w:ascii="Times New Roman" w:hAnsi="Times New Roman" w:cs="Times New Roman"/>
          <w:sz w:val="24"/>
          <w:szCs w:val="24"/>
        </w:rPr>
        <w:t xml:space="preserve"> mala fe de la entidad prestamista (requerida</w:t>
      </w:r>
      <w:r w:rsidR="005932CA" w:rsidRPr="007E6C38">
        <w:rPr>
          <w:rFonts w:ascii="Times New Roman" w:hAnsi="Times New Roman" w:cs="Times New Roman"/>
          <w:sz w:val="24"/>
          <w:szCs w:val="24"/>
        </w:rPr>
        <w:t xml:space="preserve"> como elemento constitutivo del carácter abusivo de una cláusula</w:t>
      </w:r>
      <w:r w:rsidRPr="007E6C38">
        <w:rPr>
          <w:rFonts w:ascii="Times New Roman" w:hAnsi="Times New Roman" w:cs="Times New Roman"/>
          <w:sz w:val="24"/>
          <w:szCs w:val="24"/>
        </w:rPr>
        <w:t xml:space="preserve"> por el art. 82 del Real Decreto Legislativo 1/2007, por e</w:t>
      </w:r>
      <w:r w:rsidR="0007678B" w:rsidRPr="007E6C38">
        <w:rPr>
          <w:rFonts w:ascii="Times New Roman" w:hAnsi="Times New Roman" w:cs="Times New Roman"/>
          <w:sz w:val="24"/>
          <w:szCs w:val="24"/>
        </w:rPr>
        <w:t>l que se aprueba el TR-LGDCU</w:t>
      </w:r>
      <w:r w:rsidRPr="007E6C38">
        <w:rPr>
          <w:rFonts w:ascii="Times New Roman" w:hAnsi="Times New Roman" w:cs="Times New Roman"/>
          <w:sz w:val="24"/>
          <w:szCs w:val="24"/>
        </w:rPr>
        <w:t>), ni a un vicio de error excusable.</w:t>
      </w:r>
      <w:r w:rsidR="00234C2A" w:rsidRPr="007E6C38">
        <w:rPr>
          <w:rFonts w:ascii="Times New Roman" w:hAnsi="Times New Roman" w:cs="Times New Roman"/>
          <w:sz w:val="24"/>
          <w:szCs w:val="24"/>
        </w:rPr>
        <w:t xml:space="preserve"> </w:t>
      </w:r>
      <w:r w:rsidR="00386FED" w:rsidRPr="007E6C38">
        <w:rPr>
          <w:rFonts w:ascii="Times New Roman" w:hAnsi="Times New Roman" w:cs="Times New Roman"/>
          <w:sz w:val="24"/>
          <w:szCs w:val="24"/>
        </w:rPr>
        <w:t>La propia Exposición de Motivos de la LCCI se refiere</w:t>
      </w:r>
      <w:r w:rsidR="00923956" w:rsidRPr="007E6C38">
        <w:rPr>
          <w:rFonts w:ascii="Times New Roman" w:hAnsi="Times New Roman" w:cs="Times New Roman"/>
          <w:sz w:val="24"/>
          <w:szCs w:val="24"/>
        </w:rPr>
        <w:t xml:space="preserve"> al deber del prestatario, correlativo a su derecho a ser informado, de</w:t>
      </w:r>
      <w:r w:rsidR="00386FED" w:rsidRPr="007E6C38">
        <w:rPr>
          <w:rFonts w:ascii="Times New Roman" w:hAnsi="Times New Roman" w:cs="Times New Roman"/>
          <w:sz w:val="24"/>
          <w:szCs w:val="24"/>
        </w:rPr>
        <w:t xml:space="preserve"> conocer las consecuencias de aquello a lo que se obliga.</w:t>
      </w:r>
    </w:p>
    <w:p w:rsidR="00E975B1" w:rsidRPr="007E6C38" w:rsidRDefault="00E975B1"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Los problemas de falta de transparencia sobre el objeto principal</w:t>
      </w:r>
      <w:r w:rsidR="00C6438C" w:rsidRPr="007E6C38">
        <w:rPr>
          <w:rFonts w:ascii="Times New Roman" w:hAnsi="Times New Roman" w:cs="Times New Roman"/>
          <w:sz w:val="24"/>
          <w:szCs w:val="24"/>
        </w:rPr>
        <w:t xml:space="preserve"> del contrato de crédito han de pasar</w:t>
      </w:r>
      <w:r w:rsidR="00DA435F" w:rsidRPr="007E6C38">
        <w:rPr>
          <w:rFonts w:ascii="Times New Roman" w:hAnsi="Times New Roman" w:cs="Times New Roman"/>
          <w:sz w:val="24"/>
          <w:szCs w:val="24"/>
        </w:rPr>
        <w:t xml:space="preserve"> con esta nueva regulación</w:t>
      </w:r>
      <w:r w:rsidRPr="007E6C38">
        <w:rPr>
          <w:rFonts w:ascii="Times New Roman" w:hAnsi="Times New Roman" w:cs="Times New Roman"/>
          <w:sz w:val="24"/>
          <w:szCs w:val="24"/>
        </w:rPr>
        <w:t xml:space="preserve"> de ser problemas de índole estructural derivados de una deficiente normativa de transparencia bancaria (sobre todo por lo que respecta a la Orden Ministerial de Orden Ministerial de 5 de mayo de 1994, sobre transparencia de las condiciones financieras de los préstamos hipotecarios) a </w:t>
      </w:r>
      <w:r w:rsidR="00923956" w:rsidRPr="007E6C38">
        <w:rPr>
          <w:rFonts w:ascii="Times New Roman" w:hAnsi="Times New Roman" w:cs="Times New Roman"/>
          <w:sz w:val="24"/>
          <w:szCs w:val="24"/>
        </w:rPr>
        <w:t xml:space="preserve">ser </w:t>
      </w:r>
      <w:r w:rsidRPr="007E6C38">
        <w:rPr>
          <w:rFonts w:ascii="Times New Roman" w:hAnsi="Times New Roman" w:cs="Times New Roman"/>
          <w:sz w:val="24"/>
          <w:szCs w:val="24"/>
        </w:rPr>
        <w:t>problemas puntuales derivados del deficiente cumplimiento de las exigencias de información legalmente exigidas en algunos casos  concretos.</w:t>
      </w:r>
    </w:p>
    <w:p w:rsidR="009D1E5B" w:rsidRPr="007E6C38" w:rsidRDefault="00E975B1"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este sentido, la regulación de la obligación de transparencia en la LCCI tiene el loable objetivo, en aras de una mayor seguridad jurídica del mercado hipotecario, de reducir</w:t>
      </w:r>
      <w:r w:rsidR="00DA435F" w:rsidRPr="007E6C38">
        <w:rPr>
          <w:rFonts w:ascii="Times New Roman" w:hAnsi="Times New Roman" w:cs="Times New Roman"/>
          <w:sz w:val="24"/>
          <w:szCs w:val="24"/>
        </w:rPr>
        <w:t xml:space="preserve"> la brecha que se estableció</w:t>
      </w:r>
      <w:r w:rsidRPr="007E6C38">
        <w:rPr>
          <w:rFonts w:ascii="Times New Roman" w:hAnsi="Times New Roman" w:cs="Times New Roman"/>
          <w:sz w:val="24"/>
          <w:szCs w:val="24"/>
        </w:rPr>
        <w:t xml:space="preserve"> a nivel jur</w:t>
      </w:r>
      <w:r w:rsidR="00DA435F" w:rsidRPr="007E6C38">
        <w:rPr>
          <w:rFonts w:ascii="Times New Roman" w:hAnsi="Times New Roman" w:cs="Times New Roman"/>
          <w:sz w:val="24"/>
          <w:szCs w:val="24"/>
        </w:rPr>
        <w:t>ispru</w:t>
      </w:r>
      <w:r w:rsidR="000A055C" w:rsidRPr="007E6C38">
        <w:rPr>
          <w:rFonts w:ascii="Times New Roman" w:hAnsi="Times New Roman" w:cs="Times New Roman"/>
          <w:sz w:val="24"/>
          <w:szCs w:val="24"/>
        </w:rPr>
        <w:t>dencial entre</w:t>
      </w:r>
      <w:r w:rsidR="005932CA" w:rsidRPr="007E6C38">
        <w:rPr>
          <w:rFonts w:ascii="Times New Roman" w:hAnsi="Times New Roman" w:cs="Times New Roman"/>
          <w:sz w:val="24"/>
          <w:szCs w:val="24"/>
        </w:rPr>
        <w:t xml:space="preserve"> el cumplimiento de</w:t>
      </w:r>
      <w:r w:rsidR="00DA435F" w:rsidRPr="007E6C38">
        <w:rPr>
          <w:rFonts w:ascii="Times New Roman" w:hAnsi="Times New Roman" w:cs="Times New Roman"/>
          <w:sz w:val="24"/>
          <w:szCs w:val="24"/>
        </w:rPr>
        <w:t xml:space="preserve"> los deberes</w:t>
      </w:r>
      <w:r w:rsidR="004205E3" w:rsidRPr="007E6C38">
        <w:rPr>
          <w:rFonts w:ascii="Times New Roman" w:hAnsi="Times New Roman" w:cs="Times New Roman"/>
          <w:sz w:val="24"/>
          <w:szCs w:val="24"/>
        </w:rPr>
        <w:t xml:space="preserve"> formales</w:t>
      </w:r>
      <w:r w:rsidR="00DA435F" w:rsidRPr="007E6C38">
        <w:rPr>
          <w:rFonts w:ascii="Times New Roman" w:hAnsi="Times New Roman" w:cs="Times New Roman"/>
          <w:sz w:val="24"/>
          <w:szCs w:val="24"/>
        </w:rPr>
        <w:t xml:space="preserve"> de información </w:t>
      </w:r>
      <w:proofErr w:type="spellStart"/>
      <w:r w:rsidR="00DA435F" w:rsidRPr="007E6C38">
        <w:rPr>
          <w:rFonts w:ascii="Times New Roman" w:hAnsi="Times New Roman" w:cs="Times New Roman"/>
          <w:sz w:val="24"/>
          <w:szCs w:val="24"/>
        </w:rPr>
        <w:t>precontracual</w:t>
      </w:r>
      <w:proofErr w:type="spellEnd"/>
      <w:r w:rsidR="00DA435F" w:rsidRPr="007E6C38">
        <w:rPr>
          <w:rFonts w:ascii="Times New Roman" w:hAnsi="Times New Roman" w:cs="Times New Roman"/>
          <w:sz w:val="24"/>
          <w:szCs w:val="24"/>
        </w:rPr>
        <w:t xml:space="preserve"> derivad</w:t>
      </w:r>
      <w:r w:rsidR="00234C2A" w:rsidRPr="007E6C38">
        <w:rPr>
          <w:rFonts w:ascii="Times New Roman" w:hAnsi="Times New Roman" w:cs="Times New Roman"/>
          <w:sz w:val="24"/>
          <w:szCs w:val="24"/>
        </w:rPr>
        <w:t>os de la normativa específica sobre</w:t>
      </w:r>
      <w:r w:rsidR="00DA435F" w:rsidRPr="007E6C38">
        <w:rPr>
          <w:rFonts w:ascii="Times New Roman" w:hAnsi="Times New Roman" w:cs="Times New Roman"/>
          <w:sz w:val="24"/>
          <w:szCs w:val="24"/>
        </w:rPr>
        <w:t xml:space="preserve"> transparencia bancaria</w:t>
      </w:r>
      <w:r w:rsidR="004205E3" w:rsidRPr="007E6C38">
        <w:rPr>
          <w:rFonts w:ascii="Times New Roman" w:hAnsi="Times New Roman" w:cs="Times New Roman"/>
          <w:sz w:val="24"/>
          <w:szCs w:val="24"/>
        </w:rPr>
        <w:t xml:space="preserve"> (Orden Ministerial de 5 de mayo de 1994, sobre transparencia de las condiciones financieras de los préstamos hipotecarios, vigente hasta el 28 de abril de 2012 y Orden del Ministerio de Economía y Hacienda 2899/2011, de 28 de octubre, de transparencia y protección del cliente de servicios bancarios)</w:t>
      </w:r>
      <w:r w:rsidR="00234C2A" w:rsidRPr="007E6C38">
        <w:rPr>
          <w:rFonts w:ascii="Times New Roman" w:hAnsi="Times New Roman" w:cs="Times New Roman"/>
          <w:sz w:val="24"/>
          <w:szCs w:val="24"/>
        </w:rPr>
        <w:t xml:space="preserve"> y las más elevadas</w:t>
      </w:r>
      <w:r w:rsidRPr="007E6C38">
        <w:rPr>
          <w:rFonts w:ascii="Times New Roman" w:hAnsi="Times New Roman" w:cs="Times New Roman"/>
          <w:sz w:val="24"/>
          <w:szCs w:val="24"/>
        </w:rPr>
        <w:t xml:space="preserve"> obligac</w:t>
      </w:r>
      <w:r w:rsidR="00DA435F" w:rsidRPr="007E6C38">
        <w:rPr>
          <w:rFonts w:ascii="Times New Roman" w:hAnsi="Times New Roman" w:cs="Times New Roman"/>
          <w:sz w:val="24"/>
          <w:szCs w:val="24"/>
        </w:rPr>
        <w:t>ione</w:t>
      </w:r>
      <w:r w:rsidR="00234C2A" w:rsidRPr="007E6C38">
        <w:rPr>
          <w:rFonts w:ascii="Times New Roman" w:hAnsi="Times New Roman" w:cs="Times New Roman"/>
          <w:sz w:val="24"/>
          <w:szCs w:val="24"/>
        </w:rPr>
        <w:t>s de transparencia material</w:t>
      </w:r>
      <w:r w:rsidR="00923956" w:rsidRPr="007E6C38">
        <w:rPr>
          <w:rFonts w:ascii="Times New Roman" w:hAnsi="Times New Roman" w:cs="Times New Roman"/>
          <w:sz w:val="24"/>
          <w:szCs w:val="24"/>
        </w:rPr>
        <w:t xml:space="preserve"> que, aun no</w:t>
      </w:r>
      <w:r w:rsidR="002D72AE" w:rsidRPr="007E6C38">
        <w:rPr>
          <w:rFonts w:ascii="Times New Roman" w:hAnsi="Times New Roman" w:cs="Times New Roman"/>
          <w:sz w:val="24"/>
          <w:szCs w:val="24"/>
        </w:rPr>
        <w:t xml:space="preserve"> </w:t>
      </w:r>
      <w:proofErr w:type="spellStart"/>
      <w:r w:rsidR="002D72AE" w:rsidRPr="007E6C38">
        <w:rPr>
          <w:rFonts w:ascii="Times New Roman" w:hAnsi="Times New Roman" w:cs="Times New Roman"/>
          <w:sz w:val="24"/>
          <w:szCs w:val="24"/>
        </w:rPr>
        <w:t>positivizadas</w:t>
      </w:r>
      <w:proofErr w:type="spellEnd"/>
      <w:r w:rsidR="002D72AE" w:rsidRPr="007E6C38">
        <w:rPr>
          <w:rFonts w:ascii="Times New Roman" w:hAnsi="Times New Roman" w:cs="Times New Roman"/>
          <w:sz w:val="24"/>
          <w:szCs w:val="24"/>
        </w:rPr>
        <w:t xml:space="preserve"> en una norma jurídica,</w:t>
      </w:r>
      <w:r w:rsidR="00923956" w:rsidRPr="007E6C38">
        <w:rPr>
          <w:rFonts w:ascii="Times New Roman" w:hAnsi="Times New Roman" w:cs="Times New Roman"/>
          <w:sz w:val="24"/>
          <w:szCs w:val="24"/>
        </w:rPr>
        <w:t xml:space="preserve"> se reputaban</w:t>
      </w:r>
      <w:r w:rsidRPr="007E6C38">
        <w:rPr>
          <w:rFonts w:ascii="Times New Roman" w:hAnsi="Times New Roman" w:cs="Times New Roman"/>
          <w:sz w:val="24"/>
          <w:szCs w:val="24"/>
        </w:rPr>
        <w:t xml:space="preserve"> necesarias conforme a la bue</w:t>
      </w:r>
      <w:r w:rsidR="00B204A0" w:rsidRPr="007E6C38">
        <w:rPr>
          <w:rFonts w:ascii="Times New Roman" w:hAnsi="Times New Roman" w:cs="Times New Roman"/>
          <w:sz w:val="24"/>
          <w:szCs w:val="24"/>
        </w:rPr>
        <w:t>na fe para que el cliente adoptase</w:t>
      </w:r>
      <w:r w:rsidRPr="007E6C38">
        <w:rPr>
          <w:rFonts w:ascii="Times New Roman" w:hAnsi="Times New Roman" w:cs="Times New Roman"/>
          <w:sz w:val="24"/>
          <w:szCs w:val="24"/>
        </w:rPr>
        <w:t xml:space="preserve"> su decisión de contratar con pleno conocimiento de causa</w:t>
      </w:r>
      <w:r w:rsidR="00BF3852" w:rsidRPr="007E6C38">
        <w:rPr>
          <w:rFonts w:ascii="Times New Roman" w:hAnsi="Times New Roman" w:cs="Times New Roman"/>
          <w:sz w:val="24"/>
          <w:szCs w:val="24"/>
        </w:rPr>
        <w:t xml:space="preserve"> sobre las consecuencias jurídicas y, sobre todo, económicas del contrato</w:t>
      </w:r>
      <w:r w:rsidR="004205E3" w:rsidRPr="007E6C38">
        <w:rPr>
          <w:rStyle w:val="Refdenotaalpie"/>
          <w:rFonts w:ascii="Times New Roman" w:hAnsi="Times New Roman" w:cs="Times New Roman"/>
          <w:sz w:val="24"/>
          <w:szCs w:val="24"/>
        </w:rPr>
        <w:footnoteReference w:id="2"/>
      </w:r>
      <w:r w:rsidRPr="007E6C38">
        <w:rPr>
          <w:rFonts w:ascii="Times New Roman" w:hAnsi="Times New Roman" w:cs="Times New Roman"/>
          <w:sz w:val="24"/>
          <w:szCs w:val="24"/>
        </w:rPr>
        <w:t>. A pesar de ello, la información precont</w:t>
      </w:r>
      <w:r w:rsidR="00C6438C" w:rsidRPr="007E6C38">
        <w:rPr>
          <w:rFonts w:ascii="Times New Roman" w:hAnsi="Times New Roman" w:cs="Times New Roman"/>
          <w:sz w:val="24"/>
          <w:szCs w:val="24"/>
        </w:rPr>
        <w:t>ractual no puede quedar encorsetada</w:t>
      </w:r>
      <w:r w:rsidRPr="007E6C38">
        <w:rPr>
          <w:rFonts w:ascii="Times New Roman" w:hAnsi="Times New Roman" w:cs="Times New Roman"/>
          <w:sz w:val="24"/>
          <w:szCs w:val="24"/>
        </w:rPr>
        <w:t>, tampoco en la nueva regulación</w:t>
      </w:r>
      <w:r w:rsidR="00DA435F" w:rsidRPr="007E6C38">
        <w:rPr>
          <w:rFonts w:ascii="Times New Roman" w:hAnsi="Times New Roman" w:cs="Times New Roman"/>
          <w:sz w:val="24"/>
          <w:szCs w:val="24"/>
        </w:rPr>
        <w:t>, en</w:t>
      </w:r>
      <w:r w:rsidRPr="007E6C38">
        <w:rPr>
          <w:rFonts w:ascii="Times New Roman" w:hAnsi="Times New Roman" w:cs="Times New Roman"/>
          <w:sz w:val="24"/>
          <w:szCs w:val="24"/>
        </w:rPr>
        <w:t xml:space="preserve"> la entrega de un elenco de documentos estandarizados, pues tanto la Directiva UE/2014/17 (art. 16), como la LC</w:t>
      </w:r>
      <w:r w:rsidR="0030668B" w:rsidRPr="007E6C38">
        <w:rPr>
          <w:rFonts w:ascii="Times New Roman" w:hAnsi="Times New Roman" w:cs="Times New Roman"/>
          <w:sz w:val="24"/>
          <w:szCs w:val="24"/>
        </w:rPr>
        <w:t>CI (</w:t>
      </w:r>
      <w:r w:rsidR="00654E83" w:rsidRPr="007E6C38">
        <w:rPr>
          <w:rFonts w:ascii="Times New Roman" w:hAnsi="Times New Roman" w:cs="Times New Roman"/>
          <w:sz w:val="24"/>
          <w:szCs w:val="24"/>
        </w:rPr>
        <w:t>art. 14</w:t>
      </w:r>
      <w:r w:rsidR="0030668B" w:rsidRPr="007E6C38">
        <w:rPr>
          <w:rFonts w:ascii="Times New Roman" w:hAnsi="Times New Roman" w:cs="Times New Roman"/>
          <w:sz w:val="24"/>
          <w:szCs w:val="24"/>
        </w:rPr>
        <w:t>.2</w:t>
      </w:r>
      <w:r w:rsidRPr="007E6C38">
        <w:rPr>
          <w:rFonts w:ascii="Times New Roman" w:hAnsi="Times New Roman" w:cs="Times New Roman"/>
          <w:sz w:val="24"/>
          <w:szCs w:val="24"/>
        </w:rPr>
        <w:t>) exigen a la entidad prestamista que provea al prestatario de las “explicaciones adecuadas”</w:t>
      </w:r>
      <w:r w:rsidR="00923956" w:rsidRPr="007E6C38">
        <w:rPr>
          <w:rFonts w:ascii="Times New Roman" w:hAnsi="Times New Roman" w:cs="Times New Roman"/>
          <w:sz w:val="24"/>
          <w:szCs w:val="24"/>
        </w:rPr>
        <w:t xml:space="preserve"> </w:t>
      </w:r>
      <w:r w:rsidR="00C6438C" w:rsidRPr="007E6C38">
        <w:rPr>
          <w:rFonts w:ascii="Times New Roman" w:hAnsi="Times New Roman" w:cs="Times New Roman"/>
          <w:sz w:val="24"/>
          <w:szCs w:val="24"/>
        </w:rPr>
        <w:t>y de “toda la información que sea necesaria”, respectivamente,</w:t>
      </w:r>
      <w:r w:rsidRPr="007E6C38">
        <w:rPr>
          <w:rFonts w:ascii="Times New Roman" w:hAnsi="Times New Roman" w:cs="Times New Roman"/>
          <w:sz w:val="24"/>
          <w:szCs w:val="24"/>
        </w:rPr>
        <w:t xml:space="preserve"> sobre los contratos de crédito que se ofrecen, lo que introduce un componente de dinamismo en la obligación precontractual de</w:t>
      </w:r>
      <w:r w:rsidR="00C6438C" w:rsidRPr="007E6C38">
        <w:rPr>
          <w:rFonts w:ascii="Times New Roman" w:hAnsi="Times New Roman" w:cs="Times New Roman"/>
          <w:sz w:val="24"/>
          <w:szCs w:val="24"/>
        </w:rPr>
        <w:t xml:space="preserve"> informar que se sobrepone a una </w:t>
      </w:r>
      <w:r w:rsidRPr="007E6C38">
        <w:rPr>
          <w:rFonts w:ascii="Times New Roman" w:hAnsi="Times New Roman" w:cs="Times New Roman"/>
          <w:sz w:val="24"/>
          <w:szCs w:val="24"/>
        </w:rPr>
        <w:t>mera traslación documental</w:t>
      </w:r>
      <w:r w:rsidR="00C6438C" w:rsidRPr="007E6C38">
        <w:rPr>
          <w:rFonts w:ascii="Times New Roman" w:hAnsi="Times New Roman" w:cs="Times New Roman"/>
          <w:sz w:val="24"/>
          <w:szCs w:val="24"/>
        </w:rPr>
        <w:t xml:space="preserve"> estandarizada</w:t>
      </w:r>
      <w:r w:rsidRPr="007E6C38">
        <w:rPr>
          <w:rFonts w:ascii="Times New Roman" w:hAnsi="Times New Roman" w:cs="Times New Roman"/>
          <w:sz w:val="24"/>
          <w:szCs w:val="24"/>
        </w:rPr>
        <w:t>.</w:t>
      </w:r>
    </w:p>
    <w:p w:rsidR="004205E3" w:rsidRPr="007E6C38" w:rsidRDefault="004205E3"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Ciertamente, las obligaciones de información precontractual en los contratos de crédito inmobiliario no deben quedar fosilizadas en unos documentos formalizados</w:t>
      </w:r>
      <w:r w:rsidR="005932CA" w:rsidRPr="007E6C38">
        <w:rPr>
          <w:rFonts w:ascii="Times New Roman" w:hAnsi="Times New Roman" w:cs="Times New Roman"/>
          <w:sz w:val="24"/>
          <w:szCs w:val="24"/>
        </w:rPr>
        <w:t>,</w:t>
      </w:r>
      <w:r w:rsidRPr="007E6C38">
        <w:rPr>
          <w:rFonts w:ascii="Times New Roman" w:hAnsi="Times New Roman" w:cs="Times New Roman"/>
          <w:sz w:val="24"/>
          <w:szCs w:val="24"/>
        </w:rPr>
        <w:t xml:space="preserve"> porque no se puede descartar la capacidad de innovación en el diseño de las condiciones financieras de futuros productos de crédito que generen en el prestatario problemas típicos de desconocimiento sobre el coste total del crédito todavía hoy impredecibles y porque tanto la FEIN, como la </w:t>
      </w:r>
      <w:proofErr w:type="spellStart"/>
      <w:r w:rsidRPr="007E6C38">
        <w:rPr>
          <w:rFonts w:ascii="Times New Roman" w:hAnsi="Times New Roman" w:cs="Times New Roman"/>
          <w:sz w:val="24"/>
          <w:szCs w:val="24"/>
        </w:rPr>
        <w:t>FiAE</w:t>
      </w:r>
      <w:proofErr w:type="spellEnd"/>
      <w:r w:rsidR="00923956" w:rsidRPr="007E6C38">
        <w:rPr>
          <w:rFonts w:ascii="Times New Roman" w:hAnsi="Times New Roman" w:cs="Times New Roman"/>
          <w:sz w:val="24"/>
          <w:szCs w:val="24"/>
        </w:rPr>
        <w:t>,</w:t>
      </w:r>
      <w:r w:rsidRPr="007E6C38">
        <w:rPr>
          <w:rFonts w:ascii="Times New Roman" w:hAnsi="Times New Roman" w:cs="Times New Roman"/>
          <w:sz w:val="24"/>
          <w:szCs w:val="24"/>
        </w:rPr>
        <w:t xml:space="preserve"> pueden tener, en relación a algunos productos de crédito con una estructura financiera original o extravagante, algunas p</w:t>
      </w:r>
      <w:r w:rsidR="00BF3852" w:rsidRPr="007E6C38">
        <w:rPr>
          <w:rFonts w:ascii="Times New Roman" w:hAnsi="Times New Roman" w:cs="Times New Roman"/>
          <w:sz w:val="24"/>
          <w:szCs w:val="24"/>
        </w:rPr>
        <w:t>orosidades por las que se escabullan</w:t>
      </w:r>
      <w:r w:rsidRPr="007E6C38">
        <w:rPr>
          <w:rFonts w:ascii="Times New Roman" w:hAnsi="Times New Roman" w:cs="Times New Roman"/>
          <w:sz w:val="24"/>
          <w:szCs w:val="24"/>
        </w:rPr>
        <w:t xml:space="preserve"> algunos problemas de falta de información esencial sobre el funcionamiento del crédito en cuestión, que requerirían alguna explicación adicional sobre las características propias de ese concreto producto.</w:t>
      </w:r>
    </w:p>
    <w:p w:rsidR="009D1E5B" w:rsidRPr="007E6C38" w:rsidRDefault="009D1E5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No obs</w:t>
      </w:r>
      <w:r w:rsidR="00187F2A" w:rsidRPr="007E6C38">
        <w:rPr>
          <w:rFonts w:ascii="Times New Roman" w:hAnsi="Times New Roman" w:cs="Times New Roman"/>
          <w:sz w:val="24"/>
          <w:szCs w:val="24"/>
        </w:rPr>
        <w:t>tante, si la exigencia de esas explicaciones adecuadas</w:t>
      </w:r>
      <w:r w:rsidRPr="007E6C38">
        <w:rPr>
          <w:rFonts w:ascii="Times New Roman" w:hAnsi="Times New Roman" w:cs="Times New Roman"/>
          <w:sz w:val="24"/>
          <w:szCs w:val="24"/>
        </w:rPr>
        <w:t xml:space="preserve"> o de informar sobre todo lo que sea necesario se interpretara de una manera extensiva que añada de manera indiscriminada y arbitraria</w:t>
      </w:r>
      <w:r w:rsidR="00187F2A" w:rsidRPr="007E6C38">
        <w:rPr>
          <w:rFonts w:ascii="Times New Roman" w:hAnsi="Times New Roman" w:cs="Times New Roman"/>
          <w:sz w:val="24"/>
          <w:szCs w:val="24"/>
        </w:rPr>
        <w:t xml:space="preserve"> nuevas</w:t>
      </w:r>
      <w:r w:rsidRPr="007E6C38">
        <w:rPr>
          <w:rFonts w:ascii="Times New Roman" w:hAnsi="Times New Roman" w:cs="Times New Roman"/>
          <w:sz w:val="24"/>
          <w:szCs w:val="24"/>
        </w:rPr>
        <w:t xml:space="preserve"> obligaciones de información a las ya recogidas con carácter muy extenso en la FEIN y en la demás doc</w:t>
      </w:r>
      <w:r w:rsidR="00187F2A" w:rsidRPr="007E6C38">
        <w:rPr>
          <w:rFonts w:ascii="Times New Roman" w:hAnsi="Times New Roman" w:cs="Times New Roman"/>
          <w:sz w:val="24"/>
          <w:szCs w:val="24"/>
        </w:rPr>
        <w:t>umental exigida por el art. 14.1</w:t>
      </w:r>
      <w:r w:rsidRPr="007E6C38">
        <w:rPr>
          <w:rFonts w:ascii="Times New Roman" w:hAnsi="Times New Roman" w:cs="Times New Roman"/>
          <w:sz w:val="24"/>
          <w:szCs w:val="24"/>
        </w:rPr>
        <w:t xml:space="preserve"> LCCI, se corre el riesgo de que </w:t>
      </w:r>
      <w:r w:rsidR="00923956" w:rsidRPr="007E6C38">
        <w:rPr>
          <w:rFonts w:ascii="Times New Roman" w:hAnsi="Times New Roman" w:cs="Times New Roman"/>
          <w:sz w:val="24"/>
          <w:szCs w:val="24"/>
        </w:rPr>
        <w:t>se vuelva a producir una indeseable brecha</w:t>
      </w:r>
      <w:r w:rsidRPr="007E6C38">
        <w:rPr>
          <w:rFonts w:ascii="Times New Roman" w:hAnsi="Times New Roman" w:cs="Times New Roman"/>
          <w:sz w:val="24"/>
          <w:szCs w:val="24"/>
        </w:rPr>
        <w:t xml:space="preserve"> entre el deber de transparencia formal o documental y el deber de transparencia material. La interpretación de qué se entienda por explicaciones adecuadas es entonces una válvula que determinará que se abra más o menos el caudal a ulteriores reclamaciones fundadas en falta de transparencia.</w:t>
      </w:r>
    </w:p>
    <w:p w:rsidR="00E975B1" w:rsidRPr="007E6C38" w:rsidRDefault="00662770"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En este artículo </w:t>
      </w:r>
      <w:r w:rsidR="00E975B1" w:rsidRPr="007E6C38">
        <w:rPr>
          <w:rFonts w:ascii="Times New Roman" w:hAnsi="Times New Roman" w:cs="Times New Roman"/>
          <w:sz w:val="24"/>
          <w:szCs w:val="24"/>
        </w:rPr>
        <w:t xml:space="preserve">nos proponemos </w:t>
      </w:r>
      <w:r w:rsidR="00C6438C" w:rsidRPr="007E6C38">
        <w:rPr>
          <w:rFonts w:ascii="Times New Roman" w:hAnsi="Times New Roman" w:cs="Times New Roman"/>
          <w:sz w:val="24"/>
          <w:szCs w:val="24"/>
        </w:rPr>
        <w:t xml:space="preserve">efectuar un análisis de los deberes de información documental a los que se refiere el </w:t>
      </w:r>
      <w:r w:rsidR="00654E83" w:rsidRPr="007E6C38">
        <w:rPr>
          <w:rFonts w:ascii="Times New Roman" w:hAnsi="Times New Roman" w:cs="Times New Roman"/>
          <w:sz w:val="24"/>
          <w:szCs w:val="24"/>
        </w:rPr>
        <w:t>art. 14</w:t>
      </w:r>
      <w:r w:rsidR="00923956" w:rsidRPr="007E6C38">
        <w:rPr>
          <w:rFonts w:ascii="Times New Roman" w:hAnsi="Times New Roman" w:cs="Times New Roman"/>
          <w:sz w:val="24"/>
          <w:szCs w:val="24"/>
        </w:rPr>
        <w:t>.1</w:t>
      </w:r>
      <w:r w:rsidR="00C6438C" w:rsidRPr="007E6C38">
        <w:rPr>
          <w:rFonts w:ascii="Times New Roman" w:hAnsi="Times New Roman" w:cs="Times New Roman"/>
          <w:sz w:val="24"/>
          <w:szCs w:val="24"/>
        </w:rPr>
        <w:t xml:space="preserve"> LCCI y el sentido de las explicaciones adecuadas sobre las características principales del producto que se ofrece que debe completar dicha información. </w:t>
      </w:r>
      <w:r w:rsidR="00A147C7" w:rsidRPr="007E6C38">
        <w:rPr>
          <w:rFonts w:ascii="Times New Roman" w:hAnsi="Times New Roman" w:cs="Times New Roman"/>
          <w:sz w:val="24"/>
          <w:szCs w:val="24"/>
        </w:rPr>
        <w:t>Se estudia</w:t>
      </w:r>
      <w:r w:rsidR="00E975B1" w:rsidRPr="007E6C38">
        <w:rPr>
          <w:rFonts w:ascii="Times New Roman" w:hAnsi="Times New Roman" w:cs="Times New Roman"/>
          <w:sz w:val="24"/>
          <w:szCs w:val="24"/>
        </w:rPr>
        <w:t xml:space="preserve"> la información concreta que tanto en la FEIN, como en la </w:t>
      </w:r>
      <w:proofErr w:type="spellStart"/>
      <w:r w:rsidR="00E975B1" w:rsidRPr="007E6C38">
        <w:rPr>
          <w:rFonts w:ascii="Times New Roman" w:hAnsi="Times New Roman" w:cs="Times New Roman"/>
          <w:sz w:val="24"/>
          <w:szCs w:val="24"/>
        </w:rPr>
        <w:t>FiAE</w:t>
      </w:r>
      <w:proofErr w:type="spellEnd"/>
      <w:r w:rsidR="00E975B1" w:rsidRPr="007E6C38">
        <w:rPr>
          <w:rFonts w:ascii="Times New Roman" w:hAnsi="Times New Roman" w:cs="Times New Roman"/>
          <w:sz w:val="24"/>
          <w:szCs w:val="24"/>
        </w:rPr>
        <w:t xml:space="preserve"> y en los demás documentos a los que se refiere el </w:t>
      </w:r>
      <w:r w:rsidR="00654E83" w:rsidRPr="007E6C38">
        <w:rPr>
          <w:rFonts w:ascii="Times New Roman" w:hAnsi="Times New Roman" w:cs="Times New Roman"/>
          <w:sz w:val="24"/>
          <w:szCs w:val="24"/>
        </w:rPr>
        <w:t>art. 14</w:t>
      </w:r>
      <w:r w:rsidR="00C6438C" w:rsidRPr="007E6C38">
        <w:rPr>
          <w:rFonts w:ascii="Times New Roman" w:hAnsi="Times New Roman" w:cs="Times New Roman"/>
          <w:sz w:val="24"/>
          <w:szCs w:val="24"/>
        </w:rPr>
        <w:t>.1</w:t>
      </w:r>
      <w:r w:rsidR="00AF4E24" w:rsidRPr="007E6C38">
        <w:rPr>
          <w:rFonts w:ascii="Times New Roman" w:hAnsi="Times New Roman" w:cs="Times New Roman"/>
          <w:sz w:val="24"/>
          <w:szCs w:val="24"/>
        </w:rPr>
        <w:t xml:space="preserve"> LCCI</w:t>
      </w:r>
      <w:r w:rsidR="00E975B1" w:rsidRPr="007E6C38">
        <w:rPr>
          <w:rFonts w:ascii="Times New Roman" w:hAnsi="Times New Roman" w:cs="Times New Roman"/>
          <w:sz w:val="24"/>
          <w:szCs w:val="24"/>
        </w:rPr>
        <w:t xml:space="preserve"> ha de aportar </w:t>
      </w:r>
      <w:r w:rsidR="00AF4E24" w:rsidRPr="007E6C38">
        <w:rPr>
          <w:rFonts w:ascii="Times New Roman" w:hAnsi="Times New Roman" w:cs="Times New Roman"/>
          <w:sz w:val="24"/>
          <w:szCs w:val="24"/>
        </w:rPr>
        <w:t xml:space="preserve">la entidad prestamista </w:t>
      </w:r>
      <w:r w:rsidR="00E975B1" w:rsidRPr="007E6C38">
        <w:rPr>
          <w:rFonts w:ascii="Times New Roman" w:hAnsi="Times New Roman" w:cs="Times New Roman"/>
          <w:sz w:val="24"/>
          <w:szCs w:val="24"/>
        </w:rPr>
        <w:t xml:space="preserve">en relación a </w:t>
      </w:r>
      <w:r w:rsidR="009D1E5B" w:rsidRPr="007E6C38">
        <w:rPr>
          <w:rFonts w:ascii="Times New Roman" w:hAnsi="Times New Roman" w:cs="Times New Roman"/>
          <w:sz w:val="24"/>
          <w:szCs w:val="24"/>
        </w:rPr>
        <w:t xml:space="preserve">alguno de los problemas característicos de falta de transparencia en la experiencia española, como </w:t>
      </w:r>
      <w:r w:rsidR="00E975B1" w:rsidRPr="007E6C38">
        <w:rPr>
          <w:rFonts w:ascii="Times New Roman" w:hAnsi="Times New Roman" w:cs="Times New Roman"/>
          <w:sz w:val="24"/>
          <w:szCs w:val="24"/>
        </w:rPr>
        <w:t>las cláusulas suelo, los swaps de tipos de interés, los préstamos en divisas,</w:t>
      </w:r>
      <w:r w:rsidR="00923956" w:rsidRPr="007E6C38">
        <w:rPr>
          <w:rFonts w:ascii="Times New Roman" w:hAnsi="Times New Roman" w:cs="Times New Roman"/>
          <w:sz w:val="24"/>
          <w:szCs w:val="24"/>
        </w:rPr>
        <w:t xml:space="preserve"> los préstamos con índice IRPH,</w:t>
      </w:r>
      <w:r w:rsidR="00E975B1" w:rsidRPr="007E6C38">
        <w:rPr>
          <w:rFonts w:ascii="Times New Roman" w:hAnsi="Times New Roman" w:cs="Times New Roman"/>
          <w:sz w:val="24"/>
          <w:szCs w:val="24"/>
        </w:rPr>
        <w:t xml:space="preserve"> las cláusulas de imputación de gastos y la contratación de servicios accesorios.</w:t>
      </w:r>
      <w:r w:rsidR="00A147C7" w:rsidRPr="007E6C38">
        <w:rPr>
          <w:rFonts w:ascii="Times New Roman" w:hAnsi="Times New Roman" w:cs="Times New Roman"/>
          <w:sz w:val="24"/>
          <w:szCs w:val="24"/>
        </w:rPr>
        <w:t xml:space="preserve"> A partir de ahí, se analizará cuál es el espacio que pueda quedar para la</w:t>
      </w:r>
      <w:r w:rsidR="000A055C" w:rsidRPr="007E6C38">
        <w:rPr>
          <w:rFonts w:ascii="Times New Roman" w:hAnsi="Times New Roman" w:cs="Times New Roman"/>
          <w:sz w:val="24"/>
          <w:szCs w:val="24"/>
        </w:rPr>
        <w:t>s explicaciones adicionales y, en íntima relación con lo anterior,</w:t>
      </w:r>
      <w:r w:rsidR="00E975B1" w:rsidRPr="007E6C38">
        <w:rPr>
          <w:rFonts w:ascii="Times New Roman" w:hAnsi="Times New Roman" w:cs="Times New Roman"/>
          <w:sz w:val="24"/>
          <w:szCs w:val="24"/>
        </w:rPr>
        <w:t xml:space="preserve"> el valor probatorio del acta notarial del </w:t>
      </w:r>
      <w:r w:rsidR="00654E83" w:rsidRPr="007E6C38">
        <w:rPr>
          <w:rFonts w:ascii="Times New Roman" w:hAnsi="Times New Roman" w:cs="Times New Roman"/>
          <w:sz w:val="24"/>
          <w:szCs w:val="24"/>
        </w:rPr>
        <w:t>art. 15</w:t>
      </w:r>
      <w:r w:rsidR="00E975B1" w:rsidRPr="007E6C38">
        <w:rPr>
          <w:rFonts w:ascii="Times New Roman" w:hAnsi="Times New Roman" w:cs="Times New Roman"/>
          <w:sz w:val="24"/>
          <w:szCs w:val="24"/>
        </w:rPr>
        <w:t xml:space="preserve"> LCCI.</w:t>
      </w:r>
      <w:r w:rsidR="000A055C" w:rsidRPr="007E6C38">
        <w:rPr>
          <w:rFonts w:ascii="Times New Roman" w:hAnsi="Times New Roman" w:cs="Times New Roman"/>
          <w:sz w:val="24"/>
          <w:szCs w:val="24"/>
        </w:rPr>
        <w:t xml:space="preserve"> </w:t>
      </w:r>
    </w:p>
    <w:p w:rsidR="002D72AE" w:rsidRPr="007E6C38" w:rsidRDefault="002D72AE" w:rsidP="00F60A8E">
      <w:pPr>
        <w:spacing w:before="120" w:after="120" w:line="360" w:lineRule="auto"/>
        <w:jc w:val="both"/>
        <w:rPr>
          <w:rFonts w:ascii="Times New Roman" w:hAnsi="Times New Roman" w:cs="Times New Roman"/>
          <w:sz w:val="24"/>
          <w:szCs w:val="24"/>
        </w:rPr>
      </w:pPr>
    </w:p>
    <w:p w:rsidR="00187F2A" w:rsidRPr="007E6C38" w:rsidRDefault="009D1E5B"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II</w:t>
      </w:r>
      <w:r w:rsidR="006378E4" w:rsidRPr="007E6C38">
        <w:rPr>
          <w:rFonts w:ascii="Times New Roman" w:hAnsi="Times New Roman" w:cs="Times New Roman"/>
          <w:b/>
          <w:sz w:val="24"/>
          <w:szCs w:val="24"/>
        </w:rPr>
        <w:t xml:space="preserve">. </w:t>
      </w:r>
      <w:r w:rsidRPr="007E6C38">
        <w:rPr>
          <w:rFonts w:ascii="Times New Roman" w:hAnsi="Times New Roman" w:cs="Times New Roman"/>
          <w:b/>
          <w:sz w:val="24"/>
          <w:szCs w:val="24"/>
        </w:rPr>
        <w:t>LA FICHA EUROPEA DE INFORMACIÓN NORMALIZADA</w:t>
      </w:r>
    </w:p>
    <w:p w:rsidR="0007678B" w:rsidRPr="007E6C38" w:rsidRDefault="008B227D"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2.1 La FEIN como instrumento de armonización de la información precontractual</w:t>
      </w:r>
    </w:p>
    <w:p w:rsidR="002C2B34" w:rsidRPr="007E6C38" w:rsidRDefault="002C2B34"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Directiva 2014/17/UE tiene entre sus finalidades la de contribuir a desarrollar un mercado interior del crédito inmobiliario más transparente, eficiente y competitivo</w:t>
      </w:r>
      <w:r w:rsidR="00952D83" w:rsidRPr="007E6C38">
        <w:rPr>
          <w:rFonts w:ascii="Times New Roman" w:hAnsi="Times New Roman" w:cs="Times New Roman"/>
          <w:sz w:val="24"/>
          <w:szCs w:val="24"/>
        </w:rPr>
        <w:t xml:space="preserve"> (Considerando 6)</w:t>
      </w:r>
      <w:r w:rsidRPr="007E6C38">
        <w:rPr>
          <w:rFonts w:ascii="Times New Roman" w:hAnsi="Times New Roman" w:cs="Times New Roman"/>
          <w:sz w:val="24"/>
          <w:szCs w:val="24"/>
        </w:rPr>
        <w:t>. Para conseguir este objetivo establece una regulación armonizada sobre la información precontractual a proporcionar a los prestatarios, que fomente la accesibilidad y comparabilidad de las distintas ofertas de crédito en todos los Estados de la Unión, a través de la Ficha Europea de Información Normalizada o FEIN, a la que se refiere en su art. 14 y</w:t>
      </w:r>
      <w:r w:rsidR="005D5ED4" w:rsidRPr="007E6C38">
        <w:rPr>
          <w:rFonts w:ascii="Times New Roman" w:hAnsi="Times New Roman" w:cs="Times New Roman"/>
          <w:sz w:val="24"/>
          <w:szCs w:val="24"/>
        </w:rPr>
        <w:t xml:space="preserve"> cuyo modelo recoge con su contenido y estructura en</w:t>
      </w:r>
      <w:r w:rsidRPr="007E6C38">
        <w:rPr>
          <w:rFonts w:ascii="Times New Roman" w:hAnsi="Times New Roman" w:cs="Times New Roman"/>
          <w:sz w:val="24"/>
          <w:szCs w:val="24"/>
        </w:rPr>
        <w:t xml:space="preserve"> su Anexo II. Se trata de un documento en formato estandarizado en el que se recoge de manera ordenada y estructurada en distintos apartados</w:t>
      </w:r>
      <w:r w:rsidR="00187F2A" w:rsidRPr="007E6C38">
        <w:rPr>
          <w:rFonts w:ascii="Times New Roman" w:hAnsi="Times New Roman" w:cs="Times New Roman"/>
          <w:sz w:val="24"/>
          <w:szCs w:val="24"/>
        </w:rPr>
        <w:t xml:space="preserve"> o secciones</w:t>
      </w:r>
      <w:r w:rsidRPr="007E6C38">
        <w:rPr>
          <w:rFonts w:ascii="Times New Roman" w:hAnsi="Times New Roman" w:cs="Times New Roman"/>
          <w:sz w:val="24"/>
          <w:szCs w:val="24"/>
        </w:rPr>
        <w:t xml:space="preserve"> la información esencial sobre el crédito, en especial sobre su coste total, que el legislador comunitario ha considerado necesaria para que los prestatarios puedan comparar las distintas ofertas de créditos disponibles en el mercado para tomar una decisión fundada sobre la conveniencia de celebrar o no un contrato de crédito</w:t>
      </w:r>
      <w:r w:rsidRPr="007E6C38">
        <w:rPr>
          <w:rStyle w:val="Refdenotaalpie"/>
          <w:rFonts w:ascii="Times New Roman" w:hAnsi="Times New Roman" w:cs="Times New Roman"/>
          <w:sz w:val="24"/>
          <w:szCs w:val="24"/>
        </w:rPr>
        <w:footnoteReference w:id="3"/>
      </w:r>
      <w:r w:rsidRPr="007E6C38">
        <w:rPr>
          <w:rFonts w:ascii="Times New Roman" w:hAnsi="Times New Roman" w:cs="Times New Roman"/>
          <w:sz w:val="24"/>
          <w:szCs w:val="24"/>
        </w:rPr>
        <w:t>.</w:t>
      </w:r>
    </w:p>
    <w:p w:rsidR="003A00FD" w:rsidRPr="007E6C38" w:rsidRDefault="002C2B34"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A fin de fomentar un verdadero mercado interior del crédito inmobiliario en el que los prestatarios puedan comparar entre las distin</w:t>
      </w:r>
      <w:r w:rsidR="00187F2A" w:rsidRPr="007E6C38">
        <w:rPr>
          <w:rFonts w:ascii="Times New Roman" w:hAnsi="Times New Roman" w:cs="Times New Roman"/>
          <w:sz w:val="24"/>
          <w:szCs w:val="24"/>
        </w:rPr>
        <w:t>tas ofertas de crédito sobre la</w:t>
      </w:r>
      <w:r w:rsidRPr="007E6C38">
        <w:rPr>
          <w:rFonts w:ascii="Times New Roman" w:hAnsi="Times New Roman" w:cs="Times New Roman"/>
          <w:sz w:val="24"/>
          <w:szCs w:val="24"/>
        </w:rPr>
        <w:t xml:space="preserve"> base de una información uniforme</w:t>
      </w:r>
      <w:r w:rsidR="00923956" w:rsidRPr="007E6C38">
        <w:rPr>
          <w:rFonts w:ascii="Times New Roman" w:hAnsi="Times New Roman" w:cs="Times New Roman"/>
          <w:sz w:val="24"/>
          <w:szCs w:val="24"/>
        </w:rPr>
        <w:t>,</w:t>
      </w:r>
      <w:r w:rsidRPr="007E6C38">
        <w:rPr>
          <w:rFonts w:ascii="Times New Roman" w:hAnsi="Times New Roman" w:cs="Times New Roman"/>
          <w:sz w:val="24"/>
          <w:szCs w:val="24"/>
        </w:rPr>
        <w:t xml:space="preserve"> independientemente de cuál sea la ley que resu</w:t>
      </w:r>
      <w:r w:rsidR="007A771B" w:rsidRPr="007E6C38">
        <w:rPr>
          <w:rFonts w:ascii="Times New Roman" w:hAnsi="Times New Roman" w:cs="Times New Roman"/>
          <w:sz w:val="24"/>
          <w:szCs w:val="24"/>
        </w:rPr>
        <w:t>lta aplicable al contrato, la  D</w:t>
      </w:r>
      <w:r w:rsidRPr="007E6C38">
        <w:rPr>
          <w:rFonts w:ascii="Times New Roman" w:hAnsi="Times New Roman" w:cs="Times New Roman"/>
          <w:sz w:val="24"/>
          <w:szCs w:val="24"/>
        </w:rPr>
        <w:t xml:space="preserve">irectiva 2014/17/UE establece un nivel máximo de armonización tanto en relación al formato de la FEIN (art. 14 y </w:t>
      </w:r>
      <w:proofErr w:type="spellStart"/>
      <w:r w:rsidRPr="007E6C38">
        <w:rPr>
          <w:rFonts w:ascii="Times New Roman" w:hAnsi="Times New Roman" w:cs="Times New Roman"/>
          <w:sz w:val="24"/>
          <w:szCs w:val="24"/>
        </w:rPr>
        <w:t>Axexo</w:t>
      </w:r>
      <w:proofErr w:type="spellEnd"/>
      <w:r w:rsidRPr="007E6C38">
        <w:rPr>
          <w:rFonts w:ascii="Times New Roman" w:hAnsi="Times New Roman" w:cs="Times New Roman"/>
          <w:sz w:val="24"/>
          <w:szCs w:val="24"/>
        </w:rPr>
        <w:t xml:space="preserve"> II), como al cálculo de la Tasa Anual Equivalente (en adelante TAE), (art. 17, apartados 1 a 5, 7 y 8 y Anexo I), de tal manera que los ordenamientos nacionales no pueden introducir en las respectivas normas de transposición ninguna modificación respecto a lo previsto en dichas disposiciones (art. 2.2). Por esta raz</w:t>
      </w:r>
      <w:r w:rsidR="00FC622F" w:rsidRPr="007E6C38">
        <w:rPr>
          <w:rFonts w:ascii="Times New Roman" w:hAnsi="Times New Roman" w:cs="Times New Roman"/>
          <w:sz w:val="24"/>
          <w:szCs w:val="24"/>
        </w:rPr>
        <w:t>ón, el Anexo I de</w:t>
      </w:r>
      <w:r w:rsidR="007A771B" w:rsidRPr="007E6C38">
        <w:rPr>
          <w:rFonts w:ascii="Times New Roman" w:hAnsi="Times New Roman" w:cs="Times New Roman"/>
          <w:sz w:val="24"/>
          <w:szCs w:val="24"/>
        </w:rPr>
        <w:t xml:space="preserve"> la LCCI, sobre la Ficha Europea de Información Normalizada,</w:t>
      </w:r>
      <w:r w:rsidR="008B227D" w:rsidRPr="007E6C38">
        <w:rPr>
          <w:rFonts w:ascii="Times New Roman" w:hAnsi="Times New Roman" w:cs="Times New Roman"/>
          <w:sz w:val="24"/>
          <w:szCs w:val="24"/>
        </w:rPr>
        <w:t xml:space="preserve"> resulta</w:t>
      </w:r>
      <w:r w:rsidR="003A00FD" w:rsidRPr="007E6C38">
        <w:rPr>
          <w:rFonts w:ascii="Times New Roman" w:hAnsi="Times New Roman" w:cs="Times New Roman"/>
          <w:sz w:val="24"/>
          <w:szCs w:val="24"/>
        </w:rPr>
        <w:t xml:space="preserve"> innecesario o bien debería haberse limitado a ser una mera </w:t>
      </w:r>
      <w:r w:rsidR="007A771B" w:rsidRPr="007E6C38">
        <w:rPr>
          <w:rFonts w:ascii="Times New Roman" w:hAnsi="Times New Roman" w:cs="Times New Roman"/>
          <w:sz w:val="24"/>
          <w:szCs w:val="24"/>
        </w:rPr>
        <w:t>traslación del Anexo II</w:t>
      </w:r>
      <w:r w:rsidR="003A00FD" w:rsidRPr="007E6C38">
        <w:rPr>
          <w:rFonts w:ascii="Times New Roman" w:hAnsi="Times New Roman" w:cs="Times New Roman"/>
          <w:sz w:val="24"/>
          <w:szCs w:val="24"/>
        </w:rPr>
        <w:t xml:space="preserve"> (sobre la FEIN)</w:t>
      </w:r>
      <w:r w:rsidR="007A771B" w:rsidRPr="007E6C38">
        <w:rPr>
          <w:rFonts w:ascii="Times New Roman" w:hAnsi="Times New Roman" w:cs="Times New Roman"/>
          <w:sz w:val="24"/>
          <w:szCs w:val="24"/>
        </w:rPr>
        <w:t xml:space="preserve"> de la Directiva 2014/17/UE.</w:t>
      </w:r>
      <w:r w:rsidR="003A00FD" w:rsidRPr="007E6C38">
        <w:rPr>
          <w:rFonts w:ascii="Times New Roman" w:hAnsi="Times New Roman" w:cs="Times New Roman"/>
          <w:sz w:val="24"/>
          <w:szCs w:val="24"/>
        </w:rPr>
        <w:t xml:space="preserve"> Sin embargo, el legislador español</w:t>
      </w:r>
      <w:r w:rsidR="00952D83" w:rsidRPr="007E6C38">
        <w:rPr>
          <w:rFonts w:ascii="Times New Roman" w:hAnsi="Times New Roman" w:cs="Times New Roman"/>
          <w:sz w:val="24"/>
          <w:szCs w:val="24"/>
        </w:rPr>
        <w:t xml:space="preserve"> ha procedido a hacer una mezcolanza</w:t>
      </w:r>
      <w:r w:rsidR="003A00FD" w:rsidRPr="007E6C38">
        <w:rPr>
          <w:rFonts w:ascii="Times New Roman" w:hAnsi="Times New Roman" w:cs="Times New Roman"/>
          <w:sz w:val="24"/>
          <w:szCs w:val="24"/>
        </w:rPr>
        <w:t xml:space="preserve"> de la Parte A (Modelo de la FEIN) y de la Parte B (Instrucciones para cumplimentar la FEIN) del Anexo II de la Directiva 17/2014/UE que, desde </w:t>
      </w:r>
      <w:r w:rsidR="00AE3597" w:rsidRPr="007E6C38">
        <w:rPr>
          <w:rFonts w:ascii="Times New Roman" w:hAnsi="Times New Roman" w:cs="Times New Roman"/>
          <w:sz w:val="24"/>
          <w:szCs w:val="24"/>
        </w:rPr>
        <w:t>luego, no lo mejora en claridad</w:t>
      </w:r>
      <w:r w:rsidR="003A00FD" w:rsidRPr="007E6C38">
        <w:rPr>
          <w:rFonts w:ascii="Times New Roman" w:hAnsi="Times New Roman" w:cs="Times New Roman"/>
          <w:sz w:val="24"/>
          <w:szCs w:val="24"/>
        </w:rPr>
        <w:t xml:space="preserve"> y que</w:t>
      </w:r>
      <w:r w:rsidR="00AE3597" w:rsidRPr="007E6C38">
        <w:rPr>
          <w:rFonts w:ascii="Times New Roman" w:hAnsi="Times New Roman" w:cs="Times New Roman"/>
          <w:sz w:val="24"/>
          <w:szCs w:val="24"/>
        </w:rPr>
        <w:t>,</w:t>
      </w:r>
      <w:r w:rsidR="003A00FD" w:rsidRPr="007E6C38">
        <w:rPr>
          <w:rFonts w:ascii="Times New Roman" w:hAnsi="Times New Roman" w:cs="Times New Roman"/>
          <w:sz w:val="24"/>
          <w:szCs w:val="24"/>
        </w:rPr>
        <w:t xml:space="preserve"> además, en lo que hipotéticamente pudiera alterar el contenido de aquel Anexo</w:t>
      </w:r>
      <w:r w:rsidR="00AE3597" w:rsidRPr="007E6C38">
        <w:rPr>
          <w:rFonts w:ascii="Times New Roman" w:hAnsi="Times New Roman" w:cs="Times New Roman"/>
          <w:sz w:val="24"/>
          <w:szCs w:val="24"/>
        </w:rPr>
        <w:t xml:space="preserve"> II de la Directiva 2014/17/UE</w:t>
      </w:r>
      <w:r w:rsidR="003A00FD" w:rsidRPr="007E6C38">
        <w:rPr>
          <w:rFonts w:ascii="Times New Roman" w:hAnsi="Times New Roman" w:cs="Times New Roman"/>
          <w:sz w:val="24"/>
          <w:szCs w:val="24"/>
        </w:rPr>
        <w:t>, no será vinculante, dado el nivel máximo de armonización al que ya nos hemos referido.</w:t>
      </w:r>
    </w:p>
    <w:p w:rsidR="007A771B" w:rsidRPr="007E6C38" w:rsidRDefault="008B227D"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2.2 La información sobre el coste del crédito</w:t>
      </w:r>
      <w:r w:rsidR="007A771B" w:rsidRPr="007E6C38">
        <w:rPr>
          <w:rFonts w:ascii="Times New Roman" w:hAnsi="Times New Roman" w:cs="Times New Roman"/>
          <w:b/>
          <w:sz w:val="24"/>
          <w:szCs w:val="24"/>
        </w:rPr>
        <w:t xml:space="preserve"> en la FEIN</w:t>
      </w:r>
      <w:r w:rsidRPr="007E6C38">
        <w:rPr>
          <w:rFonts w:ascii="Times New Roman" w:hAnsi="Times New Roman" w:cs="Times New Roman"/>
          <w:b/>
          <w:sz w:val="24"/>
          <w:szCs w:val="24"/>
        </w:rPr>
        <w:t>. La importancia de la TAE</w:t>
      </w:r>
    </w:p>
    <w:p w:rsidR="007A771B" w:rsidRPr="007E6C38" w:rsidRDefault="007A771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la FEIN, la información sobre el coste del crédito, se establece primordialmente con referencia a la TAE (Sección 4, Anexo I LCCI “Tipo de interés y otros gastos”), quedando relegada en importancia la información sobre el tipo de interés nominal, como un mero componente más de la TAE. Sin embargo, en la práctica del mercado hipotecario español, el elemento de comparación entre distintas ofertas por antonomasia ha sido el tipo de interés nominal.</w:t>
      </w:r>
    </w:p>
    <w:p w:rsidR="00CB2868" w:rsidRPr="00A83F46" w:rsidRDefault="00AE3597"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Con la preponderancia de la TAE</w:t>
      </w:r>
      <w:r w:rsidR="007A771B" w:rsidRPr="007E6C38">
        <w:rPr>
          <w:rFonts w:ascii="Times New Roman" w:hAnsi="Times New Roman" w:cs="Times New Roman"/>
          <w:sz w:val="24"/>
          <w:szCs w:val="24"/>
        </w:rPr>
        <w:t xml:space="preserve"> se persigue que el cliente tenga un mejor elemento de comparación sobre el coste real del crédito, puesto que en el cálculo de la TAE se incluye no solamente el tipo de interés nominal, sino también otros gastos que el deudor deba abonar en relación con el contrato de crédito. Sin embargo, en los créditos a interés variable, al calcularse la TAE con referencia a las condiciones existentes en el momento de la celebración del contrato</w:t>
      </w:r>
      <w:r w:rsidR="00CB2868" w:rsidRPr="007E6C38">
        <w:rPr>
          <w:rFonts w:ascii="Times New Roman" w:hAnsi="Times New Roman" w:cs="Times New Roman"/>
          <w:sz w:val="24"/>
          <w:szCs w:val="24"/>
        </w:rPr>
        <w:t xml:space="preserve"> y partiendo del supuesto de que el tipo deudor y los demás gastos se mantendrán sin cambios con respecto al nivel fijado en el momento de la celebración del contrato </w:t>
      </w:r>
      <w:r w:rsidR="007A771B" w:rsidRPr="007E6C38">
        <w:rPr>
          <w:rFonts w:ascii="Times New Roman" w:hAnsi="Times New Roman" w:cs="Times New Roman"/>
          <w:sz w:val="24"/>
          <w:szCs w:val="24"/>
        </w:rPr>
        <w:t>(art. 17.4</w:t>
      </w:r>
      <w:r w:rsidR="00CB2868" w:rsidRPr="007E6C38">
        <w:rPr>
          <w:rFonts w:ascii="Times New Roman" w:hAnsi="Times New Roman" w:cs="Times New Roman"/>
          <w:sz w:val="24"/>
          <w:szCs w:val="24"/>
        </w:rPr>
        <w:t xml:space="preserve"> de la D</w:t>
      </w:r>
      <w:r w:rsidR="007A771B" w:rsidRPr="007E6C38">
        <w:rPr>
          <w:rFonts w:ascii="Times New Roman" w:hAnsi="Times New Roman" w:cs="Times New Roman"/>
          <w:sz w:val="24"/>
          <w:szCs w:val="24"/>
        </w:rPr>
        <w:t>irectiva 2014/17/UE</w:t>
      </w:r>
      <w:r w:rsidR="00CB2868" w:rsidRPr="007E6C38">
        <w:rPr>
          <w:rFonts w:ascii="Times New Roman" w:hAnsi="Times New Roman" w:cs="Times New Roman"/>
          <w:sz w:val="24"/>
          <w:szCs w:val="24"/>
        </w:rPr>
        <w:t xml:space="preserve"> y art. 6.4 LCCI </w:t>
      </w:r>
      <w:r w:rsidR="007A771B" w:rsidRPr="007E6C38">
        <w:rPr>
          <w:rFonts w:ascii="Times New Roman" w:hAnsi="Times New Roman" w:cs="Times New Roman"/>
          <w:sz w:val="24"/>
          <w:szCs w:val="24"/>
        </w:rPr>
        <w:t>), se corre el riesgo de que pase inadvertido para el cliente el hecho de que el tipo deud</w:t>
      </w:r>
      <w:r w:rsidRPr="007E6C38">
        <w:rPr>
          <w:rFonts w:ascii="Times New Roman" w:hAnsi="Times New Roman" w:cs="Times New Roman"/>
          <w:sz w:val="24"/>
          <w:szCs w:val="24"/>
        </w:rPr>
        <w:t>or varíe</w:t>
      </w:r>
      <w:r w:rsidR="007A771B" w:rsidRPr="007E6C38">
        <w:rPr>
          <w:rFonts w:ascii="Times New Roman" w:hAnsi="Times New Roman" w:cs="Times New Roman"/>
          <w:sz w:val="24"/>
          <w:szCs w:val="24"/>
        </w:rPr>
        <w:t xml:space="preserve"> durante la vigencia del crédito</w:t>
      </w:r>
      <w:r w:rsidR="007A771B" w:rsidRPr="007E6C38">
        <w:rPr>
          <w:rStyle w:val="Refdenotaalpie"/>
          <w:rFonts w:ascii="Times New Roman" w:hAnsi="Times New Roman" w:cs="Times New Roman"/>
          <w:sz w:val="24"/>
          <w:szCs w:val="24"/>
        </w:rPr>
        <w:footnoteReference w:id="4"/>
      </w:r>
      <w:r w:rsidRPr="007E6C38">
        <w:rPr>
          <w:rFonts w:ascii="Times New Roman" w:hAnsi="Times New Roman" w:cs="Times New Roman"/>
          <w:sz w:val="24"/>
          <w:szCs w:val="24"/>
        </w:rPr>
        <w:t>. Por ello, de acuerdo con las exigencias de los arts. 17.6 de la Directiva 2014/1</w:t>
      </w:r>
      <w:r w:rsidR="008B227D" w:rsidRPr="007E6C38">
        <w:rPr>
          <w:rFonts w:ascii="Times New Roman" w:hAnsi="Times New Roman" w:cs="Times New Roman"/>
          <w:sz w:val="24"/>
          <w:szCs w:val="24"/>
        </w:rPr>
        <w:t xml:space="preserve">7/UE y  6.6 LCCI, en la </w:t>
      </w:r>
      <w:r w:rsidR="008B227D" w:rsidRPr="00481B68">
        <w:rPr>
          <w:rFonts w:ascii="Times New Roman" w:hAnsi="Times New Roman" w:cs="Times New Roman"/>
          <w:color w:val="FF0000"/>
          <w:sz w:val="24"/>
          <w:szCs w:val="24"/>
        </w:rPr>
        <w:t>Sección</w:t>
      </w:r>
      <w:r w:rsidRPr="00481B68">
        <w:rPr>
          <w:rFonts w:ascii="Times New Roman" w:hAnsi="Times New Roman" w:cs="Times New Roman"/>
          <w:color w:val="FF0000"/>
          <w:sz w:val="24"/>
          <w:szCs w:val="24"/>
        </w:rPr>
        <w:t xml:space="preserve"> 4</w:t>
      </w:r>
      <w:r w:rsidR="008B227D" w:rsidRPr="00481B68">
        <w:rPr>
          <w:rFonts w:ascii="Times New Roman" w:hAnsi="Times New Roman" w:cs="Times New Roman"/>
          <w:color w:val="FF0000"/>
          <w:sz w:val="24"/>
          <w:szCs w:val="24"/>
        </w:rPr>
        <w:t>ª</w:t>
      </w:r>
      <w:r w:rsidRPr="00481B68">
        <w:rPr>
          <w:rFonts w:ascii="Times New Roman" w:hAnsi="Times New Roman" w:cs="Times New Roman"/>
          <w:color w:val="FF0000"/>
          <w:sz w:val="24"/>
          <w:szCs w:val="24"/>
        </w:rPr>
        <w:t xml:space="preserve"> de la FEIN</w:t>
      </w:r>
      <w:r w:rsidR="007A771B" w:rsidRPr="00481B68">
        <w:rPr>
          <w:rFonts w:ascii="Times New Roman" w:hAnsi="Times New Roman" w:cs="Times New Roman"/>
          <w:color w:val="FF0000"/>
          <w:sz w:val="24"/>
          <w:szCs w:val="24"/>
        </w:rPr>
        <w:t xml:space="preserve"> </w:t>
      </w:r>
      <w:r w:rsidR="007A771B" w:rsidRPr="007E6C38">
        <w:rPr>
          <w:rFonts w:ascii="Times New Roman" w:hAnsi="Times New Roman" w:cs="Times New Roman"/>
          <w:sz w:val="24"/>
          <w:szCs w:val="24"/>
        </w:rPr>
        <w:t>se exige que se incluya la hipótesis empleada para el cálculo de la TAE (</w:t>
      </w:r>
      <w:r w:rsidR="00CB2868" w:rsidRPr="007E6C38">
        <w:rPr>
          <w:rFonts w:ascii="Times New Roman" w:hAnsi="Times New Roman" w:cs="Times New Roman"/>
          <w:sz w:val="24"/>
          <w:szCs w:val="24"/>
        </w:rPr>
        <w:t xml:space="preserve">esto es, el </w:t>
      </w:r>
      <w:r w:rsidR="007A771B" w:rsidRPr="007E6C38">
        <w:rPr>
          <w:rFonts w:ascii="Times New Roman" w:hAnsi="Times New Roman" w:cs="Times New Roman"/>
          <w:sz w:val="24"/>
          <w:szCs w:val="24"/>
        </w:rPr>
        <w:t xml:space="preserve">índice de referencia en vigor al tiempo de elaboración de la FEIN), la posible existencia de límites al alza y a la baja y </w:t>
      </w:r>
      <w:r w:rsidR="007A771B" w:rsidRPr="00481B68">
        <w:rPr>
          <w:rFonts w:ascii="Times New Roman" w:hAnsi="Times New Roman" w:cs="Times New Roman"/>
          <w:color w:val="FF0000"/>
          <w:sz w:val="24"/>
          <w:szCs w:val="24"/>
        </w:rPr>
        <w:t>una advertencia con caracteres destacados de que la variación del tipo de interés nominal puede afectar a la TAE</w:t>
      </w:r>
      <w:r w:rsidR="007A771B" w:rsidRPr="007E6C38">
        <w:rPr>
          <w:rFonts w:ascii="Times New Roman" w:hAnsi="Times New Roman" w:cs="Times New Roman"/>
          <w:sz w:val="24"/>
          <w:szCs w:val="24"/>
        </w:rPr>
        <w:t xml:space="preserve">, acompañada de un ejemplo representativo, calculado de acuerdo con el límite al alza, si lo hubiera, o en otro caso, </w:t>
      </w:r>
      <w:r w:rsidR="007A771B" w:rsidRPr="00481B68">
        <w:rPr>
          <w:rFonts w:ascii="Times New Roman" w:hAnsi="Times New Roman" w:cs="Times New Roman"/>
          <w:color w:val="FF0000"/>
          <w:sz w:val="24"/>
          <w:szCs w:val="24"/>
        </w:rPr>
        <w:t>con arreglo al tipo deudor máximo en los último</w:t>
      </w:r>
      <w:r w:rsidRPr="00481B68">
        <w:rPr>
          <w:rFonts w:ascii="Times New Roman" w:hAnsi="Times New Roman" w:cs="Times New Roman"/>
          <w:color w:val="FF0000"/>
          <w:sz w:val="24"/>
          <w:szCs w:val="24"/>
        </w:rPr>
        <w:t>s</w:t>
      </w:r>
      <w:r w:rsidR="008B227D" w:rsidRPr="00481B68">
        <w:rPr>
          <w:rFonts w:ascii="Times New Roman" w:hAnsi="Times New Roman" w:cs="Times New Roman"/>
          <w:color w:val="FF0000"/>
          <w:sz w:val="24"/>
          <w:szCs w:val="24"/>
        </w:rPr>
        <w:t xml:space="preserve"> 20 años.</w:t>
      </w:r>
      <w:r w:rsidR="008B227D" w:rsidRPr="007E6C38">
        <w:rPr>
          <w:rFonts w:ascii="Times New Roman" w:hAnsi="Times New Roman" w:cs="Times New Roman"/>
          <w:sz w:val="24"/>
          <w:szCs w:val="24"/>
        </w:rPr>
        <w:t xml:space="preserve"> Además, </w:t>
      </w:r>
      <w:r w:rsidR="008B227D" w:rsidRPr="00A83F46">
        <w:rPr>
          <w:rFonts w:ascii="Times New Roman" w:hAnsi="Times New Roman" w:cs="Times New Roman"/>
          <w:color w:val="FF0000"/>
          <w:sz w:val="24"/>
          <w:szCs w:val="24"/>
        </w:rPr>
        <w:t>en la Sección 6ª</w:t>
      </w:r>
      <w:r w:rsidRPr="00A83F46">
        <w:rPr>
          <w:rFonts w:ascii="Times New Roman" w:hAnsi="Times New Roman" w:cs="Times New Roman"/>
          <w:color w:val="FF0000"/>
          <w:sz w:val="24"/>
          <w:szCs w:val="24"/>
        </w:rPr>
        <w:t xml:space="preserve"> de la FEIN relativo</w:t>
      </w:r>
      <w:r w:rsidR="007A771B" w:rsidRPr="00A83F46">
        <w:rPr>
          <w:rFonts w:ascii="Times New Roman" w:hAnsi="Times New Roman" w:cs="Times New Roman"/>
          <w:color w:val="FF0000"/>
          <w:sz w:val="24"/>
          <w:szCs w:val="24"/>
        </w:rPr>
        <w:t xml:space="preserve"> a la cuota se debe advertir expresamente de que la cuota inicial del préstamo puede variar en caso de variación del tipo de interés, con un ejemplo representativo, calculado conforme a los parámetros ya expresados.</w:t>
      </w:r>
    </w:p>
    <w:p w:rsidR="00CB2868" w:rsidRPr="007E6C38" w:rsidRDefault="00CB286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adición a todo ello y por si estas advertencias en la FEIN sobre la variabilidad del tipo de interés no fueran suf</w:t>
      </w:r>
      <w:r w:rsidR="008B227D" w:rsidRPr="007E6C38">
        <w:rPr>
          <w:rFonts w:ascii="Times New Roman" w:hAnsi="Times New Roman" w:cs="Times New Roman"/>
          <w:sz w:val="24"/>
          <w:szCs w:val="24"/>
        </w:rPr>
        <w:t>icientes, el legislador español</w:t>
      </w:r>
      <w:r w:rsidRPr="007E6C38">
        <w:rPr>
          <w:rFonts w:ascii="Times New Roman" w:hAnsi="Times New Roman" w:cs="Times New Roman"/>
          <w:sz w:val="24"/>
          <w:szCs w:val="24"/>
        </w:rPr>
        <w:t xml:space="preserve"> ha exigido en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.1.c) LCCI que, en caso de tratarse de un préstamo a </w:t>
      </w:r>
      <w:r w:rsidRPr="00481B68">
        <w:rPr>
          <w:rFonts w:ascii="Times New Roman" w:hAnsi="Times New Roman" w:cs="Times New Roman"/>
          <w:color w:val="FF0000"/>
          <w:sz w:val="24"/>
          <w:szCs w:val="24"/>
        </w:rPr>
        <w:t>tipo de interés variable, como documentación adicional a la FEIN se haga entrega de un anexo con simulaciones de las cuotas periódicas a satisfacer por el prestatario en diferentes escenarios de evolución de los tipos de interés</w:t>
      </w:r>
      <w:r w:rsidR="008B227D" w:rsidRPr="007E6C38">
        <w:rPr>
          <w:rFonts w:ascii="Times New Roman" w:hAnsi="Times New Roman" w:cs="Times New Roman"/>
          <w:sz w:val="24"/>
          <w:szCs w:val="24"/>
        </w:rPr>
        <w:t>.</w:t>
      </w:r>
      <w:r w:rsidR="00B06D93" w:rsidRPr="007E6C38">
        <w:rPr>
          <w:rFonts w:ascii="Times New Roman" w:hAnsi="Times New Roman" w:cs="Times New Roman"/>
          <w:sz w:val="24"/>
          <w:szCs w:val="24"/>
        </w:rPr>
        <w:t xml:space="preserve"> </w:t>
      </w:r>
    </w:p>
    <w:p w:rsidR="00CB2868" w:rsidRPr="007E6C38" w:rsidRDefault="00CB286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Otro hándicap de la </w:t>
      </w:r>
      <w:r w:rsidRPr="00481B68">
        <w:rPr>
          <w:rFonts w:ascii="Times New Roman" w:hAnsi="Times New Roman" w:cs="Times New Roman"/>
          <w:color w:val="FF0000"/>
          <w:sz w:val="24"/>
          <w:szCs w:val="24"/>
        </w:rPr>
        <w:t>TAE c</w:t>
      </w:r>
      <w:r w:rsidRPr="007E6C38">
        <w:rPr>
          <w:rFonts w:ascii="Times New Roman" w:hAnsi="Times New Roman" w:cs="Times New Roman"/>
          <w:sz w:val="24"/>
          <w:szCs w:val="24"/>
        </w:rPr>
        <w:t xml:space="preserve">omo elemento de comparación del coste total de las distintas ofertas de crédito hipotecario es la indeterminación de los </w:t>
      </w:r>
      <w:r w:rsidRPr="00481B68">
        <w:rPr>
          <w:rFonts w:ascii="Times New Roman" w:hAnsi="Times New Roman" w:cs="Times New Roman"/>
          <w:color w:val="FF0000"/>
          <w:sz w:val="24"/>
          <w:szCs w:val="24"/>
        </w:rPr>
        <w:t>costes que se integran en ella</w:t>
      </w:r>
      <w:r w:rsidRPr="007E6C38">
        <w:rPr>
          <w:rFonts w:ascii="Times New Roman" w:hAnsi="Times New Roman" w:cs="Times New Roman"/>
          <w:sz w:val="24"/>
          <w:szCs w:val="24"/>
        </w:rPr>
        <w:t xml:space="preserve">. El art. 4. Apartado 15 de la Directiva 2014/17/UE, lejos de establecer un elenco concreto de los conceptos que se integran en la TAE, se ha limitado a definirla como </w:t>
      </w:r>
      <w:r w:rsidRPr="007E6C38">
        <w:rPr>
          <w:rFonts w:ascii="Times New Roman" w:hAnsi="Times New Roman" w:cs="Times New Roman"/>
          <w:i/>
          <w:sz w:val="24"/>
          <w:szCs w:val="24"/>
        </w:rPr>
        <w:t xml:space="preserve">“el coste total del crédito para el consumidor, expresado como porcentaje anual del importe total del crédito concedido, más los costes contemplados en el artículo 17, apartado 2, si ha lugar”. </w:t>
      </w:r>
      <w:r w:rsidRPr="007E6C38">
        <w:rPr>
          <w:rFonts w:ascii="Times New Roman" w:hAnsi="Times New Roman" w:cs="Times New Roman"/>
          <w:sz w:val="24"/>
          <w:szCs w:val="24"/>
        </w:rPr>
        <w:t>Por la referencia que el citado precepto realiza al art. 17.2 de la directiva 2014/17/UE se consideran integrados en la TAE, en el supuesto de que la concesión del crédito este supeditada a la apertura o mantenimiento de una cuenta, los costes de apertura y mantenimiento de dicha cuenta,</w:t>
      </w:r>
      <w:r w:rsidR="00FC622F" w:rsidRPr="007E6C38">
        <w:rPr>
          <w:rFonts w:ascii="Times New Roman" w:hAnsi="Times New Roman" w:cs="Times New Roman"/>
          <w:sz w:val="24"/>
          <w:szCs w:val="24"/>
        </w:rPr>
        <w:t xml:space="preserve"> así como los</w:t>
      </w:r>
      <w:r w:rsidRPr="007E6C38">
        <w:rPr>
          <w:rFonts w:ascii="Times New Roman" w:hAnsi="Times New Roman" w:cs="Times New Roman"/>
          <w:sz w:val="24"/>
          <w:szCs w:val="24"/>
        </w:rPr>
        <w:t xml:space="preserve"> de utilización de un medio de pago para transacciones y operaciones de disposición de crédito y los demás costes relativos a las operaciones de pago, como así ha reflejado también el art. 6.2 de la LCCI.</w:t>
      </w:r>
    </w:p>
    <w:p w:rsidR="00CB2868" w:rsidRPr="007E6C38" w:rsidRDefault="00CB286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Respecto a los demás conceptos que integran el coste total del crédito, el art. 4. Apartado 13 de la directiva 2014/17/UE se remite al artículo 3, letra g), de la Directiva 2008/48/CE</w:t>
      </w:r>
      <w:r w:rsidR="00FC622F" w:rsidRPr="007E6C38">
        <w:rPr>
          <w:rFonts w:ascii="Times New Roman" w:hAnsi="Times New Roman" w:cs="Times New Roman"/>
          <w:sz w:val="24"/>
          <w:szCs w:val="24"/>
        </w:rPr>
        <w:t>, de 23 de abril de 2008.</w:t>
      </w:r>
      <w:r w:rsidRPr="007E6C38">
        <w:rPr>
          <w:rFonts w:ascii="Times New Roman" w:hAnsi="Times New Roman" w:cs="Times New Roman"/>
          <w:sz w:val="24"/>
          <w:szCs w:val="24"/>
        </w:rPr>
        <w:t xml:space="preserve"> relativa a contratos de crédito al consumo</w:t>
      </w:r>
      <w:r w:rsidR="00B06D93" w:rsidRPr="007E6C38">
        <w:rPr>
          <w:rFonts w:ascii="Times New Roman" w:hAnsi="Times New Roman" w:cs="Times New Roman"/>
          <w:sz w:val="24"/>
          <w:szCs w:val="24"/>
        </w:rPr>
        <w:t>, según el cual</w:t>
      </w:r>
      <w:r w:rsidRPr="007E6C38">
        <w:rPr>
          <w:rFonts w:ascii="Times New Roman" w:hAnsi="Times New Roman" w:cs="Times New Roman"/>
          <w:sz w:val="24"/>
          <w:szCs w:val="24"/>
        </w:rPr>
        <w:t>: “</w:t>
      </w:r>
      <w:r w:rsidRPr="007E6C38">
        <w:rPr>
          <w:rFonts w:ascii="Times New Roman" w:hAnsi="Times New Roman" w:cs="Times New Roman"/>
          <w:i/>
          <w:sz w:val="24"/>
          <w:szCs w:val="24"/>
        </w:rPr>
        <w:t>todos los gastos, incluidos los intereses, las comisiones, los impuestos y cualquier otro tipo de gastos que el consumidor deba pagar en relación con el contrato de crédito y que sean conocidos por el prestamista, con excepción de los gastos de notaría; el coste de los servicios accesorios relacionados con el contrato de crédito, en particular las primas de seguros, se incluye asimismo en este concepto si, además, la celebración del contrato de servicios es obligatoria para obtener el crédito o para obtenerlo en las condiciones ofrecidas”.</w:t>
      </w:r>
      <w:r w:rsidRPr="007E6C38">
        <w:rPr>
          <w:rFonts w:ascii="Times New Roman" w:hAnsi="Times New Roman" w:cs="Times New Roman"/>
          <w:sz w:val="24"/>
          <w:szCs w:val="24"/>
        </w:rPr>
        <w:t xml:space="preserve"> El art. 4. Apartado 13 de la directiva 2014/17/UE añade a estos gastos incluidos en la TAE los de tasación del inmueble cuando dicha tasación sea necesaria para la concesión del crédito y, por el contrario, excluye las tasas del registro para la transmisión de la propiedad</w:t>
      </w:r>
      <w:r w:rsidR="008B227D" w:rsidRPr="007E6C38">
        <w:rPr>
          <w:rFonts w:ascii="Times New Roman" w:hAnsi="Times New Roman" w:cs="Times New Roman"/>
          <w:sz w:val="24"/>
          <w:szCs w:val="24"/>
        </w:rPr>
        <w:t xml:space="preserve"> –que no de la inscripción del</w:t>
      </w:r>
      <w:r w:rsidR="00B06D93" w:rsidRPr="007E6C38">
        <w:rPr>
          <w:rFonts w:ascii="Times New Roman" w:hAnsi="Times New Roman" w:cs="Times New Roman"/>
          <w:sz w:val="24"/>
          <w:szCs w:val="24"/>
        </w:rPr>
        <w:t xml:space="preserve"> derecho real de hipoteca-</w:t>
      </w:r>
      <w:r w:rsidRPr="007E6C38">
        <w:rPr>
          <w:rFonts w:ascii="Times New Roman" w:hAnsi="Times New Roman" w:cs="Times New Roman"/>
          <w:sz w:val="24"/>
          <w:szCs w:val="24"/>
        </w:rPr>
        <w:t xml:space="preserve"> del bien. Por su parte, el Considerando 50 de la directiva 2014/17/UE enumera también entre los gastos integrados en el coste total del crédito los de remuneración de intermediarios.</w:t>
      </w:r>
    </w:p>
    <w:p w:rsidR="00B06D93" w:rsidRPr="00EC09FD" w:rsidRDefault="00B06D93" w:rsidP="00F60A8E">
      <w:pPr>
        <w:spacing w:before="120" w:after="120" w:line="360" w:lineRule="auto"/>
        <w:jc w:val="both"/>
        <w:rPr>
          <w:rFonts w:ascii="Times New Roman" w:hAnsi="Times New Roman" w:cs="Times New Roman"/>
          <w:b/>
          <w:color w:val="FF0000"/>
          <w:sz w:val="24"/>
          <w:szCs w:val="24"/>
        </w:rPr>
      </w:pPr>
      <w:r w:rsidRPr="007E6C38">
        <w:rPr>
          <w:rFonts w:ascii="Times New Roman" w:hAnsi="Times New Roman" w:cs="Times New Roman"/>
          <w:sz w:val="24"/>
          <w:szCs w:val="24"/>
        </w:rPr>
        <w:t>El conocim</w:t>
      </w:r>
      <w:r w:rsidR="00187F2A" w:rsidRPr="007E6C38">
        <w:rPr>
          <w:rFonts w:ascii="Times New Roman" w:hAnsi="Times New Roman" w:cs="Times New Roman"/>
          <w:sz w:val="24"/>
          <w:szCs w:val="24"/>
        </w:rPr>
        <w:t>iento por el prestamista</w:t>
      </w:r>
      <w:r w:rsidR="008B227D" w:rsidRPr="007E6C38">
        <w:rPr>
          <w:rFonts w:ascii="Times New Roman" w:hAnsi="Times New Roman" w:cs="Times New Roman"/>
          <w:sz w:val="24"/>
          <w:szCs w:val="24"/>
        </w:rPr>
        <w:t xml:space="preserve"> del importe de los gastos por comisiones, intereses, impuestos, remuneración de intermediarios, tasación, seguros y demás servicios accesorios es la</w:t>
      </w:r>
      <w:r w:rsidRPr="007E6C38">
        <w:rPr>
          <w:rFonts w:ascii="Times New Roman" w:hAnsi="Times New Roman" w:cs="Times New Roman"/>
          <w:sz w:val="24"/>
          <w:szCs w:val="24"/>
        </w:rPr>
        <w:t xml:space="preserve"> premisa para su inclusi</w:t>
      </w:r>
      <w:r w:rsidR="00187F2A" w:rsidRPr="007E6C38">
        <w:rPr>
          <w:rFonts w:ascii="Times New Roman" w:hAnsi="Times New Roman" w:cs="Times New Roman"/>
          <w:sz w:val="24"/>
          <w:szCs w:val="24"/>
        </w:rPr>
        <w:t>ón en la TAE</w:t>
      </w:r>
      <w:r w:rsidRPr="007E6C38">
        <w:rPr>
          <w:rFonts w:ascii="Times New Roman" w:hAnsi="Times New Roman" w:cs="Times New Roman"/>
          <w:sz w:val="24"/>
          <w:szCs w:val="24"/>
        </w:rPr>
        <w:t xml:space="preserve">, como expresamente dispone el art. 3, letra g), de la directiva 2008/48/CE (al que recordemos se remite el art. 4. Apartado 13 de la directiva 2014/17/UE) </w:t>
      </w:r>
      <w:r w:rsidR="008B227D" w:rsidRPr="007E6C38">
        <w:rPr>
          <w:rFonts w:ascii="Times New Roman" w:hAnsi="Times New Roman" w:cs="Times New Roman"/>
          <w:sz w:val="24"/>
          <w:szCs w:val="24"/>
        </w:rPr>
        <w:t xml:space="preserve">y </w:t>
      </w:r>
      <w:r w:rsidRPr="007E6C38">
        <w:rPr>
          <w:rFonts w:ascii="Times New Roman" w:hAnsi="Times New Roman" w:cs="Times New Roman"/>
          <w:sz w:val="24"/>
          <w:szCs w:val="24"/>
        </w:rPr>
        <w:t>el Considerando 50 de la directiva 2014/17/UE. Lógicamente, el interés del prestamista será el de incluir en el cálculo de l</w:t>
      </w:r>
      <w:r w:rsidR="00187F2A" w:rsidRPr="007E6C38">
        <w:rPr>
          <w:rFonts w:ascii="Times New Roman" w:hAnsi="Times New Roman" w:cs="Times New Roman"/>
          <w:sz w:val="24"/>
          <w:szCs w:val="24"/>
        </w:rPr>
        <w:t>a TAE la menor cantidad posible</w:t>
      </w:r>
      <w:r w:rsidRPr="007E6C38">
        <w:rPr>
          <w:rFonts w:ascii="Times New Roman" w:hAnsi="Times New Roman" w:cs="Times New Roman"/>
          <w:sz w:val="24"/>
          <w:szCs w:val="24"/>
        </w:rPr>
        <w:t xml:space="preserve"> de gast</w:t>
      </w:r>
      <w:r w:rsidR="00187F2A" w:rsidRPr="007E6C38">
        <w:rPr>
          <w:rFonts w:ascii="Times New Roman" w:hAnsi="Times New Roman" w:cs="Times New Roman"/>
          <w:sz w:val="24"/>
          <w:szCs w:val="24"/>
        </w:rPr>
        <w:t>os asociados al crédito</w:t>
      </w:r>
      <w:r w:rsidRPr="007E6C38">
        <w:rPr>
          <w:rFonts w:ascii="Times New Roman" w:hAnsi="Times New Roman" w:cs="Times New Roman"/>
          <w:sz w:val="24"/>
          <w:szCs w:val="24"/>
        </w:rPr>
        <w:t>, para de esta manera presentar la oferta de crédito de la forma más atractiva al cliente, pero esto puede ocasionar una alteración del valor de la oferta en el merca</w:t>
      </w:r>
      <w:r w:rsidR="008B227D" w:rsidRPr="007E6C38">
        <w:rPr>
          <w:rFonts w:ascii="Times New Roman" w:hAnsi="Times New Roman" w:cs="Times New Roman"/>
          <w:sz w:val="24"/>
          <w:szCs w:val="24"/>
        </w:rPr>
        <w:t>do y una distorsión competitiva</w:t>
      </w:r>
      <w:r w:rsidRPr="007E6C38">
        <w:rPr>
          <w:rFonts w:ascii="Times New Roman" w:hAnsi="Times New Roman" w:cs="Times New Roman"/>
          <w:sz w:val="24"/>
          <w:szCs w:val="24"/>
        </w:rPr>
        <w:t xml:space="preserve">. En este sentido, para evitar la mala fe o la arbitrariedad de la entidad prestamista en la exclusión de ciertos gastos de la TAE, dispone el Considerando 50 que el conocimiento real de los gastos que posee el prestamista –y que por lo tanto, deben incluirse en la TAE- debe evaluarse de forma objetiva, teniendo en cuenta los requisitos en materia de diligencia profesional y que </w:t>
      </w:r>
      <w:r w:rsidRPr="00481B68">
        <w:rPr>
          <w:rFonts w:ascii="Times New Roman" w:hAnsi="Times New Roman" w:cs="Times New Roman"/>
          <w:color w:val="FF0000"/>
          <w:sz w:val="24"/>
          <w:szCs w:val="24"/>
        </w:rPr>
        <w:t>debe suponerse que el prestamista conoce el coste de los servicios accesorios que ofrece al consumidor, personalmente o en nombre de un tercero, salvo si el precio está en función de las características específicas del consumidor o de su situa</w:t>
      </w:r>
      <w:r w:rsidR="00FC622F" w:rsidRPr="00481B68">
        <w:rPr>
          <w:rFonts w:ascii="Times New Roman" w:hAnsi="Times New Roman" w:cs="Times New Roman"/>
          <w:color w:val="FF0000"/>
          <w:sz w:val="24"/>
          <w:szCs w:val="24"/>
        </w:rPr>
        <w:t xml:space="preserve">ción particular, </w:t>
      </w:r>
      <w:r w:rsidR="00FC622F" w:rsidRPr="00EC09FD">
        <w:rPr>
          <w:rFonts w:ascii="Times New Roman" w:hAnsi="Times New Roman" w:cs="Times New Roman"/>
          <w:b/>
          <w:color w:val="FF0000"/>
          <w:sz w:val="24"/>
          <w:szCs w:val="24"/>
        </w:rPr>
        <w:t>lo que ocurrirá principalmente en relación a</w:t>
      </w:r>
      <w:r w:rsidRPr="00EC09FD">
        <w:rPr>
          <w:rFonts w:ascii="Times New Roman" w:hAnsi="Times New Roman" w:cs="Times New Roman"/>
          <w:b/>
          <w:color w:val="FF0000"/>
          <w:sz w:val="24"/>
          <w:szCs w:val="24"/>
        </w:rPr>
        <w:t xml:space="preserve"> los seguros de amortización.</w:t>
      </w:r>
    </w:p>
    <w:p w:rsidR="00B06D93" w:rsidRPr="00481B68" w:rsidRDefault="00B06D93"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 xml:space="preserve">De acuerdo con lo anteriormente dicho, no todas las ofertas de crédito inmobiliario incluirán en la TAE los mismos conceptos, por lo que para mejorar la comparabilidad real de las ofertas </w:t>
      </w:r>
      <w:r w:rsidRPr="00481B68">
        <w:rPr>
          <w:rFonts w:ascii="Times New Roman" w:hAnsi="Times New Roman" w:cs="Times New Roman"/>
          <w:color w:val="FF0000"/>
          <w:sz w:val="24"/>
          <w:szCs w:val="24"/>
        </w:rPr>
        <w:t xml:space="preserve">es importante que el deudor conozca cuáles son los gastos que se han incluido en el cálculo de la TAE </w:t>
      </w:r>
      <w:r w:rsidRPr="007E6C38">
        <w:rPr>
          <w:rFonts w:ascii="Times New Roman" w:hAnsi="Times New Roman" w:cs="Times New Roman"/>
          <w:sz w:val="24"/>
          <w:szCs w:val="24"/>
        </w:rPr>
        <w:t xml:space="preserve">y cuáles, aun siendo gastos propios del deudor, han quedado fuera </w:t>
      </w:r>
      <w:r w:rsidR="00FC622F" w:rsidRPr="007E6C38">
        <w:rPr>
          <w:rFonts w:ascii="Times New Roman" w:hAnsi="Times New Roman" w:cs="Times New Roman"/>
          <w:sz w:val="24"/>
          <w:szCs w:val="24"/>
        </w:rPr>
        <w:t xml:space="preserve">de su </w:t>
      </w:r>
      <w:proofErr w:type="gramStart"/>
      <w:r w:rsidR="00FC622F" w:rsidRPr="007E6C38">
        <w:rPr>
          <w:rFonts w:ascii="Times New Roman" w:hAnsi="Times New Roman" w:cs="Times New Roman"/>
          <w:sz w:val="24"/>
          <w:szCs w:val="24"/>
        </w:rPr>
        <w:t>cálculo</w:t>
      </w:r>
      <w:proofErr w:type="gramEnd"/>
      <w:r w:rsidR="00FC622F" w:rsidRPr="007E6C38">
        <w:rPr>
          <w:rFonts w:ascii="Times New Roman" w:hAnsi="Times New Roman" w:cs="Times New Roman"/>
          <w:sz w:val="24"/>
          <w:szCs w:val="24"/>
        </w:rPr>
        <w:t xml:space="preserve"> por desconocer su </w:t>
      </w:r>
      <w:r w:rsidRPr="007E6C38">
        <w:rPr>
          <w:rFonts w:ascii="Times New Roman" w:hAnsi="Times New Roman" w:cs="Times New Roman"/>
          <w:sz w:val="24"/>
          <w:szCs w:val="24"/>
        </w:rPr>
        <w:t xml:space="preserve">coste el prestamista. A tal efecto, </w:t>
      </w:r>
      <w:r w:rsidRPr="00481B68">
        <w:rPr>
          <w:rFonts w:ascii="Times New Roman" w:hAnsi="Times New Roman" w:cs="Times New Roman"/>
          <w:color w:val="FF0000"/>
          <w:sz w:val="24"/>
          <w:szCs w:val="24"/>
        </w:rPr>
        <w:t>en la Sección 4ª de la FEIN se ha de especificar cuáles son los gastos que, además del tipo de interés deudor, se comprenden en el cálculo de la TAE, distinguiéndose entre los que deben abonarse sólo una vez y los que deben abonarse periódicamente</w:t>
      </w:r>
      <w:r w:rsidR="003A00FD" w:rsidRPr="00481B68">
        <w:rPr>
          <w:rFonts w:ascii="Times New Roman" w:hAnsi="Times New Roman" w:cs="Times New Roman"/>
          <w:color w:val="FF0000"/>
          <w:sz w:val="24"/>
          <w:szCs w:val="24"/>
        </w:rPr>
        <w:t xml:space="preserve"> </w:t>
      </w:r>
      <w:r w:rsidR="003A00FD" w:rsidRPr="007E6C38">
        <w:rPr>
          <w:rFonts w:ascii="Times New Roman" w:hAnsi="Times New Roman" w:cs="Times New Roman"/>
          <w:sz w:val="24"/>
          <w:szCs w:val="24"/>
        </w:rPr>
        <w:t>y, entre estos, los que estén incluidos en las cuotas y los que no lo estén</w:t>
      </w:r>
      <w:r w:rsidRPr="007E6C38">
        <w:rPr>
          <w:rFonts w:ascii="Times New Roman" w:hAnsi="Times New Roman" w:cs="Times New Roman"/>
          <w:sz w:val="24"/>
          <w:szCs w:val="24"/>
        </w:rPr>
        <w:t xml:space="preserve">. </w:t>
      </w:r>
      <w:r w:rsidRPr="00481B68">
        <w:rPr>
          <w:rFonts w:ascii="Times New Roman" w:hAnsi="Times New Roman" w:cs="Times New Roman"/>
          <w:color w:val="FF0000"/>
          <w:sz w:val="24"/>
          <w:szCs w:val="24"/>
        </w:rPr>
        <w:t>Igualmente, se debe hacer referencia a los gastos propios del deudor que son desconocidos por el prestamista y que no se incluyen en la TAE.</w:t>
      </w:r>
    </w:p>
    <w:p w:rsidR="003A00FD" w:rsidRPr="007E6C38" w:rsidRDefault="003A00F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información sobre el coste total del crédito que proporciona la FEIN se complementa</w:t>
      </w:r>
      <w:r w:rsidR="00187F2A" w:rsidRPr="007E6C38">
        <w:rPr>
          <w:rFonts w:ascii="Times New Roman" w:hAnsi="Times New Roman" w:cs="Times New Roman"/>
          <w:sz w:val="24"/>
          <w:szCs w:val="24"/>
        </w:rPr>
        <w:t xml:space="preserve"> con la mención en la Sección 3ª</w:t>
      </w:r>
      <w:r w:rsidRPr="007E6C38">
        <w:rPr>
          <w:rFonts w:ascii="Times New Roman" w:hAnsi="Times New Roman" w:cs="Times New Roman"/>
          <w:sz w:val="24"/>
          <w:szCs w:val="24"/>
        </w:rPr>
        <w:t xml:space="preserve"> (Características principales del préstamo) sobre el importe total a reembolsar durante la vigencia del préstamo al prestamista y la cantidad que habrá que devolver relación por cada euro (o en su caso divisa del préstamo) que se tome prestado.</w:t>
      </w:r>
      <w:r w:rsidR="009055CE" w:rsidRPr="007E6C38">
        <w:rPr>
          <w:rFonts w:ascii="Times New Roman" w:hAnsi="Times New Roman" w:cs="Times New Roman"/>
          <w:sz w:val="24"/>
          <w:szCs w:val="24"/>
        </w:rPr>
        <w:t xml:space="preserve"> En apartados sucesivos en este trabajo se analizará la información que consta en la FEIN sobre los límites mínimos a las variaciones del tipo de interés, los préstamos en divisas, lo índices empleados en préstamos a interés variable, la distribución de los gastos del préstamo y los costes por los servicios accesorios.</w:t>
      </w:r>
    </w:p>
    <w:p w:rsidR="002D72AE" w:rsidRPr="007E6C38" w:rsidRDefault="002D72AE" w:rsidP="00F60A8E">
      <w:pPr>
        <w:spacing w:before="120" w:after="120" w:line="360" w:lineRule="auto"/>
        <w:jc w:val="both"/>
        <w:rPr>
          <w:rFonts w:ascii="Times New Roman" w:hAnsi="Times New Roman" w:cs="Times New Roman"/>
          <w:sz w:val="24"/>
          <w:szCs w:val="24"/>
        </w:rPr>
      </w:pPr>
    </w:p>
    <w:p w:rsidR="00DA435F" w:rsidRPr="007E6C38" w:rsidRDefault="00187F2A"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 xml:space="preserve">III. LA DOCUMENTACIÓN </w:t>
      </w:r>
      <w:r w:rsidR="00B8580F" w:rsidRPr="007E6C38">
        <w:rPr>
          <w:rFonts w:ascii="Times New Roman" w:hAnsi="Times New Roman" w:cs="Times New Roman"/>
          <w:b/>
          <w:sz w:val="24"/>
          <w:szCs w:val="24"/>
        </w:rPr>
        <w:t xml:space="preserve">COMPLEMENTARIA A LA FEIN </w:t>
      </w:r>
    </w:p>
    <w:p w:rsidR="003A00FD" w:rsidRPr="007E6C38" w:rsidRDefault="00B8580F"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w:t>
      </w:r>
      <w:r w:rsidR="003A00FD" w:rsidRPr="007E6C38">
        <w:rPr>
          <w:rFonts w:ascii="Times New Roman" w:hAnsi="Times New Roman" w:cs="Times New Roman"/>
          <w:sz w:val="24"/>
          <w:szCs w:val="24"/>
        </w:rPr>
        <w:t>a Directiva 17/2014/UE</w:t>
      </w:r>
      <w:r w:rsidR="00EE3FAF" w:rsidRPr="007E6C38">
        <w:rPr>
          <w:rFonts w:ascii="Times New Roman" w:hAnsi="Times New Roman" w:cs="Times New Roman"/>
          <w:sz w:val="24"/>
          <w:szCs w:val="24"/>
        </w:rPr>
        <w:t>,</w:t>
      </w:r>
      <w:r w:rsidR="003A00FD" w:rsidRPr="007E6C38">
        <w:rPr>
          <w:rFonts w:ascii="Times New Roman" w:hAnsi="Times New Roman" w:cs="Times New Roman"/>
          <w:sz w:val="24"/>
          <w:szCs w:val="24"/>
        </w:rPr>
        <w:t xml:space="preserve"> aun habiendo proclamado el nivel de armonización máxima respecto a la FEIN, concede un cierto grado de flexibilidad a los ordenamientos nacionales al facultar a los Estados (art. 14.8) a que impongan obligaciones de información precontractual adicional a las previstas en la FEIN, siempre y cuando se haga en un documento anexo a la FEIN, facultad que ha aprovechado el legislador español en el </w:t>
      </w:r>
      <w:r w:rsidR="00654E83" w:rsidRPr="007E6C38">
        <w:rPr>
          <w:rFonts w:ascii="Times New Roman" w:hAnsi="Times New Roman" w:cs="Times New Roman"/>
          <w:sz w:val="24"/>
          <w:szCs w:val="24"/>
        </w:rPr>
        <w:t>art. 14</w:t>
      </w:r>
      <w:r w:rsidR="00704A2A" w:rsidRPr="007E6C38">
        <w:rPr>
          <w:rFonts w:ascii="Times New Roman" w:hAnsi="Times New Roman" w:cs="Times New Roman"/>
          <w:sz w:val="24"/>
          <w:szCs w:val="24"/>
        </w:rPr>
        <w:t>.1</w:t>
      </w:r>
      <w:r w:rsidR="003A00FD" w:rsidRPr="007E6C38">
        <w:rPr>
          <w:rFonts w:ascii="Times New Roman" w:hAnsi="Times New Roman" w:cs="Times New Roman"/>
          <w:sz w:val="24"/>
          <w:szCs w:val="24"/>
        </w:rPr>
        <w:t xml:space="preserve"> LCCI para acomodar las exigencias de información a las particularidades del mercado hipotecario español, a través de la </w:t>
      </w:r>
      <w:proofErr w:type="spellStart"/>
      <w:r w:rsidR="003A00FD" w:rsidRPr="007E6C38">
        <w:rPr>
          <w:rFonts w:ascii="Times New Roman" w:hAnsi="Times New Roman" w:cs="Times New Roman"/>
          <w:sz w:val="24"/>
          <w:szCs w:val="24"/>
        </w:rPr>
        <w:t>FiAE</w:t>
      </w:r>
      <w:proofErr w:type="spellEnd"/>
      <w:r w:rsidR="003A00FD" w:rsidRPr="007E6C38">
        <w:rPr>
          <w:rFonts w:ascii="Times New Roman" w:hAnsi="Times New Roman" w:cs="Times New Roman"/>
          <w:sz w:val="24"/>
          <w:szCs w:val="24"/>
        </w:rPr>
        <w:t xml:space="preserve"> y de la demás documentación requerida.</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Y es que una armonización comunitaria estricta del marco de la información precontractual en el</w:t>
      </w:r>
      <w:r w:rsidR="00AE3597" w:rsidRPr="007E6C38">
        <w:rPr>
          <w:rFonts w:ascii="Times New Roman" w:hAnsi="Times New Roman" w:cs="Times New Roman"/>
          <w:sz w:val="24"/>
          <w:szCs w:val="24"/>
        </w:rPr>
        <w:t xml:space="preserve"> crédito inmobiliario resultaría inconveniente,</w:t>
      </w:r>
      <w:r w:rsidRPr="007E6C38">
        <w:rPr>
          <w:rFonts w:ascii="Times New Roman" w:hAnsi="Times New Roman" w:cs="Times New Roman"/>
          <w:sz w:val="24"/>
          <w:szCs w:val="24"/>
        </w:rPr>
        <w:t xml:space="preserve"> pues actuaría sobre mercados nacionales de créditos inmobiliarios muy heterogéneos, entre los que difieren notablemente los productos crediticios más usuales, y respecto de los que, en consecuencia, se generan necesidades de información precontractual sobre aspectos muy diversos. La práctica de cada mercado hipotecario nacional ha generado problemas de falta</w:t>
      </w:r>
      <w:r w:rsidR="00EE3FAF" w:rsidRPr="007E6C38">
        <w:rPr>
          <w:rFonts w:ascii="Times New Roman" w:hAnsi="Times New Roman" w:cs="Times New Roman"/>
          <w:sz w:val="24"/>
          <w:szCs w:val="24"/>
        </w:rPr>
        <w:t xml:space="preserve"> información autóctonos</w:t>
      </w:r>
      <w:r w:rsidRPr="007E6C38">
        <w:rPr>
          <w:rFonts w:ascii="Times New Roman" w:hAnsi="Times New Roman" w:cs="Times New Roman"/>
          <w:sz w:val="24"/>
          <w:szCs w:val="24"/>
        </w:rPr>
        <w:t xml:space="preserve"> que pueden no tener traslación en otros mercados hipotecarios, de conformidad con los tipos de productos crediticios que en cada uno de ellos se ofrecen. </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En la práctica hipotecaria española, en la que son mayoritarios los préstamos a interés variable, los déficits de información sobre el coste del crédito que más problemas han generado en los deudores son los que están vinculados al riesgo de variabilidad del tipo de interés. A la cabeza de ellos, obviamente por su importancia cuantitativa, el establecimiento de límites mínimos a las variaciones del tipo de interés o cláusulas suelo, pero también, la contratación de permutas de tipo de interés o swaps vinculadas a préstamos hipotecarios, la estipulación de índices de referencia distintos del Euríbor que resultan más altos que aquel (IRPH-Cajas, Bancos o Entidades o Tipo Activo de las Operaciones de Crédito de las Cajas de Ahorro), o la contratación de </w:t>
      </w:r>
      <w:r w:rsidRPr="00481B68">
        <w:rPr>
          <w:rFonts w:ascii="Times New Roman" w:hAnsi="Times New Roman" w:cs="Times New Roman"/>
          <w:color w:val="FF0000"/>
          <w:sz w:val="24"/>
          <w:szCs w:val="24"/>
        </w:rPr>
        <w:t>préstamos a interés variable con cuota fija e indeterminación de su duración (las llamadas “hipotecas tranquilidad”).</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Todos estos problemas no tienen la misma trascendencia en otros mercados nacionales de créditos inmobiliarios en los que tenga un mayor predominio la contratación de préstamos a interés fijo. Como corolario de lo anterior, la Directiva 17/2014/UE no ha atribuido a los problemas reseñados de falta de información propios del mercado hipotecario español una relevancia preponderante y, sin embargo, se muestra mucho más preocupada por la información precontractual que se preste en relación a otras cuestiones, como la de los riesgos propios de los préstamos concertados en divisas –problema éste también muy significativo en el mercado hipotecario español- la de los gastos asociados al préstamo y la del coste de los servicios accesorios. </w:t>
      </w:r>
    </w:p>
    <w:p w:rsidR="005D061C" w:rsidRPr="00481B68" w:rsidRDefault="00187F2A"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Esto es, la D</w:t>
      </w:r>
      <w:r w:rsidR="005D061C" w:rsidRPr="007E6C38">
        <w:rPr>
          <w:rFonts w:ascii="Times New Roman" w:hAnsi="Times New Roman" w:cs="Times New Roman"/>
          <w:sz w:val="24"/>
          <w:szCs w:val="24"/>
        </w:rPr>
        <w:t>irectiva 17/2014/UE ha plasmado cuál es la información precontractual necesaria que ha de contenerse en la FEIN por insaculación de los distintos problemas de información observados en la práctica de los distintos mercados nacionales del crédito hipotecario</w:t>
      </w:r>
      <w:r w:rsidR="005D061C" w:rsidRPr="007E6C38">
        <w:rPr>
          <w:rStyle w:val="Refdenotaalpie"/>
          <w:rFonts w:ascii="Times New Roman" w:hAnsi="Times New Roman" w:cs="Times New Roman"/>
          <w:sz w:val="24"/>
          <w:szCs w:val="24"/>
        </w:rPr>
        <w:footnoteReference w:id="5"/>
      </w:r>
      <w:r w:rsidR="005D061C" w:rsidRPr="007E6C38">
        <w:rPr>
          <w:rFonts w:ascii="Times New Roman" w:hAnsi="Times New Roman" w:cs="Times New Roman"/>
          <w:sz w:val="24"/>
          <w:szCs w:val="24"/>
        </w:rPr>
        <w:t xml:space="preserve"> y en la selección de estos problemas han podido quedar postergados algunos que hayan resultado especialmente significativos en un mercado concreto, de tal manera </w:t>
      </w:r>
      <w:r w:rsidR="005D061C" w:rsidRPr="00481B68">
        <w:rPr>
          <w:rFonts w:ascii="Times New Roman" w:hAnsi="Times New Roman" w:cs="Times New Roman"/>
          <w:color w:val="FF0000"/>
          <w:sz w:val="24"/>
          <w:szCs w:val="24"/>
        </w:rPr>
        <w:t>que la información exigida respecto a estas cuestiones en la directiva 17/2014/UE podría ser inferior que la prevista por la legislación o la Jurisprudencia nacional precedente sobre transparencia bancaria, muy especialmente en el caso de las cláusulas suelo</w:t>
      </w:r>
      <w:r w:rsidR="005D061C" w:rsidRPr="00481B68">
        <w:rPr>
          <w:rStyle w:val="Refdenotaalpie"/>
          <w:rFonts w:ascii="Times New Roman" w:hAnsi="Times New Roman" w:cs="Times New Roman"/>
          <w:color w:val="FF0000"/>
          <w:sz w:val="24"/>
          <w:szCs w:val="24"/>
        </w:rPr>
        <w:footnoteReference w:id="6"/>
      </w:r>
      <w:r w:rsidR="005D061C" w:rsidRPr="00481B68">
        <w:rPr>
          <w:rFonts w:ascii="Times New Roman" w:hAnsi="Times New Roman" w:cs="Times New Roman"/>
          <w:color w:val="FF0000"/>
          <w:sz w:val="24"/>
          <w:szCs w:val="24"/>
        </w:rPr>
        <w:t>.</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Para complementar las exigencias de la Directiva UE/2014/17 y en particular de la FEIN con las particularidades idiosincráticas de la falta de transparencia en el mercado hipotecario español, en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.1 LCCI se exige que junto a</w:t>
      </w:r>
      <w:r w:rsidR="00EE3FAF" w:rsidRPr="007E6C38">
        <w:rPr>
          <w:rFonts w:ascii="Times New Roman" w:hAnsi="Times New Roman" w:cs="Times New Roman"/>
          <w:sz w:val="24"/>
          <w:szCs w:val="24"/>
        </w:rPr>
        <w:t xml:space="preserve"> la entrega de</w:t>
      </w:r>
      <w:r w:rsidRPr="007E6C38">
        <w:rPr>
          <w:rFonts w:ascii="Times New Roman" w:hAnsi="Times New Roman" w:cs="Times New Roman"/>
          <w:sz w:val="24"/>
          <w:szCs w:val="24"/>
        </w:rPr>
        <w:t xml:space="preserve"> aquella (apartado a) se haga entrega</w:t>
      </w:r>
      <w:r w:rsidR="00EE3FAF" w:rsidRPr="007E6C38">
        <w:rPr>
          <w:rFonts w:ascii="Times New Roman" w:hAnsi="Times New Roman" w:cs="Times New Roman"/>
          <w:sz w:val="24"/>
          <w:szCs w:val="24"/>
        </w:rPr>
        <w:t xml:space="preserve"> al prestatario</w:t>
      </w:r>
      <w:r w:rsidRPr="007E6C38">
        <w:rPr>
          <w:rFonts w:ascii="Times New Roman" w:hAnsi="Times New Roman" w:cs="Times New Roman"/>
          <w:sz w:val="24"/>
          <w:szCs w:val="24"/>
        </w:rPr>
        <w:t xml:space="preserve"> de la siguiente documentación:</w:t>
      </w:r>
    </w:p>
    <w:p w:rsidR="008F792B"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b) La Ficha de advertencias estandarizadas </w:t>
      </w:r>
      <w:r w:rsidRPr="00481B68">
        <w:rPr>
          <w:rFonts w:ascii="Times New Roman" w:hAnsi="Times New Roman" w:cs="Times New Roman"/>
          <w:color w:val="FF0000"/>
          <w:sz w:val="24"/>
          <w:szCs w:val="24"/>
        </w:rPr>
        <w:t>(</w:t>
      </w:r>
      <w:proofErr w:type="spellStart"/>
      <w:r w:rsidRPr="00481B68">
        <w:rPr>
          <w:rFonts w:ascii="Times New Roman" w:hAnsi="Times New Roman" w:cs="Times New Roman"/>
          <w:color w:val="FF0000"/>
          <w:sz w:val="24"/>
          <w:szCs w:val="24"/>
        </w:rPr>
        <w:t>FiAE</w:t>
      </w:r>
      <w:proofErr w:type="spellEnd"/>
      <w:r w:rsidRPr="00481B68">
        <w:rPr>
          <w:rFonts w:ascii="Times New Roman" w:hAnsi="Times New Roman" w:cs="Times New Roman"/>
          <w:color w:val="FF0000"/>
          <w:sz w:val="24"/>
          <w:szCs w:val="24"/>
        </w:rPr>
        <w:t>)</w:t>
      </w:r>
      <w:r w:rsidRPr="007E6C38">
        <w:rPr>
          <w:rFonts w:ascii="Times New Roman" w:hAnsi="Times New Roman" w:cs="Times New Roman"/>
          <w:sz w:val="24"/>
          <w:szCs w:val="24"/>
        </w:rPr>
        <w:t xml:space="preserve"> en la que se informará al prestatario o potencial prestatario de la existencia de las cláusulas o elementos relevantes, debiendo incluir, al menos, una referencia, en su caso, a los </w:t>
      </w:r>
      <w:r w:rsidRPr="00481B68">
        <w:rPr>
          <w:rFonts w:ascii="Times New Roman" w:hAnsi="Times New Roman" w:cs="Times New Roman"/>
          <w:color w:val="FF0000"/>
          <w:sz w:val="24"/>
          <w:szCs w:val="24"/>
        </w:rPr>
        <w:t>índices oficiales de referencia utilizados para fijar el tipo de interés aplicable,</w:t>
      </w:r>
      <w:r w:rsidRPr="007E6C38">
        <w:rPr>
          <w:rFonts w:ascii="Times New Roman" w:hAnsi="Times New Roman" w:cs="Times New Roman"/>
          <w:sz w:val="24"/>
          <w:szCs w:val="24"/>
        </w:rPr>
        <w:t xml:space="preserve"> a la </w:t>
      </w:r>
      <w:r w:rsidRPr="00481B68">
        <w:rPr>
          <w:rFonts w:ascii="Times New Roman" w:hAnsi="Times New Roman" w:cs="Times New Roman"/>
          <w:color w:val="FF0000"/>
          <w:sz w:val="24"/>
          <w:szCs w:val="24"/>
        </w:rPr>
        <w:t xml:space="preserve">existencia de límites mínimos </w:t>
      </w:r>
      <w:r w:rsidRPr="007E6C38">
        <w:rPr>
          <w:rFonts w:ascii="Times New Roman" w:hAnsi="Times New Roman" w:cs="Times New Roman"/>
          <w:sz w:val="24"/>
          <w:szCs w:val="24"/>
        </w:rPr>
        <w:t xml:space="preserve">en el tipo de interés aplicable como consecuencia de la variación a la baja de los índices o tipos de interés a los que aquel esté referenciado, a la posibilidad de que se produzca el </w:t>
      </w:r>
      <w:r w:rsidRPr="00481B68">
        <w:rPr>
          <w:rFonts w:ascii="Times New Roman" w:hAnsi="Times New Roman" w:cs="Times New Roman"/>
          <w:color w:val="FF0000"/>
          <w:sz w:val="24"/>
          <w:szCs w:val="24"/>
        </w:rPr>
        <w:t xml:space="preserve">vencimiento anticipado del préstamo como consecuencia del impago </w:t>
      </w:r>
      <w:r w:rsidRPr="007E6C38">
        <w:rPr>
          <w:rFonts w:ascii="Times New Roman" w:hAnsi="Times New Roman" w:cs="Times New Roman"/>
          <w:sz w:val="24"/>
          <w:szCs w:val="24"/>
        </w:rPr>
        <w:t xml:space="preserve">y los gastos derivados de ello, a la </w:t>
      </w:r>
      <w:r w:rsidRPr="00481B68">
        <w:rPr>
          <w:rFonts w:ascii="Times New Roman" w:hAnsi="Times New Roman" w:cs="Times New Roman"/>
          <w:color w:val="FF0000"/>
          <w:sz w:val="24"/>
          <w:szCs w:val="24"/>
        </w:rPr>
        <w:t>distribución de los gastos asociados a la concesión del préstamo</w:t>
      </w:r>
      <w:r w:rsidRPr="007E6C38">
        <w:rPr>
          <w:rFonts w:ascii="Times New Roman" w:hAnsi="Times New Roman" w:cs="Times New Roman"/>
          <w:sz w:val="24"/>
          <w:szCs w:val="24"/>
        </w:rPr>
        <w:t xml:space="preserve"> y que se trata de un préstamo en moneda extranjera. </w:t>
      </w:r>
    </w:p>
    <w:p w:rsidR="005D061C" w:rsidRPr="007E6C38" w:rsidRDefault="00AE3597"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w:t>
      </w:r>
      <w:r w:rsidR="005D061C" w:rsidRPr="007E6C38">
        <w:rPr>
          <w:rFonts w:ascii="Times New Roman" w:hAnsi="Times New Roman" w:cs="Times New Roman"/>
          <w:sz w:val="24"/>
          <w:szCs w:val="24"/>
        </w:rPr>
        <w:t xml:space="preserve"> la </w:t>
      </w:r>
      <w:proofErr w:type="spellStart"/>
      <w:r w:rsidR="005D061C"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 xml:space="preserve"> se añaden</w:t>
      </w:r>
      <w:r w:rsidR="005D061C" w:rsidRPr="007E6C38">
        <w:rPr>
          <w:rFonts w:ascii="Times New Roman" w:hAnsi="Times New Roman" w:cs="Times New Roman"/>
          <w:sz w:val="24"/>
          <w:szCs w:val="24"/>
        </w:rPr>
        <w:t xml:space="preserve"> </w:t>
      </w:r>
      <w:r w:rsidR="008F792B" w:rsidRPr="007E6C38">
        <w:rPr>
          <w:rFonts w:ascii="Times New Roman" w:hAnsi="Times New Roman" w:cs="Times New Roman"/>
          <w:sz w:val="24"/>
          <w:szCs w:val="24"/>
        </w:rPr>
        <w:t>a ciertas advertencias relativas a aspectos que pueden incidir en el coste de cr</w:t>
      </w:r>
      <w:r w:rsidR="00C37D5D" w:rsidRPr="007E6C38">
        <w:rPr>
          <w:rFonts w:ascii="Times New Roman" w:hAnsi="Times New Roman" w:cs="Times New Roman"/>
          <w:sz w:val="24"/>
          <w:szCs w:val="24"/>
        </w:rPr>
        <w:t>édito y por e</w:t>
      </w:r>
      <w:r w:rsidRPr="007E6C38">
        <w:rPr>
          <w:rFonts w:ascii="Times New Roman" w:hAnsi="Times New Roman" w:cs="Times New Roman"/>
          <w:sz w:val="24"/>
          <w:szCs w:val="24"/>
        </w:rPr>
        <w:t xml:space="preserve">nde en la decisión de contratar </w:t>
      </w:r>
      <w:r w:rsidR="008F792B" w:rsidRPr="007E6C38">
        <w:rPr>
          <w:rFonts w:ascii="Times New Roman" w:hAnsi="Times New Roman" w:cs="Times New Roman"/>
          <w:sz w:val="24"/>
          <w:szCs w:val="24"/>
        </w:rPr>
        <w:t>una advertencia sobre las consecuencias del impago y, en particular, sobre el vencimiento anticipado, estipulaci</w:t>
      </w:r>
      <w:r w:rsidR="00C37D5D" w:rsidRPr="007E6C38">
        <w:rPr>
          <w:rFonts w:ascii="Times New Roman" w:hAnsi="Times New Roman" w:cs="Times New Roman"/>
          <w:sz w:val="24"/>
          <w:szCs w:val="24"/>
        </w:rPr>
        <w:t>ón ésta cuya validez</w:t>
      </w:r>
      <w:r w:rsidR="008F792B" w:rsidRPr="007E6C38">
        <w:rPr>
          <w:rFonts w:ascii="Times New Roman" w:hAnsi="Times New Roman" w:cs="Times New Roman"/>
          <w:sz w:val="24"/>
          <w:szCs w:val="24"/>
        </w:rPr>
        <w:t xml:space="preserve"> no habrá de valorarse en términos de transparencia, sino en términos de adecuación a las condiciones imperativas en el art. 22 L</w:t>
      </w:r>
      <w:r w:rsidR="00EC62C7" w:rsidRPr="007E6C38">
        <w:rPr>
          <w:rFonts w:ascii="Times New Roman" w:hAnsi="Times New Roman" w:cs="Times New Roman"/>
          <w:sz w:val="24"/>
          <w:szCs w:val="24"/>
        </w:rPr>
        <w:t>CCI</w:t>
      </w:r>
      <w:r w:rsidR="008F792B" w:rsidRPr="007E6C38">
        <w:rPr>
          <w:rStyle w:val="Refdenotaalpie"/>
          <w:rFonts w:ascii="Times New Roman" w:hAnsi="Times New Roman" w:cs="Times New Roman"/>
          <w:sz w:val="24"/>
          <w:szCs w:val="24"/>
        </w:rPr>
        <w:footnoteReference w:id="7"/>
      </w:r>
      <w:r w:rsidR="008F792B" w:rsidRPr="007E6C38">
        <w:rPr>
          <w:rFonts w:ascii="Times New Roman" w:hAnsi="Times New Roman" w:cs="Times New Roman"/>
          <w:sz w:val="24"/>
          <w:szCs w:val="24"/>
        </w:rPr>
        <w:t xml:space="preserve">. </w:t>
      </w:r>
    </w:p>
    <w:p w:rsidR="008F792B" w:rsidRPr="007E6C38" w:rsidRDefault="008F792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Por otra parte, se exige que en la </w:t>
      </w:r>
      <w:proofErr w:type="spellStart"/>
      <w:r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 xml:space="preserve"> se informe sobre la distribución de los costes del préstamo, información que puede resultar redundante con la exigencia del apartado e) del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 LCCI de que se aporte información clara y veraz sobre los gastos que corresponden al prestamista.</w:t>
      </w:r>
    </w:p>
    <w:p w:rsidR="008F792B" w:rsidRPr="007E6C38" w:rsidRDefault="008F792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El contenido de </w:t>
      </w:r>
      <w:r w:rsidRPr="00481B68">
        <w:rPr>
          <w:rFonts w:ascii="Times New Roman" w:hAnsi="Times New Roman" w:cs="Times New Roman"/>
          <w:color w:val="FF0000"/>
          <w:sz w:val="24"/>
          <w:szCs w:val="24"/>
        </w:rPr>
        <w:t xml:space="preserve">la </w:t>
      </w:r>
      <w:proofErr w:type="spellStart"/>
      <w:r w:rsidRPr="00481B68">
        <w:rPr>
          <w:rFonts w:ascii="Times New Roman" w:hAnsi="Times New Roman" w:cs="Times New Roman"/>
          <w:color w:val="FF0000"/>
          <w:sz w:val="24"/>
          <w:szCs w:val="24"/>
        </w:rPr>
        <w:t>FiAE</w:t>
      </w:r>
      <w:proofErr w:type="spellEnd"/>
      <w:r w:rsidRPr="00481B68">
        <w:rPr>
          <w:rFonts w:ascii="Times New Roman" w:hAnsi="Times New Roman" w:cs="Times New Roman"/>
          <w:color w:val="FF0000"/>
          <w:sz w:val="24"/>
          <w:szCs w:val="24"/>
        </w:rPr>
        <w:t xml:space="preserve"> no está cerrado por el legislador</w:t>
      </w:r>
      <w:r w:rsidRPr="007E6C38">
        <w:rPr>
          <w:rFonts w:ascii="Times New Roman" w:hAnsi="Times New Roman" w:cs="Times New Roman"/>
          <w:sz w:val="24"/>
          <w:szCs w:val="24"/>
        </w:rPr>
        <w:t xml:space="preserve">, puesto que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.1.b) se refiere a las </w:t>
      </w:r>
      <w:r w:rsidRPr="00481B68">
        <w:rPr>
          <w:rFonts w:ascii="Times New Roman" w:hAnsi="Times New Roman" w:cs="Times New Roman"/>
          <w:color w:val="FF0000"/>
          <w:sz w:val="24"/>
          <w:szCs w:val="24"/>
        </w:rPr>
        <w:t>advertencias que “al menos</w:t>
      </w:r>
      <w:r w:rsidRPr="007E6C38">
        <w:rPr>
          <w:rFonts w:ascii="Times New Roman" w:hAnsi="Times New Roman" w:cs="Times New Roman"/>
          <w:sz w:val="24"/>
          <w:szCs w:val="24"/>
        </w:rPr>
        <w:t xml:space="preserve">” deberán constar en dicho documento, por lo que el prestamista deberá incluir otras advertencias que se puedan considerar cláusulas o elementos relevantes del producto ofrecido. </w:t>
      </w:r>
      <w:r w:rsidR="00C37D5D" w:rsidRPr="007E6C38">
        <w:rPr>
          <w:rFonts w:ascii="Times New Roman" w:hAnsi="Times New Roman" w:cs="Times New Roman"/>
          <w:sz w:val="24"/>
          <w:szCs w:val="24"/>
        </w:rPr>
        <w:t xml:space="preserve">No obstante, la </w:t>
      </w:r>
      <w:proofErr w:type="spellStart"/>
      <w:r w:rsidR="00C37D5D" w:rsidRPr="007E6C38">
        <w:rPr>
          <w:rFonts w:ascii="Times New Roman" w:hAnsi="Times New Roman" w:cs="Times New Roman"/>
          <w:sz w:val="24"/>
          <w:szCs w:val="24"/>
        </w:rPr>
        <w:t>FiAE</w:t>
      </w:r>
      <w:proofErr w:type="spellEnd"/>
      <w:r w:rsidR="00C37D5D" w:rsidRPr="007E6C38">
        <w:rPr>
          <w:rFonts w:ascii="Times New Roman" w:hAnsi="Times New Roman" w:cs="Times New Roman"/>
          <w:sz w:val="24"/>
          <w:szCs w:val="24"/>
        </w:rPr>
        <w:t xml:space="preserve"> para cumplir con eficacia su función de advertencia no debería convertirse en una suerte de duplicación o resumen de la FEIN, que además diluiría la importancia de esta última, pudiendo generar la impresión de que su lectura y análisis es un trámite inútil.</w:t>
      </w:r>
      <w:r w:rsidRPr="007E6C38">
        <w:rPr>
          <w:rFonts w:ascii="Times New Roman" w:hAnsi="Times New Roman" w:cs="Times New Roman"/>
          <w:sz w:val="24"/>
          <w:szCs w:val="24"/>
        </w:rPr>
        <w:t xml:space="preserve"> </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c) En caso de tratarse de un préstamo a tipo de interés variable, un </w:t>
      </w:r>
      <w:r w:rsidRPr="00481B68">
        <w:rPr>
          <w:rFonts w:ascii="Times New Roman" w:hAnsi="Times New Roman" w:cs="Times New Roman"/>
          <w:color w:val="FF0000"/>
          <w:sz w:val="24"/>
          <w:szCs w:val="24"/>
        </w:rPr>
        <w:t>documento separado con una referencia especial a las cuotas periódicas a satisfacer p</w:t>
      </w:r>
      <w:r w:rsidR="008F792B" w:rsidRPr="00481B68">
        <w:rPr>
          <w:rFonts w:ascii="Times New Roman" w:hAnsi="Times New Roman" w:cs="Times New Roman"/>
          <w:color w:val="FF0000"/>
          <w:sz w:val="24"/>
          <w:szCs w:val="24"/>
        </w:rPr>
        <w:t xml:space="preserve">or el prestatario en diferentes </w:t>
      </w:r>
      <w:r w:rsidRPr="00481B68">
        <w:rPr>
          <w:rFonts w:ascii="Times New Roman" w:hAnsi="Times New Roman" w:cs="Times New Roman"/>
          <w:color w:val="FF0000"/>
          <w:sz w:val="24"/>
          <w:szCs w:val="24"/>
        </w:rPr>
        <w:t>escenarios de evolución de los tipos de interés</w:t>
      </w:r>
      <w:r w:rsidRPr="007E6C38">
        <w:rPr>
          <w:rFonts w:ascii="Times New Roman" w:hAnsi="Times New Roman" w:cs="Times New Roman"/>
          <w:sz w:val="24"/>
          <w:szCs w:val="24"/>
        </w:rPr>
        <w:t>.</w:t>
      </w:r>
      <w:r w:rsidR="008F792B" w:rsidRPr="007E6C38">
        <w:rPr>
          <w:rFonts w:ascii="Times New Roman" w:hAnsi="Times New Roman" w:cs="Times New Roman"/>
          <w:sz w:val="24"/>
          <w:szCs w:val="24"/>
        </w:rPr>
        <w:t xml:space="preserve"> Estos cuadros de amortización simulados, que habían sido re</w:t>
      </w:r>
      <w:r w:rsidR="00EE3FAF" w:rsidRPr="007E6C38">
        <w:rPr>
          <w:rFonts w:ascii="Times New Roman" w:hAnsi="Times New Roman" w:cs="Times New Roman"/>
          <w:sz w:val="24"/>
          <w:szCs w:val="24"/>
        </w:rPr>
        <w:t>queridos por la STS 9 mayo 2013</w:t>
      </w:r>
      <w:r w:rsidR="008F792B" w:rsidRPr="007E6C38">
        <w:rPr>
          <w:rFonts w:ascii="Times New Roman" w:hAnsi="Times New Roman" w:cs="Times New Roman"/>
          <w:sz w:val="24"/>
          <w:szCs w:val="24"/>
        </w:rPr>
        <w:t xml:space="preserve"> </w:t>
      </w:r>
      <w:r w:rsidR="00100736" w:rsidRPr="007E6C38">
        <w:rPr>
          <w:rFonts w:ascii="Times New Roman" w:hAnsi="Times New Roman" w:cs="Times New Roman"/>
          <w:sz w:val="24"/>
          <w:szCs w:val="24"/>
        </w:rPr>
        <w:t xml:space="preserve">(Ar. 2013/3088) </w:t>
      </w:r>
      <w:r w:rsidR="008F792B" w:rsidRPr="007E6C38">
        <w:rPr>
          <w:rFonts w:ascii="Times New Roman" w:hAnsi="Times New Roman" w:cs="Times New Roman"/>
          <w:sz w:val="24"/>
          <w:szCs w:val="24"/>
        </w:rPr>
        <w:t>respecto de las cláusulas suelo, resultan de una relevancia informativa en el mercado hipotecario español, en el que, como ya se ha dicho, son predominantes los préstamos a interés variable.</w:t>
      </w:r>
    </w:p>
    <w:p w:rsidR="005D061C" w:rsidRPr="007E6C38" w:rsidRDefault="005D061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d) Una copia del proyecto de contrato, cuyo contenido deberá ajustarse al contenido de los documentos referidos en las letras anteriores</w:t>
      </w:r>
      <w:r w:rsidR="00DD642F" w:rsidRPr="007E6C38">
        <w:rPr>
          <w:rFonts w:ascii="Times New Roman" w:hAnsi="Times New Roman" w:cs="Times New Roman"/>
          <w:sz w:val="24"/>
          <w:szCs w:val="24"/>
        </w:rPr>
        <w:t xml:space="preserve"> </w:t>
      </w:r>
      <w:r w:rsidRPr="007E6C38">
        <w:rPr>
          <w:rFonts w:ascii="Times New Roman" w:hAnsi="Times New Roman" w:cs="Times New Roman"/>
          <w:sz w:val="24"/>
          <w:szCs w:val="24"/>
        </w:rPr>
        <w:t>e incluirá, de forma desglosada, la totalidad de los gastos as</w:t>
      </w:r>
      <w:r w:rsidR="00C37D5D" w:rsidRPr="007E6C38">
        <w:rPr>
          <w:rFonts w:ascii="Times New Roman" w:hAnsi="Times New Roman" w:cs="Times New Roman"/>
          <w:sz w:val="24"/>
          <w:szCs w:val="24"/>
        </w:rPr>
        <w:t>ociados a la firma del contrato.</w:t>
      </w:r>
    </w:p>
    <w:p w:rsidR="00E446E0" w:rsidRPr="007E6C38" w:rsidRDefault="00C37D5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e) </w:t>
      </w:r>
      <w:r w:rsidRPr="006C2B1F">
        <w:rPr>
          <w:rFonts w:ascii="Times New Roman" w:hAnsi="Times New Roman" w:cs="Times New Roman"/>
          <w:color w:val="FF0000"/>
          <w:sz w:val="24"/>
          <w:szCs w:val="24"/>
        </w:rPr>
        <w:t>Información clara y veraz de los gastos que corresponden al prestamista y los que corresponden al prestatario</w:t>
      </w:r>
      <w:r w:rsidRPr="007E6C38">
        <w:rPr>
          <w:rFonts w:ascii="Times New Roman" w:hAnsi="Times New Roman" w:cs="Times New Roman"/>
          <w:sz w:val="24"/>
          <w:szCs w:val="24"/>
        </w:rPr>
        <w:t>, añadiéndose</w:t>
      </w:r>
      <w:r w:rsidR="00B8580F" w:rsidRPr="007E6C38">
        <w:rPr>
          <w:rFonts w:ascii="Times New Roman" w:hAnsi="Times New Roman" w:cs="Times New Roman"/>
          <w:sz w:val="24"/>
          <w:szCs w:val="24"/>
        </w:rPr>
        <w:t xml:space="preserve"> por el legislador en ese mismo apartado 14.1.e)</w:t>
      </w:r>
      <w:r w:rsidRPr="007E6C38">
        <w:rPr>
          <w:rFonts w:ascii="Times New Roman" w:hAnsi="Times New Roman" w:cs="Times New Roman"/>
          <w:sz w:val="24"/>
          <w:szCs w:val="24"/>
        </w:rPr>
        <w:t xml:space="preserve"> una distribución imperativa de tales gastos entre prestamista y prestatario. La</w:t>
      </w:r>
      <w:r w:rsidR="00187F2A" w:rsidRPr="007E6C38">
        <w:rPr>
          <w:rFonts w:ascii="Times New Roman" w:hAnsi="Times New Roman" w:cs="Times New Roman"/>
          <w:sz w:val="24"/>
          <w:szCs w:val="24"/>
        </w:rPr>
        <w:t xml:space="preserve"> inclusión de este apartado</w:t>
      </w:r>
      <w:r w:rsidRPr="007E6C38">
        <w:rPr>
          <w:rFonts w:ascii="Times New Roman" w:hAnsi="Times New Roman" w:cs="Times New Roman"/>
          <w:sz w:val="24"/>
          <w:szCs w:val="24"/>
        </w:rPr>
        <w:t xml:space="preserve"> hace que entre la documentación precontractual entregada al prestatario </w:t>
      </w:r>
      <w:r w:rsidRPr="006C2B1F">
        <w:rPr>
          <w:rFonts w:ascii="Times New Roman" w:hAnsi="Times New Roman" w:cs="Times New Roman"/>
          <w:color w:val="FF0000"/>
          <w:sz w:val="24"/>
          <w:szCs w:val="24"/>
        </w:rPr>
        <w:t>se informe de la distribu</w:t>
      </w:r>
      <w:r w:rsidR="00DD642F" w:rsidRPr="006C2B1F">
        <w:rPr>
          <w:rFonts w:ascii="Times New Roman" w:hAnsi="Times New Roman" w:cs="Times New Roman"/>
          <w:color w:val="FF0000"/>
          <w:sz w:val="24"/>
          <w:szCs w:val="24"/>
        </w:rPr>
        <w:t>ción de los gastos hasta en cuatro</w:t>
      </w:r>
      <w:r w:rsidR="00AE3597" w:rsidRPr="006C2B1F">
        <w:rPr>
          <w:rFonts w:ascii="Times New Roman" w:hAnsi="Times New Roman" w:cs="Times New Roman"/>
          <w:color w:val="FF0000"/>
          <w:sz w:val="24"/>
          <w:szCs w:val="24"/>
        </w:rPr>
        <w:t xml:space="preserve"> documentos distintos:</w:t>
      </w:r>
      <w:r w:rsidRPr="006C2B1F">
        <w:rPr>
          <w:rFonts w:ascii="Times New Roman" w:hAnsi="Times New Roman" w:cs="Times New Roman"/>
          <w:color w:val="FF0000"/>
          <w:sz w:val="24"/>
          <w:szCs w:val="24"/>
        </w:rPr>
        <w:t xml:space="preserve"> </w:t>
      </w:r>
      <w:r w:rsidRPr="007E6C38">
        <w:rPr>
          <w:rFonts w:ascii="Times New Roman" w:hAnsi="Times New Roman" w:cs="Times New Roman"/>
          <w:sz w:val="24"/>
          <w:szCs w:val="24"/>
        </w:rPr>
        <w:t xml:space="preserve">además de en la FEIN, en la </w:t>
      </w:r>
      <w:proofErr w:type="spellStart"/>
      <w:r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 xml:space="preserve">, en la copia del proyecto del </w:t>
      </w:r>
      <w:r w:rsidR="00AE3597" w:rsidRPr="007E6C38">
        <w:rPr>
          <w:rFonts w:ascii="Times New Roman" w:hAnsi="Times New Roman" w:cs="Times New Roman"/>
          <w:sz w:val="24"/>
          <w:szCs w:val="24"/>
        </w:rPr>
        <w:t>contrato y en este documento</w:t>
      </w:r>
      <w:r w:rsidRPr="007E6C38">
        <w:rPr>
          <w:rFonts w:ascii="Times New Roman" w:hAnsi="Times New Roman" w:cs="Times New Roman"/>
          <w:sz w:val="24"/>
          <w:szCs w:val="24"/>
        </w:rPr>
        <w:t xml:space="preserve"> “ad hoc”.</w:t>
      </w:r>
      <w:r w:rsidR="00EE3FAF" w:rsidRPr="007E6C38">
        <w:rPr>
          <w:rFonts w:ascii="Times New Roman" w:hAnsi="Times New Roman" w:cs="Times New Roman"/>
          <w:sz w:val="24"/>
          <w:szCs w:val="24"/>
        </w:rPr>
        <w:t xml:space="preserve"> </w:t>
      </w:r>
    </w:p>
    <w:p w:rsidR="0079603C" w:rsidRPr="00EC09FD" w:rsidRDefault="00C37D5D"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sz w:val="24"/>
          <w:szCs w:val="24"/>
        </w:rPr>
        <w:t xml:space="preserve">- f) Cuando el prestamista, intermediario de crédito o su representante, en su caso, requiera al prestatario la suscripción de </w:t>
      </w:r>
      <w:r w:rsidRPr="006C2B1F">
        <w:rPr>
          <w:rFonts w:ascii="Times New Roman" w:hAnsi="Times New Roman" w:cs="Times New Roman"/>
          <w:color w:val="FF0000"/>
          <w:sz w:val="24"/>
          <w:szCs w:val="24"/>
        </w:rPr>
        <w:t xml:space="preserve">una póliza de seguro en garantía del cumplimiento de las obligaciones del contrato de préstamo, así como la suscripción de un seguro de daños </w:t>
      </w:r>
      <w:r w:rsidRPr="007E6C38">
        <w:rPr>
          <w:rFonts w:ascii="Times New Roman" w:hAnsi="Times New Roman" w:cs="Times New Roman"/>
          <w:sz w:val="24"/>
          <w:szCs w:val="24"/>
        </w:rPr>
        <w:t xml:space="preserve">respecto del inmueble objeto de hipoteca y del resto de seguros previstos en la normativa del mercado hipotecario, </w:t>
      </w:r>
      <w:r w:rsidRPr="00EC09FD">
        <w:rPr>
          <w:rFonts w:ascii="Times New Roman" w:hAnsi="Times New Roman" w:cs="Times New Roman"/>
          <w:b/>
          <w:color w:val="FF0000"/>
          <w:sz w:val="24"/>
          <w:szCs w:val="24"/>
        </w:rPr>
        <w:t xml:space="preserve">deberá entregar al prestatario por escrito las condiciones de las garantías del seguro que exige. </w:t>
      </w:r>
      <w:bookmarkStart w:id="0" w:name="_GoBack"/>
      <w:bookmarkEnd w:id="0"/>
    </w:p>
    <w:p w:rsidR="00C37D5D" w:rsidRPr="007E6C38" w:rsidRDefault="0079603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entrega de esta documentación sobre las condiciones de los seguros exigidos es una buena medida para garantizar que el prestatario tenga realmente una facultad de elección en la contratación de dichos seguros. No obstante, para que la facultad de elección sea efectiva y evitar así que la contratación de estos seguros con la entidad prestamista sea de facto una práctica vinculada encubierta, el prestamista debería poner a disposición del prestatario la información sobre las condiciones de las garantías que exige con una mayor antelación al plazo de diez días anterior a la firma de la escritura de préstamo.</w:t>
      </w:r>
    </w:p>
    <w:p w:rsidR="003A00FD" w:rsidRPr="007E6C38" w:rsidRDefault="00C37D5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g) Cuando esté previsto que el préstamo se formalice en escritura pública, </w:t>
      </w:r>
      <w:r w:rsidRPr="006C2B1F">
        <w:rPr>
          <w:rFonts w:ascii="Times New Roman" w:hAnsi="Times New Roman" w:cs="Times New Roman"/>
          <w:color w:val="FF0000"/>
          <w:sz w:val="24"/>
          <w:szCs w:val="24"/>
        </w:rPr>
        <w:t xml:space="preserve">la advertencia al prestatario de la obligación de recibir asesoramiento personalizado y gratuito del notario </w:t>
      </w:r>
      <w:r w:rsidRPr="007E6C38">
        <w:rPr>
          <w:rFonts w:ascii="Times New Roman" w:hAnsi="Times New Roman" w:cs="Times New Roman"/>
          <w:sz w:val="24"/>
          <w:szCs w:val="24"/>
        </w:rPr>
        <w:t xml:space="preserve">que elija el prestatario para la autorización de la escritura pública del contrato de préstamo, sobre el contenido y las consecuencias de la información contenida en la documentación que se entrega conforme a este apartado, advertencia ésta que bien podría incluirse en la </w:t>
      </w:r>
      <w:proofErr w:type="spellStart"/>
      <w:r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w:t>
      </w:r>
    </w:p>
    <w:p w:rsidR="00530AD5" w:rsidRPr="007E6C38" w:rsidRDefault="00530AD5" w:rsidP="00F60A8E">
      <w:pPr>
        <w:spacing w:before="120" w:after="120" w:line="360" w:lineRule="auto"/>
        <w:jc w:val="both"/>
        <w:rPr>
          <w:rFonts w:ascii="Times New Roman" w:hAnsi="Times New Roman" w:cs="Times New Roman"/>
          <w:sz w:val="24"/>
          <w:szCs w:val="24"/>
        </w:rPr>
      </w:pPr>
    </w:p>
    <w:p w:rsidR="0098069D" w:rsidRPr="007E6C38" w:rsidRDefault="00B8580F"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4. EL MOMENTO DE LA ENTREGA DE LA INFORMACIÓN PRECONTRACTUAL</w:t>
      </w:r>
    </w:p>
    <w:p w:rsidR="0098069D" w:rsidRPr="007E6C38" w:rsidRDefault="0098069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Según </w:t>
      </w:r>
      <w:r w:rsidR="00AE3597" w:rsidRPr="007E6C38">
        <w:rPr>
          <w:rFonts w:ascii="Times New Roman" w:hAnsi="Times New Roman" w:cs="Times New Roman"/>
          <w:sz w:val="24"/>
          <w:szCs w:val="24"/>
        </w:rPr>
        <w:t xml:space="preserve">el art. 14.6 de la Directiva </w:t>
      </w:r>
      <w:r w:rsidRPr="007E6C38">
        <w:rPr>
          <w:rFonts w:ascii="Times New Roman" w:hAnsi="Times New Roman" w:cs="Times New Roman"/>
          <w:sz w:val="24"/>
          <w:szCs w:val="24"/>
        </w:rPr>
        <w:t>2014/17</w:t>
      </w:r>
      <w:r w:rsidR="00AE3597" w:rsidRPr="007E6C38">
        <w:rPr>
          <w:rFonts w:ascii="Times New Roman" w:hAnsi="Times New Roman" w:cs="Times New Roman"/>
          <w:sz w:val="24"/>
          <w:szCs w:val="24"/>
        </w:rPr>
        <w:t>/UE</w:t>
      </w:r>
      <w:r w:rsidRPr="007E6C38">
        <w:rPr>
          <w:rFonts w:ascii="Times New Roman" w:hAnsi="Times New Roman" w:cs="Times New Roman"/>
          <w:sz w:val="24"/>
          <w:szCs w:val="24"/>
        </w:rPr>
        <w:t xml:space="preserve"> los Estados miembros debían especificar un periodo como mínimo de siete </w:t>
      </w:r>
      <w:r w:rsidR="00AE3597" w:rsidRPr="007E6C38">
        <w:rPr>
          <w:rFonts w:ascii="Times New Roman" w:hAnsi="Times New Roman" w:cs="Times New Roman"/>
          <w:sz w:val="24"/>
          <w:szCs w:val="24"/>
        </w:rPr>
        <w:t>días tras la entrega de la FEIN</w:t>
      </w:r>
      <w:r w:rsidRPr="007E6C38">
        <w:rPr>
          <w:rFonts w:ascii="Times New Roman" w:hAnsi="Times New Roman" w:cs="Times New Roman"/>
          <w:sz w:val="24"/>
          <w:szCs w:val="24"/>
        </w:rPr>
        <w:t xml:space="preserve"> para que el consumidor</w:t>
      </w:r>
      <w:r w:rsidR="00AE3597" w:rsidRPr="007E6C38">
        <w:rPr>
          <w:rFonts w:ascii="Times New Roman" w:hAnsi="Times New Roman" w:cs="Times New Roman"/>
          <w:sz w:val="24"/>
          <w:szCs w:val="24"/>
        </w:rPr>
        <w:t xml:space="preserve"> pudiera comparar las ofertas, </w:t>
      </w:r>
      <w:r w:rsidRPr="007E6C38">
        <w:rPr>
          <w:rFonts w:ascii="Times New Roman" w:hAnsi="Times New Roman" w:cs="Times New Roman"/>
          <w:sz w:val="24"/>
          <w:szCs w:val="24"/>
        </w:rPr>
        <w:t>evaluar sus implicaciones y tomar una decisión con conocimiento de causa, siendo así que</w:t>
      </w:r>
      <w:r w:rsidR="00AE3597" w:rsidRPr="007E6C38">
        <w:rPr>
          <w:rFonts w:ascii="Times New Roman" w:hAnsi="Times New Roman" w:cs="Times New Roman"/>
          <w:sz w:val="24"/>
          <w:szCs w:val="24"/>
        </w:rPr>
        <w:t xml:space="preserve"> este periodo, a opción de los E</w:t>
      </w:r>
      <w:r w:rsidRPr="007E6C38">
        <w:rPr>
          <w:rFonts w:ascii="Times New Roman" w:hAnsi="Times New Roman" w:cs="Times New Roman"/>
          <w:sz w:val="24"/>
          <w:szCs w:val="24"/>
        </w:rPr>
        <w:t>stados miembros, podría ser configurado como un periodo de reflexión previo a la celebración del contrato o como un periodo para ejercer el derecho de desistimiento tras la celebración del contrato o, como una combinación de ambas cosas. Si un Estado miembro optaba por configurar este periodo como un periodo de reflexión previo a la celebración del contrato de crédito, la oferta habría de ser vinculante para el prestamista mientras durase dicho periodo de</w:t>
      </w:r>
      <w:r w:rsidR="0048544F" w:rsidRPr="007E6C38">
        <w:rPr>
          <w:rFonts w:ascii="Times New Roman" w:hAnsi="Times New Roman" w:cs="Times New Roman"/>
          <w:sz w:val="24"/>
          <w:szCs w:val="24"/>
        </w:rPr>
        <w:t xml:space="preserve"> reflexión y el consumidor podría</w:t>
      </w:r>
      <w:r w:rsidRPr="007E6C38">
        <w:rPr>
          <w:rFonts w:ascii="Times New Roman" w:hAnsi="Times New Roman" w:cs="Times New Roman"/>
          <w:sz w:val="24"/>
          <w:szCs w:val="24"/>
        </w:rPr>
        <w:t xml:space="preserve"> aceptar la oferta en cualquier momento durante ese periodo, si </w:t>
      </w:r>
      <w:r w:rsidR="0048544F" w:rsidRPr="007E6C38">
        <w:rPr>
          <w:rFonts w:ascii="Times New Roman" w:hAnsi="Times New Roman" w:cs="Times New Roman"/>
          <w:sz w:val="24"/>
          <w:szCs w:val="24"/>
        </w:rPr>
        <w:t>bien los Estados miembros también podían</w:t>
      </w:r>
      <w:r w:rsidRPr="007E6C38">
        <w:rPr>
          <w:rFonts w:ascii="Times New Roman" w:hAnsi="Times New Roman" w:cs="Times New Roman"/>
          <w:sz w:val="24"/>
          <w:szCs w:val="24"/>
        </w:rPr>
        <w:t xml:space="preserve"> establece</w:t>
      </w:r>
      <w:r w:rsidR="0048544F" w:rsidRPr="007E6C38">
        <w:rPr>
          <w:rFonts w:ascii="Times New Roman" w:hAnsi="Times New Roman" w:cs="Times New Roman"/>
          <w:sz w:val="24"/>
          <w:szCs w:val="24"/>
        </w:rPr>
        <w:t>r que los consumidores no pudieran</w:t>
      </w:r>
      <w:r w:rsidRPr="007E6C38">
        <w:rPr>
          <w:rFonts w:ascii="Times New Roman" w:hAnsi="Times New Roman" w:cs="Times New Roman"/>
          <w:sz w:val="24"/>
          <w:szCs w:val="24"/>
        </w:rPr>
        <w:t xml:space="preserve"> aceptar la oferta durante un lapso de tiempo que no supere los primeros diez días del periodo de reflexión (art. 14.6).</w:t>
      </w:r>
      <w:r w:rsidR="002E1455" w:rsidRPr="007E6C38">
        <w:rPr>
          <w:rFonts w:ascii="Times New Roman" w:hAnsi="Times New Roman" w:cs="Times New Roman"/>
          <w:sz w:val="24"/>
          <w:szCs w:val="24"/>
        </w:rPr>
        <w:t xml:space="preserve"> </w:t>
      </w:r>
    </w:p>
    <w:p w:rsidR="0098069D" w:rsidRPr="007E6C38" w:rsidRDefault="0098069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Dentro de este margen de transposición atribuido a los Estado</w:t>
      </w:r>
      <w:r w:rsidR="00AE3597" w:rsidRPr="007E6C38">
        <w:rPr>
          <w:rFonts w:ascii="Times New Roman" w:hAnsi="Times New Roman" w:cs="Times New Roman"/>
          <w:sz w:val="24"/>
          <w:szCs w:val="24"/>
        </w:rPr>
        <w:t xml:space="preserve">s por el art. 14.6 Directiva </w:t>
      </w:r>
      <w:r w:rsidRPr="007E6C38">
        <w:rPr>
          <w:rFonts w:ascii="Times New Roman" w:hAnsi="Times New Roman" w:cs="Times New Roman"/>
          <w:sz w:val="24"/>
          <w:szCs w:val="24"/>
        </w:rPr>
        <w:t>2014/17</w:t>
      </w:r>
      <w:r w:rsidR="00AE3597" w:rsidRPr="007E6C38">
        <w:rPr>
          <w:rFonts w:ascii="Times New Roman" w:hAnsi="Times New Roman" w:cs="Times New Roman"/>
          <w:sz w:val="24"/>
          <w:szCs w:val="24"/>
        </w:rPr>
        <w:t>/UE</w:t>
      </w:r>
      <w:r w:rsidRPr="007E6C38">
        <w:rPr>
          <w:rFonts w:ascii="Times New Roman" w:hAnsi="Times New Roman" w:cs="Times New Roman"/>
          <w:sz w:val="24"/>
          <w:szCs w:val="24"/>
        </w:rPr>
        <w:t xml:space="preserve">, el legislador español en </w:t>
      </w:r>
      <w:r w:rsidRPr="006C2B1F">
        <w:rPr>
          <w:rFonts w:ascii="Times New Roman" w:hAnsi="Times New Roman" w:cs="Times New Roman"/>
          <w:color w:val="FF0000"/>
          <w:sz w:val="24"/>
          <w:szCs w:val="24"/>
        </w:rPr>
        <w:t xml:space="preserve">el </w:t>
      </w:r>
      <w:r w:rsidR="00654E83" w:rsidRPr="006C2B1F">
        <w:rPr>
          <w:rFonts w:ascii="Times New Roman" w:hAnsi="Times New Roman" w:cs="Times New Roman"/>
          <w:color w:val="FF0000"/>
          <w:sz w:val="24"/>
          <w:szCs w:val="24"/>
        </w:rPr>
        <w:t>art. 14</w:t>
      </w:r>
      <w:r w:rsidRPr="006C2B1F">
        <w:rPr>
          <w:rFonts w:ascii="Times New Roman" w:hAnsi="Times New Roman" w:cs="Times New Roman"/>
          <w:color w:val="FF0000"/>
          <w:sz w:val="24"/>
          <w:szCs w:val="24"/>
        </w:rPr>
        <w:t>.1 LCCI ha optado por que dicho plazo de reflexión sea</w:t>
      </w:r>
      <w:r w:rsidR="0048544F" w:rsidRPr="006C2B1F">
        <w:rPr>
          <w:rFonts w:ascii="Times New Roman" w:hAnsi="Times New Roman" w:cs="Times New Roman"/>
          <w:color w:val="FF0000"/>
          <w:sz w:val="24"/>
          <w:szCs w:val="24"/>
        </w:rPr>
        <w:t xml:space="preserve"> como mínimo</w:t>
      </w:r>
      <w:r w:rsidRPr="006C2B1F">
        <w:rPr>
          <w:rFonts w:ascii="Times New Roman" w:hAnsi="Times New Roman" w:cs="Times New Roman"/>
          <w:color w:val="FF0000"/>
          <w:sz w:val="24"/>
          <w:szCs w:val="24"/>
        </w:rPr>
        <w:t xml:space="preserve"> de diez días naturales</w:t>
      </w:r>
      <w:r w:rsidR="0048544F" w:rsidRPr="006C2B1F">
        <w:rPr>
          <w:rFonts w:ascii="Times New Roman" w:hAnsi="Times New Roman" w:cs="Times New Roman"/>
          <w:color w:val="FF0000"/>
          <w:sz w:val="24"/>
          <w:szCs w:val="24"/>
        </w:rPr>
        <w:t xml:space="preserve"> </w:t>
      </w:r>
      <w:r w:rsidR="0048544F" w:rsidRPr="007E6C38">
        <w:rPr>
          <w:rFonts w:ascii="Times New Roman" w:hAnsi="Times New Roman" w:cs="Times New Roman"/>
          <w:sz w:val="24"/>
          <w:szCs w:val="24"/>
        </w:rPr>
        <w:t>–superior por tanto al de siete días previs</w:t>
      </w:r>
      <w:r w:rsidR="00B204A0" w:rsidRPr="007E6C38">
        <w:rPr>
          <w:rFonts w:ascii="Times New Roman" w:hAnsi="Times New Roman" w:cs="Times New Roman"/>
          <w:sz w:val="24"/>
          <w:szCs w:val="24"/>
        </w:rPr>
        <w:t>to en la Directiva- anteriores</w:t>
      </w:r>
      <w:r w:rsidRPr="007E6C38">
        <w:rPr>
          <w:rFonts w:ascii="Times New Roman" w:hAnsi="Times New Roman" w:cs="Times New Roman"/>
          <w:sz w:val="24"/>
          <w:szCs w:val="24"/>
        </w:rPr>
        <w:t xml:space="preserve"> a la firma d</w:t>
      </w:r>
      <w:r w:rsidR="00BD1D3C" w:rsidRPr="007E6C38">
        <w:rPr>
          <w:rFonts w:ascii="Times New Roman" w:hAnsi="Times New Roman" w:cs="Times New Roman"/>
          <w:sz w:val="24"/>
          <w:szCs w:val="24"/>
        </w:rPr>
        <w:t>el contrato</w:t>
      </w:r>
      <w:r w:rsidR="00F7504F" w:rsidRPr="007E6C38">
        <w:rPr>
          <w:rStyle w:val="Refdenotaalpie"/>
          <w:rFonts w:ascii="Times New Roman" w:hAnsi="Times New Roman" w:cs="Times New Roman"/>
          <w:sz w:val="24"/>
          <w:szCs w:val="24"/>
        </w:rPr>
        <w:footnoteReference w:id="8"/>
      </w:r>
      <w:r w:rsidR="00BD1D3C" w:rsidRPr="007E6C38">
        <w:rPr>
          <w:rFonts w:ascii="Times New Roman" w:hAnsi="Times New Roman" w:cs="Times New Roman"/>
          <w:sz w:val="24"/>
          <w:szCs w:val="24"/>
        </w:rPr>
        <w:t xml:space="preserve">. </w:t>
      </w:r>
    </w:p>
    <w:p w:rsidR="0048544F" w:rsidRPr="007E6C38" w:rsidRDefault="0048544F" w:rsidP="00F60A8E">
      <w:pPr>
        <w:pStyle w:val="Normal1"/>
        <w:shd w:val="clear" w:color="auto" w:fill="FFFFFF"/>
        <w:spacing w:before="120" w:beforeAutospacing="0" w:after="120" w:afterAutospacing="0" w:line="360" w:lineRule="auto"/>
        <w:jc w:val="both"/>
      </w:pPr>
      <w:r w:rsidRPr="007E6C38">
        <w:t>Por otra parte, aunque el art. 14.</w:t>
      </w:r>
      <w:r w:rsidR="00B204A0" w:rsidRPr="007E6C38">
        <w:t>6 Directiva UE/2014/17 permite distinguir</w:t>
      </w:r>
      <w:r w:rsidRPr="007E6C38">
        <w:t xml:space="preserve"> entre el trámite de la realización de una oferta vinculante y la entrega de la FEIN, el legislador español no realiza esta distinción, por lo que es la FEIN y los demás documentos a los que se refiere el </w:t>
      </w:r>
      <w:r w:rsidR="00654E83" w:rsidRPr="007E6C38">
        <w:t>art. 14</w:t>
      </w:r>
      <w:r w:rsidR="0063369F" w:rsidRPr="007E6C38">
        <w:t>.1 LCCI –entre ellos, muy significativamente</w:t>
      </w:r>
      <w:r w:rsidR="005D638B" w:rsidRPr="007E6C38">
        <w:t xml:space="preserve"> el proyecto de contrato</w:t>
      </w:r>
      <w:r w:rsidR="0063369F" w:rsidRPr="007E6C38">
        <w:t xml:space="preserve"> (art. 14.1.c LCCI)</w:t>
      </w:r>
      <w:r w:rsidR="005D638B" w:rsidRPr="007E6C38">
        <w:t>- l</w:t>
      </w:r>
      <w:r w:rsidRPr="007E6C38">
        <w:t>os que configuran la oferta, que además ha de ser vinculante para el prestamista</w:t>
      </w:r>
      <w:r w:rsidR="00B204A0" w:rsidRPr="007E6C38">
        <w:t>,</w:t>
      </w:r>
      <w:r w:rsidRPr="007E6C38">
        <w:t xml:space="preserve"> por mor del art. 14.6 Directiva UE/2014/17, durante los diez días que dura este periodo de reflexión previo al contrato</w:t>
      </w:r>
      <w:r w:rsidR="0024693C" w:rsidRPr="007E6C38">
        <w:rPr>
          <w:rStyle w:val="Refdenotaalpie"/>
        </w:rPr>
        <w:footnoteReference w:id="9"/>
      </w:r>
      <w:r w:rsidRPr="007E6C38">
        <w:t xml:space="preserve">. El carácter vinculante para el prestatario de las condiciones de la oferta contenida en la FEIN y en los demás documentos a los que se refiere el </w:t>
      </w:r>
      <w:r w:rsidR="00654E83" w:rsidRPr="007E6C38">
        <w:t>art. 14</w:t>
      </w:r>
      <w:r w:rsidRPr="007E6C38">
        <w:t xml:space="preserve">.1 LCCI explica que </w:t>
      </w:r>
      <w:r w:rsidRPr="006C2B1F">
        <w:rPr>
          <w:color w:val="FF0000"/>
        </w:rPr>
        <w:t>el momento de su entr</w:t>
      </w:r>
      <w:r w:rsidR="003E0690" w:rsidRPr="006C2B1F">
        <w:rPr>
          <w:color w:val="FF0000"/>
        </w:rPr>
        <w:t>ega haya de ser, según el art. 10</w:t>
      </w:r>
      <w:r w:rsidRPr="006C2B1F">
        <w:rPr>
          <w:color w:val="FF0000"/>
        </w:rPr>
        <w:t xml:space="preserve"> LCCI, posterior a que el prestatario haya dado la información necesaria sobre sus necesidades, situación financiera y preferencias y en bu</w:t>
      </w:r>
      <w:r w:rsidR="00B204A0" w:rsidRPr="006C2B1F">
        <w:rPr>
          <w:color w:val="FF0000"/>
        </w:rPr>
        <w:t xml:space="preserve">ena lógica, posterior </w:t>
      </w:r>
      <w:r w:rsidRPr="006C2B1F">
        <w:rPr>
          <w:color w:val="FF0000"/>
        </w:rPr>
        <w:t xml:space="preserve">también al momento en que la entidad prestamista haya evaluado la solvencia </w:t>
      </w:r>
      <w:r w:rsidRPr="007E6C38">
        <w:t>de</w:t>
      </w:r>
      <w:r w:rsidR="003E0690" w:rsidRPr="007E6C38">
        <w:t>l prestatario conforme al art. 11</w:t>
      </w:r>
      <w:r w:rsidRPr="007E6C38">
        <w:t xml:space="preserve"> LCCI.</w:t>
      </w:r>
    </w:p>
    <w:p w:rsidR="002E1455" w:rsidRPr="007E6C38" w:rsidRDefault="00E9654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Una cuestión controvertida es</w:t>
      </w:r>
      <w:r w:rsidR="0098069D" w:rsidRPr="007E6C38">
        <w:rPr>
          <w:rFonts w:ascii="Times New Roman" w:hAnsi="Times New Roman" w:cs="Times New Roman"/>
          <w:sz w:val="24"/>
          <w:szCs w:val="24"/>
        </w:rPr>
        <w:t xml:space="preserve"> si el plazo de diez días desde la entrega de la documentación del </w:t>
      </w:r>
      <w:r w:rsidR="00654E83" w:rsidRPr="007E6C38">
        <w:rPr>
          <w:rFonts w:ascii="Times New Roman" w:hAnsi="Times New Roman" w:cs="Times New Roman"/>
          <w:sz w:val="24"/>
          <w:szCs w:val="24"/>
        </w:rPr>
        <w:t>art. 14</w:t>
      </w:r>
      <w:r w:rsidR="0098069D" w:rsidRPr="007E6C38">
        <w:rPr>
          <w:rFonts w:ascii="Times New Roman" w:hAnsi="Times New Roman" w:cs="Times New Roman"/>
          <w:sz w:val="24"/>
          <w:szCs w:val="24"/>
        </w:rPr>
        <w:t xml:space="preserve">.1 LCCI es renunciable por el prestatario, de tal manera que el contrato de préstamo pudiera formalizarse antes de que hubieran transcurrido estos diez </w:t>
      </w:r>
      <w:r w:rsidR="003E0690" w:rsidRPr="007E6C38">
        <w:rPr>
          <w:rFonts w:ascii="Times New Roman" w:hAnsi="Times New Roman" w:cs="Times New Roman"/>
          <w:sz w:val="24"/>
          <w:szCs w:val="24"/>
        </w:rPr>
        <w:t xml:space="preserve">días. El art. 14.6 Directiva </w:t>
      </w:r>
      <w:r w:rsidR="0098069D" w:rsidRPr="007E6C38">
        <w:rPr>
          <w:rFonts w:ascii="Times New Roman" w:hAnsi="Times New Roman" w:cs="Times New Roman"/>
          <w:sz w:val="24"/>
          <w:szCs w:val="24"/>
        </w:rPr>
        <w:t>2014/17</w:t>
      </w:r>
      <w:r w:rsidR="003E0690" w:rsidRPr="007E6C38">
        <w:rPr>
          <w:rFonts w:ascii="Times New Roman" w:hAnsi="Times New Roman" w:cs="Times New Roman"/>
          <w:sz w:val="24"/>
          <w:szCs w:val="24"/>
        </w:rPr>
        <w:t>/UE</w:t>
      </w:r>
      <w:r w:rsidR="0098069D" w:rsidRPr="007E6C38">
        <w:rPr>
          <w:rFonts w:ascii="Times New Roman" w:hAnsi="Times New Roman" w:cs="Times New Roman"/>
          <w:sz w:val="24"/>
          <w:szCs w:val="24"/>
        </w:rPr>
        <w:t xml:space="preserve"> configura este plazo de reflexión previo al contrato como renunciable para el prestatario al disponer que “el consumidor podrá aceptar la oferta en cualquier momento durante el periodo de reflexión”, aunque faculta a los Estados miembros a establecer que los consumidores no puedan aceptar la oferta durante los primeros diez días del período de reflexión. La cuestión es si el legislador español al establecer que la información documental del </w:t>
      </w:r>
      <w:r w:rsidR="00654E83" w:rsidRPr="007E6C38">
        <w:rPr>
          <w:rFonts w:ascii="Times New Roman" w:hAnsi="Times New Roman" w:cs="Times New Roman"/>
          <w:sz w:val="24"/>
          <w:szCs w:val="24"/>
        </w:rPr>
        <w:t>art. 14</w:t>
      </w:r>
      <w:r w:rsidR="0098069D" w:rsidRPr="007E6C38">
        <w:rPr>
          <w:rFonts w:ascii="Times New Roman" w:hAnsi="Times New Roman" w:cs="Times New Roman"/>
          <w:sz w:val="24"/>
          <w:szCs w:val="24"/>
        </w:rPr>
        <w:t>.1 LCCI ha de entregarse con una antelación mínima de diez días naturales respecto al momento de la firma del contrato ha querido hacer uso de la facultad de la Directiva de poder establecer este plazo como irrenunciable</w:t>
      </w:r>
      <w:r w:rsidR="002E1455" w:rsidRPr="007E6C38">
        <w:rPr>
          <w:rFonts w:ascii="Times New Roman" w:hAnsi="Times New Roman" w:cs="Times New Roman"/>
          <w:sz w:val="24"/>
          <w:szCs w:val="24"/>
        </w:rPr>
        <w:t xml:space="preserve">. </w:t>
      </w:r>
    </w:p>
    <w:p w:rsidR="00E9654C" w:rsidRPr="007E6C38" w:rsidRDefault="002E1455" w:rsidP="00F60A8E">
      <w:pPr>
        <w:spacing w:before="120" w:after="120" w:line="360" w:lineRule="auto"/>
        <w:jc w:val="both"/>
        <w:rPr>
          <w:rFonts w:ascii="Times New Roman" w:hAnsi="Times New Roman" w:cs="Times New Roman"/>
          <w:sz w:val="24"/>
          <w:szCs w:val="24"/>
        </w:rPr>
      </w:pPr>
      <w:r w:rsidRPr="006C2B1F">
        <w:rPr>
          <w:rFonts w:ascii="Times New Roman" w:hAnsi="Times New Roman" w:cs="Times New Roman"/>
          <w:color w:val="FF0000"/>
          <w:sz w:val="24"/>
          <w:szCs w:val="24"/>
        </w:rPr>
        <w:t>El a</w:t>
      </w:r>
      <w:r w:rsidR="00BD1D3C" w:rsidRPr="006C2B1F">
        <w:rPr>
          <w:rFonts w:ascii="Times New Roman" w:hAnsi="Times New Roman" w:cs="Times New Roman"/>
          <w:color w:val="FF0000"/>
          <w:sz w:val="24"/>
          <w:szCs w:val="24"/>
        </w:rPr>
        <w:t>rt. 8 LCCI parece enfatizar el</w:t>
      </w:r>
      <w:r w:rsidRPr="006C2B1F">
        <w:rPr>
          <w:rFonts w:ascii="Times New Roman" w:hAnsi="Times New Roman" w:cs="Times New Roman"/>
          <w:color w:val="FF0000"/>
          <w:sz w:val="24"/>
          <w:szCs w:val="24"/>
        </w:rPr>
        <w:t xml:space="preserve"> carácter irrenunciable del plazo de diez días al señalar que la suficiente antelación con la que se entregará la FEIN “nunca será inferior a diez días naturales”, </w:t>
      </w:r>
      <w:r w:rsidRPr="007E6C38">
        <w:rPr>
          <w:rFonts w:ascii="Times New Roman" w:hAnsi="Times New Roman" w:cs="Times New Roman"/>
          <w:sz w:val="24"/>
          <w:szCs w:val="24"/>
        </w:rPr>
        <w:t>teniendo en cuenta además el carácter irrenunciable de las disposiciones de la LCCI</w:t>
      </w:r>
      <w:r w:rsidR="0063369F" w:rsidRPr="007E6C38">
        <w:rPr>
          <w:rFonts w:ascii="Times New Roman" w:hAnsi="Times New Roman" w:cs="Times New Roman"/>
          <w:sz w:val="24"/>
          <w:szCs w:val="24"/>
        </w:rPr>
        <w:t>,</w:t>
      </w:r>
      <w:r w:rsidRPr="007E6C38">
        <w:rPr>
          <w:rFonts w:ascii="Times New Roman" w:hAnsi="Times New Roman" w:cs="Times New Roman"/>
          <w:sz w:val="24"/>
          <w:szCs w:val="24"/>
        </w:rPr>
        <w:t xml:space="preserve"> establecido </w:t>
      </w:r>
      <w:r w:rsidRPr="006C2B1F">
        <w:rPr>
          <w:rFonts w:ascii="Times New Roman" w:hAnsi="Times New Roman" w:cs="Times New Roman"/>
          <w:color w:val="FF0000"/>
          <w:sz w:val="24"/>
          <w:szCs w:val="24"/>
        </w:rPr>
        <w:t xml:space="preserve">con carácter general por su art. 3 </w:t>
      </w:r>
      <w:r w:rsidRPr="007E6C38">
        <w:rPr>
          <w:rFonts w:ascii="Times New Roman" w:hAnsi="Times New Roman" w:cs="Times New Roman"/>
          <w:sz w:val="24"/>
          <w:szCs w:val="24"/>
        </w:rPr>
        <w:t>salvo que la norma expresamente establezca lo contrario</w:t>
      </w:r>
      <w:r w:rsidR="0024693C" w:rsidRPr="007E6C38">
        <w:rPr>
          <w:rStyle w:val="Refdenotaalpie"/>
          <w:rFonts w:ascii="Times New Roman" w:hAnsi="Times New Roman" w:cs="Times New Roman"/>
          <w:sz w:val="24"/>
          <w:szCs w:val="24"/>
        </w:rPr>
        <w:footnoteReference w:id="10"/>
      </w:r>
      <w:r w:rsidRPr="007E6C38">
        <w:rPr>
          <w:rFonts w:ascii="Times New Roman" w:hAnsi="Times New Roman" w:cs="Times New Roman"/>
          <w:sz w:val="24"/>
          <w:szCs w:val="24"/>
        </w:rPr>
        <w:t xml:space="preserve">. </w:t>
      </w:r>
      <w:r w:rsidR="00E9654C" w:rsidRPr="007E6C38">
        <w:rPr>
          <w:rFonts w:ascii="Times New Roman" w:hAnsi="Times New Roman" w:cs="Times New Roman"/>
          <w:sz w:val="24"/>
          <w:szCs w:val="24"/>
        </w:rPr>
        <w:t xml:space="preserve">Además, la disposición final 6ª de la LCCI introduce una </w:t>
      </w:r>
      <w:r w:rsidR="00E9654C" w:rsidRPr="006C2B1F">
        <w:rPr>
          <w:rFonts w:ascii="Times New Roman" w:hAnsi="Times New Roman" w:cs="Times New Roman"/>
          <w:color w:val="FF0000"/>
          <w:sz w:val="24"/>
          <w:szCs w:val="24"/>
        </w:rPr>
        <w:t xml:space="preserve">modificación sobre el régimen disciplinario de los notarios en el art. 43 de la Ley 14/2000, de 29 de diciembre, de Medidas fiscales, administrativas y del orden social, en virtud de la cual se considera como infracción muy grave “el incumplimiento del período de información precontractual obligatorio previo a la autorización de la escritura en los préstamos y créditos </w:t>
      </w:r>
      <w:r w:rsidR="00E9654C" w:rsidRPr="007E6C38">
        <w:rPr>
          <w:rFonts w:ascii="Times New Roman" w:hAnsi="Times New Roman" w:cs="Times New Roman"/>
          <w:sz w:val="24"/>
          <w:szCs w:val="24"/>
        </w:rPr>
        <w:t>hipotecarios sobre vivienda residencial y de levantar el acta previa a su formalización en los términos previstos en la Ley”</w:t>
      </w:r>
      <w:r w:rsidR="00E9654C" w:rsidRPr="007E6C38">
        <w:rPr>
          <w:rStyle w:val="Refdenotaalpie"/>
          <w:rFonts w:ascii="Times New Roman" w:hAnsi="Times New Roman" w:cs="Times New Roman"/>
          <w:sz w:val="24"/>
          <w:szCs w:val="24"/>
        </w:rPr>
        <w:footnoteReference w:id="11"/>
      </w:r>
      <w:r w:rsidR="00E9654C" w:rsidRPr="007E6C38">
        <w:rPr>
          <w:rFonts w:ascii="Times New Roman" w:hAnsi="Times New Roman" w:cs="Times New Roman"/>
          <w:sz w:val="24"/>
          <w:szCs w:val="24"/>
        </w:rPr>
        <w:t>. L</w:t>
      </w:r>
      <w:r w:rsidRPr="007E6C38">
        <w:rPr>
          <w:rFonts w:ascii="Times New Roman" w:hAnsi="Times New Roman" w:cs="Times New Roman"/>
          <w:sz w:val="24"/>
          <w:szCs w:val="24"/>
        </w:rPr>
        <w:t xml:space="preserve">a </w:t>
      </w:r>
      <w:proofErr w:type="spellStart"/>
      <w:r w:rsidRPr="007E6C38">
        <w:rPr>
          <w:rFonts w:ascii="Times New Roman" w:hAnsi="Times New Roman" w:cs="Times New Roman"/>
          <w:sz w:val="24"/>
          <w:szCs w:val="24"/>
        </w:rPr>
        <w:t>irrenunciabilidad</w:t>
      </w:r>
      <w:proofErr w:type="spellEnd"/>
      <w:r w:rsidRPr="007E6C38">
        <w:rPr>
          <w:rFonts w:ascii="Times New Roman" w:hAnsi="Times New Roman" w:cs="Times New Roman"/>
          <w:sz w:val="24"/>
          <w:szCs w:val="24"/>
        </w:rPr>
        <w:t xml:space="preserve"> del plazo de </w:t>
      </w:r>
      <w:r w:rsidR="003E0690" w:rsidRPr="007E6C38">
        <w:rPr>
          <w:rFonts w:ascii="Times New Roman" w:hAnsi="Times New Roman" w:cs="Times New Roman"/>
          <w:sz w:val="24"/>
          <w:szCs w:val="24"/>
        </w:rPr>
        <w:t>diez días puede ser</w:t>
      </w:r>
      <w:r w:rsidRPr="007E6C38">
        <w:rPr>
          <w:rFonts w:ascii="Times New Roman" w:hAnsi="Times New Roman" w:cs="Times New Roman"/>
          <w:sz w:val="24"/>
          <w:szCs w:val="24"/>
        </w:rPr>
        <w:t xml:space="preserve"> </w:t>
      </w:r>
      <w:r w:rsidR="003E0690" w:rsidRPr="007E6C38">
        <w:rPr>
          <w:rFonts w:ascii="Times New Roman" w:hAnsi="Times New Roman" w:cs="Times New Roman"/>
          <w:sz w:val="24"/>
          <w:szCs w:val="24"/>
        </w:rPr>
        <w:t>perjudicial para el prestatario</w:t>
      </w:r>
      <w:r w:rsidRPr="007E6C38">
        <w:rPr>
          <w:rFonts w:ascii="Times New Roman" w:hAnsi="Times New Roman" w:cs="Times New Roman"/>
          <w:sz w:val="24"/>
          <w:szCs w:val="24"/>
        </w:rPr>
        <w:t xml:space="preserve"> cuando necesite realizar el contrato de préstamo y disponer d</w:t>
      </w:r>
      <w:r w:rsidR="00B204A0" w:rsidRPr="007E6C38">
        <w:rPr>
          <w:rFonts w:ascii="Times New Roman" w:hAnsi="Times New Roman" w:cs="Times New Roman"/>
          <w:sz w:val="24"/>
          <w:szCs w:val="24"/>
        </w:rPr>
        <w:t>el capital antes de que transcurran estos diez días</w:t>
      </w:r>
      <w:r w:rsidRPr="007E6C38">
        <w:rPr>
          <w:rFonts w:ascii="Times New Roman" w:hAnsi="Times New Roman" w:cs="Times New Roman"/>
          <w:sz w:val="24"/>
          <w:szCs w:val="24"/>
        </w:rPr>
        <w:t>,</w:t>
      </w:r>
      <w:r w:rsidR="00BD1D3C" w:rsidRPr="007E6C38">
        <w:rPr>
          <w:rFonts w:ascii="Times New Roman" w:hAnsi="Times New Roman" w:cs="Times New Roman"/>
          <w:sz w:val="24"/>
          <w:szCs w:val="24"/>
        </w:rPr>
        <w:t xml:space="preserve"> por ejemplo, para poder hacer efectivo en plazo un derecho de adquisición preferente o para destinar el capital prestado al pago de una deuda antes de su vencimiento,</w:t>
      </w:r>
      <w:r w:rsidRPr="007E6C38">
        <w:rPr>
          <w:rFonts w:ascii="Times New Roman" w:hAnsi="Times New Roman" w:cs="Times New Roman"/>
          <w:sz w:val="24"/>
          <w:szCs w:val="24"/>
        </w:rPr>
        <w:t xml:space="preserve"> por l</w:t>
      </w:r>
      <w:r w:rsidR="00BD1D3C" w:rsidRPr="007E6C38">
        <w:rPr>
          <w:rFonts w:ascii="Times New Roman" w:hAnsi="Times New Roman" w:cs="Times New Roman"/>
          <w:sz w:val="24"/>
          <w:szCs w:val="24"/>
        </w:rPr>
        <w:t>o que</w:t>
      </w:r>
      <w:r w:rsidR="00B37B40" w:rsidRPr="007E6C38">
        <w:rPr>
          <w:rFonts w:ascii="Times New Roman" w:hAnsi="Times New Roman" w:cs="Times New Roman"/>
          <w:sz w:val="24"/>
          <w:szCs w:val="24"/>
        </w:rPr>
        <w:t>,</w:t>
      </w:r>
      <w:r w:rsidR="00BD1D3C" w:rsidRPr="007E6C38">
        <w:rPr>
          <w:rFonts w:ascii="Times New Roman" w:hAnsi="Times New Roman" w:cs="Times New Roman"/>
          <w:sz w:val="24"/>
          <w:szCs w:val="24"/>
        </w:rPr>
        <w:t xml:space="preserve"> teniendo en cuenta que</w:t>
      </w:r>
      <w:r w:rsidRPr="007E6C38">
        <w:rPr>
          <w:rFonts w:ascii="Times New Roman" w:hAnsi="Times New Roman" w:cs="Times New Roman"/>
          <w:sz w:val="24"/>
          <w:szCs w:val="24"/>
        </w:rPr>
        <w:t xml:space="preserve"> la razón del caráct</w:t>
      </w:r>
      <w:r w:rsidR="00BD1D3C" w:rsidRPr="007E6C38">
        <w:rPr>
          <w:rFonts w:ascii="Times New Roman" w:hAnsi="Times New Roman" w:cs="Times New Roman"/>
          <w:sz w:val="24"/>
          <w:szCs w:val="24"/>
        </w:rPr>
        <w:t>er imperativo del plazo</w:t>
      </w:r>
      <w:r w:rsidR="00B204A0" w:rsidRPr="007E6C38">
        <w:rPr>
          <w:rFonts w:ascii="Times New Roman" w:hAnsi="Times New Roman" w:cs="Times New Roman"/>
          <w:sz w:val="24"/>
          <w:szCs w:val="24"/>
        </w:rPr>
        <w:t xml:space="preserve"> de diez días</w:t>
      </w:r>
      <w:r w:rsidR="00BD1D3C" w:rsidRPr="007E6C38">
        <w:rPr>
          <w:rFonts w:ascii="Times New Roman" w:hAnsi="Times New Roman" w:cs="Times New Roman"/>
          <w:sz w:val="24"/>
          <w:szCs w:val="24"/>
        </w:rPr>
        <w:t xml:space="preserve"> es</w:t>
      </w:r>
      <w:r w:rsidRPr="007E6C38">
        <w:rPr>
          <w:rFonts w:ascii="Times New Roman" w:hAnsi="Times New Roman" w:cs="Times New Roman"/>
          <w:sz w:val="24"/>
          <w:szCs w:val="24"/>
        </w:rPr>
        <w:t xml:space="preserve"> la protección del prestatario frente a un</w:t>
      </w:r>
      <w:r w:rsidR="00BD1D3C" w:rsidRPr="007E6C38">
        <w:rPr>
          <w:rFonts w:ascii="Times New Roman" w:hAnsi="Times New Roman" w:cs="Times New Roman"/>
          <w:sz w:val="24"/>
          <w:szCs w:val="24"/>
        </w:rPr>
        <w:t>a renuncia</w:t>
      </w:r>
      <w:r w:rsidRPr="007E6C38">
        <w:rPr>
          <w:rFonts w:ascii="Times New Roman" w:hAnsi="Times New Roman" w:cs="Times New Roman"/>
          <w:sz w:val="24"/>
          <w:szCs w:val="24"/>
        </w:rPr>
        <w:t xml:space="preserve"> impu</w:t>
      </w:r>
      <w:r w:rsidR="00E9654C" w:rsidRPr="007E6C38">
        <w:rPr>
          <w:rFonts w:ascii="Times New Roman" w:hAnsi="Times New Roman" w:cs="Times New Roman"/>
          <w:sz w:val="24"/>
          <w:szCs w:val="24"/>
        </w:rPr>
        <w:t xml:space="preserve">esta por el prestamista, </w:t>
      </w:r>
      <w:r w:rsidRPr="007E6C38">
        <w:rPr>
          <w:rFonts w:ascii="Times New Roman" w:hAnsi="Times New Roman" w:cs="Times New Roman"/>
          <w:sz w:val="24"/>
          <w:szCs w:val="24"/>
        </w:rPr>
        <w:t>deber</w:t>
      </w:r>
      <w:r w:rsidR="00B204A0" w:rsidRPr="007E6C38">
        <w:rPr>
          <w:rFonts w:ascii="Times New Roman" w:hAnsi="Times New Roman" w:cs="Times New Roman"/>
          <w:sz w:val="24"/>
          <w:szCs w:val="24"/>
        </w:rPr>
        <w:t xml:space="preserve">ía </w:t>
      </w:r>
      <w:r w:rsidR="00E9654C" w:rsidRPr="007E6C38">
        <w:rPr>
          <w:rFonts w:ascii="Times New Roman" w:hAnsi="Times New Roman" w:cs="Times New Roman"/>
          <w:sz w:val="24"/>
          <w:szCs w:val="24"/>
        </w:rPr>
        <w:t>haberse tratado de manera más flexible esta cuestión, admitiéndose la renuncia cuando estuviera plenamente justificado el interés del prestatario.</w:t>
      </w:r>
      <w:r w:rsidR="0063369F" w:rsidRPr="007E6C38">
        <w:rPr>
          <w:rFonts w:ascii="Times New Roman" w:hAnsi="Times New Roman" w:cs="Times New Roman"/>
          <w:sz w:val="24"/>
          <w:szCs w:val="24"/>
        </w:rPr>
        <w:t xml:space="preserve"> La amenaza que se ciñe sobre el notario autorizante por la sanción disciplinaria referida parece que excluirá en la práctica esta flexibilidad.</w:t>
      </w:r>
    </w:p>
    <w:p w:rsidR="00053B53" w:rsidRPr="007E6C38" w:rsidRDefault="00053B53"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Toda la documentación a la que se refiere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.1 LCCI, </w:t>
      </w:r>
      <w:r w:rsidRPr="006C2B1F">
        <w:rPr>
          <w:rFonts w:ascii="Times New Roman" w:hAnsi="Times New Roman" w:cs="Times New Roman"/>
          <w:color w:val="FF0000"/>
          <w:sz w:val="24"/>
          <w:szCs w:val="24"/>
        </w:rPr>
        <w:t xml:space="preserve">acompañada de una manifestación firmada por el prestatario en la que declare haberla recibido y que le ha sido explicado su contenido, debe remitirse al notario que elija el prestatario para la práctica del acta a la que se refiere el </w:t>
      </w:r>
      <w:r w:rsidR="00654E83" w:rsidRPr="006C2B1F">
        <w:rPr>
          <w:rFonts w:ascii="Times New Roman" w:hAnsi="Times New Roman" w:cs="Times New Roman"/>
          <w:color w:val="FF0000"/>
          <w:sz w:val="24"/>
          <w:szCs w:val="24"/>
        </w:rPr>
        <w:t>art. 15</w:t>
      </w:r>
      <w:r w:rsidRPr="006C2B1F">
        <w:rPr>
          <w:rFonts w:ascii="Times New Roman" w:hAnsi="Times New Roman" w:cs="Times New Roman"/>
          <w:color w:val="FF0000"/>
          <w:sz w:val="24"/>
          <w:szCs w:val="24"/>
        </w:rPr>
        <w:t xml:space="preserve"> LCCI,</w:t>
      </w:r>
      <w:r w:rsidRPr="007E6C38">
        <w:rPr>
          <w:rFonts w:ascii="Times New Roman" w:hAnsi="Times New Roman" w:cs="Times New Roman"/>
          <w:sz w:val="24"/>
          <w:szCs w:val="24"/>
        </w:rPr>
        <w:t xml:space="preserve"> a través de medios telemáticos que permitan al Notario comprobar fehacientemente la fecha</w:t>
      </w:r>
      <w:r w:rsidR="00530AD5" w:rsidRPr="007E6C38">
        <w:rPr>
          <w:rFonts w:ascii="Times New Roman" w:hAnsi="Times New Roman" w:cs="Times New Roman"/>
          <w:sz w:val="24"/>
          <w:szCs w:val="24"/>
        </w:rPr>
        <w:t>.</w:t>
      </w:r>
    </w:p>
    <w:p w:rsidR="00530AD5" w:rsidRPr="007E6C38" w:rsidRDefault="00530AD5" w:rsidP="00F60A8E">
      <w:pPr>
        <w:spacing w:before="120" w:after="120" w:line="360" w:lineRule="auto"/>
        <w:jc w:val="both"/>
        <w:rPr>
          <w:rFonts w:ascii="Times New Roman" w:hAnsi="Times New Roman" w:cs="Times New Roman"/>
          <w:sz w:val="24"/>
          <w:szCs w:val="24"/>
        </w:rPr>
      </w:pPr>
    </w:p>
    <w:p w:rsidR="006378E4" w:rsidRPr="007E6C38" w:rsidRDefault="00B8580F"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6378E4" w:rsidRPr="007E6C38">
        <w:rPr>
          <w:rFonts w:ascii="Times New Roman" w:hAnsi="Times New Roman" w:cs="Times New Roman"/>
          <w:b/>
          <w:sz w:val="24"/>
          <w:szCs w:val="24"/>
        </w:rPr>
        <w:t xml:space="preserve">. LA INFORMACIÓN SOBRE ASPECTOS CONCRETOS DEL CONTRATO DE </w:t>
      </w:r>
      <w:r w:rsidR="00EE3FAF" w:rsidRPr="007E6C38">
        <w:rPr>
          <w:rFonts w:ascii="Times New Roman" w:hAnsi="Times New Roman" w:cs="Times New Roman"/>
          <w:b/>
          <w:sz w:val="24"/>
          <w:szCs w:val="24"/>
        </w:rPr>
        <w:t>PRÉSTAMO EN LA FEIN Y EN LA DEMÁS DOCUMENTACIÓN PRECONTRACTUAL</w:t>
      </w:r>
    </w:p>
    <w:p w:rsidR="00EE3FAF" w:rsidRPr="007E6C38" w:rsidRDefault="00F60A8E"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EE3FAF" w:rsidRPr="007E6C38">
        <w:rPr>
          <w:rFonts w:ascii="Times New Roman" w:hAnsi="Times New Roman" w:cs="Times New Roman"/>
          <w:b/>
          <w:sz w:val="24"/>
          <w:szCs w:val="24"/>
        </w:rPr>
        <w:t>.1. Información sobre</w:t>
      </w:r>
      <w:r w:rsidR="0002722F" w:rsidRPr="007E6C38">
        <w:rPr>
          <w:rFonts w:ascii="Times New Roman" w:hAnsi="Times New Roman" w:cs="Times New Roman"/>
          <w:b/>
          <w:sz w:val="24"/>
          <w:szCs w:val="24"/>
        </w:rPr>
        <w:t xml:space="preserve"> las</w:t>
      </w:r>
      <w:r w:rsidR="00EE3FAF" w:rsidRPr="007E6C38">
        <w:rPr>
          <w:rFonts w:ascii="Times New Roman" w:hAnsi="Times New Roman" w:cs="Times New Roman"/>
          <w:b/>
          <w:sz w:val="24"/>
          <w:szCs w:val="24"/>
        </w:rPr>
        <w:t xml:space="preserve"> cláusulas suelo</w:t>
      </w:r>
    </w:p>
    <w:p w:rsidR="00530AD5" w:rsidRPr="007E6C38" w:rsidRDefault="00530AD5"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La Directiva 2014/17/UE </w:t>
      </w:r>
      <w:r w:rsidRPr="006C2B1F">
        <w:rPr>
          <w:rFonts w:ascii="Times New Roman" w:hAnsi="Times New Roman" w:cs="Times New Roman"/>
          <w:color w:val="FF0000"/>
          <w:sz w:val="24"/>
          <w:szCs w:val="24"/>
        </w:rPr>
        <w:t xml:space="preserve">no presta una atención especial </w:t>
      </w:r>
      <w:r w:rsidRPr="007E6C38">
        <w:rPr>
          <w:rFonts w:ascii="Times New Roman" w:hAnsi="Times New Roman" w:cs="Times New Roman"/>
          <w:sz w:val="24"/>
          <w:szCs w:val="24"/>
        </w:rPr>
        <w:t xml:space="preserve">a la información precontractual a aportar respecto de las cláusulas que establecen una limitación mínima a la variación del tipo de interés o cláusulas suelo. En la FEIN sólo se prevé una </w:t>
      </w:r>
      <w:r w:rsidRPr="001939A2">
        <w:rPr>
          <w:rFonts w:ascii="Times New Roman" w:hAnsi="Times New Roman" w:cs="Times New Roman"/>
          <w:color w:val="FF0000"/>
          <w:sz w:val="24"/>
          <w:szCs w:val="24"/>
        </w:rPr>
        <w:t>mención expresa a la existencia de límites a las variaci</w:t>
      </w:r>
      <w:r w:rsidR="00B8580F" w:rsidRPr="001939A2">
        <w:rPr>
          <w:rFonts w:ascii="Times New Roman" w:hAnsi="Times New Roman" w:cs="Times New Roman"/>
          <w:color w:val="FF0000"/>
          <w:sz w:val="24"/>
          <w:szCs w:val="24"/>
        </w:rPr>
        <w:t>ones del tipo de interés en la Sección 3ª</w:t>
      </w:r>
      <w:r w:rsidRPr="007E6C38">
        <w:rPr>
          <w:rFonts w:ascii="Times New Roman" w:hAnsi="Times New Roman" w:cs="Times New Roman"/>
          <w:sz w:val="24"/>
          <w:szCs w:val="24"/>
        </w:rPr>
        <w:t xml:space="preserve"> (“Características principales del préstamo”), en la </w:t>
      </w:r>
      <w:r w:rsidRPr="001939A2">
        <w:rPr>
          <w:rFonts w:ascii="Times New Roman" w:hAnsi="Times New Roman" w:cs="Times New Roman"/>
          <w:color w:val="FF0000"/>
          <w:sz w:val="24"/>
          <w:szCs w:val="24"/>
        </w:rPr>
        <w:t>defi</w:t>
      </w:r>
      <w:r w:rsidR="003E0690" w:rsidRPr="001939A2">
        <w:rPr>
          <w:rFonts w:ascii="Times New Roman" w:hAnsi="Times New Roman" w:cs="Times New Roman"/>
          <w:color w:val="FF0000"/>
          <w:sz w:val="24"/>
          <w:szCs w:val="24"/>
        </w:rPr>
        <w:t xml:space="preserve">nición del tipo deudor </w:t>
      </w:r>
      <w:r w:rsidR="00B8580F" w:rsidRPr="001939A2">
        <w:rPr>
          <w:rFonts w:ascii="Times New Roman" w:hAnsi="Times New Roman" w:cs="Times New Roman"/>
          <w:color w:val="FF0000"/>
          <w:sz w:val="24"/>
          <w:szCs w:val="24"/>
        </w:rPr>
        <w:t>y en la Sección 4ª</w:t>
      </w:r>
      <w:r w:rsidRPr="007E6C38">
        <w:rPr>
          <w:rFonts w:ascii="Times New Roman" w:hAnsi="Times New Roman" w:cs="Times New Roman"/>
          <w:sz w:val="24"/>
          <w:szCs w:val="24"/>
        </w:rPr>
        <w:t xml:space="preserve">, al describirse el interés nominal como componente de la TAE, sin exigirse un especial resalte y </w:t>
      </w:r>
      <w:r w:rsidRPr="001939A2">
        <w:rPr>
          <w:rFonts w:ascii="Times New Roman" w:hAnsi="Times New Roman" w:cs="Times New Roman"/>
          <w:color w:val="FF0000"/>
          <w:sz w:val="24"/>
          <w:szCs w:val="24"/>
        </w:rPr>
        <w:t xml:space="preserve">sin que sea necesario ilustrar al prestatario sobre el efecto de este  límite en caso de escenarios previsibles </w:t>
      </w:r>
      <w:r w:rsidRPr="007E6C38">
        <w:rPr>
          <w:rFonts w:ascii="Times New Roman" w:hAnsi="Times New Roman" w:cs="Times New Roman"/>
          <w:sz w:val="24"/>
          <w:szCs w:val="24"/>
        </w:rPr>
        <w:t>de bajada del índice de referencia, ni indicar cuál será el importe de la cuota que como mínimo ha de satisfacer el prestatario. Resulta muy significativo que las instrucciones para cumplimentar la FEIN del Anexo II, b) de la directiva 2014/17/UE sólo prevean que en caso de préstamo a interés variable haya que incluir en la Sección 4ª un ejemplo representativo de la variación del tipo de interés que tome como referencia el índice al alza (la denominada cláusula techo) y no el límite a la baja.</w:t>
      </w:r>
    </w:p>
    <w:p w:rsidR="00530AD5" w:rsidRPr="007E6C38" w:rsidRDefault="00530AD5"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este mismo sentido, en la FEIN solamente se exige incluir una tabla ilustrativa de reembolso, con una advertencia, en caso de que el préstamo sea a interés variable de que las cuot</w:t>
      </w:r>
      <w:r w:rsidR="0063369F" w:rsidRPr="007E6C38">
        <w:rPr>
          <w:rFonts w:ascii="Times New Roman" w:hAnsi="Times New Roman" w:cs="Times New Roman"/>
          <w:sz w:val="24"/>
          <w:szCs w:val="24"/>
        </w:rPr>
        <w:t>as pueden variar (Sección 7ª</w:t>
      </w:r>
      <w:r w:rsidRPr="007E6C38">
        <w:rPr>
          <w:rFonts w:ascii="Times New Roman" w:hAnsi="Times New Roman" w:cs="Times New Roman"/>
          <w:sz w:val="24"/>
          <w:szCs w:val="24"/>
        </w:rPr>
        <w:t xml:space="preserve">, Anexo II), pero </w:t>
      </w:r>
      <w:r w:rsidRPr="001939A2">
        <w:rPr>
          <w:rFonts w:ascii="Times New Roman" w:hAnsi="Times New Roman" w:cs="Times New Roman"/>
          <w:color w:val="FF0000"/>
          <w:sz w:val="24"/>
          <w:szCs w:val="24"/>
        </w:rPr>
        <w:t>no hay una obligación de incluir cuadros simulados de reembolso en distintos escenarios previsibles de subida y bajada del índice de referencia q</w:t>
      </w:r>
      <w:r w:rsidRPr="007E6C38">
        <w:rPr>
          <w:rFonts w:ascii="Times New Roman" w:hAnsi="Times New Roman" w:cs="Times New Roman"/>
          <w:sz w:val="24"/>
          <w:szCs w:val="24"/>
        </w:rPr>
        <w:t>ue permitiese al consumidor tener una referencia de la incidencia de la cláusulas suelo en caso de bajada del índice de referencia. Tampoco en el apartado relativo a la cuota (apartado seis, Anexo II) se exige una mención expresa a cuál sería la cuota mínima que por aplicación de la cláusula suelo, en todo caso, tendría que satisfacer el consumidor.</w:t>
      </w:r>
    </w:p>
    <w:p w:rsidR="00530AD5" w:rsidRPr="007E6C38" w:rsidRDefault="00530AD5"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Desde luego, </w:t>
      </w:r>
      <w:r w:rsidR="003E0690" w:rsidRPr="007E6C38">
        <w:rPr>
          <w:rFonts w:ascii="Times New Roman" w:hAnsi="Times New Roman" w:cs="Times New Roman"/>
          <w:sz w:val="24"/>
          <w:szCs w:val="24"/>
        </w:rPr>
        <w:t xml:space="preserve">la atención que la Directiva </w:t>
      </w:r>
      <w:r w:rsidRPr="007E6C38">
        <w:rPr>
          <w:rFonts w:ascii="Times New Roman" w:hAnsi="Times New Roman" w:cs="Times New Roman"/>
          <w:sz w:val="24"/>
          <w:szCs w:val="24"/>
        </w:rPr>
        <w:t>2014/17</w:t>
      </w:r>
      <w:r w:rsidR="003E0690" w:rsidRPr="007E6C38">
        <w:rPr>
          <w:rFonts w:ascii="Times New Roman" w:hAnsi="Times New Roman" w:cs="Times New Roman"/>
          <w:sz w:val="24"/>
          <w:szCs w:val="24"/>
        </w:rPr>
        <w:t>/UE</w:t>
      </w:r>
      <w:r w:rsidRPr="007E6C38">
        <w:rPr>
          <w:rFonts w:ascii="Times New Roman" w:hAnsi="Times New Roman" w:cs="Times New Roman"/>
          <w:sz w:val="24"/>
          <w:szCs w:val="24"/>
        </w:rPr>
        <w:t xml:space="preserve"> ha prestado en la FEIN a la cláusula suelo contrasta con los parámetros señalados a título orientativo por la doctrina jurisprudencial sobre el control de transparencia material para la validez de estas cláusulas por la STS 9 mayo 2013 (Ar. 2013/3088) –entre otros, simulaciones de cuadros de amortización en diversos escenarios de evolución previsible del índice de referencia, información sobre el coste comparativo con otras modalidades de crédito sin cláusula suelo o información sobre la evolución previsible del índice de referencia- e incluso con las exigencias normativas ya acogidas por la Orden Ministerial 2899/2011, de 28 de octubre, de transparencia y protección del cliente de servicios bancarios, que exigía que en la Ficha de Información Personalizada (FIPER) se especificara de forma destacada la existencia de límites a la baja o de cualquier  instrumento que limite la variabilidad del tipo de inte</w:t>
      </w:r>
      <w:r w:rsidR="003E0690" w:rsidRPr="007E6C38">
        <w:rPr>
          <w:rFonts w:ascii="Times New Roman" w:hAnsi="Times New Roman" w:cs="Times New Roman"/>
          <w:sz w:val="24"/>
          <w:szCs w:val="24"/>
        </w:rPr>
        <w:t>rés (apartado 3º</w:t>
      </w:r>
      <w:r w:rsidRPr="007E6C38">
        <w:rPr>
          <w:rFonts w:ascii="Times New Roman" w:hAnsi="Times New Roman" w:cs="Times New Roman"/>
          <w:sz w:val="24"/>
          <w:szCs w:val="24"/>
        </w:rPr>
        <w:t>), con ejemplos numéricos referidos a escenarios razonables e indicación del importe de la cuota mínima que resultaría de la aplicac</w:t>
      </w:r>
      <w:r w:rsidR="003E0690" w:rsidRPr="007E6C38">
        <w:rPr>
          <w:rFonts w:ascii="Times New Roman" w:hAnsi="Times New Roman" w:cs="Times New Roman"/>
          <w:sz w:val="24"/>
          <w:szCs w:val="24"/>
        </w:rPr>
        <w:t>ión de la cláusula (apartado 5º</w:t>
      </w:r>
      <w:r w:rsidR="00BD1D3C" w:rsidRPr="007E6C38">
        <w:rPr>
          <w:rFonts w:ascii="Times New Roman" w:hAnsi="Times New Roman" w:cs="Times New Roman"/>
          <w:sz w:val="24"/>
          <w:szCs w:val="24"/>
        </w:rPr>
        <w:t>)</w:t>
      </w:r>
      <w:r w:rsidRPr="007E6C38">
        <w:rPr>
          <w:rFonts w:ascii="Times New Roman" w:hAnsi="Times New Roman" w:cs="Times New Roman"/>
          <w:sz w:val="24"/>
          <w:szCs w:val="24"/>
        </w:rPr>
        <w:t xml:space="preserve"> y que la cláusula suelo se recogiera además en un documento expreso anexo a la FIPER (art. 25).</w:t>
      </w:r>
    </w:p>
    <w:p w:rsidR="0002722F" w:rsidRPr="007E6C38" w:rsidRDefault="00530AD5"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Si el legislador español no hubiera incluido entre la documentación adicional a la FEIN a la que se refiere el </w:t>
      </w:r>
      <w:r w:rsidR="00654E83" w:rsidRPr="007E6C38">
        <w:rPr>
          <w:rFonts w:ascii="Times New Roman" w:hAnsi="Times New Roman" w:cs="Times New Roman"/>
          <w:sz w:val="24"/>
          <w:szCs w:val="24"/>
        </w:rPr>
        <w:t>art. 14</w:t>
      </w:r>
      <w:r w:rsidR="003E0690" w:rsidRPr="007E6C38">
        <w:rPr>
          <w:rFonts w:ascii="Times New Roman" w:hAnsi="Times New Roman" w:cs="Times New Roman"/>
          <w:sz w:val="24"/>
          <w:szCs w:val="24"/>
        </w:rPr>
        <w:t>.1 LCCI</w:t>
      </w:r>
      <w:r w:rsidRPr="007E6C38">
        <w:rPr>
          <w:rFonts w:ascii="Times New Roman" w:hAnsi="Times New Roman" w:cs="Times New Roman"/>
          <w:sz w:val="24"/>
          <w:szCs w:val="24"/>
        </w:rPr>
        <w:t xml:space="preserve"> explicaciones y advertencias expresas respecto a la inclusión de una cláusula suelo en el contrato, se habría producido una merma respecto del nivel de información exigido a nivel normativo y jurisprudencia. Por esta raz</w:t>
      </w:r>
      <w:r w:rsidR="0002722F" w:rsidRPr="007E6C38">
        <w:rPr>
          <w:rFonts w:ascii="Times New Roman" w:hAnsi="Times New Roman" w:cs="Times New Roman"/>
          <w:sz w:val="24"/>
          <w:szCs w:val="24"/>
        </w:rPr>
        <w:t xml:space="preserve">ón, en </w:t>
      </w:r>
      <w:r w:rsidR="0002722F" w:rsidRPr="001939A2">
        <w:rPr>
          <w:rFonts w:ascii="Times New Roman" w:hAnsi="Times New Roman" w:cs="Times New Roman"/>
          <w:color w:val="FF0000"/>
          <w:sz w:val="24"/>
          <w:szCs w:val="24"/>
        </w:rPr>
        <w:t xml:space="preserve">la </w:t>
      </w:r>
      <w:proofErr w:type="spellStart"/>
      <w:r w:rsidR="0002722F" w:rsidRPr="001939A2">
        <w:rPr>
          <w:rFonts w:ascii="Times New Roman" w:hAnsi="Times New Roman" w:cs="Times New Roman"/>
          <w:color w:val="FF0000"/>
          <w:sz w:val="24"/>
          <w:szCs w:val="24"/>
        </w:rPr>
        <w:t>FiAE</w:t>
      </w:r>
      <w:proofErr w:type="spellEnd"/>
      <w:r w:rsidR="0002722F" w:rsidRPr="001939A2">
        <w:rPr>
          <w:rFonts w:ascii="Times New Roman" w:hAnsi="Times New Roman" w:cs="Times New Roman"/>
          <w:color w:val="FF0000"/>
          <w:sz w:val="24"/>
          <w:szCs w:val="24"/>
        </w:rPr>
        <w:t xml:space="preserve"> se ha de incluir una advertencia de la existencia de límites mínimos </w:t>
      </w:r>
      <w:r w:rsidR="0002722F" w:rsidRPr="007E6C38">
        <w:rPr>
          <w:rFonts w:ascii="Times New Roman" w:hAnsi="Times New Roman" w:cs="Times New Roman"/>
          <w:sz w:val="24"/>
          <w:szCs w:val="24"/>
        </w:rPr>
        <w:t xml:space="preserve">en el tipo de interés aplicable como consecuencia de la variación a la baja de los índices a los que aquel esté referenciado. </w:t>
      </w:r>
    </w:p>
    <w:p w:rsidR="0002722F" w:rsidRPr="007E6C38" w:rsidRDefault="0002722F" w:rsidP="00F60A8E">
      <w:pPr>
        <w:spacing w:before="120" w:after="120" w:line="360" w:lineRule="auto"/>
        <w:jc w:val="both"/>
        <w:rPr>
          <w:rFonts w:ascii="Times New Roman" w:hAnsi="Times New Roman" w:cs="Times New Roman"/>
          <w:i/>
          <w:sz w:val="24"/>
          <w:szCs w:val="24"/>
        </w:rPr>
      </w:pPr>
      <w:r w:rsidRPr="007E6C38">
        <w:rPr>
          <w:rFonts w:ascii="Times New Roman" w:hAnsi="Times New Roman" w:cs="Times New Roman"/>
          <w:sz w:val="24"/>
          <w:szCs w:val="24"/>
        </w:rPr>
        <w:t xml:space="preserve">Además, </w:t>
      </w:r>
      <w:r w:rsidRPr="001939A2">
        <w:rPr>
          <w:rFonts w:ascii="Times New Roman" w:hAnsi="Times New Roman" w:cs="Times New Roman"/>
          <w:color w:val="FF0000"/>
          <w:sz w:val="24"/>
          <w:szCs w:val="24"/>
        </w:rPr>
        <w:t xml:space="preserve">la entrega del documento con simulaciones sobre las cuotas a pagar en distintos escenarios de evolución del índice de referencia </w:t>
      </w:r>
      <w:r w:rsidRPr="007E6C38">
        <w:rPr>
          <w:rFonts w:ascii="Times New Roman" w:hAnsi="Times New Roman" w:cs="Times New Roman"/>
          <w:sz w:val="24"/>
          <w:szCs w:val="24"/>
        </w:rPr>
        <w:t>en los préstamos a interés variable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.1.b) permite al potencial prestatario tomar conciencia de cómo afectarán al importe de las cuotas los cambios en el índice de referencia y, en particular, de </w:t>
      </w:r>
      <w:r w:rsidRPr="001939A2">
        <w:rPr>
          <w:rFonts w:ascii="Times New Roman" w:hAnsi="Times New Roman" w:cs="Times New Roman"/>
          <w:color w:val="FF0000"/>
          <w:sz w:val="24"/>
          <w:szCs w:val="24"/>
        </w:rPr>
        <w:t>cuál será el importe mínimo de la cuota que tendrá que pagar como consecuencia de la aplicación del límite mínimo</w:t>
      </w:r>
      <w:r w:rsidRPr="007E6C38">
        <w:rPr>
          <w:rFonts w:ascii="Times New Roman" w:hAnsi="Times New Roman" w:cs="Times New Roman"/>
          <w:sz w:val="24"/>
          <w:szCs w:val="24"/>
        </w:rPr>
        <w:t>, en los mismos términos que venían siendo exigidos por la jurisprudencia sobre el control de transparencia material en la STS 9 mayo 2013 (Ar. 2013/3088)</w:t>
      </w:r>
      <w:r w:rsidR="00D10D6E" w:rsidRPr="007E6C38">
        <w:rPr>
          <w:rFonts w:ascii="Times New Roman" w:hAnsi="Times New Roman" w:cs="Times New Roman"/>
          <w:sz w:val="24"/>
          <w:szCs w:val="24"/>
        </w:rPr>
        <w:t>,</w:t>
      </w:r>
      <w:r w:rsidRPr="007E6C38">
        <w:rPr>
          <w:rFonts w:ascii="Times New Roman" w:hAnsi="Times New Roman" w:cs="Times New Roman"/>
          <w:sz w:val="24"/>
          <w:szCs w:val="24"/>
        </w:rPr>
        <w:t xml:space="preserve"> al requerir que se aportasen “</w:t>
      </w:r>
      <w:r w:rsidRPr="007E6C38">
        <w:rPr>
          <w:rFonts w:ascii="Times New Roman" w:hAnsi="Times New Roman" w:cs="Times New Roman"/>
          <w:i/>
          <w:sz w:val="24"/>
          <w:szCs w:val="24"/>
        </w:rPr>
        <w:t>simulaciones de escenarios diversos relacionados con el escenario razonablemente previsible del tipo de interés en el momento de contratar” (párr. 296.e).</w:t>
      </w:r>
    </w:p>
    <w:p w:rsidR="002D72AE" w:rsidRPr="007E6C38" w:rsidRDefault="002D72AE" w:rsidP="00F60A8E">
      <w:pPr>
        <w:spacing w:before="120" w:after="120" w:line="360" w:lineRule="auto"/>
        <w:jc w:val="both"/>
        <w:rPr>
          <w:rFonts w:ascii="Times New Roman" w:hAnsi="Times New Roman" w:cs="Times New Roman"/>
          <w:i/>
          <w:sz w:val="24"/>
          <w:szCs w:val="24"/>
        </w:rPr>
      </w:pPr>
    </w:p>
    <w:p w:rsidR="0002722F" w:rsidRPr="007E6C38" w:rsidRDefault="00B8580F"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02722F" w:rsidRPr="007E6C38">
        <w:rPr>
          <w:rFonts w:ascii="Times New Roman" w:hAnsi="Times New Roman" w:cs="Times New Roman"/>
          <w:b/>
          <w:sz w:val="24"/>
          <w:szCs w:val="24"/>
        </w:rPr>
        <w:t>.2. Información sobre</w:t>
      </w:r>
      <w:r w:rsidRPr="007E6C38">
        <w:rPr>
          <w:rFonts w:ascii="Times New Roman" w:hAnsi="Times New Roman" w:cs="Times New Roman"/>
          <w:b/>
          <w:sz w:val="24"/>
          <w:szCs w:val="24"/>
        </w:rPr>
        <w:t xml:space="preserve"> los</w:t>
      </w:r>
      <w:r w:rsidR="0002722F" w:rsidRPr="007E6C38">
        <w:rPr>
          <w:rFonts w:ascii="Times New Roman" w:hAnsi="Times New Roman" w:cs="Times New Roman"/>
          <w:b/>
          <w:sz w:val="24"/>
          <w:szCs w:val="24"/>
        </w:rPr>
        <w:t xml:space="preserve"> swaps de interés</w:t>
      </w:r>
    </w:p>
    <w:p w:rsidR="0002722F" w:rsidRPr="007E6C38" w:rsidRDefault="0002722F"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Por lo que respecta a la información precontractual a proporcionar sobre las permutas financieras o Swaps de interés, como aclaró la STJUE 30 mayo 2013 (Asunto C-</w:t>
      </w:r>
      <w:r w:rsidR="00B204A0" w:rsidRPr="007E6C38">
        <w:rPr>
          <w:rFonts w:ascii="Times New Roman" w:hAnsi="Times New Roman" w:cs="Times New Roman"/>
          <w:sz w:val="24"/>
          <w:szCs w:val="24"/>
        </w:rPr>
        <w:t>604/11, Genil 48),</w:t>
      </w:r>
      <w:r w:rsidR="00BD1D3C" w:rsidRPr="007E6C38">
        <w:rPr>
          <w:rFonts w:ascii="Times New Roman" w:hAnsi="Times New Roman" w:cs="Times New Roman"/>
          <w:sz w:val="24"/>
          <w:szCs w:val="24"/>
        </w:rPr>
        <w:t xml:space="preserve"> estos productos</w:t>
      </w:r>
      <w:r w:rsidRPr="007E6C38">
        <w:rPr>
          <w:rFonts w:ascii="Times New Roman" w:hAnsi="Times New Roman" w:cs="Times New Roman"/>
          <w:sz w:val="24"/>
          <w:szCs w:val="24"/>
        </w:rPr>
        <w:t xml:space="preserve"> son instrumentos financiero</w:t>
      </w:r>
      <w:r w:rsidR="00F94DA5" w:rsidRPr="007E6C38">
        <w:rPr>
          <w:rFonts w:ascii="Times New Roman" w:hAnsi="Times New Roman" w:cs="Times New Roman"/>
          <w:sz w:val="24"/>
          <w:szCs w:val="24"/>
        </w:rPr>
        <w:t>s</w:t>
      </w:r>
      <w:r w:rsidRPr="007E6C38">
        <w:rPr>
          <w:rFonts w:ascii="Times New Roman" w:hAnsi="Times New Roman" w:cs="Times New Roman"/>
          <w:sz w:val="24"/>
          <w:szCs w:val="24"/>
        </w:rPr>
        <w:t xml:space="preserve"> sujeto</w:t>
      </w:r>
      <w:r w:rsidR="00F94DA5" w:rsidRPr="007E6C38">
        <w:rPr>
          <w:rFonts w:ascii="Times New Roman" w:hAnsi="Times New Roman" w:cs="Times New Roman"/>
          <w:sz w:val="24"/>
          <w:szCs w:val="24"/>
        </w:rPr>
        <w:t>s</w:t>
      </w:r>
      <w:r w:rsidRPr="007E6C38">
        <w:rPr>
          <w:rFonts w:ascii="Times New Roman" w:hAnsi="Times New Roman" w:cs="Times New Roman"/>
          <w:sz w:val="24"/>
          <w:szCs w:val="24"/>
        </w:rPr>
        <w:t xml:space="preserve"> a las directivas sobre Mercados de Instrum</w:t>
      </w:r>
      <w:r w:rsidR="00B8580F" w:rsidRPr="007E6C38">
        <w:rPr>
          <w:rFonts w:ascii="Times New Roman" w:hAnsi="Times New Roman" w:cs="Times New Roman"/>
          <w:sz w:val="24"/>
          <w:szCs w:val="24"/>
        </w:rPr>
        <w:t>entos Financieros -</w:t>
      </w:r>
      <w:r w:rsidR="00B204A0" w:rsidRPr="007E6C38">
        <w:rPr>
          <w:rFonts w:ascii="Times New Roman" w:hAnsi="Times New Roman" w:cs="Times New Roman"/>
          <w:sz w:val="24"/>
          <w:szCs w:val="24"/>
        </w:rPr>
        <w:t xml:space="preserve">Directiva </w:t>
      </w:r>
      <w:r w:rsidRPr="007E6C38">
        <w:rPr>
          <w:rFonts w:ascii="Times New Roman" w:hAnsi="Times New Roman" w:cs="Times New Roman"/>
          <w:sz w:val="24"/>
          <w:szCs w:val="24"/>
        </w:rPr>
        <w:t>2004/39</w:t>
      </w:r>
      <w:r w:rsidR="00B204A0" w:rsidRPr="007E6C38">
        <w:rPr>
          <w:rFonts w:ascii="Times New Roman" w:hAnsi="Times New Roman" w:cs="Times New Roman"/>
          <w:sz w:val="24"/>
          <w:szCs w:val="24"/>
        </w:rPr>
        <w:t>/UE</w:t>
      </w:r>
      <w:r w:rsidRPr="007E6C38">
        <w:rPr>
          <w:rFonts w:ascii="Times New Roman" w:hAnsi="Times New Roman" w:cs="Times New Roman"/>
          <w:sz w:val="24"/>
          <w:szCs w:val="24"/>
        </w:rPr>
        <w:t xml:space="preserve"> (</w:t>
      </w:r>
      <w:proofErr w:type="spellStart"/>
      <w:r w:rsidRPr="007E6C38">
        <w:rPr>
          <w:rFonts w:ascii="Times New Roman" w:hAnsi="Times New Roman" w:cs="Times New Roman"/>
          <w:sz w:val="24"/>
          <w:szCs w:val="24"/>
        </w:rPr>
        <w:t>MiFID</w:t>
      </w:r>
      <w:proofErr w:type="spellEnd"/>
      <w:r w:rsidR="00B204A0" w:rsidRPr="007E6C38">
        <w:rPr>
          <w:rFonts w:ascii="Times New Roman" w:hAnsi="Times New Roman" w:cs="Times New Roman"/>
          <w:sz w:val="24"/>
          <w:szCs w:val="24"/>
        </w:rPr>
        <w:t xml:space="preserve">) y Directiva </w:t>
      </w:r>
      <w:r w:rsidRPr="007E6C38">
        <w:rPr>
          <w:rFonts w:ascii="Times New Roman" w:hAnsi="Times New Roman" w:cs="Times New Roman"/>
          <w:sz w:val="24"/>
          <w:szCs w:val="24"/>
        </w:rPr>
        <w:t>2014/65/UE (MIFID II)</w:t>
      </w:r>
      <w:r w:rsidR="00B8580F" w:rsidRPr="007E6C38">
        <w:rPr>
          <w:rFonts w:ascii="Times New Roman" w:hAnsi="Times New Roman" w:cs="Times New Roman"/>
          <w:sz w:val="24"/>
          <w:szCs w:val="24"/>
        </w:rPr>
        <w:t>-</w:t>
      </w:r>
      <w:r w:rsidRPr="007E6C38">
        <w:rPr>
          <w:rFonts w:ascii="Times New Roman" w:hAnsi="Times New Roman" w:cs="Times New Roman"/>
          <w:sz w:val="24"/>
          <w:szCs w:val="24"/>
        </w:rPr>
        <w:t xml:space="preserve"> y, por lo tanto, a los deberes de información y evaluación que las mismas prevén</w:t>
      </w:r>
      <w:r w:rsidR="00F94DA5" w:rsidRPr="007E6C38">
        <w:rPr>
          <w:rFonts w:ascii="Times New Roman" w:hAnsi="Times New Roman" w:cs="Times New Roman"/>
          <w:sz w:val="24"/>
          <w:szCs w:val="24"/>
        </w:rPr>
        <w:t xml:space="preserve">. Sin embargo, </w:t>
      </w:r>
      <w:r w:rsidRPr="007E6C38">
        <w:rPr>
          <w:rFonts w:ascii="Times New Roman" w:hAnsi="Times New Roman" w:cs="Times New Roman"/>
          <w:sz w:val="24"/>
          <w:szCs w:val="24"/>
        </w:rPr>
        <w:t>cuando</w:t>
      </w:r>
      <w:r w:rsidR="00B204A0" w:rsidRPr="007E6C38">
        <w:rPr>
          <w:rFonts w:ascii="Times New Roman" w:hAnsi="Times New Roman" w:cs="Times New Roman"/>
          <w:sz w:val="24"/>
          <w:szCs w:val="24"/>
        </w:rPr>
        <w:t xml:space="preserve"> la contratación</w:t>
      </w:r>
      <w:r w:rsidR="00D10D6E" w:rsidRPr="007E6C38">
        <w:rPr>
          <w:rFonts w:ascii="Times New Roman" w:hAnsi="Times New Roman" w:cs="Times New Roman"/>
          <w:sz w:val="24"/>
          <w:szCs w:val="24"/>
        </w:rPr>
        <w:t xml:space="preserve"> de</w:t>
      </w:r>
      <w:r w:rsidR="00B204A0" w:rsidRPr="007E6C38">
        <w:rPr>
          <w:rFonts w:ascii="Times New Roman" w:hAnsi="Times New Roman" w:cs="Times New Roman"/>
          <w:sz w:val="24"/>
          <w:szCs w:val="24"/>
        </w:rPr>
        <w:t xml:space="preserve"> estos productos esté vinculada</w:t>
      </w:r>
      <w:r w:rsidRPr="007E6C38">
        <w:rPr>
          <w:rFonts w:ascii="Times New Roman" w:hAnsi="Times New Roman" w:cs="Times New Roman"/>
          <w:sz w:val="24"/>
          <w:szCs w:val="24"/>
        </w:rPr>
        <w:t xml:space="preserve"> a un contrato de préstamo hipotecario, la</w:t>
      </w:r>
      <w:r w:rsidR="00F94DA5" w:rsidRPr="007E6C38">
        <w:rPr>
          <w:rFonts w:ascii="Times New Roman" w:hAnsi="Times New Roman" w:cs="Times New Roman"/>
          <w:sz w:val="24"/>
          <w:szCs w:val="24"/>
        </w:rPr>
        <w:t xml:space="preserve"> precedente</w:t>
      </w:r>
      <w:r w:rsidRPr="007E6C38">
        <w:rPr>
          <w:rFonts w:ascii="Times New Roman" w:hAnsi="Times New Roman" w:cs="Times New Roman"/>
          <w:sz w:val="24"/>
          <w:szCs w:val="24"/>
        </w:rPr>
        <w:t xml:space="preserve"> normativa española so</w:t>
      </w:r>
      <w:r w:rsidR="00F94DA5" w:rsidRPr="007E6C38">
        <w:rPr>
          <w:rFonts w:ascii="Times New Roman" w:hAnsi="Times New Roman" w:cs="Times New Roman"/>
          <w:sz w:val="24"/>
          <w:szCs w:val="24"/>
        </w:rPr>
        <w:t>bre transparencia bancaria exigía</w:t>
      </w:r>
      <w:r w:rsidRPr="007E6C38">
        <w:rPr>
          <w:rFonts w:ascii="Times New Roman" w:hAnsi="Times New Roman" w:cs="Times New Roman"/>
          <w:sz w:val="24"/>
          <w:szCs w:val="24"/>
        </w:rPr>
        <w:t xml:space="preserve"> una advertencia expresa sobre la naturaleza, duración, los riesgos de liquidaciones negativas en distintos escenarios y el método para calcular los costes de cancelación, mediante un documento anexo a la FIPER (art. 24 Orden Ministerial 28 octubre 2011), además de la expresión ma</w:t>
      </w:r>
      <w:r w:rsidR="003E0690" w:rsidRPr="007E6C38">
        <w:rPr>
          <w:rFonts w:ascii="Times New Roman" w:hAnsi="Times New Roman" w:cs="Times New Roman"/>
          <w:sz w:val="24"/>
          <w:szCs w:val="24"/>
        </w:rPr>
        <w:t>nuscrita del prestatario en la escritura p</w:t>
      </w:r>
      <w:r w:rsidRPr="007E6C38">
        <w:rPr>
          <w:rFonts w:ascii="Times New Roman" w:hAnsi="Times New Roman" w:cs="Times New Roman"/>
          <w:sz w:val="24"/>
          <w:szCs w:val="24"/>
        </w:rPr>
        <w:t>ública</w:t>
      </w:r>
      <w:r w:rsidR="003E0690" w:rsidRPr="007E6C38">
        <w:rPr>
          <w:rFonts w:ascii="Times New Roman" w:hAnsi="Times New Roman" w:cs="Times New Roman"/>
          <w:sz w:val="24"/>
          <w:szCs w:val="24"/>
        </w:rPr>
        <w:t xml:space="preserve"> de préstamo</w:t>
      </w:r>
      <w:r w:rsidRPr="007E6C38">
        <w:rPr>
          <w:rFonts w:ascii="Times New Roman" w:hAnsi="Times New Roman" w:cs="Times New Roman"/>
          <w:sz w:val="24"/>
          <w:szCs w:val="24"/>
        </w:rPr>
        <w:t xml:space="preserve"> de haber sido expresamente advertido</w:t>
      </w:r>
      <w:r w:rsidR="00F94DA5" w:rsidRPr="007E6C38">
        <w:rPr>
          <w:rFonts w:ascii="Times New Roman" w:hAnsi="Times New Roman" w:cs="Times New Roman"/>
          <w:sz w:val="24"/>
          <w:szCs w:val="24"/>
        </w:rPr>
        <w:t xml:space="preserve"> de los riesgos derivados de la contratación de un instrumento de cobertura del tipo de interés</w:t>
      </w:r>
      <w:r w:rsidRPr="007E6C38">
        <w:rPr>
          <w:rFonts w:ascii="Times New Roman" w:hAnsi="Times New Roman" w:cs="Times New Roman"/>
          <w:sz w:val="24"/>
          <w:szCs w:val="24"/>
        </w:rPr>
        <w:t xml:space="preserve"> (art. 6 de la Ley 1/2013</w:t>
      </w:r>
      <w:r w:rsidR="00F94DA5" w:rsidRPr="007E6C38">
        <w:rPr>
          <w:rFonts w:ascii="Times New Roman" w:hAnsi="Times New Roman" w:cs="Times New Roman"/>
          <w:sz w:val="24"/>
          <w:szCs w:val="24"/>
        </w:rPr>
        <w:t>, de 14 de mayo, de medidas para reforzar la protección a los deudores hipotecarios</w:t>
      </w:r>
      <w:r w:rsidRPr="007E6C38">
        <w:rPr>
          <w:rFonts w:ascii="Times New Roman" w:hAnsi="Times New Roman" w:cs="Times New Roman"/>
          <w:sz w:val="24"/>
          <w:szCs w:val="24"/>
        </w:rPr>
        <w:t>).</w:t>
      </w:r>
    </w:p>
    <w:p w:rsidR="0002722F" w:rsidRPr="007E6C38" w:rsidRDefault="00F94DA5"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Por el contrario, en la D</w:t>
      </w:r>
      <w:r w:rsidR="0002722F" w:rsidRPr="007E6C38">
        <w:rPr>
          <w:rFonts w:ascii="Times New Roman" w:hAnsi="Times New Roman" w:cs="Times New Roman"/>
          <w:sz w:val="24"/>
          <w:szCs w:val="24"/>
        </w:rPr>
        <w:t xml:space="preserve">irectiva </w:t>
      </w:r>
      <w:r w:rsidRPr="007E6C38">
        <w:rPr>
          <w:rFonts w:ascii="Times New Roman" w:hAnsi="Times New Roman" w:cs="Times New Roman"/>
          <w:sz w:val="24"/>
          <w:szCs w:val="24"/>
        </w:rPr>
        <w:t>UE/2014/17</w:t>
      </w:r>
      <w:r w:rsidR="0002722F" w:rsidRPr="007E6C38">
        <w:rPr>
          <w:rFonts w:ascii="Times New Roman" w:hAnsi="Times New Roman" w:cs="Times New Roman"/>
          <w:sz w:val="24"/>
          <w:szCs w:val="24"/>
        </w:rPr>
        <w:t>, los instrumentos de cobertura de la variación del tipo de interés, sólo se contemplan desde la perspectiva de un servicio accesorio del préstamo combinado con el contrato de crédito (</w:t>
      </w:r>
      <w:r w:rsidR="00654E83" w:rsidRPr="007E6C38">
        <w:rPr>
          <w:rFonts w:ascii="Times New Roman" w:hAnsi="Times New Roman" w:cs="Times New Roman"/>
          <w:sz w:val="24"/>
          <w:szCs w:val="24"/>
        </w:rPr>
        <w:t>art. 14</w:t>
      </w:r>
      <w:r w:rsidR="0002722F" w:rsidRPr="007E6C38">
        <w:rPr>
          <w:rFonts w:ascii="Times New Roman" w:hAnsi="Times New Roman" w:cs="Times New Roman"/>
          <w:sz w:val="24"/>
          <w:szCs w:val="24"/>
        </w:rPr>
        <w:t>), respecto del cual el deudor deber</w:t>
      </w:r>
      <w:r w:rsidR="00D10D6E" w:rsidRPr="007E6C38">
        <w:rPr>
          <w:rFonts w:ascii="Times New Roman" w:hAnsi="Times New Roman" w:cs="Times New Roman"/>
          <w:sz w:val="24"/>
          <w:szCs w:val="24"/>
        </w:rPr>
        <w:t xml:space="preserve"> recibir </w:t>
      </w:r>
      <w:r w:rsidR="00D10D6E" w:rsidRPr="001939A2">
        <w:rPr>
          <w:rFonts w:ascii="Times New Roman" w:hAnsi="Times New Roman" w:cs="Times New Roman"/>
          <w:color w:val="FF0000"/>
          <w:sz w:val="24"/>
          <w:szCs w:val="24"/>
        </w:rPr>
        <w:t>información</w:t>
      </w:r>
      <w:r w:rsidR="0002722F" w:rsidRPr="001939A2">
        <w:rPr>
          <w:rFonts w:ascii="Times New Roman" w:hAnsi="Times New Roman" w:cs="Times New Roman"/>
          <w:color w:val="FF0000"/>
          <w:sz w:val="24"/>
          <w:szCs w:val="24"/>
        </w:rPr>
        <w:t xml:space="preserve"> sobre</w:t>
      </w:r>
      <w:r w:rsidR="00B204A0" w:rsidRPr="001939A2">
        <w:rPr>
          <w:rFonts w:ascii="Times New Roman" w:hAnsi="Times New Roman" w:cs="Times New Roman"/>
          <w:color w:val="FF0000"/>
          <w:sz w:val="24"/>
          <w:szCs w:val="24"/>
        </w:rPr>
        <w:t xml:space="preserve"> su coste (apartado 4º de la FEIN) y sobre</w:t>
      </w:r>
      <w:r w:rsidR="0002722F" w:rsidRPr="001939A2">
        <w:rPr>
          <w:rFonts w:ascii="Times New Roman" w:hAnsi="Times New Roman" w:cs="Times New Roman"/>
          <w:color w:val="FF0000"/>
          <w:sz w:val="24"/>
          <w:szCs w:val="24"/>
        </w:rPr>
        <w:t xml:space="preserve"> la posibilidad de rescindirlo por separado y las implicaciones que ello tendría (art. 16</w:t>
      </w:r>
      <w:r w:rsidR="00B204A0" w:rsidRPr="001939A2">
        <w:rPr>
          <w:rFonts w:ascii="Times New Roman" w:hAnsi="Times New Roman" w:cs="Times New Roman"/>
          <w:color w:val="FF0000"/>
          <w:sz w:val="24"/>
          <w:szCs w:val="24"/>
        </w:rPr>
        <w:t>.d</w:t>
      </w:r>
      <w:r w:rsidR="0002722F" w:rsidRPr="001939A2">
        <w:rPr>
          <w:rFonts w:ascii="Times New Roman" w:hAnsi="Times New Roman" w:cs="Times New Roman"/>
          <w:color w:val="FF0000"/>
          <w:sz w:val="24"/>
          <w:szCs w:val="24"/>
        </w:rPr>
        <w:t xml:space="preserve"> y</w:t>
      </w:r>
      <w:r w:rsidR="004814FD" w:rsidRPr="001939A2">
        <w:rPr>
          <w:rFonts w:ascii="Times New Roman" w:hAnsi="Times New Roman" w:cs="Times New Roman"/>
          <w:color w:val="FF0000"/>
          <w:sz w:val="24"/>
          <w:szCs w:val="24"/>
        </w:rPr>
        <w:t xml:space="preserve"> apartado 8 de la FEIN</w:t>
      </w:r>
      <w:r w:rsidR="0002722F" w:rsidRPr="001939A2">
        <w:rPr>
          <w:rFonts w:ascii="Times New Roman" w:hAnsi="Times New Roman" w:cs="Times New Roman"/>
          <w:color w:val="FF0000"/>
          <w:sz w:val="24"/>
          <w:szCs w:val="24"/>
        </w:rPr>
        <w:t>)</w:t>
      </w:r>
      <w:r w:rsidR="0002722F" w:rsidRPr="007E6C38">
        <w:rPr>
          <w:rFonts w:ascii="Times New Roman" w:hAnsi="Times New Roman" w:cs="Times New Roman"/>
          <w:sz w:val="24"/>
          <w:szCs w:val="24"/>
        </w:rPr>
        <w:t xml:space="preserve">. Pero </w:t>
      </w:r>
      <w:r w:rsidR="0002722F" w:rsidRPr="001939A2">
        <w:rPr>
          <w:rFonts w:ascii="Times New Roman" w:hAnsi="Times New Roman" w:cs="Times New Roman"/>
          <w:color w:val="FF0000"/>
          <w:sz w:val="24"/>
          <w:szCs w:val="24"/>
        </w:rPr>
        <w:t xml:space="preserve">no hay obligación alguna de explicar en la FEIN cuáles son los riesgos </w:t>
      </w:r>
      <w:r w:rsidR="0002722F" w:rsidRPr="007E6C38">
        <w:rPr>
          <w:rFonts w:ascii="Times New Roman" w:hAnsi="Times New Roman" w:cs="Times New Roman"/>
          <w:sz w:val="24"/>
          <w:szCs w:val="24"/>
        </w:rPr>
        <w:t>derivados de la contratación de estos instrumentos de cobertura de la variación del tipo de interés.</w:t>
      </w:r>
    </w:p>
    <w:p w:rsidR="003E7F12" w:rsidRPr="007E6C38" w:rsidRDefault="00B204A0"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Sin embargo, l</w:t>
      </w:r>
      <w:r w:rsidR="003E7F12" w:rsidRPr="007E6C38">
        <w:rPr>
          <w:rFonts w:ascii="Times New Roman" w:hAnsi="Times New Roman" w:cs="Times New Roman"/>
          <w:sz w:val="24"/>
          <w:szCs w:val="24"/>
        </w:rPr>
        <w:t>a LCCI, tratando esta cuestión también desde la perspectiva de la contratación de un servicio ac</w:t>
      </w:r>
      <w:r w:rsidR="003E0690" w:rsidRPr="007E6C38">
        <w:rPr>
          <w:rFonts w:ascii="Times New Roman" w:hAnsi="Times New Roman" w:cs="Times New Roman"/>
          <w:sz w:val="24"/>
          <w:szCs w:val="24"/>
        </w:rPr>
        <w:t xml:space="preserve">cesorio combinado, </w:t>
      </w:r>
      <w:r w:rsidR="003E0690" w:rsidRPr="00CC5C71">
        <w:rPr>
          <w:rFonts w:ascii="Times New Roman" w:hAnsi="Times New Roman" w:cs="Times New Roman"/>
          <w:color w:val="FF0000"/>
          <w:sz w:val="24"/>
          <w:szCs w:val="24"/>
        </w:rPr>
        <w:t>en el art. 17</w:t>
      </w:r>
      <w:r w:rsidR="003E7F12" w:rsidRPr="00CC5C71">
        <w:rPr>
          <w:rFonts w:ascii="Times New Roman" w:hAnsi="Times New Roman" w:cs="Times New Roman"/>
          <w:color w:val="FF0000"/>
          <w:sz w:val="24"/>
          <w:szCs w:val="24"/>
        </w:rPr>
        <w:t>.7.b) obliga al prestamista a informar sobre el riesgo de pérdidas que puede suponer para el prestatario la contratación de un producto de inversión combinado con el préstamo</w:t>
      </w:r>
      <w:r w:rsidR="004814FD" w:rsidRPr="00CC5C71">
        <w:rPr>
          <w:rFonts w:ascii="Times New Roman" w:hAnsi="Times New Roman" w:cs="Times New Roman"/>
          <w:color w:val="FF0000"/>
          <w:sz w:val="24"/>
          <w:szCs w:val="24"/>
        </w:rPr>
        <w:t>, como es el caso de los</w:t>
      </w:r>
      <w:r w:rsidR="003E7F12" w:rsidRPr="00CC5C71">
        <w:rPr>
          <w:rFonts w:ascii="Times New Roman" w:hAnsi="Times New Roman" w:cs="Times New Roman"/>
          <w:color w:val="FF0000"/>
          <w:sz w:val="24"/>
          <w:szCs w:val="24"/>
        </w:rPr>
        <w:t xml:space="preserve"> swap</w:t>
      </w:r>
      <w:r w:rsidR="004814FD" w:rsidRPr="00CC5C71">
        <w:rPr>
          <w:rFonts w:ascii="Times New Roman" w:hAnsi="Times New Roman" w:cs="Times New Roman"/>
          <w:color w:val="FF0000"/>
          <w:sz w:val="24"/>
          <w:szCs w:val="24"/>
        </w:rPr>
        <w:t>s</w:t>
      </w:r>
      <w:r w:rsidR="003E7F12" w:rsidRPr="00CC5C71">
        <w:rPr>
          <w:rFonts w:ascii="Times New Roman" w:hAnsi="Times New Roman" w:cs="Times New Roman"/>
          <w:color w:val="FF0000"/>
          <w:sz w:val="24"/>
          <w:szCs w:val="24"/>
        </w:rPr>
        <w:t xml:space="preserve"> de interés</w:t>
      </w:r>
      <w:r w:rsidR="003E7F12" w:rsidRPr="007E6C38">
        <w:rPr>
          <w:rFonts w:ascii="Times New Roman" w:hAnsi="Times New Roman" w:cs="Times New Roman"/>
          <w:sz w:val="24"/>
          <w:szCs w:val="24"/>
        </w:rPr>
        <w:t>, información</w:t>
      </w:r>
      <w:r w:rsidRPr="007E6C38">
        <w:rPr>
          <w:rFonts w:ascii="Times New Roman" w:hAnsi="Times New Roman" w:cs="Times New Roman"/>
          <w:sz w:val="24"/>
          <w:szCs w:val="24"/>
        </w:rPr>
        <w:t xml:space="preserve"> ésta</w:t>
      </w:r>
      <w:r w:rsidR="003E7F12" w:rsidRPr="007E6C38">
        <w:rPr>
          <w:rFonts w:ascii="Times New Roman" w:hAnsi="Times New Roman" w:cs="Times New Roman"/>
          <w:sz w:val="24"/>
          <w:szCs w:val="24"/>
        </w:rPr>
        <w:t xml:space="preserve"> </w:t>
      </w:r>
      <w:r w:rsidRPr="007E6C38">
        <w:rPr>
          <w:rFonts w:ascii="Times New Roman" w:hAnsi="Times New Roman" w:cs="Times New Roman"/>
          <w:sz w:val="24"/>
          <w:szCs w:val="24"/>
        </w:rPr>
        <w:t>que se solapa con</w:t>
      </w:r>
      <w:r w:rsidR="003E7F12" w:rsidRPr="007E6C38">
        <w:rPr>
          <w:rFonts w:ascii="Times New Roman" w:hAnsi="Times New Roman" w:cs="Times New Roman"/>
          <w:sz w:val="24"/>
          <w:szCs w:val="24"/>
        </w:rPr>
        <w:t xml:space="preserve"> las obligaciones de información y evaluación ya previstas en la normativa sobre el mercado de valores</w:t>
      </w:r>
      <w:r w:rsidR="00F94DA5" w:rsidRPr="007E6C38">
        <w:rPr>
          <w:rFonts w:ascii="Times New Roman" w:hAnsi="Times New Roman" w:cs="Times New Roman"/>
          <w:sz w:val="24"/>
          <w:szCs w:val="24"/>
        </w:rPr>
        <w:t xml:space="preserve"> (arts. 202 a 217 Real Decreto Legislativo 4/2015, de 23 de octubre, por el que se aprueba el texto refundido de la Ley del Mercado de Valores</w:t>
      </w:r>
      <w:r w:rsidR="00CB46D1" w:rsidRPr="007E6C38">
        <w:rPr>
          <w:rFonts w:ascii="Times New Roman" w:hAnsi="Times New Roman" w:cs="Times New Roman"/>
          <w:sz w:val="24"/>
          <w:szCs w:val="24"/>
        </w:rPr>
        <w:t>, en adelante, TR-LMV</w:t>
      </w:r>
      <w:r w:rsidR="00F94DA5" w:rsidRPr="007E6C38">
        <w:rPr>
          <w:rFonts w:ascii="Times New Roman" w:hAnsi="Times New Roman" w:cs="Times New Roman"/>
          <w:sz w:val="24"/>
          <w:szCs w:val="24"/>
        </w:rPr>
        <w:t>)</w:t>
      </w:r>
      <w:r w:rsidR="003E7F12" w:rsidRPr="007E6C38">
        <w:rPr>
          <w:rFonts w:ascii="Times New Roman" w:hAnsi="Times New Roman" w:cs="Times New Roman"/>
          <w:sz w:val="24"/>
          <w:szCs w:val="24"/>
        </w:rPr>
        <w:t>. Puesto que esta advertencia no se puede in</w:t>
      </w:r>
      <w:r w:rsidR="004814FD" w:rsidRPr="007E6C38">
        <w:rPr>
          <w:rFonts w:ascii="Times New Roman" w:hAnsi="Times New Roman" w:cs="Times New Roman"/>
          <w:sz w:val="24"/>
          <w:szCs w:val="24"/>
        </w:rPr>
        <w:t>troducir en la FEIN</w:t>
      </w:r>
      <w:r w:rsidR="00187F2A" w:rsidRPr="007E6C38">
        <w:rPr>
          <w:rFonts w:ascii="Times New Roman" w:hAnsi="Times New Roman" w:cs="Times New Roman"/>
          <w:sz w:val="24"/>
          <w:szCs w:val="24"/>
        </w:rPr>
        <w:t>,</w:t>
      </w:r>
      <w:r w:rsidR="004814FD" w:rsidRPr="007E6C38">
        <w:rPr>
          <w:rFonts w:ascii="Times New Roman" w:hAnsi="Times New Roman" w:cs="Times New Roman"/>
          <w:sz w:val="24"/>
          <w:szCs w:val="24"/>
        </w:rPr>
        <w:t xml:space="preserve"> dado el</w:t>
      </w:r>
      <w:r w:rsidR="003E7F12" w:rsidRPr="007E6C38">
        <w:rPr>
          <w:rFonts w:ascii="Times New Roman" w:hAnsi="Times New Roman" w:cs="Times New Roman"/>
          <w:sz w:val="24"/>
          <w:szCs w:val="24"/>
        </w:rPr>
        <w:t xml:space="preserve"> carácter de armonización máxima</w:t>
      </w:r>
      <w:r w:rsidRPr="007E6C38">
        <w:rPr>
          <w:rFonts w:ascii="Times New Roman" w:hAnsi="Times New Roman" w:cs="Times New Roman"/>
          <w:sz w:val="24"/>
          <w:szCs w:val="24"/>
        </w:rPr>
        <w:t xml:space="preserve"> de la misma</w:t>
      </w:r>
      <w:r w:rsidR="003E7F12" w:rsidRPr="007E6C38">
        <w:rPr>
          <w:rFonts w:ascii="Times New Roman" w:hAnsi="Times New Roman" w:cs="Times New Roman"/>
          <w:sz w:val="24"/>
          <w:szCs w:val="24"/>
        </w:rPr>
        <w:t xml:space="preserve">, </w:t>
      </w:r>
      <w:r w:rsidR="003E7F12" w:rsidRPr="00CC5C71">
        <w:rPr>
          <w:rFonts w:ascii="Times New Roman" w:hAnsi="Times New Roman" w:cs="Times New Roman"/>
          <w:color w:val="FF0000"/>
          <w:sz w:val="24"/>
          <w:szCs w:val="24"/>
        </w:rPr>
        <w:t xml:space="preserve">la </w:t>
      </w:r>
      <w:proofErr w:type="spellStart"/>
      <w:r w:rsidR="003E7F12" w:rsidRPr="00CC5C71">
        <w:rPr>
          <w:rFonts w:ascii="Times New Roman" w:hAnsi="Times New Roman" w:cs="Times New Roman"/>
          <w:color w:val="FF0000"/>
          <w:sz w:val="24"/>
          <w:szCs w:val="24"/>
        </w:rPr>
        <w:t>FiAE</w:t>
      </w:r>
      <w:proofErr w:type="spellEnd"/>
      <w:r w:rsidR="003E7F12" w:rsidRPr="00CC5C71">
        <w:rPr>
          <w:rFonts w:ascii="Times New Roman" w:hAnsi="Times New Roman" w:cs="Times New Roman"/>
          <w:color w:val="FF0000"/>
          <w:sz w:val="24"/>
          <w:szCs w:val="24"/>
        </w:rPr>
        <w:t xml:space="preserve"> parece el lugar adecuado para incluir dicha advertencia</w:t>
      </w:r>
      <w:r w:rsidR="004814FD" w:rsidRPr="00CC5C71">
        <w:rPr>
          <w:rFonts w:ascii="Times New Roman" w:hAnsi="Times New Roman" w:cs="Times New Roman"/>
          <w:color w:val="FF0000"/>
          <w:sz w:val="24"/>
          <w:szCs w:val="24"/>
        </w:rPr>
        <w:t xml:space="preserve">, </w:t>
      </w:r>
      <w:r w:rsidR="004814FD" w:rsidRPr="007E6C38">
        <w:rPr>
          <w:rFonts w:ascii="Times New Roman" w:hAnsi="Times New Roman" w:cs="Times New Roman"/>
          <w:sz w:val="24"/>
          <w:szCs w:val="24"/>
        </w:rPr>
        <w:t>aunque también</w:t>
      </w:r>
      <w:r w:rsidRPr="007E6C38">
        <w:rPr>
          <w:rFonts w:ascii="Times New Roman" w:hAnsi="Times New Roman" w:cs="Times New Roman"/>
          <w:sz w:val="24"/>
          <w:szCs w:val="24"/>
        </w:rPr>
        <w:t xml:space="preserve"> podría considerarse que</w:t>
      </w:r>
      <w:r w:rsidR="004814FD" w:rsidRPr="007E6C38">
        <w:rPr>
          <w:rFonts w:ascii="Times New Roman" w:hAnsi="Times New Roman" w:cs="Times New Roman"/>
          <w:sz w:val="24"/>
          <w:szCs w:val="24"/>
        </w:rPr>
        <w:t xml:space="preserve"> si la información</w:t>
      </w:r>
      <w:r w:rsidRPr="007E6C38">
        <w:rPr>
          <w:rFonts w:ascii="Times New Roman" w:hAnsi="Times New Roman" w:cs="Times New Roman"/>
          <w:sz w:val="24"/>
          <w:szCs w:val="24"/>
        </w:rPr>
        <w:t xml:space="preserve"> y evaluación</w:t>
      </w:r>
      <w:r w:rsidR="004814FD" w:rsidRPr="007E6C38">
        <w:rPr>
          <w:rFonts w:ascii="Times New Roman" w:hAnsi="Times New Roman" w:cs="Times New Roman"/>
          <w:sz w:val="24"/>
          <w:szCs w:val="24"/>
        </w:rPr>
        <w:t xml:space="preserve"> a la que se refiere la normativa del mercado </w:t>
      </w:r>
      <w:r w:rsidRPr="007E6C38">
        <w:rPr>
          <w:rFonts w:ascii="Times New Roman" w:hAnsi="Times New Roman" w:cs="Times New Roman"/>
          <w:sz w:val="24"/>
          <w:szCs w:val="24"/>
        </w:rPr>
        <w:t>de valores</w:t>
      </w:r>
      <w:r w:rsidR="004814FD" w:rsidRPr="007E6C38">
        <w:rPr>
          <w:rFonts w:ascii="Times New Roman" w:hAnsi="Times New Roman" w:cs="Times New Roman"/>
          <w:sz w:val="24"/>
          <w:szCs w:val="24"/>
        </w:rPr>
        <w:t xml:space="preserve"> ya se hubiera efectuado con diez días de antelación a la realización del préstamo, el cumplimiento de aquellas obligaciones específicas de la ley </w:t>
      </w:r>
      <w:r w:rsidRPr="007E6C38">
        <w:rPr>
          <w:rFonts w:ascii="Times New Roman" w:hAnsi="Times New Roman" w:cs="Times New Roman"/>
          <w:sz w:val="24"/>
          <w:szCs w:val="24"/>
        </w:rPr>
        <w:t>del mercado de valores</w:t>
      </w:r>
      <w:r w:rsidR="004814FD" w:rsidRPr="007E6C38">
        <w:rPr>
          <w:rFonts w:ascii="Times New Roman" w:hAnsi="Times New Roman" w:cs="Times New Roman"/>
          <w:sz w:val="24"/>
          <w:szCs w:val="24"/>
        </w:rPr>
        <w:t xml:space="preserve"> suple la advertencia expresa sobre el riesgo de pérdida</w:t>
      </w:r>
      <w:r w:rsidR="003E0690" w:rsidRPr="007E6C38">
        <w:rPr>
          <w:rFonts w:ascii="Times New Roman" w:hAnsi="Times New Roman" w:cs="Times New Roman"/>
          <w:sz w:val="24"/>
          <w:szCs w:val="24"/>
        </w:rPr>
        <w:t>s a la que se refiere el art. 17</w:t>
      </w:r>
      <w:r w:rsidR="004814FD" w:rsidRPr="007E6C38">
        <w:rPr>
          <w:rFonts w:ascii="Times New Roman" w:hAnsi="Times New Roman" w:cs="Times New Roman"/>
          <w:sz w:val="24"/>
          <w:szCs w:val="24"/>
        </w:rPr>
        <w:t>.7.b LCCI.</w:t>
      </w:r>
    </w:p>
    <w:p w:rsidR="00AE4642" w:rsidRPr="007E6C38" w:rsidRDefault="004814F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Cuestión de suma importancia en relación a la contratación de </w:t>
      </w:r>
      <w:r w:rsidRPr="00CC5C71">
        <w:rPr>
          <w:rFonts w:ascii="Times New Roman" w:hAnsi="Times New Roman" w:cs="Times New Roman"/>
          <w:color w:val="FF0000"/>
          <w:sz w:val="24"/>
          <w:szCs w:val="24"/>
        </w:rPr>
        <w:t xml:space="preserve">permutas financieras o swaps de interés es la relativa a los costes de su cancelación </w:t>
      </w:r>
      <w:r w:rsidR="003E0690" w:rsidRPr="00CC5C71">
        <w:rPr>
          <w:rFonts w:ascii="Times New Roman" w:hAnsi="Times New Roman" w:cs="Times New Roman"/>
          <w:color w:val="FF0000"/>
          <w:sz w:val="24"/>
          <w:szCs w:val="24"/>
        </w:rPr>
        <w:t>anticipada</w:t>
      </w:r>
      <w:r w:rsidR="003E0690" w:rsidRPr="007E6C38">
        <w:rPr>
          <w:rFonts w:ascii="Times New Roman" w:hAnsi="Times New Roman" w:cs="Times New Roman"/>
          <w:sz w:val="24"/>
          <w:szCs w:val="24"/>
        </w:rPr>
        <w:t>. E</w:t>
      </w:r>
      <w:r w:rsidRPr="007E6C38">
        <w:rPr>
          <w:rFonts w:ascii="Times New Roman" w:hAnsi="Times New Roman" w:cs="Times New Roman"/>
          <w:sz w:val="24"/>
          <w:szCs w:val="24"/>
        </w:rPr>
        <w:t>n cuanto que servicio accesorio co</w:t>
      </w:r>
      <w:r w:rsidR="00187F2A" w:rsidRPr="007E6C38">
        <w:rPr>
          <w:rFonts w:ascii="Times New Roman" w:hAnsi="Times New Roman" w:cs="Times New Roman"/>
          <w:sz w:val="24"/>
          <w:szCs w:val="24"/>
        </w:rPr>
        <w:t xml:space="preserve">mbinado, </w:t>
      </w:r>
      <w:r w:rsidR="00B8580F" w:rsidRPr="007E6C38">
        <w:rPr>
          <w:rFonts w:ascii="Times New Roman" w:hAnsi="Times New Roman" w:cs="Times New Roman"/>
          <w:sz w:val="24"/>
          <w:szCs w:val="24"/>
        </w:rPr>
        <w:t>la FEIN en su Sección 8ª</w:t>
      </w:r>
      <w:r w:rsidR="00187F2A" w:rsidRPr="007E6C38">
        <w:rPr>
          <w:rFonts w:ascii="Times New Roman" w:hAnsi="Times New Roman" w:cs="Times New Roman"/>
          <w:sz w:val="24"/>
          <w:szCs w:val="24"/>
        </w:rPr>
        <w:t xml:space="preserve">, exige una </w:t>
      </w:r>
      <w:r w:rsidR="00187F2A" w:rsidRPr="00CC5C71">
        <w:rPr>
          <w:rFonts w:ascii="Times New Roman" w:hAnsi="Times New Roman" w:cs="Times New Roman"/>
          <w:color w:val="FF0000"/>
          <w:sz w:val="24"/>
          <w:szCs w:val="24"/>
        </w:rPr>
        <w:t>advertencia al prestatario sobre las consecuencias que podría tener la cancelación anticipada del swap de interés</w:t>
      </w:r>
      <w:r w:rsidR="00187F2A" w:rsidRPr="007E6C38">
        <w:rPr>
          <w:rFonts w:ascii="Times New Roman" w:hAnsi="Times New Roman" w:cs="Times New Roman"/>
          <w:sz w:val="24"/>
          <w:szCs w:val="24"/>
        </w:rPr>
        <w:t xml:space="preserve">, pero teniendo en cuenta que la fórmula para el cálculo del coste de cancelación puede resultar difícil de comprender para un prestatario persona física, alguna explicación adicional se podría requerir en la </w:t>
      </w:r>
      <w:proofErr w:type="spellStart"/>
      <w:r w:rsidR="00187F2A" w:rsidRPr="007E6C38">
        <w:rPr>
          <w:rFonts w:ascii="Times New Roman" w:hAnsi="Times New Roman" w:cs="Times New Roman"/>
          <w:sz w:val="24"/>
          <w:szCs w:val="24"/>
        </w:rPr>
        <w:t>FiAE</w:t>
      </w:r>
      <w:proofErr w:type="spellEnd"/>
      <w:r w:rsidR="00187F2A" w:rsidRPr="007E6C38">
        <w:rPr>
          <w:rFonts w:ascii="Times New Roman" w:hAnsi="Times New Roman" w:cs="Times New Roman"/>
          <w:sz w:val="24"/>
          <w:szCs w:val="24"/>
        </w:rPr>
        <w:t>, si es que esta explicación no se inclu</w:t>
      </w:r>
      <w:r w:rsidR="00CB46D1" w:rsidRPr="007E6C38">
        <w:rPr>
          <w:rFonts w:ascii="Times New Roman" w:hAnsi="Times New Roman" w:cs="Times New Roman"/>
          <w:sz w:val="24"/>
          <w:szCs w:val="24"/>
        </w:rPr>
        <w:t>ía en el folleto</w:t>
      </w:r>
      <w:r w:rsidR="00187F2A" w:rsidRPr="007E6C38">
        <w:rPr>
          <w:rFonts w:ascii="Times New Roman" w:hAnsi="Times New Roman" w:cs="Times New Roman"/>
          <w:sz w:val="24"/>
          <w:szCs w:val="24"/>
        </w:rPr>
        <w:t xml:space="preserve"> que se ha de entregar con  carácter previo a la contratación del swap</w:t>
      </w:r>
      <w:r w:rsidR="00CB46D1" w:rsidRPr="007E6C38">
        <w:rPr>
          <w:rFonts w:ascii="Times New Roman" w:hAnsi="Times New Roman" w:cs="Times New Roman"/>
          <w:sz w:val="24"/>
          <w:szCs w:val="24"/>
        </w:rPr>
        <w:t xml:space="preserve"> conforme a los arts. 209 y 210 TR-LMV</w:t>
      </w:r>
      <w:r w:rsidRPr="007E6C38">
        <w:rPr>
          <w:rFonts w:ascii="Times New Roman" w:hAnsi="Times New Roman" w:cs="Times New Roman"/>
          <w:sz w:val="24"/>
          <w:szCs w:val="24"/>
        </w:rPr>
        <w:t xml:space="preserve">. </w:t>
      </w:r>
      <w:r w:rsidR="00F94DA5" w:rsidRPr="007E6C38">
        <w:rPr>
          <w:rFonts w:ascii="Times New Roman" w:hAnsi="Times New Roman" w:cs="Times New Roman"/>
          <w:sz w:val="24"/>
          <w:szCs w:val="24"/>
        </w:rPr>
        <w:t>Un problema importante</w:t>
      </w:r>
      <w:r w:rsidRPr="007E6C38">
        <w:rPr>
          <w:rFonts w:ascii="Times New Roman" w:hAnsi="Times New Roman" w:cs="Times New Roman"/>
          <w:sz w:val="24"/>
          <w:szCs w:val="24"/>
        </w:rPr>
        <w:t xml:space="preserve"> en relación a la información sobre coste de cancelación se puede</w:t>
      </w:r>
      <w:r w:rsidR="00F94DA5" w:rsidRPr="007E6C38">
        <w:rPr>
          <w:rFonts w:ascii="Times New Roman" w:hAnsi="Times New Roman" w:cs="Times New Roman"/>
          <w:sz w:val="24"/>
          <w:szCs w:val="24"/>
        </w:rPr>
        <w:t xml:space="preserve"> plantear</w:t>
      </w:r>
      <w:r w:rsidR="00D10D6E" w:rsidRPr="007E6C38">
        <w:rPr>
          <w:rFonts w:ascii="Times New Roman" w:hAnsi="Times New Roman" w:cs="Times New Roman"/>
          <w:sz w:val="24"/>
          <w:szCs w:val="24"/>
        </w:rPr>
        <w:t xml:space="preserve"> en</w:t>
      </w:r>
      <w:r w:rsidR="00F94DA5" w:rsidRPr="007E6C38">
        <w:rPr>
          <w:rFonts w:ascii="Times New Roman" w:hAnsi="Times New Roman" w:cs="Times New Roman"/>
          <w:sz w:val="24"/>
          <w:szCs w:val="24"/>
        </w:rPr>
        <w:t xml:space="preserve"> los </w:t>
      </w:r>
      <w:r w:rsidR="00F94DA5" w:rsidRPr="00CC5C71">
        <w:rPr>
          <w:rFonts w:ascii="Times New Roman" w:hAnsi="Times New Roman" w:cs="Times New Roman"/>
          <w:b/>
          <w:color w:val="FF0000"/>
          <w:sz w:val="24"/>
          <w:szCs w:val="24"/>
        </w:rPr>
        <w:t>contratos</w:t>
      </w:r>
      <w:r w:rsidR="00B3470D" w:rsidRPr="00CC5C71">
        <w:rPr>
          <w:rFonts w:ascii="Times New Roman" w:hAnsi="Times New Roman" w:cs="Times New Roman"/>
          <w:b/>
          <w:color w:val="FF0000"/>
          <w:sz w:val="24"/>
          <w:szCs w:val="24"/>
        </w:rPr>
        <w:t xml:space="preserve"> de préstamo</w:t>
      </w:r>
      <w:r w:rsidR="00F94DA5" w:rsidRPr="00CC5C71">
        <w:rPr>
          <w:rFonts w:ascii="Times New Roman" w:hAnsi="Times New Roman" w:cs="Times New Roman"/>
          <w:b/>
          <w:color w:val="FF0000"/>
          <w:sz w:val="24"/>
          <w:szCs w:val="24"/>
        </w:rPr>
        <w:t xml:space="preserve"> en los que se incluya un derivado implícito</w:t>
      </w:r>
      <w:r w:rsidR="00F94DA5" w:rsidRPr="007E6C38">
        <w:rPr>
          <w:rFonts w:ascii="Times New Roman" w:hAnsi="Times New Roman" w:cs="Times New Roman"/>
          <w:sz w:val="24"/>
          <w:szCs w:val="24"/>
        </w:rPr>
        <w:t>, esto es, una fórmula de intercambio del tipo de interés</w:t>
      </w:r>
      <w:r w:rsidR="00B3470D" w:rsidRPr="007E6C38">
        <w:rPr>
          <w:rFonts w:ascii="Times New Roman" w:hAnsi="Times New Roman" w:cs="Times New Roman"/>
          <w:sz w:val="24"/>
          <w:szCs w:val="24"/>
        </w:rPr>
        <w:t xml:space="preserve"> nominal por otro</w:t>
      </w:r>
      <w:r w:rsidR="00F94DA5" w:rsidRPr="007E6C38">
        <w:rPr>
          <w:rFonts w:ascii="Times New Roman" w:hAnsi="Times New Roman" w:cs="Times New Roman"/>
          <w:sz w:val="24"/>
          <w:szCs w:val="24"/>
        </w:rPr>
        <w:t xml:space="preserve">, con un funcionamiento similar a una permuta de tipo de interés o swaps y </w:t>
      </w:r>
      <w:r w:rsidR="003E0690" w:rsidRPr="007E6C38">
        <w:rPr>
          <w:rFonts w:ascii="Times New Roman" w:hAnsi="Times New Roman" w:cs="Times New Roman"/>
          <w:sz w:val="24"/>
          <w:szCs w:val="24"/>
        </w:rPr>
        <w:t xml:space="preserve">normalmente </w:t>
      </w:r>
      <w:r w:rsidR="00F94DA5" w:rsidRPr="007E6C38">
        <w:rPr>
          <w:rFonts w:ascii="Times New Roman" w:hAnsi="Times New Roman" w:cs="Times New Roman"/>
          <w:sz w:val="24"/>
          <w:szCs w:val="24"/>
        </w:rPr>
        <w:t>también con un elevado coste de cancelación, per</w:t>
      </w:r>
      <w:r w:rsidRPr="007E6C38">
        <w:rPr>
          <w:rFonts w:ascii="Times New Roman" w:hAnsi="Times New Roman" w:cs="Times New Roman"/>
          <w:sz w:val="24"/>
          <w:szCs w:val="24"/>
        </w:rPr>
        <w:t>o que en puridad</w:t>
      </w:r>
      <w:r w:rsidR="00F94DA5" w:rsidRPr="007E6C38">
        <w:rPr>
          <w:rFonts w:ascii="Times New Roman" w:hAnsi="Times New Roman" w:cs="Times New Roman"/>
          <w:sz w:val="24"/>
          <w:szCs w:val="24"/>
        </w:rPr>
        <w:t xml:space="preserve"> no puede considerarse</w:t>
      </w:r>
      <w:r w:rsidR="00B3470D" w:rsidRPr="007E6C38">
        <w:rPr>
          <w:rFonts w:ascii="Times New Roman" w:hAnsi="Times New Roman" w:cs="Times New Roman"/>
          <w:sz w:val="24"/>
          <w:szCs w:val="24"/>
        </w:rPr>
        <w:t xml:space="preserve"> que sea</w:t>
      </w:r>
      <w:r w:rsidR="00F94DA5" w:rsidRPr="007E6C38">
        <w:rPr>
          <w:rFonts w:ascii="Times New Roman" w:hAnsi="Times New Roman" w:cs="Times New Roman"/>
          <w:sz w:val="24"/>
          <w:szCs w:val="24"/>
        </w:rPr>
        <w:t xml:space="preserve"> un servicio accesorio al préstamo, sino una parte del mismo</w:t>
      </w:r>
      <w:r w:rsidR="00F94DA5" w:rsidRPr="007E6C38">
        <w:rPr>
          <w:rStyle w:val="Refdenotaalpie"/>
          <w:rFonts w:ascii="Times New Roman" w:hAnsi="Times New Roman" w:cs="Times New Roman"/>
          <w:sz w:val="24"/>
          <w:szCs w:val="24"/>
        </w:rPr>
        <w:footnoteReference w:id="12"/>
      </w:r>
      <w:r w:rsidR="00B3470D" w:rsidRPr="007E6C38">
        <w:rPr>
          <w:rFonts w:ascii="Times New Roman" w:hAnsi="Times New Roman" w:cs="Times New Roman"/>
          <w:sz w:val="24"/>
          <w:szCs w:val="24"/>
        </w:rPr>
        <w:t xml:space="preserve">. La existencia de este derivado implícito conlleva que la </w:t>
      </w:r>
      <w:r w:rsidR="00B3470D" w:rsidRPr="00CC5C71">
        <w:rPr>
          <w:rFonts w:ascii="Times New Roman" w:hAnsi="Times New Roman" w:cs="Times New Roman"/>
          <w:color w:val="FF0000"/>
          <w:sz w:val="24"/>
          <w:szCs w:val="24"/>
        </w:rPr>
        <w:t>cancelación anticipada del préstamo o su vencimiento anticipado por impago obligue también a la cancelación del deri</w:t>
      </w:r>
      <w:r w:rsidRPr="00CC5C71">
        <w:rPr>
          <w:rFonts w:ascii="Times New Roman" w:hAnsi="Times New Roman" w:cs="Times New Roman"/>
          <w:color w:val="FF0000"/>
          <w:sz w:val="24"/>
          <w:szCs w:val="24"/>
        </w:rPr>
        <w:t>vado implícito</w:t>
      </w:r>
      <w:r w:rsidR="00CB46D1" w:rsidRPr="00CC5C71">
        <w:rPr>
          <w:rFonts w:ascii="Times New Roman" w:hAnsi="Times New Roman" w:cs="Times New Roman"/>
          <w:color w:val="FF0000"/>
          <w:sz w:val="24"/>
          <w:szCs w:val="24"/>
        </w:rPr>
        <w:t xml:space="preserve"> con su correspondiente coste, que excedería obviamente del límite imperativo al coste de cancelación del préstamo previsto en el art. 23 LCCI</w:t>
      </w:r>
      <w:r w:rsidR="00B3470D" w:rsidRPr="00CC5C71">
        <w:rPr>
          <w:rFonts w:ascii="Times New Roman" w:hAnsi="Times New Roman" w:cs="Times New Roman"/>
          <w:color w:val="FF0000"/>
          <w:sz w:val="24"/>
          <w:szCs w:val="24"/>
        </w:rPr>
        <w:t xml:space="preserve">. </w:t>
      </w:r>
      <w:r w:rsidR="00B3470D" w:rsidRPr="007E6C38">
        <w:rPr>
          <w:rFonts w:ascii="Times New Roman" w:hAnsi="Times New Roman" w:cs="Times New Roman"/>
          <w:sz w:val="24"/>
          <w:szCs w:val="24"/>
        </w:rPr>
        <w:t>Esta información sobre el coste de cancelación d</w:t>
      </w:r>
      <w:r w:rsidR="00CB46D1" w:rsidRPr="007E6C38">
        <w:rPr>
          <w:rFonts w:ascii="Times New Roman" w:hAnsi="Times New Roman" w:cs="Times New Roman"/>
          <w:sz w:val="24"/>
          <w:szCs w:val="24"/>
        </w:rPr>
        <w:t>el derivado implícito</w:t>
      </w:r>
      <w:r w:rsidR="00B3470D" w:rsidRPr="007E6C38">
        <w:rPr>
          <w:rFonts w:ascii="Times New Roman" w:hAnsi="Times New Roman" w:cs="Times New Roman"/>
          <w:sz w:val="24"/>
          <w:szCs w:val="24"/>
        </w:rPr>
        <w:t xml:space="preserve"> </w:t>
      </w:r>
      <w:r w:rsidR="00B3470D" w:rsidRPr="00CC5C71">
        <w:rPr>
          <w:rFonts w:ascii="Times New Roman" w:hAnsi="Times New Roman" w:cs="Times New Roman"/>
          <w:color w:val="FF0000"/>
          <w:sz w:val="24"/>
          <w:szCs w:val="24"/>
        </w:rPr>
        <w:t>debería ser conocida por el prestatario antes de la celebración del contrato,</w:t>
      </w:r>
      <w:r w:rsidR="00D10D6E" w:rsidRPr="00CC5C71">
        <w:rPr>
          <w:rFonts w:ascii="Times New Roman" w:hAnsi="Times New Roman" w:cs="Times New Roman"/>
          <w:color w:val="FF0000"/>
          <w:sz w:val="24"/>
          <w:szCs w:val="24"/>
        </w:rPr>
        <w:t xml:space="preserve"> como ha dispuesto la STS 1 julio 2016 (Ar 2016/4068)</w:t>
      </w:r>
      <w:r w:rsidR="00D10D6E" w:rsidRPr="00CC5C71">
        <w:rPr>
          <w:rStyle w:val="Refdenotaalpie"/>
          <w:rFonts w:ascii="Times New Roman" w:hAnsi="Times New Roman" w:cs="Times New Roman"/>
          <w:color w:val="FF0000"/>
          <w:sz w:val="24"/>
          <w:szCs w:val="24"/>
        </w:rPr>
        <w:footnoteReference w:id="13"/>
      </w:r>
      <w:r w:rsidR="00D10D6E" w:rsidRPr="00CC5C71">
        <w:rPr>
          <w:rFonts w:ascii="Times New Roman" w:hAnsi="Times New Roman" w:cs="Times New Roman"/>
          <w:color w:val="FF0000"/>
          <w:sz w:val="24"/>
          <w:szCs w:val="24"/>
        </w:rPr>
        <w:t>,</w:t>
      </w:r>
      <w:r w:rsidR="00D10D6E" w:rsidRPr="007E6C38">
        <w:rPr>
          <w:rFonts w:ascii="Times New Roman" w:hAnsi="Times New Roman" w:cs="Times New Roman"/>
          <w:sz w:val="24"/>
          <w:szCs w:val="24"/>
        </w:rPr>
        <w:t xml:space="preserve"> </w:t>
      </w:r>
      <w:r w:rsidR="00B3470D" w:rsidRPr="007E6C38">
        <w:rPr>
          <w:rFonts w:ascii="Times New Roman" w:hAnsi="Times New Roman" w:cs="Times New Roman"/>
          <w:sz w:val="24"/>
          <w:szCs w:val="24"/>
        </w:rPr>
        <w:t xml:space="preserve"> por lo que</w:t>
      </w:r>
      <w:r w:rsidR="00B204A0" w:rsidRPr="007E6C38">
        <w:rPr>
          <w:rFonts w:ascii="Times New Roman" w:hAnsi="Times New Roman" w:cs="Times New Roman"/>
          <w:sz w:val="24"/>
          <w:szCs w:val="24"/>
        </w:rPr>
        <w:t>,</w:t>
      </w:r>
      <w:r w:rsidR="00B3470D" w:rsidRPr="007E6C38">
        <w:rPr>
          <w:rFonts w:ascii="Times New Roman" w:hAnsi="Times New Roman" w:cs="Times New Roman"/>
          <w:sz w:val="24"/>
          <w:szCs w:val="24"/>
        </w:rPr>
        <w:t xml:space="preserve"> aunque no se considerase tal derivado implícito como un servicio accesorio al préstamo, sino como una parte del mismo, tal información debería proporcionarse como </w:t>
      </w:r>
      <w:r w:rsidR="00B3470D" w:rsidRPr="00CC5C71">
        <w:rPr>
          <w:rFonts w:ascii="Times New Roman" w:hAnsi="Times New Roman" w:cs="Times New Roman"/>
          <w:color w:val="FF0000"/>
          <w:sz w:val="24"/>
          <w:szCs w:val="24"/>
        </w:rPr>
        <w:t xml:space="preserve">parte de las explicaciones adecuadas </w:t>
      </w:r>
      <w:r w:rsidR="00B3470D" w:rsidRPr="007E6C38">
        <w:rPr>
          <w:rFonts w:ascii="Times New Roman" w:hAnsi="Times New Roman" w:cs="Times New Roman"/>
          <w:sz w:val="24"/>
          <w:szCs w:val="24"/>
        </w:rPr>
        <w:t xml:space="preserve">complementarias que el prestamista deber proporcionar al prestatario (art. 16 Directiva UE/2014/17 y </w:t>
      </w:r>
      <w:r w:rsidR="00654E83" w:rsidRPr="007E6C38">
        <w:rPr>
          <w:rFonts w:ascii="Times New Roman" w:hAnsi="Times New Roman" w:cs="Times New Roman"/>
          <w:sz w:val="24"/>
          <w:szCs w:val="24"/>
        </w:rPr>
        <w:t>art. 14</w:t>
      </w:r>
      <w:r w:rsidR="00B3470D" w:rsidRPr="007E6C38">
        <w:rPr>
          <w:rFonts w:ascii="Times New Roman" w:hAnsi="Times New Roman" w:cs="Times New Roman"/>
          <w:sz w:val="24"/>
          <w:szCs w:val="24"/>
        </w:rPr>
        <w:t xml:space="preserve">.2 LCCI). </w:t>
      </w:r>
    </w:p>
    <w:p w:rsidR="002D72AE" w:rsidRPr="007E6C38" w:rsidRDefault="002D72AE" w:rsidP="00F60A8E">
      <w:pPr>
        <w:spacing w:before="120" w:after="120" w:line="360" w:lineRule="auto"/>
        <w:jc w:val="both"/>
        <w:rPr>
          <w:rFonts w:ascii="Times New Roman" w:hAnsi="Times New Roman" w:cs="Times New Roman"/>
          <w:sz w:val="24"/>
          <w:szCs w:val="24"/>
        </w:rPr>
      </w:pPr>
    </w:p>
    <w:p w:rsidR="00EE3FAF" w:rsidRPr="007E6C38" w:rsidRDefault="00F60A8E"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AE4642" w:rsidRPr="007E6C38">
        <w:rPr>
          <w:rFonts w:ascii="Times New Roman" w:hAnsi="Times New Roman" w:cs="Times New Roman"/>
          <w:b/>
          <w:sz w:val="24"/>
          <w:szCs w:val="24"/>
        </w:rPr>
        <w:t>.3</w:t>
      </w:r>
      <w:r w:rsidR="00EE3FAF" w:rsidRPr="007E6C38">
        <w:rPr>
          <w:rFonts w:ascii="Times New Roman" w:hAnsi="Times New Roman" w:cs="Times New Roman"/>
          <w:b/>
          <w:sz w:val="24"/>
          <w:szCs w:val="24"/>
        </w:rPr>
        <w:t xml:space="preserve">. Información sobre </w:t>
      </w:r>
      <w:r w:rsidR="00B3470D" w:rsidRPr="007E6C38">
        <w:rPr>
          <w:rFonts w:ascii="Times New Roman" w:hAnsi="Times New Roman" w:cs="Times New Roman"/>
          <w:b/>
          <w:sz w:val="24"/>
          <w:szCs w:val="24"/>
        </w:rPr>
        <w:t xml:space="preserve">los </w:t>
      </w:r>
      <w:r w:rsidR="00EE3FAF" w:rsidRPr="007E6C38">
        <w:rPr>
          <w:rFonts w:ascii="Times New Roman" w:hAnsi="Times New Roman" w:cs="Times New Roman"/>
          <w:b/>
          <w:sz w:val="24"/>
          <w:szCs w:val="24"/>
        </w:rPr>
        <w:t>préstamos en divisas</w:t>
      </w:r>
    </w:p>
    <w:p w:rsidR="00AE4642" w:rsidRPr="007E6C38" w:rsidRDefault="00AE464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directiva 2014/17</w:t>
      </w:r>
      <w:r w:rsidR="004814FD" w:rsidRPr="007E6C38">
        <w:rPr>
          <w:rFonts w:ascii="Times New Roman" w:hAnsi="Times New Roman" w:cs="Times New Roman"/>
          <w:sz w:val="24"/>
          <w:szCs w:val="24"/>
        </w:rPr>
        <w:t>/UE manif</w:t>
      </w:r>
      <w:r w:rsidRPr="007E6C38">
        <w:rPr>
          <w:rFonts w:ascii="Times New Roman" w:hAnsi="Times New Roman" w:cs="Times New Roman"/>
          <w:sz w:val="24"/>
          <w:szCs w:val="24"/>
        </w:rPr>
        <w:t>estó en su considerando trigésimo una especial preocupación por los riesgos inherentes a los préstamos en moneda extranjera, razón por la</w:t>
      </w:r>
      <w:r w:rsidR="004814FD" w:rsidRPr="007E6C38">
        <w:rPr>
          <w:rFonts w:ascii="Times New Roman" w:hAnsi="Times New Roman" w:cs="Times New Roman"/>
          <w:sz w:val="24"/>
          <w:szCs w:val="24"/>
        </w:rPr>
        <w:t xml:space="preserve"> que consideró necesario establecer</w:t>
      </w:r>
      <w:r w:rsidRPr="007E6C38">
        <w:rPr>
          <w:rFonts w:ascii="Times New Roman" w:hAnsi="Times New Roman" w:cs="Times New Roman"/>
          <w:sz w:val="24"/>
          <w:szCs w:val="24"/>
        </w:rPr>
        <w:t xml:space="preserve"> una serie medidas para garantizar que los consumidores sean conscientes de los riesgos </w:t>
      </w:r>
      <w:r w:rsidR="004814FD" w:rsidRPr="007E6C38">
        <w:rPr>
          <w:rFonts w:ascii="Times New Roman" w:hAnsi="Times New Roman" w:cs="Times New Roman"/>
          <w:sz w:val="24"/>
          <w:szCs w:val="24"/>
        </w:rPr>
        <w:t>que asumen y</w:t>
      </w:r>
      <w:r w:rsidRPr="007E6C38">
        <w:rPr>
          <w:rFonts w:ascii="Times New Roman" w:hAnsi="Times New Roman" w:cs="Times New Roman"/>
          <w:sz w:val="24"/>
          <w:szCs w:val="24"/>
        </w:rPr>
        <w:t xml:space="preserve"> tengan la posibilidad de limitar su exposición al riesgo de tipo de cambio durante el período de vigencia del crédito.</w:t>
      </w:r>
    </w:p>
    <w:p w:rsidR="00AE4642" w:rsidRPr="007E6C38" w:rsidRDefault="00AE464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En consecuencia, el art. 23.1 de la Directiva 2014/17 obliga a los Estados miembros a adoptar un marco reglamentario sobre los préstamos en moneda extranjera que garantice como mínimo que: </w:t>
      </w:r>
      <w:r w:rsidRPr="00CC5C71">
        <w:rPr>
          <w:rFonts w:ascii="Times New Roman" w:hAnsi="Times New Roman" w:cs="Times New Roman"/>
          <w:color w:val="FF0000"/>
          <w:sz w:val="24"/>
          <w:szCs w:val="24"/>
        </w:rPr>
        <w:t xml:space="preserve">a) que el consumidor tenga derecho a convertir el préstamo a una moneda alternativa en condiciones especificadas; o b) que se hayan implantado otras disposiciones que limiten el riesgo de tipo de cambio </w:t>
      </w:r>
      <w:r w:rsidRPr="007E6C38">
        <w:rPr>
          <w:rFonts w:ascii="Times New Roman" w:hAnsi="Times New Roman" w:cs="Times New Roman"/>
          <w:sz w:val="24"/>
          <w:szCs w:val="24"/>
        </w:rPr>
        <w:t>al que está expuesto el consumidor en virtud del contrato de crédito.</w:t>
      </w:r>
    </w:p>
    <w:p w:rsidR="00AE4642" w:rsidRPr="007E6C38" w:rsidRDefault="004814F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Por lo que respecta a la información sobre el riesgo, e</w:t>
      </w:r>
      <w:r w:rsidR="00AE4642" w:rsidRPr="007E6C38">
        <w:rPr>
          <w:rFonts w:ascii="Times New Roman" w:hAnsi="Times New Roman" w:cs="Times New Roman"/>
          <w:sz w:val="24"/>
          <w:szCs w:val="24"/>
        </w:rPr>
        <w:t xml:space="preserve">n la </w:t>
      </w:r>
      <w:r w:rsidR="00AE4642" w:rsidRPr="00CC5C71">
        <w:rPr>
          <w:rFonts w:ascii="Times New Roman" w:hAnsi="Times New Roman" w:cs="Times New Roman"/>
          <w:color w:val="FF0000"/>
          <w:sz w:val="24"/>
          <w:szCs w:val="24"/>
        </w:rPr>
        <w:t>FEIN</w:t>
      </w:r>
      <w:r w:rsidR="00D10D6E" w:rsidRPr="00CC5C71">
        <w:rPr>
          <w:rFonts w:ascii="Times New Roman" w:hAnsi="Times New Roman" w:cs="Times New Roman"/>
          <w:color w:val="FF0000"/>
          <w:sz w:val="24"/>
          <w:szCs w:val="24"/>
        </w:rPr>
        <w:t xml:space="preserve"> (Sección 3ª</w:t>
      </w:r>
      <w:r w:rsidR="00AE4642" w:rsidRPr="00CC5C71">
        <w:rPr>
          <w:rFonts w:ascii="Times New Roman" w:hAnsi="Times New Roman" w:cs="Times New Roman"/>
          <w:color w:val="FF0000"/>
          <w:sz w:val="24"/>
          <w:szCs w:val="24"/>
        </w:rPr>
        <w:t xml:space="preserve">) debe mencionarse cuál es la moneda del préstamo, junto con una advertencia expresa </w:t>
      </w:r>
      <w:r w:rsidR="00AE4642" w:rsidRPr="007E6C38">
        <w:rPr>
          <w:rFonts w:ascii="Times New Roman" w:hAnsi="Times New Roman" w:cs="Times New Roman"/>
          <w:sz w:val="24"/>
          <w:szCs w:val="24"/>
        </w:rPr>
        <w:t xml:space="preserve">de que el valor del préstamo, en la moneda nacional del prestatario, puede variar. Además, </w:t>
      </w:r>
      <w:r w:rsidR="00AE4642" w:rsidRPr="00CC5C71">
        <w:rPr>
          <w:rFonts w:ascii="Times New Roman" w:hAnsi="Times New Roman" w:cs="Times New Roman"/>
          <w:color w:val="FF0000"/>
          <w:sz w:val="24"/>
          <w:szCs w:val="24"/>
        </w:rPr>
        <w:t>el art. 23.6</w:t>
      </w:r>
      <w:r w:rsidR="00B204A0" w:rsidRPr="00CC5C71">
        <w:rPr>
          <w:rFonts w:ascii="Times New Roman" w:hAnsi="Times New Roman" w:cs="Times New Roman"/>
          <w:color w:val="FF0000"/>
          <w:sz w:val="24"/>
          <w:szCs w:val="24"/>
        </w:rPr>
        <w:t xml:space="preserve"> de la Directiva 2014/17/UE dispone que en la FEIN</w:t>
      </w:r>
      <w:r w:rsidR="00AE4642" w:rsidRPr="00CC5C71">
        <w:rPr>
          <w:rFonts w:ascii="Times New Roman" w:hAnsi="Times New Roman" w:cs="Times New Roman"/>
          <w:color w:val="FF0000"/>
          <w:sz w:val="24"/>
          <w:szCs w:val="24"/>
        </w:rPr>
        <w:t xml:space="preserve"> se deberá incluir un ejemplo ilustrativo de los efectos que tendría una fluctuación del tipo de cambio del 20 %</w:t>
      </w:r>
      <w:r w:rsidR="00AE4642" w:rsidRPr="007E6C38">
        <w:rPr>
          <w:rFonts w:ascii="Times New Roman" w:hAnsi="Times New Roman" w:cs="Times New Roman"/>
          <w:sz w:val="24"/>
          <w:szCs w:val="24"/>
        </w:rPr>
        <w:t>, si en el contrato no hubiese disposiciones destinadas a limitar el riesgo de tipo de cambio a que está expuesto el consumidor a una fluctuación del tipo de cambio inferior al 20 %.</w:t>
      </w:r>
    </w:p>
    <w:p w:rsidR="00196D9D" w:rsidRPr="007E6C38" w:rsidRDefault="00D723D6"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Este ejemplo representativo se in</w:t>
      </w:r>
      <w:r w:rsidR="001759BF" w:rsidRPr="007E6C38">
        <w:rPr>
          <w:rFonts w:ascii="Times New Roman" w:hAnsi="Times New Roman" w:cs="Times New Roman"/>
          <w:sz w:val="24"/>
          <w:szCs w:val="24"/>
        </w:rPr>
        <w:t xml:space="preserve">cluye en la FEIN en dos secciones distintas. </w:t>
      </w:r>
      <w:r w:rsidR="001759BF" w:rsidRPr="00CC5C71">
        <w:rPr>
          <w:rFonts w:ascii="Times New Roman" w:hAnsi="Times New Roman" w:cs="Times New Roman"/>
          <w:color w:val="FF0000"/>
          <w:sz w:val="24"/>
          <w:szCs w:val="24"/>
        </w:rPr>
        <w:t xml:space="preserve">En la Sección 3ª </w:t>
      </w:r>
      <w:r w:rsidRPr="00CC5C71">
        <w:rPr>
          <w:rFonts w:ascii="Times New Roman" w:hAnsi="Times New Roman" w:cs="Times New Roman"/>
          <w:color w:val="FF0000"/>
          <w:sz w:val="24"/>
          <w:szCs w:val="24"/>
        </w:rPr>
        <w:t xml:space="preserve">se ha de incluir el mencionado ejemplo representativo, en relación a la variación que puede experimentar el capital </w:t>
      </w:r>
      <w:r w:rsidRPr="007E6C38">
        <w:rPr>
          <w:rFonts w:ascii="Times New Roman" w:hAnsi="Times New Roman" w:cs="Times New Roman"/>
          <w:sz w:val="24"/>
          <w:szCs w:val="24"/>
        </w:rPr>
        <w:t>o el valor del préstamo en la moneda nacional del prestatario, a consecuencia de la depreciación de la moneda nacional.</w:t>
      </w:r>
      <w:r w:rsidR="001759BF" w:rsidRPr="007E6C38">
        <w:rPr>
          <w:rFonts w:ascii="Times New Roman" w:hAnsi="Times New Roman" w:cs="Times New Roman"/>
          <w:sz w:val="24"/>
          <w:szCs w:val="24"/>
        </w:rPr>
        <w:t xml:space="preserve"> En la </w:t>
      </w:r>
      <w:r w:rsidR="001759BF" w:rsidRPr="00CC5C71">
        <w:rPr>
          <w:rFonts w:ascii="Times New Roman" w:hAnsi="Times New Roman" w:cs="Times New Roman"/>
          <w:color w:val="FF0000"/>
          <w:sz w:val="24"/>
          <w:szCs w:val="24"/>
        </w:rPr>
        <w:t>Sección 6ª</w:t>
      </w:r>
      <w:r w:rsidR="00196D9D" w:rsidRPr="00CC5C71">
        <w:rPr>
          <w:rFonts w:ascii="Times New Roman" w:hAnsi="Times New Roman" w:cs="Times New Roman"/>
          <w:color w:val="FF0000"/>
          <w:sz w:val="24"/>
          <w:szCs w:val="24"/>
        </w:rPr>
        <w:t xml:space="preserve"> de la FEIN</w:t>
      </w:r>
      <w:r w:rsidR="001759BF" w:rsidRPr="00CC5C71">
        <w:rPr>
          <w:rFonts w:ascii="Times New Roman" w:hAnsi="Times New Roman" w:cs="Times New Roman"/>
          <w:color w:val="FF0000"/>
          <w:sz w:val="24"/>
          <w:szCs w:val="24"/>
        </w:rPr>
        <w:t>, relativa</w:t>
      </w:r>
      <w:r w:rsidR="00B204A0" w:rsidRPr="00CC5C71">
        <w:rPr>
          <w:rFonts w:ascii="Times New Roman" w:hAnsi="Times New Roman" w:cs="Times New Roman"/>
          <w:color w:val="FF0000"/>
          <w:sz w:val="24"/>
          <w:szCs w:val="24"/>
        </w:rPr>
        <w:t xml:space="preserve"> al importe de cada cuota,</w:t>
      </w:r>
      <w:r w:rsidR="00AE4642" w:rsidRPr="00CC5C71">
        <w:rPr>
          <w:rFonts w:ascii="Times New Roman" w:hAnsi="Times New Roman" w:cs="Times New Roman"/>
          <w:color w:val="FF0000"/>
          <w:sz w:val="24"/>
          <w:szCs w:val="24"/>
        </w:rPr>
        <w:t xml:space="preserve"> </w:t>
      </w:r>
      <w:r w:rsidR="00196D9D" w:rsidRPr="00CC5C71">
        <w:rPr>
          <w:rFonts w:ascii="Times New Roman" w:hAnsi="Times New Roman" w:cs="Times New Roman"/>
          <w:color w:val="FF0000"/>
          <w:sz w:val="24"/>
          <w:szCs w:val="24"/>
        </w:rPr>
        <w:t>se incluye</w:t>
      </w:r>
      <w:r w:rsidR="006B56B2" w:rsidRPr="00CC5C71">
        <w:rPr>
          <w:rFonts w:ascii="Times New Roman" w:hAnsi="Times New Roman" w:cs="Times New Roman"/>
          <w:color w:val="FF0000"/>
          <w:sz w:val="24"/>
          <w:szCs w:val="24"/>
        </w:rPr>
        <w:t xml:space="preserve"> el</w:t>
      </w:r>
      <w:r w:rsidR="00196D9D" w:rsidRPr="00CC5C71">
        <w:rPr>
          <w:rFonts w:ascii="Times New Roman" w:hAnsi="Times New Roman" w:cs="Times New Roman"/>
          <w:color w:val="FF0000"/>
          <w:sz w:val="24"/>
          <w:szCs w:val="24"/>
        </w:rPr>
        <w:t xml:space="preserve"> referido</w:t>
      </w:r>
      <w:r w:rsidR="006B56B2" w:rsidRPr="00CC5C71">
        <w:rPr>
          <w:rFonts w:ascii="Times New Roman" w:hAnsi="Times New Roman" w:cs="Times New Roman"/>
          <w:color w:val="FF0000"/>
          <w:sz w:val="24"/>
          <w:szCs w:val="24"/>
        </w:rPr>
        <w:t xml:space="preserve"> ejemplo i</w:t>
      </w:r>
      <w:r w:rsidR="00B204A0" w:rsidRPr="00CC5C71">
        <w:rPr>
          <w:rFonts w:ascii="Times New Roman" w:hAnsi="Times New Roman" w:cs="Times New Roman"/>
          <w:color w:val="FF0000"/>
          <w:sz w:val="24"/>
          <w:szCs w:val="24"/>
        </w:rPr>
        <w:t>lustrativ</w:t>
      </w:r>
      <w:r w:rsidR="00B204A0" w:rsidRPr="007E6C38">
        <w:rPr>
          <w:rFonts w:ascii="Times New Roman" w:hAnsi="Times New Roman" w:cs="Times New Roman"/>
          <w:sz w:val="24"/>
          <w:szCs w:val="24"/>
        </w:rPr>
        <w:t xml:space="preserve">o, </w:t>
      </w:r>
      <w:r w:rsidR="00196D9D" w:rsidRPr="007E6C38">
        <w:rPr>
          <w:rFonts w:ascii="Times New Roman" w:hAnsi="Times New Roman" w:cs="Times New Roman"/>
          <w:sz w:val="24"/>
          <w:szCs w:val="24"/>
        </w:rPr>
        <w:t>en relación al efecto que una depreciación de la moneda nacional del prestatario de un 20 % podría tener sobre el importe de las cuotas periódicas.</w:t>
      </w:r>
    </w:p>
    <w:p w:rsidR="00196D9D" w:rsidRPr="007E6C38" w:rsidRDefault="00196D9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En caso de que en préstamo denominado en divisas se hubieran incluido limitaciones a la variación del </w:t>
      </w:r>
      <w:r w:rsidR="003E0690" w:rsidRPr="007E6C38">
        <w:rPr>
          <w:rFonts w:ascii="Times New Roman" w:hAnsi="Times New Roman" w:cs="Times New Roman"/>
          <w:sz w:val="24"/>
          <w:szCs w:val="24"/>
        </w:rPr>
        <w:t>tipo de cambio inferior al 20 % -lo que no ha sido una práctica habitual en el mercado hipotecario español-</w:t>
      </w:r>
      <w:r w:rsidRPr="007E6C38">
        <w:rPr>
          <w:rFonts w:ascii="Times New Roman" w:hAnsi="Times New Roman" w:cs="Times New Roman"/>
          <w:sz w:val="24"/>
          <w:szCs w:val="24"/>
        </w:rPr>
        <w:t xml:space="preserve"> el ejemplo representativo anterior habría de sustituirse por una referencia al valor máximo que podría alcanzar</w:t>
      </w:r>
      <w:r w:rsidR="003E0690" w:rsidRPr="007E6C38">
        <w:rPr>
          <w:rFonts w:ascii="Times New Roman" w:hAnsi="Times New Roman" w:cs="Times New Roman"/>
          <w:sz w:val="24"/>
          <w:szCs w:val="24"/>
        </w:rPr>
        <w:t xml:space="preserve"> el</w:t>
      </w:r>
      <w:r w:rsidRPr="007E6C38">
        <w:rPr>
          <w:rFonts w:ascii="Times New Roman" w:hAnsi="Times New Roman" w:cs="Times New Roman"/>
          <w:sz w:val="24"/>
          <w:szCs w:val="24"/>
        </w:rPr>
        <w:t xml:space="preserve"> capital del préstamo expresado en la moneda nacional del prestatario, así como a la cuota máxima expresada también en moneda nacional.</w:t>
      </w:r>
    </w:p>
    <w:p w:rsidR="00AE4642" w:rsidRPr="00CC5C71" w:rsidRDefault="00196D9D"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Esta obligación de informar en la FEIN sobre los efectos de la depreciación de la moneda nacional tanto sobre el valor del capital a restituir, como respecto de las cuotas periódicas de amortización es acorde con la Jurisprude</w:t>
      </w:r>
      <w:r w:rsidR="003E0690" w:rsidRPr="007E6C38">
        <w:rPr>
          <w:rFonts w:ascii="Times New Roman" w:hAnsi="Times New Roman" w:cs="Times New Roman"/>
          <w:sz w:val="24"/>
          <w:szCs w:val="24"/>
        </w:rPr>
        <w:t>ncia española expresada en las STS 15 noviembre 2017</w:t>
      </w:r>
      <w:r w:rsidR="005D5ED4" w:rsidRPr="007E6C38">
        <w:rPr>
          <w:rFonts w:ascii="Times New Roman" w:hAnsi="Times New Roman" w:cs="Times New Roman"/>
          <w:sz w:val="24"/>
          <w:szCs w:val="24"/>
        </w:rPr>
        <w:t xml:space="preserve"> (Ar. 2017/608), STS 31</w:t>
      </w:r>
      <w:r w:rsidR="003E0690" w:rsidRPr="007E6C38">
        <w:rPr>
          <w:rFonts w:ascii="Times New Roman" w:hAnsi="Times New Roman" w:cs="Times New Roman"/>
          <w:sz w:val="24"/>
          <w:szCs w:val="24"/>
        </w:rPr>
        <w:t xml:space="preserve"> octubre 2018</w:t>
      </w:r>
      <w:r w:rsidR="005D5ED4" w:rsidRPr="007E6C38">
        <w:rPr>
          <w:rFonts w:ascii="Times New Roman" w:hAnsi="Times New Roman" w:cs="Times New Roman"/>
          <w:sz w:val="24"/>
          <w:szCs w:val="24"/>
        </w:rPr>
        <w:t xml:space="preserve"> (Ar. 2018/4881)</w:t>
      </w:r>
      <w:r w:rsidR="003E0690" w:rsidRPr="007E6C38">
        <w:rPr>
          <w:rFonts w:ascii="Times New Roman" w:hAnsi="Times New Roman" w:cs="Times New Roman"/>
          <w:sz w:val="24"/>
          <w:szCs w:val="24"/>
        </w:rPr>
        <w:t xml:space="preserve"> y STS 26 noviembre 2018</w:t>
      </w:r>
      <w:r w:rsidR="005D5ED4" w:rsidRPr="007E6C38">
        <w:rPr>
          <w:rFonts w:ascii="Times New Roman" w:hAnsi="Times New Roman" w:cs="Times New Roman"/>
          <w:sz w:val="24"/>
          <w:szCs w:val="24"/>
        </w:rPr>
        <w:t xml:space="preserve"> (Ar. 2018/5121)</w:t>
      </w:r>
      <w:r w:rsidRPr="007E6C38">
        <w:rPr>
          <w:rFonts w:ascii="Times New Roman" w:hAnsi="Times New Roman" w:cs="Times New Roman"/>
          <w:sz w:val="24"/>
          <w:szCs w:val="24"/>
        </w:rPr>
        <w:t>,</w:t>
      </w:r>
      <w:r w:rsidR="003E0690" w:rsidRPr="007E6C38">
        <w:rPr>
          <w:rFonts w:ascii="Times New Roman" w:hAnsi="Times New Roman" w:cs="Times New Roman"/>
          <w:sz w:val="24"/>
          <w:szCs w:val="24"/>
        </w:rPr>
        <w:t xml:space="preserve"> que</w:t>
      </w:r>
      <w:r w:rsidR="006B56B2" w:rsidRPr="007E6C38">
        <w:rPr>
          <w:rFonts w:ascii="Times New Roman" w:hAnsi="Times New Roman" w:cs="Times New Roman"/>
          <w:sz w:val="24"/>
          <w:szCs w:val="24"/>
        </w:rPr>
        <w:t xml:space="preserve"> ha insistido en que el consumidor </w:t>
      </w:r>
      <w:r w:rsidR="006B56B2" w:rsidRPr="00CC5C71">
        <w:rPr>
          <w:rFonts w:ascii="Times New Roman" w:hAnsi="Times New Roman" w:cs="Times New Roman"/>
          <w:color w:val="FF0000"/>
          <w:sz w:val="24"/>
          <w:szCs w:val="24"/>
        </w:rPr>
        <w:t>no sólo debe conocer los efectos de la eventual depreciación del euro respecto de las cuotas periódicas de amortización, sino sobre el capital</w:t>
      </w:r>
      <w:r w:rsidR="003E0690" w:rsidRPr="00CC5C71">
        <w:rPr>
          <w:rFonts w:ascii="Times New Roman" w:hAnsi="Times New Roman" w:cs="Times New Roman"/>
          <w:color w:val="FF0000"/>
          <w:sz w:val="24"/>
          <w:szCs w:val="24"/>
        </w:rPr>
        <w:t xml:space="preserve"> íntegro que se ha de restituir</w:t>
      </w:r>
      <w:r w:rsidR="003E0690" w:rsidRPr="00CC5C71">
        <w:rPr>
          <w:rStyle w:val="Refdenotaalpie"/>
          <w:rFonts w:ascii="Times New Roman" w:hAnsi="Times New Roman" w:cs="Times New Roman"/>
          <w:color w:val="FF0000"/>
          <w:sz w:val="24"/>
          <w:szCs w:val="24"/>
        </w:rPr>
        <w:footnoteReference w:id="14"/>
      </w:r>
      <w:r w:rsidR="003E0690" w:rsidRPr="00CC5C71">
        <w:rPr>
          <w:rFonts w:ascii="Times New Roman" w:hAnsi="Times New Roman" w:cs="Times New Roman"/>
          <w:color w:val="FF0000"/>
          <w:sz w:val="24"/>
          <w:szCs w:val="24"/>
        </w:rPr>
        <w:t>.</w:t>
      </w:r>
    </w:p>
    <w:p w:rsidR="006275EE" w:rsidRPr="00CC5C71" w:rsidRDefault="00196D9D"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Por tanto, puesto que la información contenida en la FEIN sobre el riesgo de depreciación de la moneda nacional en los préstamos concertados en divisas es</w:t>
      </w:r>
      <w:r w:rsidR="00467D15" w:rsidRPr="007E6C38">
        <w:rPr>
          <w:rFonts w:ascii="Times New Roman" w:hAnsi="Times New Roman" w:cs="Times New Roman"/>
          <w:sz w:val="24"/>
          <w:szCs w:val="24"/>
        </w:rPr>
        <w:t xml:space="preserve"> suficiente,</w:t>
      </w:r>
      <w:r w:rsidRPr="007E6C38">
        <w:rPr>
          <w:rFonts w:ascii="Times New Roman" w:hAnsi="Times New Roman" w:cs="Times New Roman"/>
          <w:sz w:val="24"/>
          <w:szCs w:val="24"/>
        </w:rPr>
        <w:t xml:space="preserve"> en la </w:t>
      </w:r>
      <w:proofErr w:type="spellStart"/>
      <w:r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 xml:space="preserve"> no se requiere, con carácter general, ampliar esta información</w:t>
      </w:r>
      <w:r w:rsidR="003E0690" w:rsidRPr="007E6C38">
        <w:rPr>
          <w:rFonts w:ascii="Times New Roman" w:hAnsi="Times New Roman" w:cs="Times New Roman"/>
          <w:sz w:val="24"/>
          <w:szCs w:val="24"/>
        </w:rPr>
        <w:t xml:space="preserve"> o incluir advertencias adicionales,</w:t>
      </w:r>
      <w:r w:rsidRPr="007E6C38">
        <w:rPr>
          <w:rFonts w:ascii="Times New Roman" w:hAnsi="Times New Roman" w:cs="Times New Roman"/>
          <w:sz w:val="24"/>
          <w:szCs w:val="24"/>
        </w:rPr>
        <w:t xml:space="preserve"> sino sólo hacer una referencia a que se trata de un préstamo en moneda extranjera. </w:t>
      </w:r>
      <w:r w:rsidR="001759BF" w:rsidRPr="007E6C38">
        <w:rPr>
          <w:rFonts w:ascii="Times New Roman" w:hAnsi="Times New Roman" w:cs="Times New Roman"/>
          <w:sz w:val="24"/>
          <w:szCs w:val="24"/>
        </w:rPr>
        <w:t xml:space="preserve">Sin embargo, </w:t>
      </w:r>
      <w:r w:rsidR="001759BF" w:rsidRPr="00CC5C71">
        <w:rPr>
          <w:rFonts w:ascii="Times New Roman" w:hAnsi="Times New Roman" w:cs="Times New Roman"/>
          <w:color w:val="FF0000"/>
          <w:sz w:val="24"/>
          <w:szCs w:val="24"/>
        </w:rPr>
        <w:t>alguna explicación adicional podría ser necesaria en caso de que por la situación financiera del prestatario, una eventual depreciación de su moneda nacional, previsiblemente no le permitiera hacer frente a sus obligaciones de pago.</w:t>
      </w:r>
    </w:p>
    <w:p w:rsidR="002D72AE" w:rsidRPr="007E6C38" w:rsidRDefault="002D72AE" w:rsidP="00F60A8E">
      <w:pPr>
        <w:spacing w:before="120" w:after="120" w:line="360" w:lineRule="auto"/>
        <w:jc w:val="both"/>
        <w:rPr>
          <w:rFonts w:ascii="Times New Roman" w:hAnsi="Times New Roman" w:cs="Times New Roman"/>
          <w:sz w:val="24"/>
          <w:szCs w:val="24"/>
        </w:rPr>
      </w:pPr>
    </w:p>
    <w:p w:rsidR="00EE3FAF" w:rsidRPr="007E6C38" w:rsidRDefault="00F60A8E"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EE3FAF" w:rsidRPr="007E6C38">
        <w:rPr>
          <w:rFonts w:ascii="Times New Roman" w:hAnsi="Times New Roman" w:cs="Times New Roman"/>
          <w:b/>
          <w:sz w:val="24"/>
          <w:szCs w:val="24"/>
        </w:rPr>
        <w:t>.4. Información sobre costes por servicios accesorios</w:t>
      </w:r>
    </w:p>
    <w:p w:rsidR="006275EE" w:rsidRPr="007E6C38" w:rsidRDefault="001759BF"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El art. 17</w:t>
      </w:r>
      <w:r w:rsidR="006275EE" w:rsidRPr="007E6C38">
        <w:rPr>
          <w:rFonts w:ascii="Times New Roman" w:hAnsi="Times New Roman" w:cs="Times New Roman"/>
          <w:sz w:val="24"/>
          <w:szCs w:val="24"/>
        </w:rPr>
        <w:t xml:space="preserve">.1 LCCI, siguiendo el </w:t>
      </w:r>
      <w:r w:rsidR="00654E83" w:rsidRPr="007E6C38">
        <w:rPr>
          <w:rFonts w:ascii="Times New Roman" w:hAnsi="Times New Roman" w:cs="Times New Roman"/>
          <w:sz w:val="24"/>
          <w:szCs w:val="24"/>
        </w:rPr>
        <w:t>art. 14</w:t>
      </w:r>
      <w:r w:rsidR="006275EE" w:rsidRPr="007E6C38">
        <w:rPr>
          <w:rFonts w:ascii="Times New Roman" w:hAnsi="Times New Roman" w:cs="Times New Roman"/>
          <w:sz w:val="24"/>
          <w:szCs w:val="24"/>
        </w:rPr>
        <w:t>.1 de la Directiva UE/2014/17 prohíbe la práctica de ventas vinculadas, esto es, la oferta de un contrato de préstamo en un paquete en el que se incluyen otros productos o servicios financieros diferenciados, de manera indisociable, es decir, cuando el contrato de crédito no se ofrece al consumidor por separado sin dichos servicios (art. 4.26 Directiva UE/2014/17)</w:t>
      </w:r>
      <w:r w:rsidR="008321DE" w:rsidRPr="007E6C38">
        <w:rPr>
          <w:rStyle w:val="Refdenotaalpie"/>
          <w:rFonts w:ascii="Times New Roman" w:hAnsi="Times New Roman" w:cs="Times New Roman"/>
          <w:sz w:val="24"/>
          <w:szCs w:val="24"/>
        </w:rPr>
        <w:footnoteReference w:id="15"/>
      </w:r>
      <w:r w:rsidR="006275EE" w:rsidRPr="007E6C38">
        <w:rPr>
          <w:rFonts w:ascii="Times New Roman" w:hAnsi="Times New Roman" w:cs="Times New Roman"/>
          <w:sz w:val="24"/>
          <w:szCs w:val="24"/>
        </w:rPr>
        <w:t>.</w:t>
      </w:r>
    </w:p>
    <w:p w:rsidR="006275EE" w:rsidRPr="007E6C38" w:rsidRDefault="006275EE"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Por el contrario,</w:t>
      </w:r>
      <w:r w:rsidR="008321DE" w:rsidRPr="007E6C38">
        <w:rPr>
          <w:rFonts w:ascii="Times New Roman" w:hAnsi="Times New Roman" w:cs="Times New Roman"/>
          <w:sz w:val="24"/>
          <w:szCs w:val="24"/>
        </w:rPr>
        <w:t xml:space="preserve"> de conformidad también con el </w:t>
      </w:r>
      <w:r w:rsidR="00654E83" w:rsidRPr="007E6C38">
        <w:rPr>
          <w:rFonts w:ascii="Times New Roman" w:hAnsi="Times New Roman" w:cs="Times New Roman"/>
          <w:sz w:val="24"/>
          <w:szCs w:val="24"/>
        </w:rPr>
        <w:t>art. 14</w:t>
      </w:r>
      <w:r w:rsidR="008321DE" w:rsidRPr="007E6C38">
        <w:rPr>
          <w:rFonts w:ascii="Times New Roman" w:hAnsi="Times New Roman" w:cs="Times New Roman"/>
          <w:sz w:val="24"/>
          <w:szCs w:val="24"/>
        </w:rPr>
        <w:t>.1 de la D</w:t>
      </w:r>
      <w:r w:rsidRPr="007E6C38">
        <w:rPr>
          <w:rFonts w:ascii="Times New Roman" w:hAnsi="Times New Roman" w:cs="Times New Roman"/>
          <w:sz w:val="24"/>
          <w:szCs w:val="24"/>
        </w:rPr>
        <w:t>irectiva 2014/17/UE</w:t>
      </w:r>
      <w:r w:rsidR="001759BF" w:rsidRPr="007E6C38">
        <w:rPr>
          <w:rFonts w:ascii="Times New Roman" w:hAnsi="Times New Roman" w:cs="Times New Roman"/>
          <w:sz w:val="24"/>
          <w:szCs w:val="24"/>
        </w:rPr>
        <w:t>, el art. 17</w:t>
      </w:r>
      <w:r w:rsidR="004814FD" w:rsidRPr="007E6C38">
        <w:rPr>
          <w:rFonts w:ascii="Times New Roman" w:hAnsi="Times New Roman" w:cs="Times New Roman"/>
          <w:sz w:val="24"/>
          <w:szCs w:val="24"/>
        </w:rPr>
        <w:t>.6 sí permite</w:t>
      </w:r>
      <w:r w:rsidRPr="007E6C38">
        <w:rPr>
          <w:rFonts w:ascii="Times New Roman" w:hAnsi="Times New Roman" w:cs="Times New Roman"/>
          <w:sz w:val="24"/>
          <w:szCs w:val="24"/>
        </w:rPr>
        <w:t xml:space="preserve"> la práctica de ventas combinadas, esto es, toda oferta o venta de un paquete constituido por un contrato de crédito y otros productos o servicios financieros diferenciados, </w:t>
      </w:r>
      <w:r w:rsidRPr="00711ADF">
        <w:rPr>
          <w:rFonts w:ascii="Times New Roman" w:hAnsi="Times New Roman" w:cs="Times New Roman"/>
          <w:color w:val="FF0000"/>
          <w:sz w:val="24"/>
          <w:szCs w:val="24"/>
        </w:rPr>
        <w:t xml:space="preserve">cuando el contrato de crédito se ofrezca también al consumidor por separado, aunque no necesariamente en los mismos términos y condiciones </w:t>
      </w:r>
      <w:r w:rsidRPr="007E6C38">
        <w:rPr>
          <w:rFonts w:ascii="Times New Roman" w:hAnsi="Times New Roman" w:cs="Times New Roman"/>
          <w:sz w:val="24"/>
          <w:szCs w:val="24"/>
        </w:rPr>
        <w:t>que combinado con otros servicios auxiliares</w:t>
      </w:r>
      <w:r w:rsidR="001759BF" w:rsidRPr="007E6C38">
        <w:rPr>
          <w:rFonts w:ascii="Times New Roman" w:hAnsi="Times New Roman" w:cs="Times New Roman"/>
          <w:sz w:val="24"/>
          <w:szCs w:val="24"/>
        </w:rPr>
        <w:t xml:space="preserve"> (art. </w:t>
      </w:r>
      <w:r w:rsidR="00B204A0" w:rsidRPr="007E6C38">
        <w:rPr>
          <w:rFonts w:ascii="Times New Roman" w:hAnsi="Times New Roman" w:cs="Times New Roman"/>
          <w:sz w:val="24"/>
          <w:szCs w:val="24"/>
        </w:rPr>
        <w:t xml:space="preserve">4.27 Directiva </w:t>
      </w:r>
      <w:r w:rsidR="008321DE" w:rsidRPr="007E6C38">
        <w:rPr>
          <w:rFonts w:ascii="Times New Roman" w:hAnsi="Times New Roman" w:cs="Times New Roman"/>
          <w:sz w:val="24"/>
          <w:szCs w:val="24"/>
        </w:rPr>
        <w:t>2014/17</w:t>
      </w:r>
      <w:r w:rsidR="00B204A0" w:rsidRPr="007E6C38">
        <w:rPr>
          <w:rFonts w:ascii="Times New Roman" w:hAnsi="Times New Roman" w:cs="Times New Roman"/>
          <w:sz w:val="24"/>
          <w:szCs w:val="24"/>
        </w:rPr>
        <w:t>/UE</w:t>
      </w:r>
      <w:r w:rsidR="008321DE" w:rsidRPr="007E6C38">
        <w:rPr>
          <w:rFonts w:ascii="Times New Roman" w:hAnsi="Times New Roman" w:cs="Times New Roman"/>
          <w:sz w:val="24"/>
          <w:szCs w:val="24"/>
        </w:rPr>
        <w:t>).</w:t>
      </w:r>
      <w:r w:rsidRPr="007E6C38">
        <w:rPr>
          <w:rFonts w:ascii="Times New Roman" w:hAnsi="Times New Roman" w:cs="Times New Roman"/>
          <w:sz w:val="24"/>
          <w:szCs w:val="24"/>
        </w:rPr>
        <w:t xml:space="preserve"> </w:t>
      </w:r>
    </w:p>
    <w:p w:rsidR="004814FD" w:rsidRPr="007E6C38" w:rsidRDefault="004814F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w:t>
      </w:r>
      <w:r w:rsidR="006275EE" w:rsidRPr="007E6C38">
        <w:rPr>
          <w:rFonts w:ascii="Times New Roman" w:hAnsi="Times New Roman" w:cs="Times New Roman"/>
          <w:sz w:val="24"/>
          <w:szCs w:val="24"/>
        </w:rPr>
        <w:t xml:space="preserve"> el</w:t>
      </w:r>
      <w:r w:rsidRPr="007E6C38">
        <w:rPr>
          <w:rFonts w:ascii="Times New Roman" w:hAnsi="Times New Roman" w:cs="Times New Roman"/>
          <w:sz w:val="24"/>
          <w:szCs w:val="24"/>
        </w:rPr>
        <w:t xml:space="preserve"> caso</w:t>
      </w:r>
      <w:r w:rsidR="006275EE" w:rsidRPr="007E6C38">
        <w:rPr>
          <w:rFonts w:ascii="Times New Roman" w:hAnsi="Times New Roman" w:cs="Times New Roman"/>
          <w:sz w:val="24"/>
          <w:szCs w:val="24"/>
        </w:rPr>
        <w:t xml:space="preserve"> de las </w:t>
      </w:r>
      <w:r w:rsidR="006275EE" w:rsidRPr="00CC5C71">
        <w:rPr>
          <w:rFonts w:ascii="Times New Roman" w:hAnsi="Times New Roman" w:cs="Times New Roman"/>
          <w:color w:val="FF0000"/>
          <w:sz w:val="24"/>
          <w:szCs w:val="24"/>
        </w:rPr>
        <w:t xml:space="preserve">ventas combinadas, </w:t>
      </w:r>
      <w:r w:rsidR="006275EE" w:rsidRPr="007E6C38">
        <w:rPr>
          <w:rFonts w:ascii="Times New Roman" w:hAnsi="Times New Roman" w:cs="Times New Roman"/>
          <w:sz w:val="24"/>
          <w:szCs w:val="24"/>
        </w:rPr>
        <w:t>deviene de capital importancia que el deudor conozca el coste total de la oferta de crédito, esto es del préstamo y de todos los servicios acce</w:t>
      </w:r>
      <w:r w:rsidR="008321DE" w:rsidRPr="007E6C38">
        <w:rPr>
          <w:rFonts w:ascii="Times New Roman" w:hAnsi="Times New Roman" w:cs="Times New Roman"/>
          <w:sz w:val="24"/>
          <w:szCs w:val="24"/>
        </w:rPr>
        <w:t xml:space="preserve">sorios combinados con el mismo, para que pueda comparar la oferta del crédito que se le ofrece en un paquete combinado, con otras ofertas de crédito de la misma u otra entidad que no contengan todos o algunos de estos servicios. </w:t>
      </w:r>
      <w:r w:rsidRPr="007E6C38">
        <w:rPr>
          <w:rFonts w:ascii="Times New Roman" w:hAnsi="Times New Roman" w:cs="Times New Roman"/>
          <w:sz w:val="24"/>
          <w:szCs w:val="24"/>
        </w:rPr>
        <w:t xml:space="preserve">Por ello, en cuanto que </w:t>
      </w:r>
      <w:r w:rsidRPr="00711ADF">
        <w:rPr>
          <w:rFonts w:ascii="Times New Roman" w:hAnsi="Times New Roman" w:cs="Times New Roman"/>
          <w:color w:val="FF0000"/>
          <w:sz w:val="24"/>
          <w:szCs w:val="24"/>
        </w:rPr>
        <w:t>estos servicios accesorios</w:t>
      </w:r>
      <w:r w:rsidRPr="007E6C38">
        <w:rPr>
          <w:rFonts w:ascii="Times New Roman" w:hAnsi="Times New Roman" w:cs="Times New Roman"/>
          <w:sz w:val="24"/>
          <w:szCs w:val="24"/>
        </w:rPr>
        <w:t xml:space="preserve"> son ofrecidos por la propia entidad prestamista y, por lo tanto, conoce su precio, </w:t>
      </w:r>
      <w:r w:rsidRPr="00711ADF">
        <w:rPr>
          <w:rFonts w:ascii="Times New Roman" w:hAnsi="Times New Roman" w:cs="Times New Roman"/>
          <w:color w:val="FF0000"/>
          <w:sz w:val="24"/>
          <w:szCs w:val="24"/>
        </w:rPr>
        <w:t xml:space="preserve">deben integrarse en el cálculo de la TAE y </w:t>
      </w:r>
      <w:r w:rsidR="003E0690" w:rsidRPr="00711ADF">
        <w:rPr>
          <w:rFonts w:ascii="Times New Roman" w:hAnsi="Times New Roman" w:cs="Times New Roman"/>
          <w:color w:val="FF0000"/>
          <w:sz w:val="24"/>
          <w:szCs w:val="24"/>
        </w:rPr>
        <w:t>a</w:t>
      </w:r>
      <w:r w:rsidR="00D07617" w:rsidRPr="00711ADF">
        <w:rPr>
          <w:rFonts w:ascii="Times New Roman" w:hAnsi="Times New Roman" w:cs="Times New Roman"/>
          <w:color w:val="FF0000"/>
          <w:sz w:val="24"/>
          <w:szCs w:val="24"/>
        </w:rPr>
        <w:t>demás en la FEIN, en la Sección 4ª</w:t>
      </w:r>
      <w:r w:rsidRPr="00711ADF">
        <w:rPr>
          <w:rFonts w:ascii="Times New Roman" w:hAnsi="Times New Roman" w:cs="Times New Roman"/>
          <w:color w:val="FF0000"/>
          <w:sz w:val="24"/>
          <w:szCs w:val="24"/>
        </w:rPr>
        <w:t xml:space="preserve">, se ha de especificar el coste concreto de </w:t>
      </w:r>
      <w:r w:rsidR="003E0690" w:rsidRPr="00711ADF">
        <w:rPr>
          <w:rFonts w:ascii="Times New Roman" w:hAnsi="Times New Roman" w:cs="Times New Roman"/>
          <w:color w:val="FF0000"/>
          <w:sz w:val="24"/>
          <w:szCs w:val="24"/>
        </w:rPr>
        <w:t>ca</w:t>
      </w:r>
      <w:r w:rsidR="00D07617" w:rsidRPr="00711ADF">
        <w:rPr>
          <w:rFonts w:ascii="Times New Roman" w:hAnsi="Times New Roman" w:cs="Times New Roman"/>
          <w:color w:val="FF0000"/>
          <w:sz w:val="24"/>
          <w:szCs w:val="24"/>
        </w:rPr>
        <w:t>da servicio y, en la Sección 8ª</w:t>
      </w:r>
      <w:r w:rsidR="003E0690" w:rsidRPr="007E6C38">
        <w:rPr>
          <w:rFonts w:ascii="Times New Roman" w:hAnsi="Times New Roman" w:cs="Times New Roman"/>
          <w:sz w:val="24"/>
          <w:szCs w:val="24"/>
        </w:rPr>
        <w:t>,</w:t>
      </w:r>
      <w:r w:rsidRPr="007E6C38">
        <w:rPr>
          <w:rFonts w:ascii="Times New Roman" w:hAnsi="Times New Roman" w:cs="Times New Roman"/>
          <w:sz w:val="24"/>
          <w:szCs w:val="24"/>
        </w:rPr>
        <w:t xml:space="preserve"> se ha de concretar los servicios accesorios a cuya contratación se condiciona la oferta y las consecuencias que puede tener la rescisión con posterioridad de cualquiera de los servicios conexos.</w:t>
      </w:r>
    </w:p>
    <w:p w:rsidR="004814FD" w:rsidRPr="007E6C38" w:rsidRDefault="004814FD"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A esta información </w:t>
      </w:r>
      <w:r w:rsidR="003E0690" w:rsidRPr="007E6C38">
        <w:rPr>
          <w:rFonts w:ascii="Times New Roman" w:hAnsi="Times New Roman" w:cs="Times New Roman"/>
          <w:sz w:val="24"/>
          <w:szCs w:val="24"/>
        </w:rPr>
        <w:t xml:space="preserve">contenida en la FEIN, el art. </w:t>
      </w:r>
      <w:r w:rsidR="003E0690" w:rsidRPr="00711ADF">
        <w:rPr>
          <w:rFonts w:ascii="Times New Roman" w:hAnsi="Times New Roman" w:cs="Times New Roman"/>
          <w:color w:val="FF0000"/>
          <w:sz w:val="24"/>
          <w:szCs w:val="24"/>
        </w:rPr>
        <w:t>17</w:t>
      </w:r>
      <w:r w:rsidRPr="00711ADF">
        <w:rPr>
          <w:rFonts w:ascii="Times New Roman" w:hAnsi="Times New Roman" w:cs="Times New Roman"/>
          <w:color w:val="FF0000"/>
          <w:sz w:val="24"/>
          <w:szCs w:val="24"/>
        </w:rPr>
        <w:t>.7 LCCI añade otras exigencias</w:t>
      </w:r>
      <w:r w:rsidR="003E0690" w:rsidRPr="00711ADF">
        <w:rPr>
          <w:rFonts w:ascii="Times New Roman" w:hAnsi="Times New Roman" w:cs="Times New Roman"/>
          <w:color w:val="FF0000"/>
          <w:sz w:val="24"/>
          <w:szCs w:val="24"/>
        </w:rPr>
        <w:t>, como que</w:t>
      </w:r>
      <w:r w:rsidRPr="00711ADF">
        <w:rPr>
          <w:rFonts w:ascii="Times New Roman" w:hAnsi="Times New Roman" w:cs="Times New Roman"/>
          <w:color w:val="FF0000"/>
          <w:sz w:val="24"/>
          <w:szCs w:val="24"/>
        </w:rPr>
        <w:t xml:space="preserve"> el prestamista deber realizar una oferta de los productos de forma combinada y por separado, de modo que el prestatario pueda advertir las diferencias entre una oferta y otra</w:t>
      </w:r>
      <w:r w:rsidRPr="007E6C38">
        <w:rPr>
          <w:rFonts w:ascii="Times New Roman" w:hAnsi="Times New Roman" w:cs="Times New Roman"/>
          <w:sz w:val="24"/>
          <w:szCs w:val="24"/>
        </w:rPr>
        <w:t>.</w:t>
      </w:r>
      <w:r w:rsidR="00C212BE" w:rsidRPr="007E6C38">
        <w:rPr>
          <w:rFonts w:ascii="Times New Roman" w:hAnsi="Times New Roman" w:cs="Times New Roman"/>
          <w:sz w:val="24"/>
          <w:szCs w:val="24"/>
        </w:rPr>
        <w:t xml:space="preserve"> No aclara sin embargo este precepto si la presentación de las ofertas de crédito combinado y separad</w:t>
      </w:r>
      <w:r w:rsidR="00156236" w:rsidRPr="007E6C38">
        <w:rPr>
          <w:rFonts w:ascii="Times New Roman" w:hAnsi="Times New Roman" w:cs="Times New Roman"/>
          <w:sz w:val="24"/>
          <w:szCs w:val="24"/>
        </w:rPr>
        <w:t>o</w:t>
      </w:r>
      <w:r w:rsidR="00C212BE" w:rsidRPr="007E6C38">
        <w:rPr>
          <w:rFonts w:ascii="Times New Roman" w:hAnsi="Times New Roman" w:cs="Times New Roman"/>
          <w:sz w:val="24"/>
          <w:szCs w:val="24"/>
        </w:rPr>
        <w:t xml:space="preserve"> debe hacerse a través</w:t>
      </w:r>
      <w:r w:rsidR="00E446E0" w:rsidRPr="007E6C38">
        <w:rPr>
          <w:rFonts w:ascii="Times New Roman" w:hAnsi="Times New Roman" w:cs="Times New Roman"/>
          <w:sz w:val="24"/>
          <w:szCs w:val="24"/>
        </w:rPr>
        <w:t xml:space="preserve"> de la entrega de sendas </w:t>
      </w:r>
      <w:proofErr w:type="spellStart"/>
      <w:r w:rsidR="00E446E0" w:rsidRPr="007E6C38">
        <w:rPr>
          <w:rFonts w:ascii="Times New Roman" w:hAnsi="Times New Roman" w:cs="Times New Roman"/>
          <w:sz w:val="24"/>
          <w:szCs w:val="24"/>
        </w:rPr>
        <w:t>FEINs</w:t>
      </w:r>
      <w:proofErr w:type="spellEnd"/>
      <w:r w:rsidR="00E446E0" w:rsidRPr="007E6C38">
        <w:rPr>
          <w:rFonts w:ascii="Times New Roman" w:hAnsi="Times New Roman" w:cs="Times New Roman"/>
          <w:sz w:val="24"/>
          <w:szCs w:val="24"/>
        </w:rPr>
        <w:t xml:space="preserve"> -</w:t>
      </w:r>
      <w:r w:rsidR="00C212BE" w:rsidRPr="007E6C38">
        <w:rPr>
          <w:rFonts w:ascii="Times New Roman" w:hAnsi="Times New Roman" w:cs="Times New Roman"/>
          <w:sz w:val="24"/>
          <w:szCs w:val="24"/>
        </w:rPr>
        <w:t>o de una sola en la que se contengan las dos alternativas- o si basta al respecto con la facilitación de la información gener</w:t>
      </w:r>
      <w:r w:rsidR="00B66DB6" w:rsidRPr="007E6C38">
        <w:rPr>
          <w:rFonts w:ascii="Times New Roman" w:hAnsi="Times New Roman" w:cs="Times New Roman"/>
          <w:sz w:val="24"/>
          <w:szCs w:val="24"/>
        </w:rPr>
        <w:t>al a la que se refiere el art. 9</w:t>
      </w:r>
      <w:r w:rsidR="00C212BE" w:rsidRPr="007E6C38">
        <w:rPr>
          <w:rFonts w:ascii="Times New Roman" w:hAnsi="Times New Roman" w:cs="Times New Roman"/>
          <w:sz w:val="24"/>
          <w:szCs w:val="24"/>
        </w:rPr>
        <w:t xml:space="preserve"> LCCI sobre las dos ofertas. Una correcta comparación de las dos ofertas requiere no sólo conocer cuáles son los servicios accesorios a los que está condicionada la oferta combinada (</w:t>
      </w:r>
      <w:r w:rsidR="00B66DB6" w:rsidRPr="007E6C38">
        <w:rPr>
          <w:rFonts w:ascii="Times New Roman" w:hAnsi="Times New Roman" w:cs="Times New Roman"/>
          <w:sz w:val="24"/>
          <w:szCs w:val="24"/>
        </w:rPr>
        <w:t>que es lo que se debe incluir en la información general, según el apartado m) del art. 9</w:t>
      </w:r>
      <w:r w:rsidR="00C212BE" w:rsidRPr="007E6C38">
        <w:rPr>
          <w:rFonts w:ascii="Times New Roman" w:hAnsi="Times New Roman" w:cs="Times New Roman"/>
          <w:sz w:val="24"/>
          <w:szCs w:val="24"/>
        </w:rPr>
        <w:t xml:space="preserve"> LCCI), sino información sobre el coste de cada uno de los servicios</w:t>
      </w:r>
      <w:r w:rsidR="00156236" w:rsidRPr="007E6C38">
        <w:rPr>
          <w:rFonts w:ascii="Times New Roman" w:hAnsi="Times New Roman" w:cs="Times New Roman"/>
          <w:sz w:val="24"/>
          <w:szCs w:val="24"/>
        </w:rPr>
        <w:t xml:space="preserve"> combinados</w:t>
      </w:r>
      <w:r w:rsidR="00C212BE" w:rsidRPr="007E6C38">
        <w:rPr>
          <w:rFonts w:ascii="Times New Roman" w:hAnsi="Times New Roman" w:cs="Times New Roman"/>
          <w:sz w:val="24"/>
          <w:szCs w:val="24"/>
        </w:rPr>
        <w:t>, información que sólo ofrece la FEIN.</w:t>
      </w:r>
    </w:p>
    <w:p w:rsidR="00C212BE" w:rsidRPr="007E6C38" w:rsidRDefault="00B66DB6"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Además, el mismo art. 17</w:t>
      </w:r>
      <w:r w:rsidR="00C212BE" w:rsidRPr="007E6C38">
        <w:rPr>
          <w:rFonts w:ascii="Times New Roman" w:hAnsi="Times New Roman" w:cs="Times New Roman"/>
          <w:sz w:val="24"/>
          <w:szCs w:val="24"/>
        </w:rPr>
        <w:t>.7 LCCI</w:t>
      </w:r>
      <w:r w:rsidR="008321DE" w:rsidRPr="007E6C38">
        <w:rPr>
          <w:rFonts w:ascii="Times New Roman" w:hAnsi="Times New Roman" w:cs="Times New Roman"/>
          <w:sz w:val="24"/>
          <w:szCs w:val="24"/>
        </w:rPr>
        <w:t xml:space="preserve">, antes de la contratación de un producto </w:t>
      </w:r>
      <w:r w:rsidR="00C212BE" w:rsidRPr="007E6C38">
        <w:rPr>
          <w:rFonts w:ascii="Times New Roman" w:hAnsi="Times New Roman" w:cs="Times New Roman"/>
          <w:sz w:val="24"/>
          <w:szCs w:val="24"/>
        </w:rPr>
        <w:t>combinado exige al prestamista informar</w:t>
      </w:r>
      <w:r w:rsidR="008321DE" w:rsidRPr="007E6C38">
        <w:rPr>
          <w:rFonts w:ascii="Times New Roman" w:hAnsi="Times New Roman" w:cs="Times New Roman"/>
          <w:sz w:val="24"/>
          <w:szCs w:val="24"/>
        </w:rPr>
        <w:t xml:space="preserve"> al prestatario de manera expresa y comprensible</w:t>
      </w:r>
      <w:r w:rsidR="00C212BE" w:rsidRPr="007E6C38">
        <w:rPr>
          <w:rFonts w:ascii="Times New Roman" w:hAnsi="Times New Roman" w:cs="Times New Roman"/>
          <w:sz w:val="24"/>
          <w:szCs w:val="24"/>
        </w:rPr>
        <w:t xml:space="preserve"> sobre</w:t>
      </w:r>
      <w:r w:rsidR="008321DE" w:rsidRPr="007E6C38">
        <w:rPr>
          <w:rFonts w:ascii="Times New Roman" w:hAnsi="Times New Roman" w:cs="Times New Roman"/>
          <w:sz w:val="24"/>
          <w:szCs w:val="24"/>
        </w:rPr>
        <w:t xml:space="preserve">: </w:t>
      </w:r>
      <w:r w:rsidR="001759BF" w:rsidRPr="007E6C38">
        <w:rPr>
          <w:rFonts w:ascii="Times New Roman" w:hAnsi="Times New Roman" w:cs="Times New Roman"/>
          <w:sz w:val="24"/>
          <w:szCs w:val="24"/>
        </w:rPr>
        <w:t xml:space="preserve"> -</w:t>
      </w:r>
      <w:r w:rsidR="008321DE" w:rsidRPr="007E6C38">
        <w:rPr>
          <w:rFonts w:ascii="Times New Roman" w:hAnsi="Times New Roman" w:cs="Times New Roman"/>
          <w:sz w:val="24"/>
          <w:szCs w:val="24"/>
        </w:rPr>
        <w:t>a) que se está co</w:t>
      </w:r>
      <w:r w:rsidR="001759BF" w:rsidRPr="007E6C38">
        <w:rPr>
          <w:rFonts w:ascii="Times New Roman" w:hAnsi="Times New Roman" w:cs="Times New Roman"/>
          <w:sz w:val="24"/>
          <w:szCs w:val="24"/>
        </w:rPr>
        <w:t>ntratando un producto combinado; -</w:t>
      </w:r>
      <w:r w:rsidR="008321DE" w:rsidRPr="007E6C38">
        <w:rPr>
          <w:rFonts w:ascii="Times New Roman" w:hAnsi="Times New Roman" w:cs="Times New Roman"/>
          <w:sz w:val="24"/>
          <w:szCs w:val="24"/>
        </w:rPr>
        <w:t xml:space="preserve"> b) </w:t>
      </w:r>
      <w:r w:rsidR="008321DE" w:rsidRPr="00711ADF">
        <w:rPr>
          <w:rFonts w:ascii="Times New Roman" w:hAnsi="Times New Roman" w:cs="Times New Roman"/>
          <w:color w:val="FF0000"/>
          <w:sz w:val="24"/>
          <w:szCs w:val="24"/>
        </w:rPr>
        <w:t>del beneficio y riesgos de pérdida, especialmente en los productos de inversión, que supone para el prestatario su contratación, incluyendo</w:t>
      </w:r>
      <w:r w:rsidR="001759BF" w:rsidRPr="00711ADF">
        <w:rPr>
          <w:rFonts w:ascii="Times New Roman" w:hAnsi="Times New Roman" w:cs="Times New Roman"/>
          <w:color w:val="FF0000"/>
          <w:sz w:val="24"/>
          <w:szCs w:val="24"/>
        </w:rPr>
        <w:t xml:space="preserve"> escenarios simulados</w:t>
      </w:r>
      <w:r w:rsidR="001759BF" w:rsidRPr="007E6C38">
        <w:rPr>
          <w:rFonts w:ascii="Times New Roman" w:hAnsi="Times New Roman" w:cs="Times New Roman"/>
          <w:sz w:val="24"/>
          <w:szCs w:val="24"/>
        </w:rPr>
        <w:t>; -</w:t>
      </w:r>
      <w:r w:rsidR="008321DE" w:rsidRPr="007E6C38">
        <w:rPr>
          <w:rFonts w:ascii="Times New Roman" w:hAnsi="Times New Roman" w:cs="Times New Roman"/>
          <w:sz w:val="24"/>
          <w:szCs w:val="24"/>
        </w:rPr>
        <w:t xml:space="preserve"> c) de la parte del coste total que corresponde a ca</w:t>
      </w:r>
      <w:r w:rsidR="001759BF" w:rsidRPr="007E6C38">
        <w:rPr>
          <w:rFonts w:ascii="Times New Roman" w:hAnsi="Times New Roman" w:cs="Times New Roman"/>
          <w:sz w:val="24"/>
          <w:szCs w:val="24"/>
        </w:rPr>
        <w:t xml:space="preserve">da uno de productos o servicios; </w:t>
      </w:r>
      <w:r w:rsidR="008321DE" w:rsidRPr="007E6C38">
        <w:rPr>
          <w:rFonts w:ascii="Times New Roman" w:hAnsi="Times New Roman" w:cs="Times New Roman"/>
          <w:sz w:val="24"/>
          <w:szCs w:val="24"/>
        </w:rPr>
        <w:t>d) de los efectos que la no contratación individual o la cancelación anticipada del préstamo o cualquiera de los productos combinados produciría sobre el coste conjunto del préstamo y el resto de los productos o servicios combinados y</w:t>
      </w:r>
      <w:r w:rsidR="001759BF" w:rsidRPr="007E6C38">
        <w:rPr>
          <w:rFonts w:ascii="Times New Roman" w:hAnsi="Times New Roman" w:cs="Times New Roman"/>
          <w:sz w:val="24"/>
          <w:szCs w:val="24"/>
        </w:rPr>
        <w:t>; -</w:t>
      </w:r>
      <w:r w:rsidR="008321DE" w:rsidRPr="007E6C38">
        <w:rPr>
          <w:rFonts w:ascii="Times New Roman" w:hAnsi="Times New Roman" w:cs="Times New Roman"/>
          <w:sz w:val="24"/>
          <w:szCs w:val="24"/>
        </w:rPr>
        <w:t xml:space="preserve"> e) de las diferencias entre la oferta combinada y la oferta de los productos por separado</w:t>
      </w:r>
      <w:r w:rsidR="00E21101" w:rsidRPr="007E6C38">
        <w:rPr>
          <w:rFonts w:ascii="Times New Roman" w:hAnsi="Times New Roman" w:cs="Times New Roman"/>
          <w:sz w:val="24"/>
          <w:szCs w:val="24"/>
        </w:rPr>
        <w:t xml:space="preserve">. </w:t>
      </w:r>
    </w:p>
    <w:p w:rsidR="00156236" w:rsidRPr="007E6C38" w:rsidRDefault="00C212BE"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Esta información, en sus apartados a), c</w:t>
      </w:r>
      <w:r w:rsidR="00D07617" w:rsidRPr="007E6C38">
        <w:rPr>
          <w:rFonts w:ascii="Times New Roman" w:hAnsi="Times New Roman" w:cs="Times New Roman"/>
          <w:sz w:val="24"/>
          <w:szCs w:val="24"/>
        </w:rPr>
        <w:t>),</w:t>
      </w:r>
      <w:r w:rsidR="00B66DB6" w:rsidRPr="007E6C38">
        <w:rPr>
          <w:rFonts w:ascii="Times New Roman" w:hAnsi="Times New Roman" w:cs="Times New Roman"/>
          <w:sz w:val="24"/>
          <w:szCs w:val="24"/>
        </w:rPr>
        <w:t xml:space="preserve"> d)</w:t>
      </w:r>
      <w:r w:rsidR="00D07617" w:rsidRPr="007E6C38">
        <w:rPr>
          <w:rFonts w:ascii="Times New Roman" w:hAnsi="Times New Roman" w:cs="Times New Roman"/>
          <w:sz w:val="24"/>
          <w:szCs w:val="24"/>
        </w:rPr>
        <w:t xml:space="preserve"> y e)</w:t>
      </w:r>
      <w:r w:rsidR="00B66DB6" w:rsidRPr="007E6C38">
        <w:rPr>
          <w:rFonts w:ascii="Times New Roman" w:hAnsi="Times New Roman" w:cs="Times New Roman"/>
          <w:sz w:val="24"/>
          <w:szCs w:val="24"/>
        </w:rPr>
        <w:t xml:space="preserve"> aparece recogida en las secciones</w:t>
      </w:r>
      <w:r w:rsidRPr="007E6C38">
        <w:rPr>
          <w:rFonts w:ascii="Times New Roman" w:hAnsi="Times New Roman" w:cs="Times New Roman"/>
          <w:sz w:val="24"/>
          <w:szCs w:val="24"/>
        </w:rPr>
        <w:t xml:space="preserve"> 4ª y 8ª de la FEIN</w:t>
      </w:r>
      <w:r w:rsidR="00B66DB6" w:rsidRPr="007E6C38">
        <w:rPr>
          <w:rFonts w:ascii="Times New Roman" w:hAnsi="Times New Roman" w:cs="Times New Roman"/>
          <w:sz w:val="24"/>
          <w:szCs w:val="24"/>
        </w:rPr>
        <w:t xml:space="preserve"> </w:t>
      </w:r>
      <w:r w:rsidRPr="007E6C38">
        <w:rPr>
          <w:rFonts w:ascii="Times New Roman" w:hAnsi="Times New Roman" w:cs="Times New Roman"/>
          <w:sz w:val="24"/>
          <w:szCs w:val="24"/>
        </w:rPr>
        <w:t xml:space="preserve">y, </w:t>
      </w:r>
      <w:r w:rsidRPr="00711ADF">
        <w:rPr>
          <w:rFonts w:ascii="Times New Roman" w:hAnsi="Times New Roman" w:cs="Times New Roman"/>
          <w:color w:val="FF0000"/>
          <w:sz w:val="24"/>
          <w:szCs w:val="24"/>
        </w:rPr>
        <w:t>respecto a la información de los riesgos asociados a los productos de inversión combinados (apartado b), como ya se ha dicho, el lugar adecuado</w:t>
      </w:r>
      <w:r w:rsidR="00D07617" w:rsidRPr="00711ADF">
        <w:rPr>
          <w:rFonts w:ascii="Times New Roman" w:hAnsi="Times New Roman" w:cs="Times New Roman"/>
          <w:color w:val="FF0000"/>
          <w:sz w:val="24"/>
          <w:szCs w:val="24"/>
        </w:rPr>
        <w:t xml:space="preserve"> para incluirla</w:t>
      </w:r>
      <w:r w:rsidRPr="00711ADF">
        <w:rPr>
          <w:rFonts w:ascii="Times New Roman" w:hAnsi="Times New Roman" w:cs="Times New Roman"/>
          <w:color w:val="FF0000"/>
          <w:sz w:val="24"/>
          <w:szCs w:val="24"/>
        </w:rPr>
        <w:t xml:space="preserve"> es la </w:t>
      </w:r>
      <w:proofErr w:type="spellStart"/>
      <w:r w:rsidRPr="00711ADF">
        <w:rPr>
          <w:rFonts w:ascii="Times New Roman" w:hAnsi="Times New Roman" w:cs="Times New Roman"/>
          <w:color w:val="FF0000"/>
          <w:sz w:val="24"/>
          <w:szCs w:val="24"/>
        </w:rPr>
        <w:t>FiAE</w:t>
      </w:r>
      <w:proofErr w:type="spellEnd"/>
      <w:r w:rsidRPr="007E6C38">
        <w:rPr>
          <w:rFonts w:ascii="Times New Roman" w:hAnsi="Times New Roman" w:cs="Times New Roman"/>
          <w:sz w:val="24"/>
          <w:szCs w:val="24"/>
        </w:rPr>
        <w:t>. La imprecisión del leg</w:t>
      </w:r>
      <w:r w:rsidR="00F348FD" w:rsidRPr="007E6C38">
        <w:rPr>
          <w:rFonts w:ascii="Times New Roman" w:hAnsi="Times New Roman" w:cs="Times New Roman"/>
          <w:sz w:val="24"/>
          <w:szCs w:val="24"/>
        </w:rPr>
        <w:t>islador, al sobreponer</w:t>
      </w:r>
      <w:r w:rsidRPr="007E6C38">
        <w:rPr>
          <w:rFonts w:ascii="Times New Roman" w:hAnsi="Times New Roman" w:cs="Times New Roman"/>
          <w:sz w:val="24"/>
          <w:szCs w:val="24"/>
        </w:rPr>
        <w:t xml:space="preserve"> obligaciones de información redundantes sobre otras ya existentes, genera la duda acerca de si está requiriendo</w:t>
      </w:r>
      <w:r w:rsidR="00B66DB6" w:rsidRPr="007E6C38">
        <w:rPr>
          <w:rFonts w:ascii="Times New Roman" w:hAnsi="Times New Roman" w:cs="Times New Roman"/>
          <w:sz w:val="24"/>
          <w:szCs w:val="24"/>
        </w:rPr>
        <w:t xml:space="preserve"> en el art. 17</w:t>
      </w:r>
      <w:r w:rsidR="00B204A0" w:rsidRPr="007E6C38">
        <w:rPr>
          <w:rFonts w:ascii="Times New Roman" w:hAnsi="Times New Roman" w:cs="Times New Roman"/>
          <w:sz w:val="24"/>
          <w:szCs w:val="24"/>
        </w:rPr>
        <w:t>.7 LCCI</w:t>
      </w:r>
      <w:r w:rsidRPr="007E6C38">
        <w:rPr>
          <w:rFonts w:ascii="Times New Roman" w:hAnsi="Times New Roman" w:cs="Times New Roman"/>
          <w:sz w:val="24"/>
          <w:szCs w:val="24"/>
        </w:rPr>
        <w:t xml:space="preserve"> la entrega de una documentación expresa adiciona</w:t>
      </w:r>
      <w:r w:rsidR="00B204A0" w:rsidRPr="007E6C38">
        <w:rPr>
          <w:rFonts w:ascii="Times New Roman" w:hAnsi="Times New Roman" w:cs="Times New Roman"/>
          <w:sz w:val="24"/>
          <w:szCs w:val="24"/>
        </w:rPr>
        <w:t>l</w:t>
      </w:r>
      <w:r w:rsidR="001759BF" w:rsidRPr="007E6C38">
        <w:rPr>
          <w:rFonts w:ascii="Times New Roman" w:hAnsi="Times New Roman" w:cs="Times New Roman"/>
          <w:sz w:val="24"/>
          <w:szCs w:val="24"/>
        </w:rPr>
        <w:t xml:space="preserve"> a la ya prevista en el</w:t>
      </w:r>
      <w:r w:rsidRPr="007E6C38">
        <w:rPr>
          <w:rFonts w:ascii="Times New Roman" w:hAnsi="Times New Roman" w:cs="Times New Roman"/>
          <w:sz w:val="24"/>
          <w:szCs w:val="24"/>
        </w:rPr>
        <w:t xml:space="preserve"> </w:t>
      </w:r>
      <w:r w:rsidR="00654E83" w:rsidRPr="007E6C38">
        <w:rPr>
          <w:rFonts w:ascii="Times New Roman" w:hAnsi="Times New Roman" w:cs="Times New Roman"/>
          <w:sz w:val="24"/>
          <w:szCs w:val="24"/>
        </w:rPr>
        <w:t>art. 14</w:t>
      </w:r>
      <w:r w:rsidR="00E446E0" w:rsidRPr="007E6C38">
        <w:rPr>
          <w:rFonts w:ascii="Times New Roman" w:hAnsi="Times New Roman" w:cs="Times New Roman"/>
          <w:sz w:val="24"/>
          <w:szCs w:val="24"/>
        </w:rPr>
        <w:t>.1</w:t>
      </w:r>
      <w:r w:rsidRPr="007E6C38">
        <w:rPr>
          <w:rFonts w:ascii="Times New Roman" w:hAnsi="Times New Roman" w:cs="Times New Roman"/>
          <w:sz w:val="24"/>
          <w:szCs w:val="24"/>
        </w:rPr>
        <w:t xml:space="preserve"> LCCI o si simplemente basta que en dichos documentos</w:t>
      </w:r>
      <w:r w:rsidR="00B204A0" w:rsidRPr="007E6C38">
        <w:rPr>
          <w:rFonts w:ascii="Times New Roman" w:hAnsi="Times New Roman" w:cs="Times New Roman"/>
          <w:sz w:val="24"/>
          <w:szCs w:val="24"/>
        </w:rPr>
        <w:t xml:space="preserve"> (FEIN y </w:t>
      </w:r>
      <w:proofErr w:type="spellStart"/>
      <w:r w:rsidR="00B204A0" w:rsidRPr="007E6C38">
        <w:rPr>
          <w:rFonts w:ascii="Times New Roman" w:hAnsi="Times New Roman" w:cs="Times New Roman"/>
          <w:sz w:val="24"/>
          <w:szCs w:val="24"/>
        </w:rPr>
        <w:t>FiAE</w:t>
      </w:r>
      <w:proofErr w:type="spellEnd"/>
      <w:r w:rsidR="00B204A0" w:rsidRPr="007E6C38">
        <w:rPr>
          <w:rFonts w:ascii="Times New Roman" w:hAnsi="Times New Roman" w:cs="Times New Roman"/>
          <w:sz w:val="24"/>
          <w:szCs w:val="24"/>
        </w:rPr>
        <w:t>, según corresponda)</w:t>
      </w:r>
      <w:r w:rsidRPr="007E6C38">
        <w:rPr>
          <w:rFonts w:ascii="Times New Roman" w:hAnsi="Times New Roman" w:cs="Times New Roman"/>
          <w:sz w:val="24"/>
          <w:szCs w:val="24"/>
        </w:rPr>
        <w:t xml:space="preserve"> conste esta información de manera clara y expresa.</w:t>
      </w:r>
      <w:r w:rsidR="00E446E0" w:rsidRPr="007E6C38">
        <w:rPr>
          <w:rFonts w:ascii="Times New Roman" w:hAnsi="Times New Roman" w:cs="Times New Roman"/>
          <w:sz w:val="24"/>
          <w:szCs w:val="24"/>
        </w:rPr>
        <w:t xml:space="preserve"> </w:t>
      </w:r>
    </w:p>
    <w:p w:rsidR="002D72AE" w:rsidRPr="007E6C38" w:rsidRDefault="002D72AE" w:rsidP="00F60A8E">
      <w:pPr>
        <w:spacing w:before="120" w:after="120" w:line="360" w:lineRule="auto"/>
        <w:jc w:val="both"/>
        <w:rPr>
          <w:rFonts w:ascii="Times New Roman" w:hAnsi="Times New Roman" w:cs="Times New Roman"/>
          <w:sz w:val="24"/>
          <w:szCs w:val="24"/>
        </w:rPr>
      </w:pPr>
    </w:p>
    <w:p w:rsidR="00EE3FAF" w:rsidRPr="007E6C38" w:rsidRDefault="00D07617"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EE3FAF" w:rsidRPr="007E6C38">
        <w:rPr>
          <w:rFonts w:ascii="Times New Roman" w:hAnsi="Times New Roman" w:cs="Times New Roman"/>
          <w:b/>
          <w:sz w:val="24"/>
          <w:szCs w:val="24"/>
        </w:rPr>
        <w:t xml:space="preserve">.5. Información sobre </w:t>
      </w:r>
      <w:r w:rsidR="002B2F90" w:rsidRPr="007E6C38">
        <w:rPr>
          <w:rFonts w:ascii="Times New Roman" w:hAnsi="Times New Roman" w:cs="Times New Roman"/>
          <w:b/>
          <w:sz w:val="24"/>
          <w:szCs w:val="24"/>
        </w:rPr>
        <w:t xml:space="preserve">los </w:t>
      </w:r>
      <w:r w:rsidR="00EE3FAF" w:rsidRPr="007E6C38">
        <w:rPr>
          <w:rFonts w:ascii="Times New Roman" w:hAnsi="Times New Roman" w:cs="Times New Roman"/>
          <w:b/>
          <w:sz w:val="24"/>
          <w:szCs w:val="24"/>
        </w:rPr>
        <w:t>gastos</w:t>
      </w:r>
      <w:r w:rsidR="00156236" w:rsidRPr="007E6C38">
        <w:rPr>
          <w:rFonts w:ascii="Times New Roman" w:hAnsi="Times New Roman" w:cs="Times New Roman"/>
          <w:b/>
          <w:sz w:val="24"/>
          <w:szCs w:val="24"/>
        </w:rPr>
        <w:t xml:space="preserve"> del préstamo</w:t>
      </w:r>
    </w:p>
    <w:p w:rsidR="003A4D1F" w:rsidRPr="007E6C38" w:rsidRDefault="005D76A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La directiva 2014/17/UE, </w:t>
      </w:r>
      <w:r w:rsidR="00156236" w:rsidRPr="007E6C38">
        <w:rPr>
          <w:rFonts w:ascii="Times New Roman" w:hAnsi="Times New Roman" w:cs="Times New Roman"/>
          <w:sz w:val="24"/>
          <w:szCs w:val="24"/>
        </w:rPr>
        <w:t xml:space="preserve">conforme a su propósito que es el de contribuir a un mercado interior más transparente del crédito hipotecario, contempla la imputación de estos gastos al prestatario desde la perspectiva de la información precontractual. Así, </w:t>
      </w:r>
      <w:r w:rsidR="003A4D1F" w:rsidRPr="007E6C38">
        <w:rPr>
          <w:rFonts w:ascii="Times New Roman" w:hAnsi="Times New Roman" w:cs="Times New Roman"/>
          <w:sz w:val="24"/>
          <w:szCs w:val="24"/>
        </w:rPr>
        <w:t>si los gastos que son</w:t>
      </w:r>
      <w:r w:rsidR="00B204A0" w:rsidRPr="007E6C38">
        <w:rPr>
          <w:rFonts w:ascii="Times New Roman" w:hAnsi="Times New Roman" w:cs="Times New Roman"/>
          <w:sz w:val="24"/>
          <w:szCs w:val="24"/>
        </w:rPr>
        <w:t xml:space="preserve"> asumidos por el prestatario resultan</w:t>
      </w:r>
      <w:r w:rsidR="003A4D1F" w:rsidRPr="007E6C38">
        <w:rPr>
          <w:rFonts w:ascii="Times New Roman" w:hAnsi="Times New Roman" w:cs="Times New Roman"/>
          <w:sz w:val="24"/>
          <w:szCs w:val="24"/>
        </w:rPr>
        <w:t xml:space="preserve"> conocido</w:t>
      </w:r>
      <w:r w:rsidR="00D07617" w:rsidRPr="007E6C38">
        <w:rPr>
          <w:rFonts w:ascii="Times New Roman" w:hAnsi="Times New Roman" w:cs="Times New Roman"/>
          <w:sz w:val="24"/>
          <w:szCs w:val="24"/>
        </w:rPr>
        <w:t>s por el prestamista se deben incluir</w:t>
      </w:r>
      <w:r w:rsidR="003A4D1F" w:rsidRPr="007E6C38">
        <w:rPr>
          <w:rFonts w:ascii="Times New Roman" w:hAnsi="Times New Roman" w:cs="Times New Roman"/>
          <w:sz w:val="24"/>
          <w:szCs w:val="24"/>
        </w:rPr>
        <w:t xml:space="preserve"> en el cálculo de la TAE (exclusión hecha de los gastos notariales de constitución del préstamo</w:t>
      </w:r>
      <w:r w:rsidR="00B204A0" w:rsidRPr="007E6C38">
        <w:rPr>
          <w:rFonts w:ascii="Times New Roman" w:hAnsi="Times New Roman" w:cs="Times New Roman"/>
          <w:sz w:val="24"/>
          <w:szCs w:val="24"/>
        </w:rPr>
        <w:t>,</w:t>
      </w:r>
      <w:r w:rsidR="003A4D1F" w:rsidRPr="007E6C38">
        <w:rPr>
          <w:rFonts w:ascii="Times New Roman" w:hAnsi="Times New Roman" w:cs="Times New Roman"/>
          <w:sz w:val="24"/>
          <w:szCs w:val="24"/>
        </w:rPr>
        <w:t xml:space="preserve"> como expresamente señala el art. 3, letra g), de la Directiva 2008/48/CE, al que remite el apartado 13 del art. 4 de la directiva 2014/17/UE) y se han de mencionar en la Sección 4ª de la FEIN como componentes de la TAE. </w:t>
      </w:r>
    </w:p>
    <w:p w:rsidR="00156236" w:rsidRPr="007E6C38" w:rsidRDefault="003A4D1F"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Aunque l</w:t>
      </w:r>
      <w:r w:rsidR="00B204A0" w:rsidRPr="007E6C38">
        <w:rPr>
          <w:rFonts w:ascii="Times New Roman" w:hAnsi="Times New Roman" w:cs="Times New Roman"/>
          <w:sz w:val="24"/>
          <w:szCs w:val="24"/>
        </w:rPr>
        <w:t>a Directiva 2014/17/UE mencione</w:t>
      </w:r>
      <w:r w:rsidRPr="007E6C38">
        <w:rPr>
          <w:rFonts w:ascii="Times New Roman" w:hAnsi="Times New Roman" w:cs="Times New Roman"/>
          <w:sz w:val="24"/>
          <w:szCs w:val="24"/>
        </w:rPr>
        <w:t xml:space="preserve"> expresamente algunos gastos como incluidos en el coste total del crédito, como los gastos de tasación</w:t>
      </w:r>
      <w:r w:rsidR="0030251B" w:rsidRPr="007E6C38">
        <w:rPr>
          <w:rFonts w:ascii="Times New Roman" w:hAnsi="Times New Roman" w:cs="Times New Roman"/>
          <w:sz w:val="24"/>
          <w:szCs w:val="24"/>
        </w:rPr>
        <w:t xml:space="preserve"> del inmueble</w:t>
      </w:r>
      <w:r w:rsidRPr="007E6C38">
        <w:rPr>
          <w:rFonts w:ascii="Times New Roman" w:hAnsi="Times New Roman" w:cs="Times New Roman"/>
          <w:sz w:val="24"/>
          <w:szCs w:val="24"/>
        </w:rPr>
        <w:t xml:space="preserve"> (art. 4. Apartado 13 de la directiva 2014/17/UE</w:t>
      </w:r>
      <w:r w:rsidR="0031180C" w:rsidRPr="007E6C38">
        <w:rPr>
          <w:rFonts w:ascii="Times New Roman" w:hAnsi="Times New Roman" w:cs="Times New Roman"/>
          <w:sz w:val="24"/>
          <w:szCs w:val="24"/>
        </w:rPr>
        <w:t>),</w:t>
      </w:r>
      <w:r w:rsidRPr="007E6C38">
        <w:rPr>
          <w:rFonts w:ascii="Times New Roman" w:hAnsi="Times New Roman" w:cs="Times New Roman"/>
          <w:sz w:val="24"/>
          <w:szCs w:val="24"/>
        </w:rPr>
        <w:t xml:space="preserve"> </w:t>
      </w:r>
      <w:r w:rsidR="00156236" w:rsidRPr="007E6C38">
        <w:rPr>
          <w:rFonts w:ascii="Times New Roman" w:hAnsi="Times New Roman" w:cs="Times New Roman"/>
          <w:sz w:val="24"/>
          <w:szCs w:val="24"/>
        </w:rPr>
        <w:t>no</w:t>
      </w:r>
      <w:r w:rsidRPr="007E6C38">
        <w:rPr>
          <w:rFonts w:ascii="Times New Roman" w:hAnsi="Times New Roman" w:cs="Times New Roman"/>
          <w:sz w:val="24"/>
          <w:szCs w:val="24"/>
        </w:rPr>
        <w:t xml:space="preserve"> le corresponde a la Directiva</w:t>
      </w:r>
      <w:r w:rsidR="00156236" w:rsidRPr="007E6C38">
        <w:rPr>
          <w:rFonts w:ascii="Times New Roman" w:hAnsi="Times New Roman" w:cs="Times New Roman"/>
          <w:sz w:val="24"/>
          <w:szCs w:val="24"/>
        </w:rPr>
        <w:t xml:space="preserve"> prejuzga</w:t>
      </w:r>
      <w:r w:rsidRPr="007E6C38">
        <w:rPr>
          <w:rFonts w:ascii="Times New Roman" w:hAnsi="Times New Roman" w:cs="Times New Roman"/>
          <w:sz w:val="24"/>
          <w:szCs w:val="24"/>
        </w:rPr>
        <w:t>r a cuál de las dos partes</w:t>
      </w:r>
      <w:r w:rsidR="00B66DB6" w:rsidRPr="007E6C38">
        <w:rPr>
          <w:rFonts w:ascii="Times New Roman" w:hAnsi="Times New Roman" w:cs="Times New Roman"/>
          <w:sz w:val="24"/>
          <w:szCs w:val="24"/>
        </w:rPr>
        <w:t xml:space="preserve"> del contrato de crédito inmobiliario</w:t>
      </w:r>
      <w:r w:rsidR="00156236" w:rsidRPr="007E6C38">
        <w:rPr>
          <w:rFonts w:ascii="Times New Roman" w:hAnsi="Times New Roman" w:cs="Times New Roman"/>
          <w:sz w:val="24"/>
          <w:szCs w:val="24"/>
        </w:rPr>
        <w:t xml:space="preserve"> le corresponde correr con dichos gastos, ni impide por tanto que el legislado</w:t>
      </w:r>
      <w:r w:rsidRPr="007E6C38">
        <w:rPr>
          <w:rFonts w:ascii="Times New Roman" w:hAnsi="Times New Roman" w:cs="Times New Roman"/>
          <w:sz w:val="24"/>
          <w:szCs w:val="24"/>
        </w:rPr>
        <w:t xml:space="preserve">r nacional </w:t>
      </w:r>
      <w:r w:rsidR="00156236" w:rsidRPr="007E6C38">
        <w:rPr>
          <w:rFonts w:ascii="Times New Roman" w:hAnsi="Times New Roman" w:cs="Times New Roman"/>
          <w:sz w:val="24"/>
          <w:szCs w:val="24"/>
        </w:rPr>
        <w:t>distribuya con car</w:t>
      </w:r>
      <w:r w:rsidRPr="007E6C38">
        <w:rPr>
          <w:rFonts w:ascii="Times New Roman" w:hAnsi="Times New Roman" w:cs="Times New Roman"/>
          <w:sz w:val="24"/>
          <w:szCs w:val="24"/>
        </w:rPr>
        <w:t>ácter imperativo los</w:t>
      </w:r>
      <w:r w:rsidR="00156236" w:rsidRPr="007E6C38">
        <w:rPr>
          <w:rFonts w:ascii="Times New Roman" w:hAnsi="Times New Roman" w:cs="Times New Roman"/>
          <w:sz w:val="24"/>
          <w:szCs w:val="24"/>
        </w:rPr>
        <w:t xml:space="preserve"> gastos</w:t>
      </w:r>
      <w:r w:rsidRPr="007E6C38">
        <w:rPr>
          <w:rFonts w:ascii="Times New Roman" w:hAnsi="Times New Roman" w:cs="Times New Roman"/>
          <w:sz w:val="24"/>
          <w:szCs w:val="24"/>
        </w:rPr>
        <w:t xml:space="preserve"> del préstamo</w:t>
      </w:r>
      <w:r w:rsidR="00156236" w:rsidRPr="007E6C38">
        <w:rPr>
          <w:rFonts w:ascii="Times New Roman" w:hAnsi="Times New Roman" w:cs="Times New Roman"/>
          <w:sz w:val="24"/>
          <w:szCs w:val="24"/>
        </w:rPr>
        <w:t xml:space="preserve"> entre las</w:t>
      </w:r>
      <w:r w:rsidRPr="007E6C38">
        <w:rPr>
          <w:rFonts w:ascii="Times New Roman" w:hAnsi="Times New Roman" w:cs="Times New Roman"/>
          <w:sz w:val="24"/>
          <w:szCs w:val="24"/>
        </w:rPr>
        <w:t xml:space="preserve"> dos</w:t>
      </w:r>
      <w:r w:rsidR="00156236" w:rsidRPr="007E6C38">
        <w:rPr>
          <w:rFonts w:ascii="Times New Roman" w:hAnsi="Times New Roman" w:cs="Times New Roman"/>
          <w:sz w:val="24"/>
          <w:szCs w:val="24"/>
        </w:rPr>
        <w:t xml:space="preserve"> partes</w:t>
      </w:r>
      <w:r w:rsidRPr="007E6C38">
        <w:rPr>
          <w:rFonts w:ascii="Times New Roman" w:hAnsi="Times New Roman" w:cs="Times New Roman"/>
          <w:sz w:val="24"/>
          <w:szCs w:val="24"/>
        </w:rPr>
        <w:t>, pues la Directiva UE/2014/UE se limita a exigir la transparenci</w:t>
      </w:r>
      <w:r w:rsidR="0030251B" w:rsidRPr="007E6C38">
        <w:rPr>
          <w:rFonts w:ascii="Times New Roman" w:hAnsi="Times New Roman" w:cs="Times New Roman"/>
          <w:sz w:val="24"/>
          <w:szCs w:val="24"/>
        </w:rPr>
        <w:t>a requerida respecto de los</w:t>
      </w:r>
      <w:r w:rsidRPr="007E6C38">
        <w:rPr>
          <w:rFonts w:ascii="Times New Roman" w:hAnsi="Times New Roman" w:cs="Times New Roman"/>
          <w:sz w:val="24"/>
          <w:szCs w:val="24"/>
        </w:rPr>
        <w:t xml:space="preserve"> gastos que por decisión del legislador nacional correspondan al prestatario</w:t>
      </w:r>
      <w:r w:rsidR="00156236" w:rsidRPr="007E6C38">
        <w:rPr>
          <w:rFonts w:ascii="Times New Roman" w:hAnsi="Times New Roman" w:cs="Times New Roman"/>
          <w:sz w:val="24"/>
          <w:szCs w:val="24"/>
        </w:rPr>
        <w:t xml:space="preserve">. </w:t>
      </w:r>
    </w:p>
    <w:p w:rsidR="003A4D1F" w:rsidRPr="007E6C38" w:rsidRDefault="001C73F6"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La LCCI en su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.1.e) no se ha limitado a establecer unas obligaciones especiales de transparencia respecto de los gastos del préstamo imputables al prestatario, sino que aprovecha para efectuar una distribución imperativa de los mismos entre prest</w:t>
      </w:r>
      <w:r w:rsidR="0030251B" w:rsidRPr="007E6C38">
        <w:rPr>
          <w:rFonts w:ascii="Times New Roman" w:hAnsi="Times New Roman" w:cs="Times New Roman"/>
          <w:sz w:val="24"/>
          <w:szCs w:val="24"/>
        </w:rPr>
        <w:t>amista y prestatario, de una forma no del todo coincidente a la que hasta el momento derivaba de las normas sobre aranceles notariales y registrales</w:t>
      </w:r>
      <w:r w:rsidR="0031180C" w:rsidRPr="007E6C38">
        <w:rPr>
          <w:rFonts w:ascii="Times New Roman" w:hAnsi="Times New Roman" w:cs="Times New Roman"/>
          <w:sz w:val="24"/>
          <w:szCs w:val="24"/>
        </w:rPr>
        <w:t xml:space="preserve"> (</w:t>
      </w:r>
      <w:r w:rsidR="0031180C" w:rsidRPr="007E6C38">
        <w:rPr>
          <w:rFonts w:ascii="Times New Roman" w:eastAsia="Times New Roman" w:hAnsi="Times New Roman" w:cs="Times New Roman"/>
          <w:sz w:val="24"/>
          <w:szCs w:val="24"/>
          <w:lang w:eastAsia="es-ES"/>
        </w:rPr>
        <w:t>RD 1426/1989, de 17 de noviembre, por el que se aprueba el arancel de los notarios y RD 1427/1989, de 17 de noviembre, por el que se aprueba el arancel de los registradores)</w:t>
      </w:r>
      <w:r w:rsidR="0030251B" w:rsidRPr="007E6C38">
        <w:rPr>
          <w:rFonts w:ascii="Times New Roman" w:hAnsi="Times New Roman" w:cs="Times New Roman"/>
          <w:sz w:val="24"/>
          <w:szCs w:val="24"/>
        </w:rPr>
        <w:t xml:space="preserve"> y de la última Jurisprudencia de la Sala Primera del Tribunal Supremo</w:t>
      </w:r>
      <w:r w:rsidR="009A747C" w:rsidRPr="007E6C38">
        <w:rPr>
          <w:rFonts w:ascii="Times New Roman" w:hAnsi="Times New Roman" w:cs="Times New Roman"/>
          <w:sz w:val="24"/>
          <w:szCs w:val="24"/>
        </w:rPr>
        <w:t xml:space="preserve"> expresada en las SSTS 23 enero 2019 (Ar. 2019/90, Ar. 2019/91, Ar. 2019/92, Ar. 2019/94 y Ar. 2019/114)</w:t>
      </w:r>
    </w:p>
    <w:p w:rsidR="0030251B" w:rsidRPr="007E6C38" w:rsidRDefault="0030251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De este modo, </w:t>
      </w:r>
      <w:r w:rsidRPr="00711ADF">
        <w:rPr>
          <w:rFonts w:ascii="Times New Roman" w:hAnsi="Times New Roman" w:cs="Times New Roman"/>
          <w:color w:val="FF0000"/>
          <w:sz w:val="24"/>
          <w:szCs w:val="24"/>
        </w:rPr>
        <w:t xml:space="preserve">corresponden al prestatario los gastos de tasación del inmueble y al prestamista esencialmente todos los demás: los de gestión </w:t>
      </w:r>
      <w:r w:rsidRPr="007E6C38">
        <w:rPr>
          <w:rFonts w:ascii="Times New Roman" w:hAnsi="Times New Roman" w:cs="Times New Roman"/>
          <w:sz w:val="24"/>
          <w:szCs w:val="24"/>
        </w:rPr>
        <w:t xml:space="preserve">(siendo así que según las precedentes </w:t>
      </w:r>
      <w:r w:rsidR="009A747C" w:rsidRPr="007E6C38">
        <w:rPr>
          <w:rFonts w:ascii="Times New Roman" w:hAnsi="Times New Roman" w:cs="Times New Roman"/>
          <w:sz w:val="24"/>
          <w:szCs w:val="24"/>
        </w:rPr>
        <w:t>S</w:t>
      </w:r>
      <w:r w:rsidRPr="007E6C38">
        <w:rPr>
          <w:rFonts w:ascii="Times New Roman" w:hAnsi="Times New Roman" w:cs="Times New Roman"/>
          <w:sz w:val="24"/>
          <w:szCs w:val="24"/>
        </w:rPr>
        <w:t>STS</w:t>
      </w:r>
      <w:r w:rsidR="009A747C" w:rsidRPr="007E6C38">
        <w:rPr>
          <w:rFonts w:ascii="Times New Roman" w:hAnsi="Times New Roman" w:cs="Times New Roman"/>
          <w:sz w:val="24"/>
          <w:szCs w:val="24"/>
        </w:rPr>
        <w:t xml:space="preserve"> 23 enero 2019</w:t>
      </w:r>
      <w:r w:rsidRPr="007E6C38">
        <w:rPr>
          <w:rFonts w:ascii="Times New Roman" w:hAnsi="Times New Roman" w:cs="Times New Roman"/>
          <w:sz w:val="24"/>
          <w:szCs w:val="24"/>
        </w:rPr>
        <w:t xml:space="preserve"> en ausencia de norma concreta, los gastos de gesti</w:t>
      </w:r>
      <w:r w:rsidR="009A747C" w:rsidRPr="007E6C38">
        <w:rPr>
          <w:rFonts w:ascii="Times New Roman" w:hAnsi="Times New Roman" w:cs="Times New Roman"/>
          <w:sz w:val="24"/>
          <w:szCs w:val="24"/>
        </w:rPr>
        <w:t>ón se habían de distribuir</w:t>
      </w:r>
      <w:r w:rsidRPr="007E6C38">
        <w:rPr>
          <w:rFonts w:ascii="Times New Roman" w:hAnsi="Times New Roman" w:cs="Times New Roman"/>
          <w:sz w:val="24"/>
          <w:szCs w:val="24"/>
        </w:rPr>
        <w:t xml:space="preserve"> por mitad), </w:t>
      </w:r>
      <w:r w:rsidRPr="00711ADF">
        <w:rPr>
          <w:rFonts w:ascii="Times New Roman" w:hAnsi="Times New Roman" w:cs="Times New Roman"/>
          <w:color w:val="FF0000"/>
          <w:sz w:val="24"/>
          <w:szCs w:val="24"/>
        </w:rPr>
        <w:t xml:space="preserve">los aranceles notariales de la escritura de préstamo hipotecario, si bien cada parte asume el coste de sus copias </w:t>
      </w:r>
      <w:r w:rsidRPr="007E6C38">
        <w:rPr>
          <w:rFonts w:ascii="Times New Roman" w:hAnsi="Times New Roman" w:cs="Times New Roman"/>
          <w:sz w:val="24"/>
          <w:szCs w:val="24"/>
        </w:rPr>
        <w:t>(por el contrario, el RD</w:t>
      </w:r>
      <w:r w:rsidR="0031180C" w:rsidRPr="007E6C38">
        <w:rPr>
          <w:rFonts w:ascii="Times New Roman" w:hAnsi="Times New Roman" w:cs="Times New Roman"/>
          <w:sz w:val="24"/>
          <w:szCs w:val="24"/>
        </w:rPr>
        <w:t xml:space="preserve"> 1426/1989, norma Sexta del Anexo II</w:t>
      </w:r>
      <w:r w:rsidR="009A747C" w:rsidRPr="007E6C38">
        <w:rPr>
          <w:rFonts w:ascii="Times New Roman" w:hAnsi="Times New Roman" w:cs="Times New Roman"/>
          <w:sz w:val="24"/>
          <w:szCs w:val="24"/>
        </w:rPr>
        <w:t>,</w:t>
      </w:r>
      <w:r w:rsidR="0031180C" w:rsidRPr="007E6C38">
        <w:rPr>
          <w:rFonts w:ascii="Times New Roman" w:hAnsi="Times New Roman" w:cs="Times New Roman"/>
          <w:sz w:val="24"/>
          <w:szCs w:val="24"/>
        </w:rPr>
        <w:t xml:space="preserve"> </w:t>
      </w:r>
      <w:r w:rsidRPr="007E6C38">
        <w:rPr>
          <w:rFonts w:ascii="Times New Roman" w:hAnsi="Times New Roman" w:cs="Times New Roman"/>
          <w:sz w:val="24"/>
          <w:szCs w:val="24"/>
        </w:rPr>
        <w:t xml:space="preserve">permitía una distribución equitativa de los gastos de la escritura matriz entre las dos partes, como interesadas ambas en el otorgamiento de la escritura) y </w:t>
      </w:r>
      <w:r w:rsidRPr="00711ADF">
        <w:rPr>
          <w:rFonts w:ascii="Times New Roman" w:hAnsi="Times New Roman" w:cs="Times New Roman"/>
          <w:color w:val="FF0000"/>
          <w:sz w:val="24"/>
          <w:szCs w:val="24"/>
        </w:rPr>
        <w:t xml:space="preserve">los gastos de inscripción de la garantía en el registro de la propiedad </w:t>
      </w:r>
      <w:r w:rsidRPr="007E6C38">
        <w:rPr>
          <w:rFonts w:ascii="Times New Roman" w:hAnsi="Times New Roman" w:cs="Times New Roman"/>
          <w:sz w:val="24"/>
          <w:szCs w:val="24"/>
        </w:rPr>
        <w:t>(de la misma manera que se deducía del RD</w:t>
      </w:r>
      <w:r w:rsidR="0031180C" w:rsidRPr="007E6C38">
        <w:rPr>
          <w:rFonts w:ascii="Times New Roman" w:hAnsi="Times New Roman" w:cs="Times New Roman"/>
          <w:sz w:val="24"/>
          <w:szCs w:val="24"/>
        </w:rPr>
        <w:t xml:space="preserve"> 1427/1989, norma Octava del Anexo II</w:t>
      </w:r>
      <w:r w:rsidRPr="007E6C38">
        <w:rPr>
          <w:rFonts w:ascii="Times New Roman" w:hAnsi="Times New Roman" w:cs="Times New Roman"/>
          <w:sz w:val="24"/>
          <w:szCs w:val="24"/>
        </w:rPr>
        <w:t>). Po</w:t>
      </w:r>
      <w:r w:rsidR="0031180C" w:rsidRPr="007E6C38">
        <w:rPr>
          <w:rFonts w:ascii="Times New Roman" w:hAnsi="Times New Roman" w:cs="Times New Roman"/>
          <w:sz w:val="24"/>
          <w:szCs w:val="24"/>
        </w:rPr>
        <w:t xml:space="preserve">r lo que respecta a los </w:t>
      </w:r>
      <w:r w:rsidRPr="00711ADF">
        <w:rPr>
          <w:rFonts w:ascii="Times New Roman" w:hAnsi="Times New Roman" w:cs="Times New Roman"/>
          <w:color w:val="FF0000"/>
          <w:sz w:val="24"/>
          <w:szCs w:val="24"/>
        </w:rPr>
        <w:t>impuesto</w:t>
      </w:r>
      <w:r w:rsidR="0031180C" w:rsidRPr="00711ADF">
        <w:rPr>
          <w:rFonts w:ascii="Times New Roman" w:hAnsi="Times New Roman" w:cs="Times New Roman"/>
          <w:color w:val="FF0000"/>
          <w:sz w:val="24"/>
          <w:szCs w:val="24"/>
        </w:rPr>
        <w:t>s</w:t>
      </w:r>
      <w:r w:rsidRPr="00711ADF">
        <w:rPr>
          <w:rFonts w:ascii="Times New Roman" w:hAnsi="Times New Roman" w:cs="Times New Roman"/>
          <w:color w:val="FF0000"/>
          <w:sz w:val="24"/>
          <w:szCs w:val="24"/>
        </w:rPr>
        <w:t xml:space="preserve"> de transmisiones patrimoniales y actos jurídicos documentados, se hace una remisión a la normativa tributaria, que actualmente dispone en el art. 29 del </w:t>
      </w:r>
      <w:r w:rsidR="00D07617" w:rsidRPr="00711ADF">
        <w:rPr>
          <w:rFonts w:ascii="Times New Roman" w:hAnsi="Times New Roman" w:cs="Times New Roman"/>
          <w:color w:val="FF0000"/>
          <w:sz w:val="24"/>
          <w:szCs w:val="24"/>
        </w:rPr>
        <w:t>RDL 1/1993, de 24 de septiembre</w:t>
      </w:r>
      <w:r w:rsidR="00D07617" w:rsidRPr="007E6C38">
        <w:rPr>
          <w:rFonts w:ascii="Times New Roman" w:hAnsi="Times New Roman" w:cs="Times New Roman"/>
          <w:sz w:val="24"/>
          <w:szCs w:val="24"/>
        </w:rPr>
        <w:t xml:space="preserve">, por el que se aprueba el </w:t>
      </w:r>
      <w:r w:rsidRPr="007E6C38">
        <w:rPr>
          <w:rFonts w:ascii="Times New Roman" w:hAnsi="Times New Roman" w:cs="Times New Roman"/>
          <w:sz w:val="24"/>
          <w:szCs w:val="24"/>
        </w:rPr>
        <w:t>Texto Refundido de la Ley del Impuesto sobre Transmisiones Patrimoniales y Actos Jurídicos Doc</w:t>
      </w:r>
      <w:r w:rsidR="00D07617" w:rsidRPr="007E6C38">
        <w:rPr>
          <w:rFonts w:ascii="Times New Roman" w:hAnsi="Times New Roman" w:cs="Times New Roman"/>
          <w:sz w:val="24"/>
          <w:szCs w:val="24"/>
        </w:rPr>
        <w:t>umentados</w:t>
      </w:r>
      <w:r w:rsidRPr="007E6C38">
        <w:rPr>
          <w:rFonts w:ascii="Times New Roman" w:hAnsi="Times New Roman" w:cs="Times New Roman"/>
          <w:sz w:val="24"/>
          <w:szCs w:val="24"/>
        </w:rPr>
        <w:t>, tras la modificación introducida en el mismo por el Real Decreto-ley 17/2018, de 8 de noviembre, que cuando se trate de escrituras de préstamo con garantía hipotecaria el sujeto pasivo</w:t>
      </w:r>
      <w:r w:rsidR="0031180C" w:rsidRPr="007E6C38">
        <w:rPr>
          <w:rFonts w:ascii="Times New Roman" w:hAnsi="Times New Roman" w:cs="Times New Roman"/>
          <w:sz w:val="24"/>
          <w:szCs w:val="24"/>
        </w:rPr>
        <w:t xml:space="preserve"> del impuesto de actos jurídicos documentados</w:t>
      </w:r>
      <w:r w:rsidRPr="007E6C38">
        <w:rPr>
          <w:rFonts w:ascii="Times New Roman" w:hAnsi="Times New Roman" w:cs="Times New Roman"/>
          <w:sz w:val="24"/>
          <w:szCs w:val="24"/>
        </w:rPr>
        <w:t xml:space="preserve"> es el prestamista.</w:t>
      </w:r>
    </w:p>
    <w:p w:rsidR="0030251B" w:rsidRPr="007E6C38" w:rsidRDefault="0030251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Esta imputación por ley de los gastos del préstamo a la entidad prestamista será repercutida lógicamente</w:t>
      </w:r>
      <w:r w:rsidR="0031180C" w:rsidRPr="007E6C38">
        <w:rPr>
          <w:rFonts w:ascii="Times New Roman" w:hAnsi="Times New Roman" w:cs="Times New Roman"/>
          <w:sz w:val="24"/>
          <w:szCs w:val="24"/>
        </w:rPr>
        <w:t xml:space="preserve"> por aquella al prestatario</w:t>
      </w:r>
      <w:r w:rsidRPr="007E6C38">
        <w:rPr>
          <w:rFonts w:ascii="Times New Roman" w:hAnsi="Times New Roman" w:cs="Times New Roman"/>
          <w:sz w:val="24"/>
          <w:szCs w:val="24"/>
        </w:rPr>
        <w:t xml:space="preserve"> sobre otros elementos del coste del crédito, principalmente sobre el interés</w:t>
      </w:r>
      <w:r w:rsidR="00261669" w:rsidRPr="007E6C38">
        <w:rPr>
          <w:rFonts w:ascii="Times New Roman" w:hAnsi="Times New Roman" w:cs="Times New Roman"/>
          <w:sz w:val="24"/>
          <w:szCs w:val="24"/>
        </w:rPr>
        <w:t xml:space="preserve"> nominal</w:t>
      </w:r>
      <w:r w:rsidRPr="007E6C38">
        <w:rPr>
          <w:rFonts w:ascii="Times New Roman" w:hAnsi="Times New Roman" w:cs="Times New Roman"/>
          <w:sz w:val="24"/>
          <w:szCs w:val="24"/>
        </w:rPr>
        <w:t>, siendo ent</w:t>
      </w:r>
      <w:r w:rsidR="00B66DB6" w:rsidRPr="007E6C38">
        <w:rPr>
          <w:rFonts w:ascii="Times New Roman" w:hAnsi="Times New Roman" w:cs="Times New Roman"/>
          <w:sz w:val="24"/>
          <w:szCs w:val="24"/>
        </w:rPr>
        <w:t>onces dudoso que resulte más beneficioso</w:t>
      </w:r>
      <w:r w:rsidR="00261669" w:rsidRPr="007E6C38">
        <w:rPr>
          <w:rFonts w:ascii="Times New Roman" w:hAnsi="Times New Roman" w:cs="Times New Roman"/>
          <w:sz w:val="24"/>
          <w:szCs w:val="24"/>
        </w:rPr>
        <w:t xml:space="preserve"> para el prestatario la imputación de unos costes claros a pagar de una vez en el momento de la constitución del préstamo (esquema por el que no ha optado el legislador español, pero que permitiría la Directiva 2014/17/UE) o la repercusión al prestatario de estos costes, vía interés nominal, durante toda la vida del préstamo, sobre todo</w:t>
      </w:r>
      <w:r w:rsidR="00F348FD" w:rsidRPr="007E6C38">
        <w:rPr>
          <w:rFonts w:ascii="Times New Roman" w:hAnsi="Times New Roman" w:cs="Times New Roman"/>
          <w:sz w:val="24"/>
          <w:szCs w:val="24"/>
        </w:rPr>
        <w:t>,</w:t>
      </w:r>
      <w:r w:rsidR="00261669" w:rsidRPr="007E6C38">
        <w:rPr>
          <w:rFonts w:ascii="Times New Roman" w:hAnsi="Times New Roman" w:cs="Times New Roman"/>
          <w:sz w:val="24"/>
          <w:szCs w:val="24"/>
        </w:rPr>
        <w:t xml:space="preserve"> en los contratos en los que el tipo de interés se</w:t>
      </w:r>
      <w:r w:rsidR="00D07617" w:rsidRPr="007E6C38">
        <w:rPr>
          <w:rFonts w:ascii="Times New Roman" w:hAnsi="Times New Roman" w:cs="Times New Roman"/>
          <w:sz w:val="24"/>
          <w:szCs w:val="24"/>
        </w:rPr>
        <w:t>a variable y no resulte posible</w:t>
      </w:r>
      <w:r w:rsidR="00261669" w:rsidRPr="007E6C38">
        <w:rPr>
          <w:rFonts w:ascii="Times New Roman" w:hAnsi="Times New Roman" w:cs="Times New Roman"/>
          <w:sz w:val="24"/>
          <w:szCs w:val="24"/>
        </w:rPr>
        <w:t xml:space="preserve"> calcular el impacto futuro que la elevación del tipo de interés nominal tenga sobre el coste total del crédito.</w:t>
      </w:r>
    </w:p>
    <w:p w:rsidR="00261669" w:rsidRPr="007E6C38" w:rsidRDefault="00261669"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Sea como fuere, en el ordenamiento español, la validez de las cláusulas que imputen al prestatario</w:t>
      </w:r>
      <w:r w:rsidR="0031180C" w:rsidRPr="007E6C38">
        <w:rPr>
          <w:rFonts w:ascii="Times New Roman" w:hAnsi="Times New Roman" w:cs="Times New Roman"/>
          <w:sz w:val="24"/>
          <w:szCs w:val="24"/>
        </w:rPr>
        <w:t xml:space="preserve"> los</w:t>
      </w:r>
      <w:r w:rsidRPr="007E6C38">
        <w:rPr>
          <w:rFonts w:ascii="Times New Roman" w:hAnsi="Times New Roman" w:cs="Times New Roman"/>
          <w:sz w:val="24"/>
          <w:szCs w:val="24"/>
        </w:rPr>
        <w:t xml:space="preserve"> gastos que por Ley sean propios del prestamista no se valorará</w:t>
      </w:r>
      <w:r w:rsidR="00B66DB6" w:rsidRPr="007E6C38">
        <w:rPr>
          <w:rFonts w:ascii="Times New Roman" w:hAnsi="Times New Roman" w:cs="Times New Roman"/>
          <w:sz w:val="24"/>
          <w:szCs w:val="24"/>
        </w:rPr>
        <w:t xml:space="preserve"> en términos de transparencia</w:t>
      </w:r>
      <w:r w:rsidR="00EC62C7" w:rsidRPr="007E6C38">
        <w:rPr>
          <w:rStyle w:val="Refdenotaalpie"/>
          <w:rFonts w:ascii="Times New Roman" w:hAnsi="Times New Roman" w:cs="Times New Roman"/>
          <w:sz w:val="24"/>
          <w:szCs w:val="24"/>
        </w:rPr>
        <w:footnoteReference w:id="16"/>
      </w:r>
      <w:r w:rsidR="00B66DB6" w:rsidRPr="007E6C38">
        <w:rPr>
          <w:rFonts w:ascii="Times New Roman" w:hAnsi="Times New Roman" w:cs="Times New Roman"/>
          <w:sz w:val="24"/>
          <w:szCs w:val="24"/>
        </w:rPr>
        <w:t>. Tales cláusulas s</w:t>
      </w:r>
      <w:r w:rsidRPr="007E6C38">
        <w:rPr>
          <w:rFonts w:ascii="Times New Roman" w:hAnsi="Times New Roman" w:cs="Times New Roman"/>
          <w:sz w:val="24"/>
          <w:szCs w:val="24"/>
        </w:rPr>
        <w:t>erán nulas</w:t>
      </w:r>
      <w:r w:rsidR="00E446E0" w:rsidRPr="007E6C38">
        <w:rPr>
          <w:rFonts w:ascii="Times New Roman" w:hAnsi="Times New Roman" w:cs="Times New Roman"/>
          <w:sz w:val="24"/>
          <w:szCs w:val="24"/>
        </w:rPr>
        <w:t>,</w:t>
      </w:r>
      <w:r w:rsidRPr="007E6C38">
        <w:rPr>
          <w:rFonts w:ascii="Times New Roman" w:hAnsi="Times New Roman" w:cs="Times New Roman"/>
          <w:sz w:val="24"/>
          <w:szCs w:val="24"/>
        </w:rPr>
        <w:t xml:space="preserve"> con independencia de la información precontractual que se hubiera aportado, por mor del art. 89.3 TR-LGDCU –“tienen la consideración de cláusulas abusivas la imposición al consumidor de los gastos de documentación y tramitación que por ley corresponda al empresario”- e incluso</w:t>
      </w:r>
      <w:r w:rsidR="0031180C" w:rsidRPr="007E6C38">
        <w:rPr>
          <w:rFonts w:ascii="Times New Roman" w:hAnsi="Times New Roman" w:cs="Times New Roman"/>
          <w:sz w:val="24"/>
          <w:szCs w:val="24"/>
        </w:rPr>
        <w:t xml:space="preserve"> en virtud del art. 6.3 CC, puesto</w:t>
      </w:r>
      <w:r w:rsidRPr="007E6C38">
        <w:rPr>
          <w:rFonts w:ascii="Times New Roman" w:hAnsi="Times New Roman" w:cs="Times New Roman"/>
          <w:sz w:val="24"/>
          <w:szCs w:val="24"/>
        </w:rPr>
        <w:t xml:space="preserve"> que la distribución de gastos efectuada por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.1.e) LCCI es impera</w:t>
      </w:r>
      <w:r w:rsidR="0031180C" w:rsidRPr="007E6C38">
        <w:rPr>
          <w:rFonts w:ascii="Times New Roman" w:hAnsi="Times New Roman" w:cs="Times New Roman"/>
          <w:sz w:val="24"/>
          <w:szCs w:val="24"/>
        </w:rPr>
        <w:t>tiva.</w:t>
      </w:r>
    </w:p>
    <w:p w:rsidR="00261669" w:rsidRPr="007E6C38" w:rsidRDefault="00261669" w:rsidP="00F60A8E">
      <w:pPr>
        <w:spacing w:before="120" w:after="120" w:line="360" w:lineRule="auto"/>
        <w:jc w:val="both"/>
        <w:rPr>
          <w:rFonts w:ascii="Times New Roman" w:hAnsi="Times New Roman" w:cs="Times New Roman"/>
          <w:sz w:val="24"/>
          <w:szCs w:val="24"/>
          <w:shd w:val="clear" w:color="auto" w:fill="FFFFFF"/>
        </w:rPr>
      </w:pPr>
      <w:r w:rsidRPr="007E6C38">
        <w:rPr>
          <w:rFonts w:ascii="Times New Roman" w:hAnsi="Times New Roman" w:cs="Times New Roman"/>
          <w:sz w:val="24"/>
          <w:szCs w:val="24"/>
        </w:rPr>
        <w:t>La transparencia sólo sería entonces relevante en atención a los gastos que debe asumir el prestatario, que son los de tasación. Estos gastos de tasación, cuando sean conocidos por el prestamista, se han de incluir en el cálculo de la TAE (art. 4, apartado 13 Directiva 2014/17/UE) y en la FEIN se han de mencionar como gasto</w:t>
      </w:r>
      <w:r w:rsidR="00F348FD" w:rsidRPr="007E6C38">
        <w:rPr>
          <w:rFonts w:ascii="Times New Roman" w:hAnsi="Times New Roman" w:cs="Times New Roman"/>
          <w:sz w:val="24"/>
          <w:szCs w:val="24"/>
        </w:rPr>
        <w:t xml:space="preserve"> incluido en la misma (Sección 4ª</w:t>
      </w:r>
      <w:r w:rsidRPr="007E6C38">
        <w:rPr>
          <w:rFonts w:ascii="Times New Roman" w:hAnsi="Times New Roman" w:cs="Times New Roman"/>
          <w:sz w:val="24"/>
          <w:szCs w:val="24"/>
        </w:rPr>
        <w:t>). Si los gastos de tasación no resultaran</w:t>
      </w:r>
      <w:r w:rsidR="0031180C" w:rsidRPr="007E6C38">
        <w:rPr>
          <w:rFonts w:ascii="Times New Roman" w:hAnsi="Times New Roman" w:cs="Times New Roman"/>
          <w:sz w:val="24"/>
          <w:szCs w:val="24"/>
        </w:rPr>
        <w:t xml:space="preserve"> razonablemente</w:t>
      </w:r>
      <w:r w:rsidRPr="007E6C38">
        <w:rPr>
          <w:rFonts w:ascii="Times New Roman" w:hAnsi="Times New Roman" w:cs="Times New Roman"/>
          <w:sz w:val="24"/>
          <w:szCs w:val="24"/>
        </w:rPr>
        <w:t xml:space="preserve"> conocidos por la entidad prestamista</w:t>
      </w:r>
      <w:r w:rsidR="0031180C" w:rsidRPr="007E6C38">
        <w:rPr>
          <w:rFonts w:ascii="Times New Roman" w:hAnsi="Times New Roman" w:cs="Times New Roman"/>
          <w:sz w:val="24"/>
          <w:szCs w:val="24"/>
        </w:rPr>
        <w:t xml:space="preserve">, </w:t>
      </w:r>
      <w:r w:rsidRPr="007E6C38">
        <w:rPr>
          <w:rFonts w:ascii="Times New Roman" w:hAnsi="Times New Roman" w:cs="Times New Roman"/>
          <w:sz w:val="24"/>
          <w:szCs w:val="24"/>
        </w:rPr>
        <w:t>entonces, al menos, debería hacer una advertencia al respecto al pre</w:t>
      </w:r>
      <w:r w:rsidR="00F348FD" w:rsidRPr="007E6C38">
        <w:rPr>
          <w:rFonts w:ascii="Times New Roman" w:hAnsi="Times New Roman" w:cs="Times New Roman"/>
          <w:sz w:val="24"/>
          <w:szCs w:val="24"/>
        </w:rPr>
        <w:t>statario, también en la Sección 4ª</w:t>
      </w:r>
      <w:r w:rsidRPr="007E6C38">
        <w:rPr>
          <w:rFonts w:ascii="Times New Roman" w:hAnsi="Times New Roman" w:cs="Times New Roman"/>
          <w:sz w:val="24"/>
          <w:szCs w:val="24"/>
        </w:rPr>
        <w:t xml:space="preserve"> de la FEIN. Una ausencia de información precontractual</w:t>
      </w:r>
      <w:r w:rsidR="0031180C" w:rsidRPr="007E6C38">
        <w:rPr>
          <w:rFonts w:ascii="Times New Roman" w:hAnsi="Times New Roman" w:cs="Times New Roman"/>
          <w:sz w:val="24"/>
          <w:szCs w:val="24"/>
        </w:rPr>
        <w:t xml:space="preserve"> respecto a los gastos de tasación</w:t>
      </w:r>
      <w:r w:rsidRPr="007E6C38">
        <w:rPr>
          <w:rFonts w:ascii="Times New Roman" w:hAnsi="Times New Roman" w:cs="Times New Roman"/>
          <w:sz w:val="24"/>
          <w:szCs w:val="24"/>
        </w:rPr>
        <w:t xml:space="preserve"> podría conllevar la nulidad por falta de transparencia de la cláusula que</w:t>
      </w:r>
      <w:r w:rsidR="0031180C" w:rsidRPr="007E6C38">
        <w:rPr>
          <w:rFonts w:ascii="Times New Roman" w:hAnsi="Times New Roman" w:cs="Times New Roman"/>
          <w:sz w:val="24"/>
          <w:szCs w:val="24"/>
        </w:rPr>
        <w:t xml:space="preserve"> los</w:t>
      </w:r>
      <w:r w:rsidRPr="007E6C38">
        <w:rPr>
          <w:rFonts w:ascii="Times New Roman" w:hAnsi="Times New Roman" w:cs="Times New Roman"/>
          <w:sz w:val="24"/>
          <w:szCs w:val="24"/>
        </w:rPr>
        <w:t xml:space="preserve"> </w:t>
      </w:r>
      <w:r w:rsidR="0031180C" w:rsidRPr="007E6C38">
        <w:rPr>
          <w:rFonts w:ascii="Times New Roman" w:hAnsi="Times New Roman" w:cs="Times New Roman"/>
          <w:sz w:val="24"/>
          <w:szCs w:val="24"/>
        </w:rPr>
        <w:t xml:space="preserve">imputara </w:t>
      </w:r>
      <w:r w:rsidRPr="007E6C38">
        <w:rPr>
          <w:rFonts w:ascii="Times New Roman" w:hAnsi="Times New Roman" w:cs="Times New Roman"/>
          <w:sz w:val="24"/>
          <w:szCs w:val="24"/>
        </w:rPr>
        <w:t>al prestatario</w:t>
      </w:r>
      <w:r w:rsidR="00086E69" w:rsidRPr="007E6C38">
        <w:rPr>
          <w:rFonts w:ascii="Times New Roman" w:hAnsi="Times New Roman" w:cs="Times New Roman"/>
          <w:sz w:val="24"/>
          <w:szCs w:val="24"/>
        </w:rPr>
        <w:t xml:space="preserve"> por suponer una frustración de sus expectativas legítimas sobre el precio o,</w:t>
      </w:r>
      <w:r w:rsidRPr="007E6C38">
        <w:rPr>
          <w:rFonts w:ascii="Times New Roman" w:hAnsi="Times New Roman" w:cs="Times New Roman"/>
          <w:sz w:val="24"/>
          <w:szCs w:val="24"/>
        </w:rPr>
        <w:t xml:space="preserve"> incluso, aun en ausencia de una cláusula concreta al respecto, la imputación de estos gastos a la entidad prestamista, de acuerdo con el principio de integración objetiva del contrato, </w:t>
      </w:r>
      <w:r w:rsidRPr="007E6C38">
        <w:rPr>
          <w:rFonts w:ascii="Times New Roman" w:hAnsi="Times New Roman" w:cs="Times New Roman"/>
          <w:sz w:val="24"/>
          <w:szCs w:val="24"/>
          <w:shd w:val="clear" w:color="auto" w:fill="FFFFFF"/>
        </w:rPr>
        <w:t xml:space="preserve">en beneficio del consumidor, conforme al principio de buena </w:t>
      </w:r>
      <w:r w:rsidR="00B66DB6" w:rsidRPr="007E6C38">
        <w:rPr>
          <w:rFonts w:ascii="Times New Roman" w:hAnsi="Times New Roman" w:cs="Times New Roman"/>
          <w:sz w:val="24"/>
          <w:szCs w:val="24"/>
          <w:shd w:val="clear" w:color="auto" w:fill="FFFFFF"/>
        </w:rPr>
        <w:t>fe</w:t>
      </w:r>
      <w:r w:rsidRPr="007E6C38">
        <w:rPr>
          <w:rFonts w:ascii="Times New Roman" w:hAnsi="Times New Roman" w:cs="Times New Roman"/>
          <w:sz w:val="24"/>
          <w:szCs w:val="24"/>
          <w:shd w:val="clear" w:color="auto" w:fill="FFFFFF"/>
        </w:rPr>
        <w:t>, en supuestos de omisión de información precontractual relevante (art. 65 TR-LGDCU).</w:t>
      </w:r>
    </w:p>
    <w:p w:rsidR="00156236" w:rsidRPr="007E6C38" w:rsidRDefault="00261669"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shd w:val="clear" w:color="auto" w:fill="FFFFFF"/>
        </w:rPr>
        <w:t>Lo que no se alcanza a comprender muy bien es la obsesión del legislador</w:t>
      </w:r>
      <w:r w:rsidR="0031180C" w:rsidRPr="007E6C38">
        <w:rPr>
          <w:rFonts w:ascii="Times New Roman" w:hAnsi="Times New Roman" w:cs="Times New Roman"/>
          <w:sz w:val="24"/>
          <w:szCs w:val="24"/>
          <w:shd w:val="clear" w:color="auto" w:fill="FFFFFF"/>
        </w:rPr>
        <w:t xml:space="preserve"> español</w:t>
      </w:r>
      <w:r w:rsidRPr="007E6C38">
        <w:rPr>
          <w:rFonts w:ascii="Times New Roman" w:hAnsi="Times New Roman" w:cs="Times New Roman"/>
          <w:sz w:val="24"/>
          <w:szCs w:val="24"/>
          <w:shd w:val="clear" w:color="auto" w:fill="FFFFFF"/>
        </w:rPr>
        <w:t xml:space="preserve"> a lo largo de todo el </w:t>
      </w:r>
      <w:r w:rsidR="00654E83" w:rsidRPr="007E6C38">
        <w:rPr>
          <w:rFonts w:ascii="Times New Roman" w:hAnsi="Times New Roman" w:cs="Times New Roman"/>
          <w:sz w:val="24"/>
          <w:szCs w:val="24"/>
          <w:shd w:val="clear" w:color="auto" w:fill="FFFFFF"/>
        </w:rPr>
        <w:t>art. 14</w:t>
      </w:r>
      <w:r w:rsidR="00F348FD" w:rsidRPr="007E6C38">
        <w:rPr>
          <w:rFonts w:ascii="Times New Roman" w:hAnsi="Times New Roman" w:cs="Times New Roman"/>
          <w:sz w:val="24"/>
          <w:szCs w:val="24"/>
          <w:shd w:val="clear" w:color="auto" w:fill="FFFFFF"/>
        </w:rPr>
        <w:t>.1</w:t>
      </w:r>
      <w:r w:rsidRPr="007E6C38">
        <w:rPr>
          <w:rFonts w:ascii="Times New Roman" w:hAnsi="Times New Roman" w:cs="Times New Roman"/>
          <w:sz w:val="24"/>
          <w:szCs w:val="24"/>
          <w:shd w:val="clear" w:color="auto" w:fill="FFFFFF"/>
        </w:rPr>
        <w:t xml:space="preserve"> LCCI respecto a la información precontractual a proporcionar sobre la distribución de todos los gastos, no sólo respecto de los que sean propios del prestatario –los de tasación- sino también respecto de aquellos que por Ley son propios del prestamista. </w:t>
      </w:r>
      <w:r w:rsidR="00E446E0" w:rsidRPr="007E6C38">
        <w:rPr>
          <w:rFonts w:ascii="Times New Roman" w:hAnsi="Times New Roman" w:cs="Times New Roman"/>
          <w:sz w:val="24"/>
          <w:szCs w:val="24"/>
          <w:shd w:val="clear" w:color="auto" w:fill="FFFFFF"/>
        </w:rPr>
        <w:t xml:space="preserve">Así, </w:t>
      </w:r>
      <w:r w:rsidR="0031180C" w:rsidRPr="007E6C38">
        <w:rPr>
          <w:rFonts w:ascii="Times New Roman" w:hAnsi="Times New Roman" w:cs="Times New Roman"/>
          <w:sz w:val="24"/>
          <w:szCs w:val="24"/>
          <w:shd w:val="clear" w:color="auto" w:fill="FFFFFF"/>
        </w:rPr>
        <w:t xml:space="preserve">se exige que en la </w:t>
      </w:r>
      <w:proofErr w:type="spellStart"/>
      <w:r w:rsidR="0031180C" w:rsidRPr="007E6C38">
        <w:rPr>
          <w:rFonts w:ascii="Times New Roman" w:hAnsi="Times New Roman" w:cs="Times New Roman"/>
          <w:sz w:val="24"/>
          <w:szCs w:val="24"/>
          <w:shd w:val="clear" w:color="auto" w:fill="FFFFFF"/>
        </w:rPr>
        <w:t>FiAE</w:t>
      </w:r>
      <w:proofErr w:type="spellEnd"/>
      <w:r w:rsidR="0031180C" w:rsidRPr="007E6C38">
        <w:rPr>
          <w:rFonts w:ascii="Times New Roman" w:hAnsi="Times New Roman" w:cs="Times New Roman"/>
          <w:sz w:val="24"/>
          <w:szCs w:val="24"/>
          <w:shd w:val="clear" w:color="auto" w:fill="FFFFFF"/>
        </w:rPr>
        <w:t xml:space="preserve"> se incluya una referencia sobre la distribución de los gastos del préstamo (</w:t>
      </w:r>
      <w:r w:rsidR="00654E83" w:rsidRPr="007E6C38">
        <w:rPr>
          <w:rFonts w:ascii="Times New Roman" w:hAnsi="Times New Roman" w:cs="Times New Roman"/>
          <w:sz w:val="24"/>
          <w:szCs w:val="24"/>
          <w:shd w:val="clear" w:color="auto" w:fill="FFFFFF"/>
        </w:rPr>
        <w:t>art. 14</w:t>
      </w:r>
      <w:r w:rsidR="0031180C" w:rsidRPr="007E6C38">
        <w:rPr>
          <w:rFonts w:ascii="Times New Roman" w:hAnsi="Times New Roman" w:cs="Times New Roman"/>
          <w:sz w:val="24"/>
          <w:szCs w:val="24"/>
          <w:shd w:val="clear" w:color="auto" w:fill="FFFFFF"/>
        </w:rPr>
        <w:t>.1.b LCCI), que en la copia del proyecto del contrato</w:t>
      </w:r>
      <w:r w:rsidR="00E446E0" w:rsidRPr="007E6C38">
        <w:rPr>
          <w:rFonts w:ascii="Times New Roman" w:hAnsi="Times New Roman" w:cs="Times New Roman"/>
          <w:sz w:val="24"/>
          <w:szCs w:val="24"/>
          <w:shd w:val="clear" w:color="auto" w:fill="FFFFFF"/>
        </w:rPr>
        <w:t xml:space="preserve"> se incluya de forma desglosada</w:t>
      </w:r>
      <w:r w:rsidR="0031180C" w:rsidRPr="007E6C38">
        <w:rPr>
          <w:rFonts w:ascii="Times New Roman" w:hAnsi="Times New Roman" w:cs="Times New Roman"/>
          <w:sz w:val="24"/>
          <w:szCs w:val="24"/>
          <w:shd w:val="clear" w:color="auto" w:fill="FFFFFF"/>
        </w:rPr>
        <w:t xml:space="preserve"> la totalidad de los gastos asociados a la firma del contrato (</w:t>
      </w:r>
      <w:r w:rsidR="00654E83" w:rsidRPr="007E6C38">
        <w:rPr>
          <w:rFonts w:ascii="Times New Roman" w:hAnsi="Times New Roman" w:cs="Times New Roman"/>
          <w:sz w:val="24"/>
          <w:szCs w:val="24"/>
          <w:shd w:val="clear" w:color="auto" w:fill="FFFFFF"/>
        </w:rPr>
        <w:t>art. 14</w:t>
      </w:r>
      <w:r w:rsidR="0031180C" w:rsidRPr="007E6C38">
        <w:rPr>
          <w:rFonts w:ascii="Times New Roman" w:hAnsi="Times New Roman" w:cs="Times New Roman"/>
          <w:sz w:val="24"/>
          <w:szCs w:val="24"/>
          <w:shd w:val="clear" w:color="auto" w:fill="FFFFFF"/>
        </w:rPr>
        <w:t>.1.d LCCI) y, en adición a todo ello, información clara y veraz de los gastos que corresponden al prestamista y los que corresponden</w:t>
      </w:r>
      <w:r w:rsidR="009A747C" w:rsidRPr="007E6C38">
        <w:rPr>
          <w:rFonts w:ascii="Times New Roman" w:hAnsi="Times New Roman" w:cs="Times New Roman"/>
          <w:sz w:val="24"/>
          <w:szCs w:val="24"/>
          <w:shd w:val="clear" w:color="auto" w:fill="FFFFFF"/>
        </w:rPr>
        <w:t xml:space="preserve"> al prestatario (</w:t>
      </w:r>
      <w:r w:rsidR="00654E83" w:rsidRPr="007E6C38">
        <w:rPr>
          <w:rFonts w:ascii="Times New Roman" w:hAnsi="Times New Roman" w:cs="Times New Roman"/>
          <w:sz w:val="24"/>
          <w:szCs w:val="24"/>
          <w:shd w:val="clear" w:color="auto" w:fill="FFFFFF"/>
        </w:rPr>
        <w:t>art. 14</w:t>
      </w:r>
      <w:r w:rsidR="009A747C" w:rsidRPr="007E6C38">
        <w:rPr>
          <w:rFonts w:ascii="Times New Roman" w:hAnsi="Times New Roman" w:cs="Times New Roman"/>
          <w:sz w:val="24"/>
          <w:szCs w:val="24"/>
          <w:shd w:val="clear" w:color="auto" w:fill="FFFFFF"/>
        </w:rPr>
        <w:t>.1.e LCCI).</w:t>
      </w:r>
      <w:r w:rsidR="00E446E0" w:rsidRPr="007E6C38">
        <w:rPr>
          <w:rFonts w:ascii="Times New Roman" w:hAnsi="Times New Roman" w:cs="Times New Roman"/>
          <w:sz w:val="24"/>
          <w:szCs w:val="24"/>
          <w:shd w:val="clear" w:color="auto" w:fill="FFFFFF"/>
        </w:rPr>
        <w:t xml:space="preserve"> </w:t>
      </w:r>
      <w:r w:rsidR="00F348FD" w:rsidRPr="007E6C38">
        <w:rPr>
          <w:rFonts w:ascii="Times New Roman" w:hAnsi="Times New Roman" w:cs="Times New Roman"/>
          <w:sz w:val="24"/>
          <w:szCs w:val="24"/>
        </w:rPr>
        <w:t>Resulta chocante esta reiteración</w:t>
      </w:r>
      <w:r w:rsidR="00E446E0" w:rsidRPr="007E6C38">
        <w:rPr>
          <w:rFonts w:ascii="Times New Roman" w:hAnsi="Times New Roman" w:cs="Times New Roman"/>
          <w:sz w:val="24"/>
          <w:szCs w:val="24"/>
        </w:rPr>
        <w:t xml:space="preserve"> sobre la información a proporcionar respecto de las cláusulas de imputación de gastos, siendo así que la validez de estas cláusulas, por decisión primero de la Jurisprudencia expresada en la STS 23 diciembre 2015</w:t>
      </w:r>
      <w:r w:rsidR="005D5ED4" w:rsidRPr="007E6C38">
        <w:rPr>
          <w:rFonts w:ascii="Times New Roman" w:hAnsi="Times New Roman" w:cs="Times New Roman"/>
          <w:sz w:val="24"/>
          <w:szCs w:val="24"/>
        </w:rPr>
        <w:t xml:space="preserve"> (Ar. 2015/5714)</w:t>
      </w:r>
      <w:r w:rsidR="00E446E0" w:rsidRPr="007E6C38">
        <w:rPr>
          <w:rFonts w:ascii="Times New Roman" w:hAnsi="Times New Roman" w:cs="Times New Roman"/>
          <w:sz w:val="24"/>
          <w:szCs w:val="24"/>
        </w:rPr>
        <w:t xml:space="preserve"> y después del legislador español no depende de su transparencia.</w:t>
      </w:r>
      <w:r w:rsidR="00F348FD" w:rsidRPr="007E6C38">
        <w:rPr>
          <w:rFonts w:ascii="Times New Roman" w:hAnsi="Times New Roman" w:cs="Times New Roman"/>
          <w:sz w:val="24"/>
          <w:szCs w:val="24"/>
        </w:rPr>
        <w:t xml:space="preserve"> Basta que el prestatario hubiera sabido mediante una advertencia en la </w:t>
      </w:r>
      <w:proofErr w:type="spellStart"/>
      <w:r w:rsidR="00F348FD" w:rsidRPr="007E6C38">
        <w:rPr>
          <w:rFonts w:ascii="Times New Roman" w:hAnsi="Times New Roman" w:cs="Times New Roman"/>
          <w:sz w:val="24"/>
          <w:szCs w:val="24"/>
        </w:rPr>
        <w:t>FiAE</w:t>
      </w:r>
      <w:proofErr w:type="spellEnd"/>
      <w:r w:rsidR="00F348FD" w:rsidRPr="007E6C38">
        <w:rPr>
          <w:rFonts w:ascii="Times New Roman" w:hAnsi="Times New Roman" w:cs="Times New Roman"/>
          <w:sz w:val="24"/>
          <w:szCs w:val="24"/>
        </w:rPr>
        <w:t xml:space="preserve"> que no tiene que hacer frente a dichos gastos, excepto los de tasación.</w:t>
      </w:r>
    </w:p>
    <w:p w:rsidR="002D72AE" w:rsidRPr="007E6C38" w:rsidRDefault="002D72AE" w:rsidP="00F60A8E">
      <w:pPr>
        <w:spacing w:before="120" w:after="120" w:line="360" w:lineRule="auto"/>
        <w:jc w:val="both"/>
        <w:rPr>
          <w:rFonts w:ascii="Times New Roman" w:hAnsi="Times New Roman" w:cs="Times New Roman"/>
          <w:sz w:val="24"/>
          <w:szCs w:val="24"/>
        </w:rPr>
      </w:pPr>
    </w:p>
    <w:p w:rsidR="00AE4642" w:rsidRPr="007E6C38" w:rsidRDefault="00086E69"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5</w:t>
      </w:r>
      <w:r w:rsidR="00AE4642" w:rsidRPr="007E6C38">
        <w:rPr>
          <w:rFonts w:ascii="Times New Roman" w:hAnsi="Times New Roman" w:cs="Times New Roman"/>
          <w:b/>
          <w:sz w:val="24"/>
          <w:szCs w:val="24"/>
        </w:rPr>
        <w:t>.6 Información sobre</w:t>
      </w:r>
      <w:r w:rsidR="002B2F90" w:rsidRPr="007E6C38">
        <w:rPr>
          <w:rFonts w:ascii="Times New Roman" w:hAnsi="Times New Roman" w:cs="Times New Roman"/>
          <w:b/>
          <w:sz w:val="24"/>
          <w:szCs w:val="24"/>
        </w:rPr>
        <w:t xml:space="preserve"> las implicaciones del</w:t>
      </w:r>
      <w:r w:rsidR="00AE4642" w:rsidRPr="007E6C38">
        <w:rPr>
          <w:rFonts w:ascii="Times New Roman" w:hAnsi="Times New Roman" w:cs="Times New Roman"/>
          <w:b/>
          <w:sz w:val="24"/>
          <w:szCs w:val="24"/>
        </w:rPr>
        <w:t xml:space="preserve"> índice IRPH</w:t>
      </w:r>
    </w:p>
    <w:p w:rsidR="009A747C" w:rsidRPr="007E6C38" w:rsidRDefault="009A747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Los índices IRPH Bancos, Cajas o Entidades, son índices oficiales y publicados por el Banco de España según disponía la disponía la disposición adicional segunda de la derogada Orden Ministerial de 5 de mayo de 1994. Los índices IRPH Bancos y Cajas dejaron de publicarse por mor de la Disposición Adicional 15ª de la Ley 14/2013 de Apoyo a los emprendedores, previéndose su sustitución por el índice de referencia sustitutivo previsto en el misma escritura de préstamo y en su defecto por el Índice IRPH-Entidades.</w:t>
      </w:r>
    </w:p>
    <w:p w:rsidR="009A747C" w:rsidRPr="007E6C38" w:rsidRDefault="00D723D6"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STS 14 diciembre</w:t>
      </w:r>
      <w:r w:rsidR="009A747C" w:rsidRPr="007E6C38">
        <w:rPr>
          <w:rFonts w:ascii="Times New Roman" w:hAnsi="Times New Roman" w:cs="Times New Roman"/>
          <w:sz w:val="24"/>
          <w:szCs w:val="24"/>
        </w:rPr>
        <w:t xml:space="preserve"> 2017</w:t>
      </w:r>
      <w:r w:rsidRPr="007E6C38">
        <w:rPr>
          <w:rFonts w:ascii="Times New Roman" w:hAnsi="Times New Roman" w:cs="Times New Roman"/>
          <w:sz w:val="24"/>
          <w:szCs w:val="24"/>
        </w:rPr>
        <w:t xml:space="preserve"> (Ar. 2017/5167)</w:t>
      </w:r>
      <w:r w:rsidR="009A747C" w:rsidRPr="007E6C38">
        <w:rPr>
          <w:rFonts w:ascii="Times New Roman" w:hAnsi="Times New Roman" w:cs="Times New Roman"/>
          <w:sz w:val="24"/>
          <w:szCs w:val="24"/>
        </w:rPr>
        <w:t xml:space="preserve"> ha considerado que, tratándose de índices oficiales</w:t>
      </w:r>
      <w:r w:rsidR="00C8462B" w:rsidRPr="007E6C38">
        <w:rPr>
          <w:rFonts w:ascii="Times New Roman" w:hAnsi="Times New Roman" w:cs="Times New Roman"/>
          <w:sz w:val="24"/>
          <w:szCs w:val="24"/>
        </w:rPr>
        <w:t>, publicados por el Banco de España</w:t>
      </w:r>
      <w:r w:rsidRPr="007E6C38">
        <w:rPr>
          <w:rFonts w:ascii="Times New Roman" w:hAnsi="Times New Roman" w:cs="Times New Roman"/>
          <w:sz w:val="24"/>
          <w:szCs w:val="24"/>
        </w:rPr>
        <w:t xml:space="preserve"> y accesibles al consumidor</w:t>
      </w:r>
      <w:r w:rsidR="00C8462B" w:rsidRPr="007E6C38">
        <w:rPr>
          <w:rFonts w:ascii="Times New Roman" w:hAnsi="Times New Roman" w:cs="Times New Roman"/>
          <w:sz w:val="24"/>
          <w:szCs w:val="24"/>
        </w:rPr>
        <w:t xml:space="preserve">, basta para que superen el control de transparencia material con </w:t>
      </w:r>
      <w:r w:rsidRPr="007E6C38">
        <w:rPr>
          <w:rFonts w:ascii="Times New Roman" w:hAnsi="Times New Roman" w:cs="Times New Roman"/>
          <w:sz w:val="24"/>
          <w:szCs w:val="24"/>
        </w:rPr>
        <w:t xml:space="preserve">su inclusión de manera clara y comprensible en la escritura de préstamo, </w:t>
      </w:r>
      <w:r w:rsidR="009A747C" w:rsidRPr="007E6C38">
        <w:rPr>
          <w:rFonts w:ascii="Times New Roman" w:hAnsi="Times New Roman" w:cs="Times New Roman"/>
          <w:sz w:val="24"/>
          <w:szCs w:val="24"/>
        </w:rPr>
        <w:t>sin que fuese preciso realizar ninguna explicación adicional sobre la metodología de cálculo de dicho índice, del mismo modo que no hay</w:t>
      </w:r>
      <w:r w:rsidR="00C8462B" w:rsidRPr="007E6C38">
        <w:rPr>
          <w:rFonts w:ascii="Times New Roman" w:hAnsi="Times New Roman" w:cs="Times New Roman"/>
          <w:sz w:val="24"/>
          <w:szCs w:val="24"/>
        </w:rPr>
        <w:t xml:space="preserve"> que explicar la metodología de</w:t>
      </w:r>
      <w:r w:rsidR="009A747C" w:rsidRPr="007E6C38">
        <w:rPr>
          <w:rFonts w:ascii="Times New Roman" w:hAnsi="Times New Roman" w:cs="Times New Roman"/>
          <w:sz w:val="24"/>
          <w:szCs w:val="24"/>
        </w:rPr>
        <w:t xml:space="preserve"> cálculo del euríbo</w:t>
      </w:r>
      <w:r w:rsidR="00C8462B" w:rsidRPr="007E6C38">
        <w:rPr>
          <w:rFonts w:ascii="Times New Roman" w:hAnsi="Times New Roman" w:cs="Times New Roman"/>
          <w:sz w:val="24"/>
          <w:szCs w:val="24"/>
        </w:rPr>
        <w:t>r.</w:t>
      </w:r>
    </w:p>
    <w:p w:rsidR="009A747C" w:rsidRPr="007E6C38" w:rsidRDefault="00C8462B"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Este </w:t>
      </w:r>
      <w:r w:rsidR="00B66DB6" w:rsidRPr="007E6C38">
        <w:rPr>
          <w:rFonts w:ascii="Times New Roman" w:hAnsi="Times New Roman" w:cs="Times New Roman"/>
          <w:sz w:val="24"/>
          <w:szCs w:val="24"/>
        </w:rPr>
        <w:t>punto de vista es cuestionable -</w:t>
      </w:r>
      <w:r w:rsidRPr="007E6C38">
        <w:rPr>
          <w:rFonts w:ascii="Times New Roman" w:hAnsi="Times New Roman" w:cs="Times New Roman"/>
          <w:sz w:val="24"/>
          <w:szCs w:val="24"/>
        </w:rPr>
        <w:t>y de hecho hay actualmente plateada una cuestión prejudicial al respecto ante el Tribunal de Justicia de la UE (Asunto</w:t>
      </w:r>
      <w:r w:rsidR="00D723D6" w:rsidRPr="007E6C38">
        <w:rPr>
          <w:rFonts w:ascii="Times New Roman" w:hAnsi="Times New Roman" w:cs="Times New Roman"/>
          <w:sz w:val="24"/>
          <w:szCs w:val="24"/>
        </w:rPr>
        <w:t xml:space="preserve"> C-125/18, Gómez del Moral </w:t>
      </w:r>
      <w:proofErr w:type="spellStart"/>
      <w:r w:rsidR="00D723D6" w:rsidRPr="007E6C38">
        <w:rPr>
          <w:rFonts w:ascii="Times New Roman" w:hAnsi="Times New Roman" w:cs="Times New Roman"/>
          <w:sz w:val="24"/>
          <w:szCs w:val="24"/>
        </w:rPr>
        <w:t>Guasch</w:t>
      </w:r>
      <w:proofErr w:type="spellEnd"/>
      <w:r w:rsidR="00B66DB6" w:rsidRPr="007E6C38">
        <w:rPr>
          <w:rFonts w:ascii="Times New Roman" w:hAnsi="Times New Roman" w:cs="Times New Roman"/>
          <w:sz w:val="24"/>
          <w:szCs w:val="24"/>
        </w:rPr>
        <w:t>)-</w:t>
      </w:r>
      <w:r w:rsidRPr="007E6C38">
        <w:rPr>
          <w:rFonts w:ascii="Times New Roman" w:hAnsi="Times New Roman" w:cs="Times New Roman"/>
          <w:sz w:val="24"/>
          <w:szCs w:val="24"/>
        </w:rPr>
        <w:t xml:space="preserve"> </w:t>
      </w:r>
      <w:r w:rsidR="009A747C" w:rsidRPr="007E6C38">
        <w:rPr>
          <w:rFonts w:ascii="Times New Roman" w:hAnsi="Times New Roman" w:cs="Times New Roman"/>
          <w:sz w:val="24"/>
          <w:szCs w:val="24"/>
        </w:rPr>
        <w:t>si se parte del dato de que los índices IRPH han sido históricamente más elevados que el euríbor y que con toda probabilidad lo serán siempre y no por circunstancias azarosas que tengan que ver con la evolución impredecible del mercado de crédito, sino por su propia metodología de cálculo</w:t>
      </w:r>
      <w:r w:rsidR="00134665" w:rsidRPr="007E6C38">
        <w:rPr>
          <w:rStyle w:val="Refdenotaalpie"/>
          <w:rFonts w:ascii="Times New Roman" w:hAnsi="Times New Roman" w:cs="Times New Roman"/>
          <w:sz w:val="24"/>
          <w:szCs w:val="24"/>
        </w:rPr>
        <w:footnoteReference w:id="17"/>
      </w:r>
      <w:r w:rsidR="009A747C" w:rsidRPr="007E6C38">
        <w:rPr>
          <w:rFonts w:ascii="Times New Roman" w:hAnsi="Times New Roman" w:cs="Times New Roman"/>
          <w:sz w:val="24"/>
          <w:szCs w:val="24"/>
        </w:rPr>
        <w:t>. La cuestión entonces para valorar si la cláusula que estipula como índice de referencia alguno de los índices IPRH es transparente, conforme a la doctrina sobre el deber de transparencia de las cláusulas relativas al objeto principal del contrato elaborada por el TJUE</w:t>
      </w:r>
      <w:r w:rsidR="00D723D6" w:rsidRPr="007E6C38">
        <w:rPr>
          <w:rFonts w:ascii="Times New Roman" w:hAnsi="Times New Roman" w:cs="Times New Roman"/>
          <w:sz w:val="24"/>
          <w:szCs w:val="24"/>
        </w:rPr>
        <w:t xml:space="preserve"> (STJUE 30 abril 2014, Asunto C-26/13, </w:t>
      </w:r>
      <w:proofErr w:type="spellStart"/>
      <w:r w:rsidR="00D723D6" w:rsidRPr="007E6C38">
        <w:rPr>
          <w:rFonts w:ascii="Times New Roman" w:hAnsi="Times New Roman" w:cs="Times New Roman"/>
          <w:sz w:val="24"/>
          <w:szCs w:val="24"/>
        </w:rPr>
        <w:t>Kásler</w:t>
      </w:r>
      <w:proofErr w:type="spellEnd"/>
      <w:r w:rsidR="00D723D6" w:rsidRPr="007E6C38">
        <w:rPr>
          <w:rFonts w:ascii="Times New Roman" w:hAnsi="Times New Roman" w:cs="Times New Roman"/>
          <w:sz w:val="24"/>
          <w:szCs w:val="24"/>
        </w:rPr>
        <w:t xml:space="preserve"> Vs OTP </w:t>
      </w:r>
      <w:proofErr w:type="spellStart"/>
      <w:r w:rsidR="00D723D6" w:rsidRPr="007E6C38">
        <w:rPr>
          <w:rFonts w:ascii="Times New Roman" w:hAnsi="Times New Roman" w:cs="Times New Roman"/>
          <w:sz w:val="24"/>
          <w:szCs w:val="24"/>
        </w:rPr>
        <w:t>Jelzálogbank</w:t>
      </w:r>
      <w:proofErr w:type="spellEnd"/>
      <w:r w:rsidR="00D723D6" w:rsidRPr="007E6C38">
        <w:rPr>
          <w:rFonts w:ascii="Times New Roman" w:hAnsi="Times New Roman" w:cs="Times New Roman"/>
          <w:sz w:val="24"/>
          <w:szCs w:val="24"/>
        </w:rPr>
        <w:t xml:space="preserve"> </w:t>
      </w:r>
      <w:proofErr w:type="spellStart"/>
      <w:r w:rsidR="00D723D6" w:rsidRPr="007E6C38">
        <w:rPr>
          <w:rFonts w:ascii="Times New Roman" w:hAnsi="Times New Roman" w:cs="Times New Roman"/>
          <w:sz w:val="24"/>
          <w:szCs w:val="24"/>
        </w:rPr>
        <w:t>Zrt</w:t>
      </w:r>
      <w:proofErr w:type="spellEnd"/>
      <w:r w:rsidR="00D723D6" w:rsidRPr="007E6C38">
        <w:rPr>
          <w:rFonts w:ascii="Times New Roman" w:hAnsi="Times New Roman" w:cs="Times New Roman"/>
          <w:sz w:val="24"/>
          <w:szCs w:val="24"/>
        </w:rPr>
        <w:t>)</w:t>
      </w:r>
      <w:r w:rsidRPr="007E6C38">
        <w:rPr>
          <w:rFonts w:ascii="Times New Roman" w:hAnsi="Times New Roman" w:cs="Times New Roman"/>
          <w:sz w:val="24"/>
          <w:szCs w:val="24"/>
        </w:rPr>
        <w:t>,</w:t>
      </w:r>
      <w:r w:rsidR="009A747C" w:rsidRPr="007E6C38">
        <w:rPr>
          <w:rFonts w:ascii="Times New Roman" w:hAnsi="Times New Roman" w:cs="Times New Roman"/>
          <w:sz w:val="24"/>
          <w:szCs w:val="24"/>
        </w:rPr>
        <w:t xml:space="preserve"> es si por la información aportada en la fase precontractual, el consumidor puede conocer las consecuencias económicas derivadas a su cargo por la inclusión de esta cláusula. Para </w:t>
      </w:r>
      <w:r w:rsidRPr="007E6C38">
        <w:rPr>
          <w:rFonts w:ascii="Times New Roman" w:hAnsi="Times New Roman" w:cs="Times New Roman"/>
          <w:sz w:val="24"/>
          <w:szCs w:val="24"/>
        </w:rPr>
        <w:t>ello</w:t>
      </w:r>
      <w:r w:rsidR="009A747C" w:rsidRPr="007E6C38">
        <w:rPr>
          <w:rFonts w:ascii="Times New Roman" w:hAnsi="Times New Roman" w:cs="Times New Roman"/>
          <w:sz w:val="24"/>
          <w:szCs w:val="24"/>
        </w:rPr>
        <w:t xml:space="preserve"> necesitaría saber que el índice IRPH ha sido y será superior al euríbor por su propia naturaleza y además que en época de bajadas de tipos de interés el IRPH tendrá una mayor resistenc</w:t>
      </w:r>
      <w:r w:rsidR="00B66DB6" w:rsidRPr="007E6C38">
        <w:rPr>
          <w:rFonts w:ascii="Times New Roman" w:hAnsi="Times New Roman" w:cs="Times New Roman"/>
          <w:sz w:val="24"/>
          <w:szCs w:val="24"/>
        </w:rPr>
        <w:t>ia a la bajada que el euríbor. S</w:t>
      </w:r>
      <w:r w:rsidR="009A747C" w:rsidRPr="007E6C38">
        <w:rPr>
          <w:rFonts w:ascii="Times New Roman" w:hAnsi="Times New Roman" w:cs="Times New Roman"/>
          <w:sz w:val="24"/>
          <w:szCs w:val="24"/>
        </w:rPr>
        <w:t>ólo así podría valorar si le interesa, por ejemplo, concertar un préstamo con un tipo de interés nominal variable que sea IRPH Entidades más 0,5 % o euríbor más 1.5%. Para que el consumidor pudiera contar con dicha información no basta con que se indique en la escritura de préstamo y en la documentación precontractual de manera clara y comprensible que el índice de referencia será el IRPH, sino que es preciso que se le hubiera aportado</w:t>
      </w:r>
      <w:r w:rsidRPr="007E6C38">
        <w:rPr>
          <w:rFonts w:ascii="Times New Roman" w:hAnsi="Times New Roman" w:cs="Times New Roman"/>
          <w:sz w:val="24"/>
          <w:szCs w:val="24"/>
        </w:rPr>
        <w:t xml:space="preserve"> una</w:t>
      </w:r>
      <w:r w:rsidR="009A747C" w:rsidRPr="007E6C38">
        <w:rPr>
          <w:rFonts w:ascii="Times New Roman" w:hAnsi="Times New Roman" w:cs="Times New Roman"/>
          <w:sz w:val="24"/>
          <w:szCs w:val="24"/>
        </w:rPr>
        <w:t xml:space="preserve"> información comparativa sobre la evolución del IRPH en cuestión y del índice de referencia más frecuente en la práctica hipotecaria española, el euríbor.</w:t>
      </w:r>
    </w:p>
    <w:p w:rsidR="00C8462B" w:rsidRPr="007E6C38" w:rsidRDefault="00C8462B" w:rsidP="00F60A8E">
      <w:pPr>
        <w:spacing w:before="120" w:after="120" w:line="360" w:lineRule="auto"/>
        <w:jc w:val="both"/>
        <w:rPr>
          <w:rFonts w:ascii="Times New Roman" w:hAnsi="Times New Roman" w:cs="Times New Roman"/>
          <w:sz w:val="24"/>
          <w:szCs w:val="24"/>
        </w:rPr>
      </w:pPr>
      <w:r w:rsidRPr="008634F0">
        <w:rPr>
          <w:rFonts w:ascii="Times New Roman" w:hAnsi="Times New Roman" w:cs="Times New Roman"/>
          <w:color w:val="FF0000"/>
          <w:sz w:val="24"/>
          <w:szCs w:val="24"/>
        </w:rPr>
        <w:t xml:space="preserve">La Directiva 2014/17/UE no exige esta información comparativa de la evolución del índice de referencia que resulta más habitual en un determinado mercado </w:t>
      </w:r>
      <w:r w:rsidRPr="007E6C38">
        <w:rPr>
          <w:rFonts w:ascii="Times New Roman" w:hAnsi="Times New Roman" w:cs="Times New Roman"/>
          <w:sz w:val="24"/>
          <w:szCs w:val="24"/>
        </w:rPr>
        <w:t>con otro que pueda resultar</w:t>
      </w:r>
      <w:r w:rsidR="00E446E0" w:rsidRPr="007E6C38">
        <w:rPr>
          <w:rFonts w:ascii="Times New Roman" w:hAnsi="Times New Roman" w:cs="Times New Roman"/>
          <w:sz w:val="24"/>
          <w:szCs w:val="24"/>
        </w:rPr>
        <w:t xml:space="preserve"> menos frecuente. En la Sección</w:t>
      </w:r>
      <w:r w:rsidRPr="007E6C38">
        <w:rPr>
          <w:rFonts w:ascii="Times New Roman" w:hAnsi="Times New Roman" w:cs="Times New Roman"/>
          <w:sz w:val="24"/>
          <w:szCs w:val="24"/>
        </w:rPr>
        <w:t xml:space="preserve"> 4º de la FEIN, tipo de interés y otro</w:t>
      </w:r>
      <w:r w:rsidR="00E446E0" w:rsidRPr="007E6C38">
        <w:rPr>
          <w:rFonts w:ascii="Times New Roman" w:hAnsi="Times New Roman" w:cs="Times New Roman"/>
          <w:sz w:val="24"/>
          <w:szCs w:val="24"/>
        </w:rPr>
        <w:t>s gastos, simplemente se deber</w:t>
      </w:r>
      <w:r w:rsidRPr="007E6C38">
        <w:rPr>
          <w:rFonts w:ascii="Times New Roman" w:hAnsi="Times New Roman" w:cs="Times New Roman"/>
          <w:sz w:val="24"/>
          <w:szCs w:val="24"/>
        </w:rPr>
        <w:t xml:space="preserve"> hacer una mención al índice de referencia empleado, en caso de que se trate de un préstamo con interés variable. También es cierto que </w:t>
      </w:r>
      <w:r w:rsidRPr="008634F0">
        <w:rPr>
          <w:rFonts w:ascii="Times New Roman" w:hAnsi="Times New Roman" w:cs="Times New Roman"/>
          <w:color w:val="FF0000"/>
          <w:sz w:val="24"/>
          <w:szCs w:val="24"/>
        </w:rPr>
        <w:t>la TAE es un buen elemento de comparación entre distintas ofertas de préstamo que empleen índices de referencia distintos,</w:t>
      </w:r>
      <w:r w:rsidRPr="007E6C38">
        <w:rPr>
          <w:rFonts w:ascii="Times New Roman" w:hAnsi="Times New Roman" w:cs="Times New Roman"/>
          <w:sz w:val="24"/>
          <w:szCs w:val="24"/>
        </w:rPr>
        <w:t xml:space="preserve"> pues el prestatario ya no está comparando diferenciales que se añaden a distintos índices, sino valores porcentuales que representan el coste absoluto</w:t>
      </w:r>
      <w:r w:rsidR="00134665" w:rsidRPr="007E6C38">
        <w:rPr>
          <w:rFonts w:ascii="Times New Roman" w:hAnsi="Times New Roman" w:cs="Times New Roman"/>
          <w:sz w:val="24"/>
          <w:szCs w:val="24"/>
        </w:rPr>
        <w:t>, sea cual sea el índice empleado</w:t>
      </w:r>
      <w:r w:rsidR="00086E69" w:rsidRPr="007E6C38">
        <w:rPr>
          <w:rStyle w:val="Refdenotaalpie"/>
          <w:rFonts w:ascii="Times New Roman" w:hAnsi="Times New Roman" w:cs="Times New Roman"/>
          <w:sz w:val="24"/>
          <w:szCs w:val="24"/>
        </w:rPr>
        <w:footnoteReference w:id="18"/>
      </w:r>
      <w:r w:rsidRPr="007E6C38">
        <w:rPr>
          <w:rFonts w:ascii="Times New Roman" w:hAnsi="Times New Roman" w:cs="Times New Roman"/>
          <w:sz w:val="24"/>
          <w:szCs w:val="24"/>
        </w:rPr>
        <w:t>.</w:t>
      </w:r>
    </w:p>
    <w:p w:rsidR="0031180C" w:rsidRPr="008634F0" w:rsidRDefault="00C8462B"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 xml:space="preserve">Pero esta es una información que no basta para que el prestatario pueda contratar un préstamo con un índice IRPH con pleno conocimiento de causa sobre las implicaciones económicas que supone el empleo de este índice, en contraposición a la contratación de un préstamo en el que se emplee el euríbor, puesto que </w:t>
      </w:r>
      <w:r w:rsidRPr="008634F0">
        <w:rPr>
          <w:rFonts w:ascii="Times New Roman" w:hAnsi="Times New Roman" w:cs="Times New Roman"/>
          <w:color w:val="FF0000"/>
          <w:sz w:val="24"/>
          <w:szCs w:val="24"/>
        </w:rPr>
        <w:t>la TAE es una foto fija del momento en el que se realiza el préstamo y lo que necesita saber el prestatario es cómo ha evolucionado este índice en comparación con el índice m</w:t>
      </w:r>
      <w:r w:rsidR="00D723D6" w:rsidRPr="008634F0">
        <w:rPr>
          <w:rFonts w:ascii="Times New Roman" w:hAnsi="Times New Roman" w:cs="Times New Roman"/>
          <w:color w:val="FF0000"/>
          <w:sz w:val="24"/>
          <w:szCs w:val="24"/>
        </w:rPr>
        <w:t>ás habitual</w:t>
      </w:r>
      <w:r w:rsidR="00D723D6" w:rsidRPr="007E6C38">
        <w:rPr>
          <w:rFonts w:ascii="Times New Roman" w:hAnsi="Times New Roman" w:cs="Times New Roman"/>
          <w:sz w:val="24"/>
          <w:szCs w:val="24"/>
        </w:rPr>
        <w:t>, para así poder calcular si el menor diferencial que s</w:t>
      </w:r>
      <w:r w:rsidR="00086E69" w:rsidRPr="007E6C38">
        <w:rPr>
          <w:rFonts w:ascii="Times New Roman" w:hAnsi="Times New Roman" w:cs="Times New Roman"/>
          <w:sz w:val="24"/>
          <w:szCs w:val="24"/>
        </w:rPr>
        <w:t>e le ofrece resulta realmente ventajoso</w:t>
      </w:r>
      <w:r w:rsidR="00E446E0" w:rsidRPr="007E6C38">
        <w:rPr>
          <w:rFonts w:ascii="Times New Roman" w:hAnsi="Times New Roman" w:cs="Times New Roman"/>
          <w:sz w:val="24"/>
          <w:szCs w:val="24"/>
        </w:rPr>
        <w:t xml:space="preserve"> o si, por el contrario, esta ventaja está amortizada por la mayor diferencia que en la serie histórica ha existido en la evolución de uno y otro índice.</w:t>
      </w:r>
      <w:r w:rsidRPr="007E6C38">
        <w:rPr>
          <w:rFonts w:ascii="Times New Roman" w:hAnsi="Times New Roman" w:cs="Times New Roman"/>
          <w:sz w:val="24"/>
          <w:szCs w:val="24"/>
        </w:rPr>
        <w:t xml:space="preserve"> Lo que</w:t>
      </w:r>
      <w:r w:rsidR="00086E69" w:rsidRPr="007E6C38">
        <w:rPr>
          <w:rFonts w:ascii="Times New Roman" w:hAnsi="Times New Roman" w:cs="Times New Roman"/>
          <w:sz w:val="24"/>
          <w:szCs w:val="24"/>
        </w:rPr>
        <w:t xml:space="preserve"> en nuestra opinión justifica</w:t>
      </w:r>
      <w:r w:rsidRPr="007E6C38">
        <w:rPr>
          <w:rFonts w:ascii="Times New Roman" w:hAnsi="Times New Roman" w:cs="Times New Roman"/>
          <w:sz w:val="24"/>
          <w:szCs w:val="24"/>
        </w:rPr>
        <w:t xml:space="preserve"> una explicación adicional sobre la evolución de ambos índices cuando se contrate un préstamo con índice IRPH es el carácter menos habitual o incluso margina</w:t>
      </w:r>
      <w:r w:rsidR="00B66DB6" w:rsidRPr="007E6C38">
        <w:rPr>
          <w:rFonts w:ascii="Times New Roman" w:hAnsi="Times New Roman" w:cs="Times New Roman"/>
          <w:sz w:val="24"/>
          <w:szCs w:val="24"/>
        </w:rPr>
        <w:t>l</w:t>
      </w:r>
      <w:r w:rsidRPr="007E6C38">
        <w:rPr>
          <w:rFonts w:ascii="Times New Roman" w:hAnsi="Times New Roman" w:cs="Times New Roman"/>
          <w:sz w:val="24"/>
          <w:szCs w:val="24"/>
        </w:rPr>
        <w:t xml:space="preserve"> del empleo de este índice de referencia en el mercado español</w:t>
      </w:r>
      <w:r w:rsidR="00D723D6" w:rsidRPr="007E6C38">
        <w:rPr>
          <w:rStyle w:val="Refdenotaalpie"/>
          <w:rFonts w:ascii="Times New Roman" w:hAnsi="Times New Roman" w:cs="Times New Roman"/>
          <w:sz w:val="24"/>
          <w:szCs w:val="24"/>
        </w:rPr>
        <w:footnoteReference w:id="19"/>
      </w:r>
      <w:r w:rsidRPr="007E6C38">
        <w:rPr>
          <w:rFonts w:ascii="Times New Roman" w:hAnsi="Times New Roman" w:cs="Times New Roman"/>
          <w:sz w:val="24"/>
          <w:szCs w:val="24"/>
        </w:rPr>
        <w:t xml:space="preserve">. </w:t>
      </w:r>
      <w:r w:rsidRPr="008634F0">
        <w:rPr>
          <w:rFonts w:ascii="Times New Roman" w:hAnsi="Times New Roman" w:cs="Times New Roman"/>
          <w:color w:val="FF0000"/>
          <w:sz w:val="24"/>
          <w:szCs w:val="24"/>
        </w:rPr>
        <w:t>Estas explicaciones adicionales sobre la evolución de ambos índices o, al menos, una indicació</w:t>
      </w:r>
      <w:r w:rsidR="00D723D6" w:rsidRPr="008634F0">
        <w:rPr>
          <w:rFonts w:ascii="Times New Roman" w:hAnsi="Times New Roman" w:cs="Times New Roman"/>
          <w:color w:val="FF0000"/>
          <w:sz w:val="24"/>
          <w:szCs w:val="24"/>
        </w:rPr>
        <w:t>n sobre el lugar en el que pueda</w:t>
      </w:r>
      <w:r w:rsidRPr="008634F0">
        <w:rPr>
          <w:rFonts w:ascii="Times New Roman" w:hAnsi="Times New Roman" w:cs="Times New Roman"/>
          <w:color w:val="FF0000"/>
          <w:sz w:val="24"/>
          <w:szCs w:val="24"/>
        </w:rPr>
        <w:t xml:space="preserve"> hacerse esta consulta, podrían incluirse en la </w:t>
      </w:r>
      <w:proofErr w:type="spellStart"/>
      <w:r w:rsidRPr="008634F0">
        <w:rPr>
          <w:rFonts w:ascii="Times New Roman" w:hAnsi="Times New Roman" w:cs="Times New Roman"/>
          <w:color w:val="FF0000"/>
          <w:sz w:val="24"/>
          <w:szCs w:val="24"/>
        </w:rPr>
        <w:t>FiAE</w:t>
      </w:r>
      <w:proofErr w:type="spellEnd"/>
      <w:r w:rsidRPr="008634F0">
        <w:rPr>
          <w:rFonts w:ascii="Times New Roman" w:hAnsi="Times New Roman" w:cs="Times New Roman"/>
          <w:color w:val="FF0000"/>
          <w:sz w:val="24"/>
          <w:szCs w:val="24"/>
        </w:rPr>
        <w:t>.</w:t>
      </w:r>
    </w:p>
    <w:p w:rsidR="00662770" w:rsidRPr="007E6C38" w:rsidRDefault="00662770" w:rsidP="00F60A8E">
      <w:pPr>
        <w:spacing w:before="120" w:after="120" w:line="360" w:lineRule="auto"/>
        <w:jc w:val="both"/>
        <w:rPr>
          <w:rFonts w:ascii="Times New Roman" w:hAnsi="Times New Roman" w:cs="Times New Roman"/>
          <w:sz w:val="24"/>
          <w:szCs w:val="24"/>
        </w:rPr>
      </w:pPr>
    </w:p>
    <w:p w:rsidR="006378E4" w:rsidRPr="007E6C38" w:rsidRDefault="006378E4"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V</w:t>
      </w:r>
      <w:r w:rsidR="00086E69" w:rsidRPr="007E6C38">
        <w:rPr>
          <w:rFonts w:ascii="Times New Roman" w:hAnsi="Times New Roman" w:cs="Times New Roman"/>
          <w:b/>
          <w:sz w:val="24"/>
          <w:szCs w:val="24"/>
        </w:rPr>
        <w:t>I</w:t>
      </w:r>
      <w:r w:rsidRPr="007E6C38">
        <w:rPr>
          <w:rFonts w:ascii="Times New Roman" w:hAnsi="Times New Roman" w:cs="Times New Roman"/>
          <w:b/>
          <w:sz w:val="24"/>
          <w:szCs w:val="24"/>
        </w:rPr>
        <w:t>. LAS EXPLICACIONES ADECUADAS ADICIONALES</w:t>
      </w:r>
    </w:p>
    <w:p w:rsidR="005D76A8" w:rsidRPr="007E6C38" w:rsidRDefault="00460D94"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La Directiva </w:t>
      </w:r>
      <w:r w:rsidR="005D76A8" w:rsidRPr="007E6C38">
        <w:rPr>
          <w:rFonts w:ascii="Times New Roman" w:hAnsi="Times New Roman" w:cs="Times New Roman"/>
          <w:sz w:val="24"/>
          <w:szCs w:val="24"/>
        </w:rPr>
        <w:t>2014/17</w:t>
      </w:r>
      <w:r w:rsidRPr="007E6C38">
        <w:rPr>
          <w:rFonts w:ascii="Times New Roman" w:hAnsi="Times New Roman" w:cs="Times New Roman"/>
          <w:sz w:val="24"/>
          <w:szCs w:val="24"/>
        </w:rPr>
        <w:t>/UE</w:t>
      </w:r>
      <w:r w:rsidR="005D76A8" w:rsidRPr="007E6C38">
        <w:rPr>
          <w:rFonts w:ascii="Times New Roman" w:hAnsi="Times New Roman" w:cs="Times New Roman"/>
          <w:sz w:val="24"/>
          <w:szCs w:val="24"/>
        </w:rPr>
        <w:t xml:space="preserve"> en su art. 16 impone a los Estados miembros velar por que los prestamistas y, en su caso, los intermediarios de crédito faciliten al consumidor </w:t>
      </w:r>
      <w:r w:rsidR="005D76A8" w:rsidRPr="008634F0">
        <w:rPr>
          <w:rFonts w:ascii="Times New Roman" w:hAnsi="Times New Roman" w:cs="Times New Roman"/>
          <w:color w:val="FF0000"/>
          <w:sz w:val="24"/>
          <w:szCs w:val="24"/>
        </w:rPr>
        <w:t xml:space="preserve">explicaciones adecuadas </w:t>
      </w:r>
      <w:r w:rsidR="005D76A8" w:rsidRPr="007E6C38">
        <w:rPr>
          <w:rFonts w:ascii="Times New Roman" w:hAnsi="Times New Roman" w:cs="Times New Roman"/>
          <w:sz w:val="24"/>
          <w:szCs w:val="24"/>
        </w:rPr>
        <w:t>sobre el contrato o los cont</w:t>
      </w:r>
      <w:r w:rsidR="00F14921" w:rsidRPr="007E6C38">
        <w:rPr>
          <w:rFonts w:ascii="Times New Roman" w:hAnsi="Times New Roman" w:cs="Times New Roman"/>
          <w:sz w:val="24"/>
          <w:szCs w:val="24"/>
        </w:rPr>
        <w:t>ratos de crédito que se ofrecen</w:t>
      </w:r>
      <w:r w:rsidR="005D76A8" w:rsidRPr="007E6C38">
        <w:rPr>
          <w:rFonts w:ascii="Times New Roman" w:hAnsi="Times New Roman" w:cs="Times New Roman"/>
          <w:sz w:val="24"/>
          <w:szCs w:val="24"/>
        </w:rPr>
        <w:t xml:space="preserve"> y sobre todo</w:t>
      </w:r>
      <w:r w:rsidR="00F14921" w:rsidRPr="007E6C38">
        <w:rPr>
          <w:rFonts w:ascii="Times New Roman" w:hAnsi="Times New Roman" w:cs="Times New Roman"/>
          <w:sz w:val="24"/>
          <w:szCs w:val="24"/>
        </w:rPr>
        <w:t>s</w:t>
      </w:r>
      <w:r w:rsidR="005D76A8" w:rsidRPr="007E6C38">
        <w:rPr>
          <w:rFonts w:ascii="Times New Roman" w:hAnsi="Times New Roman" w:cs="Times New Roman"/>
          <w:sz w:val="24"/>
          <w:szCs w:val="24"/>
        </w:rPr>
        <w:t xml:space="preserve"> los servicios accesorios, al objeto de que el consumidor pueda calibrar si dichos contratos y servicios accesorios se adaptan a sus necesidades y a su situación financiera.</w:t>
      </w:r>
    </w:p>
    <w:p w:rsidR="005D76A8" w:rsidRPr="007E6C38" w:rsidRDefault="005D76A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Estas explicaciones adecuadas incluirán, además de la FEIN (a), las características principales de los productos propuestos (b), los efectos específicos que los productos propuestos pueden tener en el consumidor, incluidas las consecuencias que se producirían si este incurriera en impago (c) y cuando se trate de servicios accesorios combinados, si cada componente del paquete puede rescindirse por separado y las implicaciones que ello tendría para el consumidor (d).</w:t>
      </w:r>
      <w:r w:rsidR="00086E69" w:rsidRPr="007E6C38">
        <w:rPr>
          <w:rFonts w:ascii="Times New Roman" w:hAnsi="Times New Roman" w:cs="Times New Roman"/>
          <w:sz w:val="24"/>
          <w:szCs w:val="24"/>
        </w:rPr>
        <w:t xml:space="preserve"> </w:t>
      </w:r>
      <w:r w:rsidR="00BE4F53" w:rsidRPr="007E6C38">
        <w:rPr>
          <w:rFonts w:ascii="Times New Roman" w:hAnsi="Times New Roman" w:cs="Times New Roman"/>
          <w:sz w:val="24"/>
          <w:szCs w:val="24"/>
        </w:rPr>
        <w:t xml:space="preserve">Está claro, por tanto, que </w:t>
      </w:r>
      <w:r w:rsidR="00BE4F53" w:rsidRPr="008634F0">
        <w:rPr>
          <w:rFonts w:ascii="Times New Roman" w:hAnsi="Times New Roman" w:cs="Times New Roman"/>
          <w:color w:val="FF0000"/>
          <w:sz w:val="24"/>
          <w:szCs w:val="24"/>
        </w:rPr>
        <w:t>en el esquema de la Directiva 2014/17/UE tales explicaciones adecuadas trasciende</w:t>
      </w:r>
      <w:r w:rsidR="00F14921" w:rsidRPr="008634F0">
        <w:rPr>
          <w:rFonts w:ascii="Times New Roman" w:hAnsi="Times New Roman" w:cs="Times New Roman"/>
          <w:color w:val="FF0000"/>
          <w:sz w:val="24"/>
          <w:szCs w:val="24"/>
        </w:rPr>
        <w:t>n</w:t>
      </w:r>
      <w:r w:rsidR="00BE4F53" w:rsidRPr="008634F0">
        <w:rPr>
          <w:rFonts w:ascii="Times New Roman" w:hAnsi="Times New Roman" w:cs="Times New Roman"/>
          <w:color w:val="FF0000"/>
          <w:sz w:val="24"/>
          <w:szCs w:val="24"/>
        </w:rPr>
        <w:t xml:space="preserve"> a la mera entrega de la información normalizada contenida en la FEIN.</w:t>
      </w:r>
      <w:r w:rsidR="00BE4F53" w:rsidRPr="007E6C38">
        <w:rPr>
          <w:rFonts w:ascii="Times New Roman" w:hAnsi="Times New Roman" w:cs="Times New Roman"/>
          <w:sz w:val="24"/>
          <w:szCs w:val="24"/>
        </w:rPr>
        <w:t xml:space="preserve"> </w:t>
      </w:r>
      <w:r w:rsidRPr="007E6C38">
        <w:rPr>
          <w:rFonts w:ascii="Times New Roman" w:hAnsi="Times New Roman" w:cs="Times New Roman"/>
          <w:sz w:val="24"/>
          <w:szCs w:val="24"/>
        </w:rPr>
        <w:t>Además,</w:t>
      </w:r>
      <w:r w:rsidR="00456EEB" w:rsidRPr="007E6C38">
        <w:rPr>
          <w:rFonts w:ascii="Times New Roman" w:hAnsi="Times New Roman" w:cs="Times New Roman"/>
          <w:sz w:val="24"/>
          <w:szCs w:val="24"/>
        </w:rPr>
        <w:t xml:space="preserve"> el art. 16.2 de l</w:t>
      </w:r>
      <w:r w:rsidR="00BE4F53" w:rsidRPr="007E6C38">
        <w:rPr>
          <w:rFonts w:ascii="Times New Roman" w:hAnsi="Times New Roman" w:cs="Times New Roman"/>
          <w:sz w:val="24"/>
          <w:szCs w:val="24"/>
        </w:rPr>
        <w:t xml:space="preserve">a Directiva 2014/17/UE </w:t>
      </w:r>
      <w:r w:rsidR="00BE4F53" w:rsidRPr="008634F0">
        <w:rPr>
          <w:rFonts w:ascii="Times New Roman" w:hAnsi="Times New Roman" w:cs="Times New Roman"/>
          <w:color w:val="FF0000"/>
          <w:sz w:val="24"/>
          <w:szCs w:val="24"/>
        </w:rPr>
        <w:t>confiere amplia libertad a</w:t>
      </w:r>
      <w:r w:rsidR="00456EEB" w:rsidRPr="008634F0">
        <w:rPr>
          <w:rFonts w:ascii="Times New Roman" w:hAnsi="Times New Roman" w:cs="Times New Roman"/>
          <w:color w:val="FF0000"/>
          <w:sz w:val="24"/>
          <w:szCs w:val="24"/>
        </w:rPr>
        <w:t xml:space="preserve"> los Estados miembros para</w:t>
      </w:r>
      <w:r w:rsidRPr="008634F0">
        <w:rPr>
          <w:rFonts w:ascii="Times New Roman" w:hAnsi="Times New Roman" w:cs="Times New Roman"/>
          <w:color w:val="FF0000"/>
          <w:sz w:val="24"/>
          <w:szCs w:val="24"/>
        </w:rPr>
        <w:t xml:space="preserve"> adaptar el modo de prestación de la</w:t>
      </w:r>
      <w:r w:rsidR="00456EEB" w:rsidRPr="008634F0">
        <w:rPr>
          <w:rFonts w:ascii="Times New Roman" w:hAnsi="Times New Roman" w:cs="Times New Roman"/>
          <w:color w:val="FF0000"/>
          <w:sz w:val="24"/>
          <w:szCs w:val="24"/>
        </w:rPr>
        <w:t>s explicaciones</w:t>
      </w:r>
      <w:r w:rsidRPr="008634F0">
        <w:rPr>
          <w:rFonts w:ascii="Times New Roman" w:hAnsi="Times New Roman" w:cs="Times New Roman"/>
          <w:color w:val="FF0000"/>
          <w:sz w:val="24"/>
          <w:szCs w:val="24"/>
        </w:rPr>
        <w:t xml:space="preserve"> mencionada</w:t>
      </w:r>
      <w:r w:rsidR="00134665" w:rsidRPr="008634F0">
        <w:rPr>
          <w:rFonts w:ascii="Times New Roman" w:hAnsi="Times New Roman" w:cs="Times New Roman"/>
          <w:color w:val="FF0000"/>
          <w:sz w:val="24"/>
          <w:szCs w:val="24"/>
        </w:rPr>
        <w:t xml:space="preserve">s </w:t>
      </w:r>
      <w:r w:rsidR="00134665" w:rsidRPr="007E6C38">
        <w:rPr>
          <w:rFonts w:ascii="Times New Roman" w:hAnsi="Times New Roman" w:cs="Times New Roman"/>
          <w:sz w:val="24"/>
          <w:szCs w:val="24"/>
        </w:rPr>
        <w:t xml:space="preserve">y su alcance </w:t>
      </w:r>
      <w:r w:rsidRPr="007E6C38">
        <w:rPr>
          <w:rFonts w:ascii="Times New Roman" w:hAnsi="Times New Roman" w:cs="Times New Roman"/>
          <w:sz w:val="24"/>
          <w:szCs w:val="24"/>
        </w:rPr>
        <w:t>a las circunstancias de la situación en que se ofrece el contrato de crédito, a la persona a quien se ofrece y a la naturaleza del crédito ofrecido.</w:t>
      </w:r>
      <w:r w:rsidR="00BE4F53" w:rsidRPr="007E6C38">
        <w:rPr>
          <w:rFonts w:ascii="Times New Roman" w:hAnsi="Times New Roman" w:cs="Times New Roman"/>
          <w:sz w:val="24"/>
          <w:szCs w:val="24"/>
        </w:rPr>
        <w:t xml:space="preserve"> </w:t>
      </w:r>
      <w:r w:rsidR="00D33B57" w:rsidRPr="007E6C38">
        <w:rPr>
          <w:rFonts w:ascii="Times New Roman" w:hAnsi="Times New Roman" w:cs="Times New Roman"/>
          <w:sz w:val="24"/>
          <w:szCs w:val="24"/>
        </w:rPr>
        <w:t xml:space="preserve">La libertad de transposición abarca también a la forma de proporcionar estas explicaciones adecuadas, que puede ser incluso oral, como ha dispuesto el TJUE en la STJUE 18 diciembre 2014 (Asunto C-499/13, CA </w:t>
      </w:r>
      <w:proofErr w:type="spellStart"/>
      <w:r w:rsidR="00D33B57" w:rsidRPr="007E6C38">
        <w:rPr>
          <w:rFonts w:ascii="Times New Roman" w:hAnsi="Times New Roman" w:cs="Times New Roman"/>
          <w:sz w:val="24"/>
          <w:szCs w:val="24"/>
        </w:rPr>
        <w:t>Consumer</w:t>
      </w:r>
      <w:proofErr w:type="spellEnd"/>
      <w:r w:rsidR="00D33B57" w:rsidRPr="007E6C38">
        <w:rPr>
          <w:rFonts w:ascii="Times New Roman" w:hAnsi="Times New Roman" w:cs="Times New Roman"/>
          <w:sz w:val="24"/>
          <w:szCs w:val="24"/>
        </w:rPr>
        <w:t xml:space="preserve"> </w:t>
      </w:r>
      <w:proofErr w:type="spellStart"/>
      <w:r w:rsidR="00D33B57" w:rsidRPr="007E6C38">
        <w:rPr>
          <w:rFonts w:ascii="Times New Roman" w:hAnsi="Times New Roman" w:cs="Times New Roman"/>
          <w:sz w:val="24"/>
          <w:szCs w:val="24"/>
        </w:rPr>
        <w:t>finance</w:t>
      </w:r>
      <w:proofErr w:type="spellEnd"/>
      <w:r w:rsidR="00D33B57" w:rsidRPr="007E6C38">
        <w:rPr>
          <w:rFonts w:ascii="Times New Roman" w:hAnsi="Times New Roman" w:cs="Times New Roman"/>
          <w:sz w:val="24"/>
          <w:szCs w:val="24"/>
        </w:rPr>
        <w:t xml:space="preserve"> SA, vs I. </w:t>
      </w:r>
      <w:proofErr w:type="spellStart"/>
      <w:r w:rsidR="00D33B57" w:rsidRPr="007E6C38">
        <w:rPr>
          <w:rFonts w:ascii="Times New Roman" w:hAnsi="Times New Roman" w:cs="Times New Roman"/>
          <w:sz w:val="24"/>
          <w:szCs w:val="24"/>
        </w:rPr>
        <w:t>Bakkaus</w:t>
      </w:r>
      <w:proofErr w:type="spellEnd"/>
      <w:r w:rsidR="00D33B57" w:rsidRPr="007E6C38">
        <w:rPr>
          <w:rFonts w:ascii="Times New Roman" w:hAnsi="Times New Roman" w:cs="Times New Roman"/>
          <w:sz w:val="24"/>
          <w:szCs w:val="24"/>
        </w:rPr>
        <w:t xml:space="preserve">; </w:t>
      </w:r>
      <w:proofErr w:type="spellStart"/>
      <w:r w:rsidR="00D33B57" w:rsidRPr="007E6C38">
        <w:rPr>
          <w:rFonts w:ascii="Times New Roman" w:hAnsi="Times New Roman" w:cs="Times New Roman"/>
          <w:sz w:val="24"/>
          <w:szCs w:val="24"/>
        </w:rPr>
        <w:t>Mr</w:t>
      </w:r>
      <w:proofErr w:type="spellEnd"/>
      <w:r w:rsidR="00D33B57" w:rsidRPr="007E6C38">
        <w:rPr>
          <w:rFonts w:ascii="Times New Roman" w:hAnsi="Times New Roman" w:cs="Times New Roman"/>
          <w:sz w:val="24"/>
          <w:szCs w:val="24"/>
        </w:rPr>
        <w:t xml:space="preserve"> y </w:t>
      </w:r>
      <w:proofErr w:type="spellStart"/>
      <w:r w:rsidR="00D33B57" w:rsidRPr="007E6C38">
        <w:rPr>
          <w:rFonts w:ascii="Times New Roman" w:hAnsi="Times New Roman" w:cs="Times New Roman"/>
          <w:sz w:val="24"/>
          <w:szCs w:val="24"/>
        </w:rPr>
        <w:t>Mrs</w:t>
      </w:r>
      <w:proofErr w:type="spellEnd"/>
      <w:r w:rsidR="00D33B57" w:rsidRPr="007E6C38">
        <w:rPr>
          <w:rFonts w:ascii="Times New Roman" w:hAnsi="Times New Roman" w:cs="Times New Roman"/>
          <w:sz w:val="24"/>
          <w:szCs w:val="24"/>
        </w:rPr>
        <w:t xml:space="preserve"> </w:t>
      </w:r>
      <w:proofErr w:type="spellStart"/>
      <w:r w:rsidR="00D33B57" w:rsidRPr="007E6C38">
        <w:rPr>
          <w:rFonts w:ascii="Times New Roman" w:hAnsi="Times New Roman" w:cs="Times New Roman"/>
          <w:sz w:val="24"/>
          <w:szCs w:val="24"/>
        </w:rPr>
        <w:t>Bonato</w:t>
      </w:r>
      <w:proofErr w:type="spellEnd"/>
      <w:r w:rsidR="00D33B57" w:rsidRPr="007E6C38">
        <w:rPr>
          <w:rFonts w:ascii="Times New Roman" w:hAnsi="Times New Roman" w:cs="Times New Roman"/>
          <w:sz w:val="24"/>
          <w:szCs w:val="24"/>
        </w:rPr>
        <w:t>, apartado 48), en relación a la obligación de proporcionar explicaciones adecuadas del</w:t>
      </w:r>
      <w:r w:rsidR="00134665" w:rsidRPr="007E6C38">
        <w:rPr>
          <w:rFonts w:ascii="Times New Roman" w:hAnsi="Times New Roman" w:cs="Times New Roman"/>
          <w:sz w:val="24"/>
          <w:szCs w:val="24"/>
        </w:rPr>
        <w:t xml:space="preserve"> 5.6 de la Directiva 48/2008 sobre </w:t>
      </w:r>
      <w:r w:rsidR="00D33B57" w:rsidRPr="007E6C38">
        <w:rPr>
          <w:rFonts w:ascii="Times New Roman" w:hAnsi="Times New Roman" w:cs="Times New Roman"/>
          <w:sz w:val="24"/>
          <w:szCs w:val="24"/>
        </w:rPr>
        <w:t>contratos de crédito al consumo.</w:t>
      </w:r>
    </w:p>
    <w:p w:rsidR="005D76A8" w:rsidRPr="007E6C38" w:rsidRDefault="00E3551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Por lo que respecta a la transposición de e</w:t>
      </w:r>
      <w:r w:rsidR="00332ABA" w:rsidRPr="007E6C38">
        <w:rPr>
          <w:rFonts w:ascii="Times New Roman" w:hAnsi="Times New Roman" w:cs="Times New Roman"/>
          <w:sz w:val="24"/>
          <w:szCs w:val="24"/>
        </w:rPr>
        <w:t>s</w:t>
      </w:r>
      <w:r w:rsidRPr="007E6C38">
        <w:rPr>
          <w:rFonts w:ascii="Times New Roman" w:hAnsi="Times New Roman" w:cs="Times New Roman"/>
          <w:sz w:val="24"/>
          <w:szCs w:val="24"/>
        </w:rPr>
        <w:t>tas obligaciones al ordenamiento español, en la</w:t>
      </w:r>
      <w:r w:rsidR="005D76A8" w:rsidRPr="007E6C38">
        <w:rPr>
          <w:rFonts w:ascii="Times New Roman" w:hAnsi="Times New Roman" w:cs="Times New Roman"/>
          <w:sz w:val="24"/>
          <w:szCs w:val="24"/>
        </w:rPr>
        <w:t xml:space="preserve"> LCCI la obligación de informar sobre las consecuencias que se producirían para el prestatario si incurriera en impago se ha incluido como una advertencia expresa dentro de la </w:t>
      </w:r>
      <w:proofErr w:type="spellStart"/>
      <w:r w:rsidR="005D76A8" w:rsidRPr="007E6C38">
        <w:rPr>
          <w:rFonts w:ascii="Times New Roman" w:hAnsi="Times New Roman" w:cs="Times New Roman"/>
          <w:sz w:val="24"/>
          <w:szCs w:val="24"/>
        </w:rPr>
        <w:t>FiAE</w:t>
      </w:r>
      <w:proofErr w:type="spellEnd"/>
      <w:r w:rsidR="005D76A8" w:rsidRPr="007E6C38">
        <w:rPr>
          <w:rFonts w:ascii="Times New Roman" w:hAnsi="Times New Roman" w:cs="Times New Roman"/>
          <w:sz w:val="24"/>
          <w:szCs w:val="24"/>
        </w:rPr>
        <w:t xml:space="preserve"> (</w:t>
      </w:r>
      <w:r w:rsidR="00654E83" w:rsidRPr="007E6C38">
        <w:rPr>
          <w:rFonts w:ascii="Times New Roman" w:hAnsi="Times New Roman" w:cs="Times New Roman"/>
          <w:sz w:val="24"/>
          <w:szCs w:val="24"/>
        </w:rPr>
        <w:t>art. 14</w:t>
      </w:r>
      <w:r w:rsidR="005D76A8" w:rsidRPr="007E6C38">
        <w:rPr>
          <w:rFonts w:ascii="Times New Roman" w:hAnsi="Times New Roman" w:cs="Times New Roman"/>
          <w:sz w:val="24"/>
          <w:szCs w:val="24"/>
        </w:rPr>
        <w:t>.1.b) y a la información acerca de las implicaciones que para el consumidor tendría la rescisión anticipada de los servicios accesorios se re</w:t>
      </w:r>
      <w:r w:rsidR="00B66DB6" w:rsidRPr="007E6C38">
        <w:rPr>
          <w:rFonts w:ascii="Times New Roman" w:hAnsi="Times New Roman" w:cs="Times New Roman"/>
          <w:sz w:val="24"/>
          <w:szCs w:val="24"/>
        </w:rPr>
        <w:t>fieren expresamente los arts. 17.5</w:t>
      </w:r>
      <w:proofErr w:type="gramStart"/>
      <w:r w:rsidR="00B66DB6" w:rsidRPr="007E6C38">
        <w:rPr>
          <w:rFonts w:ascii="Times New Roman" w:hAnsi="Times New Roman" w:cs="Times New Roman"/>
          <w:sz w:val="24"/>
          <w:szCs w:val="24"/>
        </w:rPr>
        <w:t>.c</w:t>
      </w:r>
      <w:proofErr w:type="gramEnd"/>
      <w:r w:rsidR="00B66DB6" w:rsidRPr="007E6C38">
        <w:rPr>
          <w:rFonts w:ascii="Times New Roman" w:hAnsi="Times New Roman" w:cs="Times New Roman"/>
          <w:sz w:val="24"/>
          <w:szCs w:val="24"/>
        </w:rPr>
        <w:t xml:space="preserve"> y 17</w:t>
      </w:r>
      <w:r w:rsidR="005D76A8" w:rsidRPr="007E6C38">
        <w:rPr>
          <w:rFonts w:ascii="Times New Roman" w:hAnsi="Times New Roman" w:cs="Times New Roman"/>
          <w:sz w:val="24"/>
          <w:szCs w:val="24"/>
        </w:rPr>
        <w:t>.7.c, según se trate de prácticas vinculadas permitidas o combinadas, respectivamente.</w:t>
      </w:r>
    </w:p>
    <w:p w:rsidR="00E35512" w:rsidRPr="008634F0" w:rsidRDefault="005D76A8"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Pero de todos estos aspectos a los que se refiere el art. 16 de la Directiva UE/2014/17 el que tiene mayor transcendencia</w:t>
      </w:r>
      <w:r w:rsidR="00B66DB6" w:rsidRPr="007E6C38">
        <w:rPr>
          <w:rFonts w:ascii="Times New Roman" w:hAnsi="Times New Roman" w:cs="Times New Roman"/>
          <w:sz w:val="24"/>
          <w:szCs w:val="24"/>
        </w:rPr>
        <w:t>, por su carácter general,</w:t>
      </w:r>
      <w:r w:rsidRPr="007E6C38">
        <w:rPr>
          <w:rFonts w:ascii="Times New Roman" w:hAnsi="Times New Roman" w:cs="Times New Roman"/>
          <w:sz w:val="24"/>
          <w:szCs w:val="24"/>
        </w:rPr>
        <w:t xml:space="preserve"> es el de la </w:t>
      </w:r>
      <w:r w:rsidRPr="008634F0">
        <w:rPr>
          <w:rFonts w:ascii="Times New Roman" w:hAnsi="Times New Roman" w:cs="Times New Roman"/>
          <w:color w:val="FF0000"/>
          <w:sz w:val="24"/>
          <w:szCs w:val="24"/>
        </w:rPr>
        <w:t>información sobre las características principale</w:t>
      </w:r>
      <w:r w:rsidR="00DE71DD" w:rsidRPr="008634F0">
        <w:rPr>
          <w:rFonts w:ascii="Times New Roman" w:hAnsi="Times New Roman" w:cs="Times New Roman"/>
          <w:color w:val="FF0000"/>
          <w:sz w:val="24"/>
          <w:szCs w:val="24"/>
        </w:rPr>
        <w:t>s de los productos propuestos (b</w:t>
      </w:r>
      <w:r w:rsidRPr="008634F0">
        <w:rPr>
          <w:rFonts w:ascii="Times New Roman" w:hAnsi="Times New Roman" w:cs="Times New Roman"/>
          <w:color w:val="FF0000"/>
          <w:sz w:val="24"/>
          <w:szCs w:val="24"/>
        </w:rPr>
        <w:t xml:space="preserve">). </w:t>
      </w:r>
    </w:p>
    <w:p w:rsidR="00BE4F53" w:rsidRPr="008634F0" w:rsidRDefault="00BE4F53" w:rsidP="00F60A8E">
      <w:pPr>
        <w:spacing w:before="120"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Podría pensarse que el legislador español, haciendo uso de la facultad atribuida por el art. 16.2 Directiva 2014/17/UE, ha establecido el alcance de esta obligación de dar explicaciones adecuadas sobre las características principales de los productos en la documental adicional a la FEIN que ha de entregarse según el art. 14</w:t>
      </w:r>
      <w:r w:rsidR="00F14921" w:rsidRPr="007E6C38">
        <w:rPr>
          <w:rFonts w:ascii="Times New Roman" w:hAnsi="Times New Roman" w:cs="Times New Roman"/>
          <w:sz w:val="24"/>
          <w:szCs w:val="24"/>
        </w:rPr>
        <w:t>.1 LCCI, por lo que la obligación de dar explicaciones adecuadas</w:t>
      </w:r>
      <w:r w:rsidRPr="007E6C38">
        <w:rPr>
          <w:rFonts w:ascii="Times New Roman" w:hAnsi="Times New Roman" w:cs="Times New Roman"/>
          <w:sz w:val="24"/>
          <w:szCs w:val="24"/>
        </w:rPr>
        <w:t xml:space="preserve"> se agotaría en la traslación de todos estos documentos. Sin embargo, el art. 14.2 LCCI dispone que, sin perjuicio de la entrega de los document</w:t>
      </w:r>
      <w:r w:rsidR="00D33B57" w:rsidRPr="007E6C38">
        <w:rPr>
          <w:rFonts w:ascii="Times New Roman" w:hAnsi="Times New Roman" w:cs="Times New Roman"/>
          <w:sz w:val="24"/>
          <w:szCs w:val="24"/>
        </w:rPr>
        <w:t xml:space="preserve">os a los que se refiere </w:t>
      </w:r>
      <w:r w:rsidR="00D33B57" w:rsidRPr="008634F0">
        <w:rPr>
          <w:rFonts w:ascii="Times New Roman" w:hAnsi="Times New Roman" w:cs="Times New Roman"/>
          <w:color w:val="FF0000"/>
          <w:sz w:val="24"/>
          <w:szCs w:val="24"/>
        </w:rPr>
        <w:t xml:space="preserve">el art </w:t>
      </w:r>
      <w:r w:rsidRPr="008634F0">
        <w:rPr>
          <w:rFonts w:ascii="Times New Roman" w:hAnsi="Times New Roman" w:cs="Times New Roman"/>
          <w:color w:val="FF0000"/>
          <w:sz w:val="24"/>
          <w:szCs w:val="24"/>
        </w:rPr>
        <w:t>14.1 LCCI, el prestamista debe proporcionar al prestatario toda la informaci</w:t>
      </w:r>
      <w:r w:rsidR="002361E6" w:rsidRPr="008634F0">
        <w:rPr>
          <w:rFonts w:ascii="Times New Roman" w:hAnsi="Times New Roman" w:cs="Times New Roman"/>
          <w:color w:val="FF0000"/>
          <w:sz w:val="24"/>
          <w:szCs w:val="24"/>
        </w:rPr>
        <w:t>ón que fuera necesaria</w:t>
      </w:r>
      <w:r w:rsidR="002361E6" w:rsidRPr="007E6C38">
        <w:rPr>
          <w:rFonts w:ascii="Times New Roman" w:hAnsi="Times New Roman" w:cs="Times New Roman"/>
          <w:sz w:val="24"/>
          <w:szCs w:val="24"/>
        </w:rPr>
        <w:t>, lo que pone de manifiesto</w:t>
      </w:r>
      <w:r w:rsidRPr="007E6C38">
        <w:rPr>
          <w:rFonts w:ascii="Times New Roman" w:hAnsi="Times New Roman" w:cs="Times New Roman"/>
          <w:sz w:val="24"/>
          <w:szCs w:val="24"/>
        </w:rPr>
        <w:t xml:space="preserve"> que la obligación de proporcionar explicaciones adecuadas en el ordenamiento español </w:t>
      </w:r>
      <w:r w:rsidRPr="008634F0">
        <w:rPr>
          <w:rFonts w:ascii="Times New Roman" w:hAnsi="Times New Roman" w:cs="Times New Roman"/>
          <w:color w:val="FF0000"/>
          <w:sz w:val="24"/>
          <w:szCs w:val="24"/>
        </w:rPr>
        <w:t>no se agota en la traslación documental adicional a la FEIN exigida por el art. 14.1 LCCI</w:t>
      </w:r>
      <w:r w:rsidR="002D72AE" w:rsidRPr="008634F0">
        <w:rPr>
          <w:rStyle w:val="Refdenotaalpie"/>
          <w:rFonts w:ascii="Times New Roman" w:hAnsi="Times New Roman" w:cs="Times New Roman"/>
          <w:color w:val="FF0000"/>
          <w:sz w:val="24"/>
          <w:szCs w:val="24"/>
        </w:rPr>
        <w:footnoteReference w:id="20"/>
      </w:r>
      <w:r w:rsidRPr="008634F0">
        <w:rPr>
          <w:rFonts w:ascii="Times New Roman" w:hAnsi="Times New Roman" w:cs="Times New Roman"/>
          <w:color w:val="FF0000"/>
          <w:sz w:val="24"/>
          <w:szCs w:val="24"/>
        </w:rPr>
        <w:t>.</w:t>
      </w:r>
    </w:p>
    <w:p w:rsidR="00460D94" w:rsidRPr="007E6C38" w:rsidRDefault="005D76A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obligación de proporcionar explicaciones adecuadas para el prestatario sobre las características pri</w:t>
      </w:r>
      <w:r w:rsidR="00460D94" w:rsidRPr="007E6C38">
        <w:rPr>
          <w:rFonts w:ascii="Times New Roman" w:hAnsi="Times New Roman" w:cs="Times New Roman"/>
          <w:sz w:val="24"/>
          <w:szCs w:val="24"/>
        </w:rPr>
        <w:t>ncipales de los productos introduce</w:t>
      </w:r>
      <w:r w:rsidRPr="007E6C38">
        <w:rPr>
          <w:rFonts w:ascii="Times New Roman" w:hAnsi="Times New Roman" w:cs="Times New Roman"/>
          <w:sz w:val="24"/>
          <w:szCs w:val="24"/>
        </w:rPr>
        <w:t xml:space="preserve"> un matiz de dinamismo en la obligación de inform</w:t>
      </w:r>
      <w:r w:rsidR="00F14921" w:rsidRPr="007E6C38">
        <w:rPr>
          <w:rFonts w:ascii="Times New Roman" w:hAnsi="Times New Roman" w:cs="Times New Roman"/>
          <w:sz w:val="24"/>
          <w:szCs w:val="24"/>
        </w:rPr>
        <w:t>ación precontractual del prestamista</w:t>
      </w:r>
      <w:r w:rsidR="00BE4F53" w:rsidRPr="007E6C38">
        <w:rPr>
          <w:rFonts w:ascii="Times New Roman" w:hAnsi="Times New Roman" w:cs="Times New Roman"/>
          <w:sz w:val="24"/>
          <w:szCs w:val="24"/>
        </w:rPr>
        <w:t xml:space="preserve"> que</w:t>
      </w:r>
      <w:r w:rsidR="00F14921" w:rsidRPr="007E6C38">
        <w:rPr>
          <w:rFonts w:ascii="Times New Roman" w:hAnsi="Times New Roman" w:cs="Times New Roman"/>
          <w:sz w:val="24"/>
          <w:szCs w:val="24"/>
        </w:rPr>
        <w:t xml:space="preserve"> le</w:t>
      </w:r>
      <w:r w:rsidR="00BE4F53" w:rsidRPr="007E6C38">
        <w:rPr>
          <w:rFonts w:ascii="Times New Roman" w:hAnsi="Times New Roman" w:cs="Times New Roman"/>
          <w:sz w:val="24"/>
          <w:szCs w:val="24"/>
        </w:rPr>
        <w:t xml:space="preserve"> </w:t>
      </w:r>
      <w:r w:rsidR="00F14921" w:rsidRPr="007E6C38">
        <w:rPr>
          <w:rFonts w:ascii="Times New Roman" w:hAnsi="Times New Roman" w:cs="Times New Roman"/>
          <w:sz w:val="24"/>
          <w:szCs w:val="24"/>
        </w:rPr>
        <w:t>obliga</w:t>
      </w:r>
      <w:r w:rsidRPr="007E6C38">
        <w:rPr>
          <w:rFonts w:ascii="Times New Roman" w:hAnsi="Times New Roman" w:cs="Times New Roman"/>
          <w:sz w:val="24"/>
          <w:szCs w:val="24"/>
        </w:rPr>
        <w:t xml:space="preserve"> a adaptar la información que aporta, de acuerdo con las características del producto que ofrece</w:t>
      </w:r>
      <w:r w:rsidR="00460D94" w:rsidRPr="007E6C38">
        <w:rPr>
          <w:rFonts w:ascii="Times New Roman" w:hAnsi="Times New Roman" w:cs="Times New Roman"/>
          <w:sz w:val="24"/>
          <w:szCs w:val="24"/>
        </w:rPr>
        <w:t xml:space="preserve"> y con las circunstancias del prestatario</w:t>
      </w:r>
      <w:r w:rsidR="00B66DB6" w:rsidRPr="007E6C38">
        <w:rPr>
          <w:rFonts w:ascii="Times New Roman" w:hAnsi="Times New Roman" w:cs="Times New Roman"/>
          <w:sz w:val="24"/>
          <w:szCs w:val="24"/>
        </w:rPr>
        <w:t>, para que éste</w:t>
      </w:r>
      <w:r w:rsidRPr="007E6C38">
        <w:rPr>
          <w:rFonts w:ascii="Times New Roman" w:hAnsi="Times New Roman" w:cs="Times New Roman"/>
          <w:sz w:val="24"/>
          <w:szCs w:val="24"/>
        </w:rPr>
        <w:t xml:space="preserve"> pueda valo</w:t>
      </w:r>
      <w:r w:rsidR="00460D94" w:rsidRPr="007E6C38">
        <w:rPr>
          <w:rFonts w:ascii="Times New Roman" w:hAnsi="Times New Roman" w:cs="Times New Roman"/>
          <w:sz w:val="24"/>
          <w:szCs w:val="24"/>
        </w:rPr>
        <w:t>rar</w:t>
      </w:r>
      <w:r w:rsidRPr="007E6C38">
        <w:rPr>
          <w:rFonts w:ascii="Times New Roman" w:hAnsi="Times New Roman" w:cs="Times New Roman"/>
          <w:sz w:val="24"/>
          <w:szCs w:val="24"/>
        </w:rPr>
        <w:t xml:space="preserve"> si dichos contratos y</w:t>
      </w:r>
      <w:r w:rsidR="00460D94" w:rsidRPr="007E6C38">
        <w:rPr>
          <w:rFonts w:ascii="Times New Roman" w:hAnsi="Times New Roman" w:cs="Times New Roman"/>
          <w:sz w:val="24"/>
          <w:szCs w:val="24"/>
        </w:rPr>
        <w:t xml:space="preserve"> los</w:t>
      </w:r>
      <w:r w:rsidRPr="007E6C38">
        <w:rPr>
          <w:rFonts w:ascii="Times New Roman" w:hAnsi="Times New Roman" w:cs="Times New Roman"/>
          <w:sz w:val="24"/>
          <w:szCs w:val="24"/>
        </w:rPr>
        <w:t xml:space="preserve"> servicios accesorios se adaptan a sus necesidades y a su situación financiera</w:t>
      </w:r>
      <w:r w:rsidRPr="007E6C38">
        <w:rPr>
          <w:rStyle w:val="Refdenotaalpie"/>
          <w:rFonts w:ascii="Times New Roman" w:hAnsi="Times New Roman" w:cs="Times New Roman"/>
          <w:sz w:val="24"/>
          <w:szCs w:val="24"/>
        </w:rPr>
        <w:footnoteReference w:id="21"/>
      </w:r>
      <w:r w:rsidRPr="007E6C38">
        <w:rPr>
          <w:rFonts w:ascii="Times New Roman" w:hAnsi="Times New Roman" w:cs="Times New Roman"/>
          <w:sz w:val="24"/>
          <w:szCs w:val="24"/>
        </w:rPr>
        <w:t xml:space="preserve">. </w:t>
      </w:r>
      <w:r w:rsidR="00460D94" w:rsidRPr="007E6C38">
        <w:rPr>
          <w:rFonts w:ascii="Times New Roman" w:hAnsi="Times New Roman" w:cs="Times New Roman"/>
          <w:sz w:val="24"/>
          <w:szCs w:val="24"/>
        </w:rPr>
        <w:t xml:space="preserve">Sin embargo, conviene matizar cuál es el alcance de esta obligación de proporcionar explicaciones adecuadas adicionales a la información documental estandarizada, para que </w:t>
      </w:r>
      <w:r w:rsidR="00460D94" w:rsidRPr="008634F0">
        <w:rPr>
          <w:rFonts w:ascii="Times New Roman" w:hAnsi="Times New Roman" w:cs="Times New Roman"/>
          <w:color w:val="FF0000"/>
          <w:sz w:val="24"/>
          <w:szCs w:val="24"/>
        </w:rPr>
        <w:t>esta obligación no se convierta en una válvula de escape que dé cobertura a cualquier pretensión de nulidad de cláusulas o aspectos de los contratos de crédito inmobiliario, bajo el pretexto de que se ha hurtado a</w:t>
      </w:r>
      <w:r w:rsidR="007B3074" w:rsidRPr="008634F0">
        <w:rPr>
          <w:rFonts w:ascii="Times New Roman" w:hAnsi="Times New Roman" w:cs="Times New Roman"/>
          <w:color w:val="FF0000"/>
          <w:sz w:val="24"/>
          <w:szCs w:val="24"/>
        </w:rPr>
        <w:t>l prestatario tal o cual explicación adicional</w:t>
      </w:r>
      <w:r w:rsidR="00456EEB" w:rsidRPr="008634F0">
        <w:rPr>
          <w:rFonts w:ascii="Times New Roman" w:hAnsi="Times New Roman" w:cs="Times New Roman"/>
          <w:color w:val="FF0000"/>
          <w:sz w:val="24"/>
          <w:szCs w:val="24"/>
        </w:rPr>
        <w:t xml:space="preserve"> a la información documental entregada</w:t>
      </w:r>
      <w:r w:rsidR="00F14921" w:rsidRPr="007E6C38">
        <w:rPr>
          <w:rFonts w:ascii="Times New Roman" w:hAnsi="Times New Roman" w:cs="Times New Roman"/>
          <w:sz w:val="24"/>
          <w:szCs w:val="24"/>
        </w:rPr>
        <w:t>.</w:t>
      </w:r>
      <w:r w:rsidR="00460D94" w:rsidRPr="007E6C38">
        <w:rPr>
          <w:rFonts w:ascii="Times New Roman" w:hAnsi="Times New Roman" w:cs="Times New Roman"/>
          <w:sz w:val="24"/>
          <w:szCs w:val="24"/>
        </w:rPr>
        <w:t xml:space="preserve"> Riesgo éste, al que puede contribuir la imprecisa y no muy afortunada referencia</w:t>
      </w:r>
      <w:r w:rsidR="007B3074" w:rsidRPr="007E6C38">
        <w:rPr>
          <w:rFonts w:ascii="Times New Roman" w:hAnsi="Times New Roman" w:cs="Times New Roman"/>
          <w:sz w:val="24"/>
          <w:szCs w:val="24"/>
        </w:rPr>
        <w:t xml:space="preserve"> en el </w:t>
      </w:r>
      <w:r w:rsidR="00654E83" w:rsidRPr="007E6C38">
        <w:rPr>
          <w:rFonts w:ascii="Times New Roman" w:hAnsi="Times New Roman" w:cs="Times New Roman"/>
          <w:sz w:val="24"/>
          <w:szCs w:val="24"/>
        </w:rPr>
        <w:t>art. 14</w:t>
      </w:r>
      <w:r w:rsidR="007B3074" w:rsidRPr="007E6C38">
        <w:rPr>
          <w:rFonts w:ascii="Times New Roman" w:hAnsi="Times New Roman" w:cs="Times New Roman"/>
          <w:sz w:val="24"/>
          <w:szCs w:val="24"/>
        </w:rPr>
        <w:t>.2 LCCI</w:t>
      </w:r>
      <w:r w:rsidR="00460D94" w:rsidRPr="007E6C38">
        <w:rPr>
          <w:rFonts w:ascii="Times New Roman" w:hAnsi="Times New Roman" w:cs="Times New Roman"/>
          <w:sz w:val="24"/>
          <w:szCs w:val="24"/>
        </w:rPr>
        <w:t xml:space="preserve"> a </w:t>
      </w:r>
      <w:r w:rsidR="00E35512" w:rsidRPr="007E6C38">
        <w:rPr>
          <w:rFonts w:ascii="Times New Roman" w:hAnsi="Times New Roman" w:cs="Times New Roman"/>
          <w:sz w:val="24"/>
          <w:szCs w:val="24"/>
        </w:rPr>
        <w:t>la obligación del prestamista a proporcionar al prestatario</w:t>
      </w:r>
      <w:r w:rsidR="00456EEB" w:rsidRPr="007E6C38">
        <w:rPr>
          <w:rFonts w:ascii="Times New Roman" w:hAnsi="Times New Roman" w:cs="Times New Roman"/>
          <w:sz w:val="24"/>
          <w:szCs w:val="24"/>
        </w:rPr>
        <w:t xml:space="preserve">, en adición a los documentos a los que se refiere el </w:t>
      </w:r>
      <w:r w:rsidR="00654E83" w:rsidRPr="007E6C38">
        <w:rPr>
          <w:rFonts w:ascii="Times New Roman" w:hAnsi="Times New Roman" w:cs="Times New Roman"/>
          <w:sz w:val="24"/>
          <w:szCs w:val="24"/>
        </w:rPr>
        <w:t>art. 14</w:t>
      </w:r>
      <w:r w:rsidR="00456EEB" w:rsidRPr="007E6C38">
        <w:rPr>
          <w:rFonts w:ascii="Times New Roman" w:hAnsi="Times New Roman" w:cs="Times New Roman"/>
          <w:sz w:val="24"/>
          <w:szCs w:val="24"/>
        </w:rPr>
        <w:t>.1 LCCI,</w:t>
      </w:r>
      <w:r w:rsidR="00E35512" w:rsidRPr="007E6C38">
        <w:rPr>
          <w:rFonts w:ascii="Times New Roman" w:hAnsi="Times New Roman" w:cs="Times New Roman"/>
          <w:sz w:val="24"/>
          <w:szCs w:val="24"/>
        </w:rPr>
        <w:t xml:space="preserve"> “toda la información que fuera necesaria</w:t>
      </w:r>
      <w:r w:rsidR="007B3074" w:rsidRPr="007E6C38">
        <w:rPr>
          <w:rFonts w:ascii="Times New Roman" w:hAnsi="Times New Roman" w:cs="Times New Roman"/>
          <w:sz w:val="24"/>
          <w:szCs w:val="24"/>
        </w:rPr>
        <w:t>”.</w:t>
      </w:r>
    </w:p>
    <w:p w:rsidR="00E35512" w:rsidRPr="007E6C38" w:rsidRDefault="00E3551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Al respecto, </w:t>
      </w:r>
      <w:r w:rsidR="00BE4F53" w:rsidRPr="007E6C38">
        <w:rPr>
          <w:rFonts w:ascii="Times New Roman" w:hAnsi="Times New Roman" w:cs="Times New Roman"/>
          <w:sz w:val="24"/>
          <w:szCs w:val="24"/>
        </w:rPr>
        <w:t>un análisis del art. 16.1 de la Directiva 2014/17/UE y del art. 14.2 LCCI, permitiría distinguir tres niveles en los que se puede estructurar la obligación de prestar explicaciones adecuadas</w:t>
      </w:r>
      <w:r w:rsidRPr="007E6C38">
        <w:rPr>
          <w:rFonts w:ascii="Times New Roman" w:hAnsi="Times New Roman" w:cs="Times New Roman"/>
          <w:sz w:val="24"/>
          <w:szCs w:val="24"/>
        </w:rPr>
        <w:t>:</w:t>
      </w:r>
    </w:p>
    <w:p w:rsidR="00E35512" w:rsidRPr="007E6C38" w:rsidRDefault="00E3551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w:t>
      </w:r>
      <w:r w:rsidR="007B3074" w:rsidRPr="007E6C38">
        <w:rPr>
          <w:rFonts w:ascii="Times New Roman" w:hAnsi="Times New Roman" w:cs="Times New Roman"/>
          <w:sz w:val="24"/>
          <w:szCs w:val="24"/>
        </w:rPr>
        <w:t xml:space="preserve"> i) </w:t>
      </w:r>
      <w:r w:rsidR="007B3074" w:rsidRPr="007E6C38">
        <w:rPr>
          <w:rFonts w:ascii="Times New Roman" w:hAnsi="Times New Roman" w:cs="Times New Roman"/>
          <w:b/>
          <w:sz w:val="24"/>
          <w:szCs w:val="24"/>
        </w:rPr>
        <w:t>Obligación de</w:t>
      </w:r>
      <w:r w:rsidR="00EF23EC" w:rsidRPr="007E6C38">
        <w:rPr>
          <w:rFonts w:ascii="Times New Roman" w:hAnsi="Times New Roman" w:cs="Times New Roman"/>
          <w:b/>
          <w:sz w:val="24"/>
          <w:szCs w:val="24"/>
        </w:rPr>
        <w:t xml:space="preserve"> asistencia</w:t>
      </w:r>
      <w:r w:rsidRPr="007E6C38">
        <w:rPr>
          <w:rFonts w:ascii="Times New Roman" w:hAnsi="Times New Roman" w:cs="Times New Roman"/>
          <w:sz w:val="24"/>
          <w:szCs w:val="24"/>
        </w:rPr>
        <w:t xml:space="preserve">, esto es de responder a todas las cuestiones que el prestatario pueda plantear al prestamista sobre las características principales del producto. </w:t>
      </w:r>
      <w:r w:rsidR="00DE71DD" w:rsidRPr="007E6C38">
        <w:rPr>
          <w:rFonts w:ascii="Times New Roman" w:hAnsi="Times New Roman" w:cs="Times New Roman"/>
          <w:sz w:val="24"/>
          <w:szCs w:val="24"/>
        </w:rPr>
        <w:t>A ello</w:t>
      </w:r>
      <w:r w:rsidRPr="007E6C38">
        <w:rPr>
          <w:rFonts w:ascii="Times New Roman" w:hAnsi="Times New Roman" w:cs="Times New Roman"/>
          <w:sz w:val="24"/>
          <w:szCs w:val="24"/>
        </w:rPr>
        <w:t xml:space="preserve"> se refiere</w:t>
      </w:r>
      <w:r w:rsidR="00456EEB" w:rsidRPr="007E6C38">
        <w:rPr>
          <w:rFonts w:ascii="Times New Roman" w:hAnsi="Times New Roman" w:cs="Times New Roman"/>
          <w:sz w:val="24"/>
          <w:szCs w:val="24"/>
        </w:rPr>
        <w:t xml:space="preserve"> expresamente</w:t>
      </w:r>
      <w:r w:rsidRPr="007E6C38">
        <w:rPr>
          <w:rFonts w:ascii="Times New Roman" w:hAnsi="Times New Roman" w:cs="Times New Roman"/>
          <w:sz w:val="24"/>
          <w:szCs w:val="24"/>
        </w:rPr>
        <w:t xml:space="preserve">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.2 LCCI, al disponer que “</w:t>
      </w:r>
      <w:r w:rsidRPr="008634F0">
        <w:rPr>
          <w:rFonts w:ascii="Times New Roman" w:hAnsi="Times New Roman" w:cs="Times New Roman"/>
          <w:color w:val="FF0000"/>
          <w:sz w:val="24"/>
          <w:szCs w:val="24"/>
        </w:rPr>
        <w:t>En particular, el prestamista responderá a las consultas que le formule el prestatario acerca del contenido, significado y trascendencia práctica de los documentos entregados”.</w:t>
      </w:r>
      <w:r w:rsidRPr="007E6C38">
        <w:rPr>
          <w:rFonts w:ascii="Times New Roman" w:hAnsi="Times New Roman" w:cs="Times New Roman"/>
          <w:sz w:val="24"/>
          <w:szCs w:val="24"/>
        </w:rPr>
        <w:t xml:space="preserve"> Sin embargo, el mismo precepto va demasiado lejos en</w:t>
      </w:r>
      <w:r w:rsidR="00456EEB" w:rsidRPr="007E6C38">
        <w:rPr>
          <w:rFonts w:ascii="Times New Roman" w:hAnsi="Times New Roman" w:cs="Times New Roman"/>
          <w:sz w:val="24"/>
          <w:szCs w:val="24"/>
        </w:rPr>
        <w:t xml:space="preserve"> la determinación del alcance de</w:t>
      </w:r>
      <w:r w:rsidRPr="007E6C38">
        <w:rPr>
          <w:rFonts w:ascii="Times New Roman" w:hAnsi="Times New Roman" w:cs="Times New Roman"/>
          <w:sz w:val="24"/>
          <w:szCs w:val="24"/>
        </w:rPr>
        <w:t xml:space="preserve"> </w:t>
      </w:r>
      <w:r w:rsidR="00F14921" w:rsidRPr="007E6C38">
        <w:rPr>
          <w:rFonts w:ascii="Times New Roman" w:hAnsi="Times New Roman" w:cs="Times New Roman"/>
          <w:sz w:val="24"/>
          <w:szCs w:val="24"/>
        </w:rPr>
        <w:t>esta obligación de asistencia</w:t>
      </w:r>
      <w:r w:rsidRPr="007E6C38">
        <w:rPr>
          <w:rFonts w:ascii="Times New Roman" w:hAnsi="Times New Roman" w:cs="Times New Roman"/>
          <w:sz w:val="24"/>
          <w:szCs w:val="24"/>
        </w:rPr>
        <w:t xml:space="preserve">, cuando </w:t>
      </w:r>
      <w:r w:rsidRPr="008634F0">
        <w:rPr>
          <w:rFonts w:ascii="Times New Roman" w:hAnsi="Times New Roman" w:cs="Times New Roman"/>
          <w:color w:val="FF0000"/>
          <w:sz w:val="24"/>
          <w:szCs w:val="24"/>
        </w:rPr>
        <w:t xml:space="preserve">requiere que las respuestas de la entidad contengan “ejemplos de aplicación práctica de las cláusulas financieras, en diversos escenarios de coyuntura económica, en especial de las relativas a tipos de interés y, en su caso, de los instrumentos de cobertura de riesgos financieros que se vayan a suscribir con ocasión del préstamo”. </w:t>
      </w:r>
      <w:r w:rsidRPr="007E6C38">
        <w:rPr>
          <w:rFonts w:ascii="Times New Roman" w:hAnsi="Times New Roman" w:cs="Times New Roman"/>
          <w:sz w:val="24"/>
          <w:szCs w:val="24"/>
        </w:rPr>
        <w:t>Por un lado,</w:t>
      </w:r>
      <w:r w:rsidR="00456EEB" w:rsidRPr="007E6C38">
        <w:rPr>
          <w:rFonts w:ascii="Times New Roman" w:hAnsi="Times New Roman" w:cs="Times New Roman"/>
          <w:sz w:val="24"/>
          <w:szCs w:val="24"/>
        </w:rPr>
        <w:t xml:space="preserve"> en no pocos casos,</w:t>
      </w:r>
      <w:r w:rsidRPr="007E6C38">
        <w:rPr>
          <w:rFonts w:ascii="Times New Roman" w:hAnsi="Times New Roman" w:cs="Times New Roman"/>
          <w:sz w:val="24"/>
          <w:szCs w:val="24"/>
        </w:rPr>
        <w:t xml:space="preserve"> estos ejemplos de aplicación práctica más que explicaciones adicionales s</w:t>
      </w:r>
      <w:r w:rsidR="007B3074" w:rsidRPr="007E6C38">
        <w:rPr>
          <w:rFonts w:ascii="Times New Roman" w:hAnsi="Times New Roman" w:cs="Times New Roman"/>
          <w:sz w:val="24"/>
          <w:szCs w:val="24"/>
        </w:rPr>
        <w:t>erían explicaciones redundantes</w:t>
      </w:r>
      <w:r w:rsidRPr="007E6C38">
        <w:rPr>
          <w:rFonts w:ascii="Times New Roman" w:hAnsi="Times New Roman" w:cs="Times New Roman"/>
          <w:sz w:val="24"/>
          <w:szCs w:val="24"/>
        </w:rPr>
        <w:t xml:space="preserve"> con lo ya requerido en la información documental estandarizada en el mismo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.1 LCCI, puesto que en la FEIN ya se incluye una tabla ilu</w:t>
      </w:r>
      <w:r w:rsidR="00BE4F53" w:rsidRPr="007E6C38">
        <w:rPr>
          <w:rFonts w:ascii="Times New Roman" w:hAnsi="Times New Roman" w:cs="Times New Roman"/>
          <w:sz w:val="24"/>
          <w:szCs w:val="24"/>
        </w:rPr>
        <w:t>strativa del reembolso (Sección</w:t>
      </w:r>
      <w:r w:rsidRPr="007E6C38">
        <w:rPr>
          <w:rFonts w:ascii="Times New Roman" w:hAnsi="Times New Roman" w:cs="Times New Roman"/>
          <w:sz w:val="24"/>
          <w:szCs w:val="24"/>
        </w:rPr>
        <w:t xml:space="preserve"> 7</w:t>
      </w:r>
      <w:r w:rsidR="00BE4F53" w:rsidRPr="007E6C38">
        <w:rPr>
          <w:rFonts w:ascii="Times New Roman" w:hAnsi="Times New Roman" w:cs="Times New Roman"/>
          <w:sz w:val="24"/>
          <w:szCs w:val="24"/>
        </w:rPr>
        <w:t>ª</w:t>
      </w:r>
      <w:r w:rsidRPr="007E6C38">
        <w:rPr>
          <w:rFonts w:ascii="Times New Roman" w:hAnsi="Times New Roman" w:cs="Times New Roman"/>
          <w:sz w:val="24"/>
          <w:szCs w:val="24"/>
        </w:rPr>
        <w:t>), así como</w:t>
      </w:r>
      <w:r w:rsidR="00456EEB" w:rsidRPr="007E6C38">
        <w:rPr>
          <w:rFonts w:ascii="Times New Roman" w:hAnsi="Times New Roman" w:cs="Times New Roman"/>
          <w:sz w:val="24"/>
          <w:szCs w:val="24"/>
        </w:rPr>
        <w:t>, en su caso,</w:t>
      </w:r>
      <w:r w:rsidRPr="007E6C38">
        <w:rPr>
          <w:rFonts w:ascii="Times New Roman" w:hAnsi="Times New Roman" w:cs="Times New Roman"/>
          <w:sz w:val="24"/>
          <w:szCs w:val="24"/>
        </w:rPr>
        <w:t xml:space="preserve"> ejemplos representativos de la depreciación del euro en los préstamos c</w:t>
      </w:r>
      <w:r w:rsidR="00BE4F53" w:rsidRPr="007E6C38">
        <w:rPr>
          <w:rFonts w:ascii="Times New Roman" w:hAnsi="Times New Roman" w:cs="Times New Roman"/>
          <w:sz w:val="24"/>
          <w:szCs w:val="24"/>
        </w:rPr>
        <w:t>oncertados en divisas (Secciones</w:t>
      </w:r>
      <w:r w:rsidRPr="007E6C38">
        <w:rPr>
          <w:rFonts w:ascii="Times New Roman" w:hAnsi="Times New Roman" w:cs="Times New Roman"/>
          <w:sz w:val="24"/>
          <w:szCs w:val="24"/>
        </w:rPr>
        <w:t xml:space="preserve"> 3</w:t>
      </w:r>
      <w:r w:rsidR="00BE4F53" w:rsidRPr="007E6C38">
        <w:rPr>
          <w:rFonts w:ascii="Times New Roman" w:hAnsi="Times New Roman" w:cs="Times New Roman"/>
          <w:sz w:val="24"/>
          <w:szCs w:val="24"/>
        </w:rPr>
        <w:t>ª</w:t>
      </w:r>
      <w:r w:rsidRPr="007E6C38">
        <w:rPr>
          <w:rFonts w:ascii="Times New Roman" w:hAnsi="Times New Roman" w:cs="Times New Roman"/>
          <w:sz w:val="24"/>
          <w:szCs w:val="24"/>
        </w:rPr>
        <w:t xml:space="preserve"> y 6</w:t>
      </w:r>
      <w:r w:rsidR="00BE4F53" w:rsidRPr="007E6C38">
        <w:rPr>
          <w:rFonts w:ascii="Times New Roman" w:hAnsi="Times New Roman" w:cs="Times New Roman"/>
          <w:sz w:val="24"/>
          <w:szCs w:val="24"/>
        </w:rPr>
        <w:t>ª</w:t>
      </w:r>
      <w:r w:rsidRPr="007E6C38">
        <w:rPr>
          <w:rFonts w:ascii="Times New Roman" w:hAnsi="Times New Roman" w:cs="Times New Roman"/>
          <w:sz w:val="24"/>
          <w:szCs w:val="24"/>
        </w:rPr>
        <w:t xml:space="preserve">) y además, siendo el préstamo a interés variable, el </w:t>
      </w:r>
      <w:r w:rsidR="00654E83" w:rsidRPr="007E6C38">
        <w:rPr>
          <w:rFonts w:ascii="Times New Roman" w:hAnsi="Times New Roman" w:cs="Times New Roman"/>
          <w:sz w:val="24"/>
          <w:szCs w:val="24"/>
        </w:rPr>
        <w:t>art. 14</w:t>
      </w:r>
      <w:r w:rsidR="00BE4F53" w:rsidRPr="007E6C38">
        <w:rPr>
          <w:rFonts w:ascii="Times New Roman" w:hAnsi="Times New Roman" w:cs="Times New Roman"/>
          <w:sz w:val="24"/>
          <w:szCs w:val="24"/>
        </w:rPr>
        <w:t>.1.c LCCI exige que se entregue un documento con</w:t>
      </w:r>
      <w:r w:rsidR="007B3074" w:rsidRPr="007E6C38">
        <w:rPr>
          <w:rFonts w:ascii="Times New Roman" w:hAnsi="Times New Roman" w:cs="Times New Roman"/>
          <w:sz w:val="24"/>
          <w:szCs w:val="24"/>
        </w:rPr>
        <w:t xml:space="preserve"> ejemplos de amortización en distintos escenarios de evolución del índice de referencia</w:t>
      </w:r>
      <w:r w:rsidRPr="007E6C38">
        <w:rPr>
          <w:rFonts w:ascii="Times New Roman" w:hAnsi="Times New Roman" w:cs="Times New Roman"/>
          <w:sz w:val="24"/>
          <w:szCs w:val="24"/>
        </w:rPr>
        <w:t xml:space="preserve">. Pero además, esta previsión del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 xml:space="preserve">.2 LCCI </w:t>
      </w:r>
      <w:r w:rsidRPr="008634F0">
        <w:rPr>
          <w:rFonts w:ascii="Times New Roman" w:hAnsi="Times New Roman" w:cs="Times New Roman"/>
          <w:color w:val="FF0000"/>
          <w:sz w:val="24"/>
          <w:szCs w:val="24"/>
        </w:rPr>
        <w:t>está presuponiendo que sea cuál sea la consulta efectuada por el prestatario y sea cual sea su nivel de conocimiento</w:t>
      </w:r>
      <w:r w:rsidR="00456EEB" w:rsidRPr="008634F0">
        <w:rPr>
          <w:rFonts w:ascii="Times New Roman" w:hAnsi="Times New Roman" w:cs="Times New Roman"/>
          <w:color w:val="FF0000"/>
          <w:sz w:val="24"/>
          <w:szCs w:val="24"/>
        </w:rPr>
        <w:t>s financieros</w:t>
      </w:r>
      <w:r w:rsidRPr="008634F0">
        <w:rPr>
          <w:rFonts w:ascii="Times New Roman" w:hAnsi="Times New Roman" w:cs="Times New Roman"/>
          <w:color w:val="FF0000"/>
          <w:sz w:val="24"/>
          <w:szCs w:val="24"/>
        </w:rPr>
        <w:t>, una explicación adecuada requiere siempre que se realicen ejemplos de aplicación práctica</w:t>
      </w:r>
      <w:r w:rsidRPr="007E6C38">
        <w:rPr>
          <w:rFonts w:ascii="Times New Roman" w:hAnsi="Times New Roman" w:cs="Times New Roman"/>
          <w:sz w:val="24"/>
          <w:szCs w:val="24"/>
        </w:rPr>
        <w:t>,</w:t>
      </w:r>
      <w:r w:rsidR="009F32ED" w:rsidRPr="007E6C38">
        <w:rPr>
          <w:rFonts w:ascii="Times New Roman" w:hAnsi="Times New Roman" w:cs="Times New Roman"/>
          <w:sz w:val="24"/>
          <w:szCs w:val="24"/>
        </w:rPr>
        <w:t xml:space="preserve"> siendo así que según el Considerando 48 de la Directiva UE/2014/17, la necesidad de asistencia al consumidor se considera </w:t>
      </w:r>
      <w:r w:rsidR="009F32ED" w:rsidRPr="00E16DF1">
        <w:rPr>
          <w:rFonts w:ascii="Times New Roman" w:hAnsi="Times New Roman" w:cs="Times New Roman"/>
          <w:color w:val="FF0000"/>
          <w:sz w:val="24"/>
          <w:szCs w:val="24"/>
        </w:rPr>
        <w:t>“habida cuenta de los conocimientos y experiencia crediticia de este y la índole de los productos de crédito específicos</w:t>
      </w:r>
      <w:r w:rsidR="009F32ED" w:rsidRPr="007E6C38">
        <w:rPr>
          <w:rFonts w:ascii="Times New Roman" w:hAnsi="Times New Roman" w:cs="Times New Roman"/>
          <w:sz w:val="24"/>
          <w:szCs w:val="24"/>
        </w:rPr>
        <w:t>”</w:t>
      </w:r>
      <w:r w:rsidR="009F32ED" w:rsidRPr="007E6C38">
        <w:rPr>
          <w:rStyle w:val="Refdenotaalpie"/>
          <w:rFonts w:ascii="Times New Roman" w:hAnsi="Times New Roman" w:cs="Times New Roman"/>
          <w:sz w:val="24"/>
          <w:szCs w:val="24"/>
        </w:rPr>
        <w:footnoteReference w:id="22"/>
      </w:r>
      <w:r w:rsidR="009F32ED" w:rsidRPr="007E6C38">
        <w:rPr>
          <w:rFonts w:ascii="Times New Roman" w:hAnsi="Times New Roman" w:cs="Times New Roman"/>
          <w:sz w:val="24"/>
          <w:szCs w:val="24"/>
        </w:rPr>
        <w:t>,</w:t>
      </w:r>
      <w:r w:rsidRPr="007E6C38">
        <w:rPr>
          <w:rFonts w:ascii="Times New Roman" w:hAnsi="Times New Roman" w:cs="Times New Roman"/>
          <w:sz w:val="24"/>
          <w:szCs w:val="24"/>
        </w:rPr>
        <w:t xml:space="preserve"> por no mencionar que la respuesta a estas consultas normalmente será verbal y </w:t>
      </w:r>
      <w:r w:rsidRPr="00E16DF1">
        <w:rPr>
          <w:rFonts w:ascii="Times New Roman" w:hAnsi="Times New Roman" w:cs="Times New Roman"/>
          <w:color w:val="FF0000"/>
          <w:sz w:val="24"/>
          <w:szCs w:val="24"/>
        </w:rPr>
        <w:t>no habrá manera razonable de acreditar cómo se han llevado a cabo estos ejemplos de aplicación práctica</w:t>
      </w:r>
      <w:r w:rsidRPr="007E6C38">
        <w:rPr>
          <w:rFonts w:ascii="Times New Roman" w:hAnsi="Times New Roman" w:cs="Times New Roman"/>
          <w:sz w:val="24"/>
          <w:szCs w:val="24"/>
        </w:rPr>
        <w:t>.</w:t>
      </w:r>
    </w:p>
    <w:p w:rsidR="00E35512" w:rsidRPr="007E6C38" w:rsidRDefault="00E35512"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definitiva, que por mandato legal la respuesta del prestamista a las consultas efectuadas por el prestatario sobre las características principales del préstamo haya de consistir siempre en “ejemplos de aplicación práctica de las cláusulas financieras, en diversos escenarios de coyuntura económica</w:t>
      </w:r>
      <w:r w:rsidR="00BE4F53" w:rsidRPr="007E6C38">
        <w:rPr>
          <w:rFonts w:ascii="Times New Roman" w:hAnsi="Times New Roman" w:cs="Times New Roman"/>
          <w:sz w:val="24"/>
          <w:szCs w:val="24"/>
        </w:rPr>
        <w:t>” no es más que un exceso</w:t>
      </w:r>
      <w:r w:rsidR="007B3074" w:rsidRPr="007E6C38">
        <w:rPr>
          <w:rFonts w:ascii="Times New Roman" w:hAnsi="Times New Roman" w:cs="Times New Roman"/>
          <w:sz w:val="24"/>
          <w:szCs w:val="24"/>
        </w:rPr>
        <w:t xml:space="preserve"> de última hora</w:t>
      </w:r>
      <w:r w:rsidR="00BE4F53" w:rsidRPr="007E6C38">
        <w:rPr>
          <w:rStyle w:val="Refdenotaalpie"/>
          <w:rFonts w:ascii="Times New Roman" w:hAnsi="Times New Roman" w:cs="Times New Roman"/>
          <w:sz w:val="24"/>
          <w:szCs w:val="24"/>
        </w:rPr>
        <w:footnoteReference w:id="23"/>
      </w:r>
      <w:r w:rsidR="00AA7D78" w:rsidRPr="007E6C38">
        <w:rPr>
          <w:rFonts w:ascii="Times New Roman" w:hAnsi="Times New Roman" w:cs="Times New Roman"/>
          <w:sz w:val="24"/>
          <w:szCs w:val="24"/>
        </w:rPr>
        <w:t>, que además se antoja que tendrá escasa repercusión en sede judicial, habida cuenta la dificultad para acreditar mediante prueba testifical de los empleados de la entidad las informaciones verbales que transmitieron</w:t>
      </w:r>
      <w:r w:rsidR="00AA7D78" w:rsidRPr="007E6C38">
        <w:rPr>
          <w:rStyle w:val="Refdenotaalpie"/>
          <w:rFonts w:ascii="Times New Roman" w:hAnsi="Times New Roman" w:cs="Times New Roman"/>
          <w:sz w:val="24"/>
          <w:szCs w:val="24"/>
        </w:rPr>
        <w:footnoteReference w:id="24"/>
      </w:r>
      <w:r w:rsidR="00AA7D78" w:rsidRPr="007E6C38">
        <w:rPr>
          <w:rFonts w:ascii="Times New Roman" w:hAnsi="Times New Roman" w:cs="Times New Roman"/>
          <w:sz w:val="24"/>
          <w:szCs w:val="24"/>
        </w:rPr>
        <w:t>.</w:t>
      </w:r>
    </w:p>
    <w:p w:rsidR="00EF23EC" w:rsidRPr="007E6C38" w:rsidRDefault="00EF23EC"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En principio, esta obligación de asistencia es de </w:t>
      </w:r>
      <w:r w:rsidRPr="00E16DF1">
        <w:rPr>
          <w:rFonts w:ascii="Times New Roman" w:hAnsi="Times New Roman" w:cs="Times New Roman"/>
          <w:color w:val="FF0000"/>
          <w:sz w:val="24"/>
          <w:szCs w:val="24"/>
        </w:rPr>
        <w:t xml:space="preserve">mera disponibilidad, por lo que cumpliría el prestamista simplemente disponiendo de procedimientos internos que garantizasen que el prestatario pudiera obtener gratuitamente las explicaciones por él requeridas </w:t>
      </w:r>
      <w:r w:rsidRPr="007E6C38">
        <w:rPr>
          <w:rFonts w:ascii="Times New Roman" w:hAnsi="Times New Roman" w:cs="Times New Roman"/>
          <w:sz w:val="24"/>
          <w:szCs w:val="24"/>
        </w:rPr>
        <w:t xml:space="preserve">sobre la documentación contractual entregada, si bien lógicamente </w:t>
      </w:r>
      <w:r w:rsidRPr="00CF1335">
        <w:rPr>
          <w:rFonts w:ascii="Times New Roman" w:hAnsi="Times New Roman" w:cs="Times New Roman"/>
          <w:color w:val="FF0000"/>
          <w:sz w:val="24"/>
          <w:szCs w:val="24"/>
        </w:rPr>
        <w:t xml:space="preserve">pudieran derivarse consecuencias contractuales sobre el </w:t>
      </w:r>
      <w:r w:rsidR="00F14921" w:rsidRPr="00CF1335">
        <w:rPr>
          <w:rFonts w:ascii="Times New Roman" w:hAnsi="Times New Roman" w:cs="Times New Roman"/>
          <w:color w:val="FF0000"/>
          <w:sz w:val="24"/>
          <w:szCs w:val="24"/>
        </w:rPr>
        <w:t>plano de la validez</w:t>
      </w:r>
      <w:r w:rsidR="002361E6" w:rsidRPr="00CF1335">
        <w:rPr>
          <w:rFonts w:ascii="Times New Roman" w:hAnsi="Times New Roman" w:cs="Times New Roman"/>
          <w:color w:val="FF0000"/>
          <w:sz w:val="24"/>
          <w:szCs w:val="24"/>
        </w:rPr>
        <w:t xml:space="preserve"> o de la responsabilidad</w:t>
      </w:r>
      <w:r w:rsidRPr="00CF1335">
        <w:rPr>
          <w:rFonts w:ascii="Times New Roman" w:hAnsi="Times New Roman" w:cs="Times New Roman"/>
          <w:color w:val="FF0000"/>
          <w:sz w:val="24"/>
          <w:szCs w:val="24"/>
        </w:rPr>
        <w:t xml:space="preserve"> si las explicaciones dadas fueran incorrectas y ello hubiera tenido relevancia en la prestaci</w:t>
      </w:r>
      <w:r w:rsidR="002361E6" w:rsidRPr="00CF1335">
        <w:rPr>
          <w:rFonts w:ascii="Times New Roman" w:hAnsi="Times New Roman" w:cs="Times New Roman"/>
          <w:color w:val="FF0000"/>
          <w:sz w:val="24"/>
          <w:szCs w:val="24"/>
        </w:rPr>
        <w:t>ón del consentimiento</w:t>
      </w:r>
      <w:r w:rsidR="002361E6" w:rsidRPr="007E6C38">
        <w:rPr>
          <w:rFonts w:ascii="Times New Roman" w:hAnsi="Times New Roman" w:cs="Times New Roman"/>
          <w:sz w:val="24"/>
          <w:szCs w:val="24"/>
        </w:rPr>
        <w:t>, aunque</w:t>
      </w:r>
      <w:r w:rsidRPr="007E6C38">
        <w:rPr>
          <w:rFonts w:ascii="Times New Roman" w:hAnsi="Times New Roman" w:cs="Times New Roman"/>
          <w:sz w:val="24"/>
          <w:szCs w:val="24"/>
        </w:rPr>
        <w:t xml:space="preserve"> el carácter esencialmente verbal de estas explicaciones dificulta la prueba de la incorrección de las explicaciones.</w:t>
      </w:r>
    </w:p>
    <w:p w:rsidR="00AA7D78" w:rsidRPr="007E6C38" w:rsidRDefault="00905951"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ii) </w:t>
      </w:r>
      <w:r w:rsidR="00283F99" w:rsidRPr="007E6C38">
        <w:rPr>
          <w:rFonts w:ascii="Times New Roman" w:hAnsi="Times New Roman" w:cs="Times New Roman"/>
          <w:b/>
          <w:sz w:val="24"/>
          <w:szCs w:val="24"/>
        </w:rPr>
        <w:t>Obligación de dar e</w:t>
      </w:r>
      <w:r w:rsidR="00DE71DD" w:rsidRPr="007E6C38">
        <w:rPr>
          <w:rFonts w:ascii="Times New Roman" w:hAnsi="Times New Roman" w:cs="Times New Roman"/>
          <w:b/>
          <w:sz w:val="24"/>
          <w:szCs w:val="24"/>
        </w:rPr>
        <w:t>xplicaciones sobre la adecuación del producto a la situación financiera del prestatario</w:t>
      </w:r>
      <w:r w:rsidR="00476B9D" w:rsidRPr="007E6C38">
        <w:rPr>
          <w:rFonts w:ascii="Times New Roman" w:hAnsi="Times New Roman" w:cs="Times New Roman"/>
          <w:sz w:val="24"/>
          <w:szCs w:val="24"/>
        </w:rPr>
        <w:t xml:space="preserve">. </w:t>
      </w:r>
      <w:r w:rsidR="00134665" w:rsidRPr="007E6C38">
        <w:rPr>
          <w:rFonts w:ascii="Times New Roman" w:hAnsi="Times New Roman" w:cs="Times New Roman"/>
          <w:sz w:val="24"/>
          <w:szCs w:val="24"/>
        </w:rPr>
        <w:t xml:space="preserve">Según </w:t>
      </w:r>
      <w:r w:rsidR="00AA7D78" w:rsidRPr="007E6C38">
        <w:rPr>
          <w:rFonts w:ascii="Times New Roman" w:hAnsi="Times New Roman" w:cs="Times New Roman"/>
          <w:sz w:val="24"/>
          <w:szCs w:val="24"/>
        </w:rPr>
        <w:t>el art. 16.1 de la Directiva 2014/17/UE el objeto de las explicaciones adecuadas es que “el consumidor pueda calibrar si dichos contratos y servicios accesorios se adaptan a sus necesidade</w:t>
      </w:r>
      <w:r w:rsidR="00D33B57" w:rsidRPr="007E6C38">
        <w:rPr>
          <w:rFonts w:ascii="Times New Roman" w:hAnsi="Times New Roman" w:cs="Times New Roman"/>
          <w:sz w:val="24"/>
          <w:szCs w:val="24"/>
        </w:rPr>
        <w:t>s y a su situación financiera”</w:t>
      </w:r>
      <w:r w:rsidR="002361E6" w:rsidRPr="007E6C38">
        <w:rPr>
          <w:rFonts w:ascii="Times New Roman" w:hAnsi="Times New Roman" w:cs="Times New Roman"/>
          <w:sz w:val="24"/>
          <w:szCs w:val="24"/>
        </w:rPr>
        <w:t>, de lo que se desprende, por un lado, que el prestamista no deber orientar al prestatario a la contratación de productos claramente inadecuados a sus necesidades financieras y, por otra parte, una obligación de advertir acerca de la inadecuación del producto inicialmente ofrecido, de acuerdo con la situación financiera que se desprende de la evaluación de la solvencia del potencial prestatario</w:t>
      </w:r>
      <w:r w:rsidR="00D33B57" w:rsidRPr="007E6C38">
        <w:rPr>
          <w:rFonts w:ascii="Times New Roman" w:hAnsi="Times New Roman" w:cs="Times New Roman"/>
          <w:sz w:val="24"/>
          <w:szCs w:val="24"/>
        </w:rPr>
        <w:t>.</w:t>
      </w:r>
      <w:r w:rsidR="00AA7D78" w:rsidRPr="007E6C38">
        <w:rPr>
          <w:rFonts w:ascii="Times New Roman" w:hAnsi="Times New Roman" w:cs="Times New Roman"/>
          <w:sz w:val="24"/>
          <w:szCs w:val="24"/>
        </w:rPr>
        <w:t xml:space="preserve"> </w:t>
      </w:r>
      <w:r w:rsidR="00476B9D" w:rsidRPr="007E6C38">
        <w:rPr>
          <w:rFonts w:ascii="Times New Roman" w:hAnsi="Times New Roman" w:cs="Times New Roman"/>
          <w:sz w:val="24"/>
          <w:szCs w:val="24"/>
        </w:rPr>
        <w:t>A la interrelación entre la obligación de aportar explicaciones adecuadas y el deber de evaluar la solvencia del deudor (art.</w:t>
      </w:r>
      <w:r w:rsidR="00AA7D78" w:rsidRPr="007E6C38">
        <w:rPr>
          <w:rFonts w:ascii="Times New Roman" w:hAnsi="Times New Roman" w:cs="Times New Roman"/>
          <w:sz w:val="24"/>
          <w:szCs w:val="24"/>
        </w:rPr>
        <w:t xml:space="preserve"> 28 de la Directiva 2014/17/UE)</w:t>
      </w:r>
      <w:r w:rsidR="00476B9D" w:rsidRPr="007E6C38">
        <w:rPr>
          <w:rFonts w:ascii="Times New Roman" w:hAnsi="Times New Roman" w:cs="Times New Roman"/>
          <w:sz w:val="24"/>
          <w:szCs w:val="24"/>
        </w:rPr>
        <w:t xml:space="preserve"> se ha referido, si bien en relación a los arts. 5 y 8 de la Directiva 48/2008 de contratos de crédito al consumo”, la STJUE 18 diciembre 2014 (Asunto C-499/13, CA </w:t>
      </w:r>
      <w:proofErr w:type="spellStart"/>
      <w:r w:rsidR="00476B9D" w:rsidRPr="007E6C38">
        <w:rPr>
          <w:rFonts w:ascii="Times New Roman" w:hAnsi="Times New Roman" w:cs="Times New Roman"/>
          <w:sz w:val="24"/>
          <w:szCs w:val="24"/>
        </w:rPr>
        <w:t>Consumer</w:t>
      </w:r>
      <w:proofErr w:type="spellEnd"/>
      <w:r w:rsidR="00476B9D" w:rsidRPr="007E6C38">
        <w:rPr>
          <w:rFonts w:ascii="Times New Roman" w:hAnsi="Times New Roman" w:cs="Times New Roman"/>
          <w:sz w:val="24"/>
          <w:szCs w:val="24"/>
        </w:rPr>
        <w:t xml:space="preserve"> </w:t>
      </w:r>
      <w:proofErr w:type="spellStart"/>
      <w:r w:rsidR="00476B9D" w:rsidRPr="007E6C38">
        <w:rPr>
          <w:rFonts w:ascii="Times New Roman" w:hAnsi="Times New Roman" w:cs="Times New Roman"/>
          <w:sz w:val="24"/>
          <w:szCs w:val="24"/>
        </w:rPr>
        <w:t>finance</w:t>
      </w:r>
      <w:proofErr w:type="spellEnd"/>
      <w:r w:rsidR="00476B9D" w:rsidRPr="007E6C38">
        <w:rPr>
          <w:rFonts w:ascii="Times New Roman" w:hAnsi="Times New Roman" w:cs="Times New Roman"/>
          <w:sz w:val="24"/>
          <w:szCs w:val="24"/>
        </w:rPr>
        <w:t xml:space="preserve"> SA, vs I. </w:t>
      </w:r>
      <w:proofErr w:type="spellStart"/>
      <w:r w:rsidR="00476B9D" w:rsidRPr="007E6C38">
        <w:rPr>
          <w:rFonts w:ascii="Times New Roman" w:hAnsi="Times New Roman" w:cs="Times New Roman"/>
          <w:sz w:val="24"/>
          <w:szCs w:val="24"/>
        </w:rPr>
        <w:t>Bakkaus</w:t>
      </w:r>
      <w:proofErr w:type="spellEnd"/>
      <w:r w:rsidR="00476B9D" w:rsidRPr="007E6C38">
        <w:rPr>
          <w:rFonts w:ascii="Times New Roman" w:hAnsi="Times New Roman" w:cs="Times New Roman"/>
          <w:sz w:val="24"/>
          <w:szCs w:val="24"/>
        </w:rPr>
        <w:t xml:space="preserve">; </w:t>
      </w:r>
      <w:proofErr w:type="spellStart"/>
      <w:r w:rsidR="00476B9D" w:rsidRPr="007E6C38">
        <w:rPr>
          <w:rFonts w:ascii="Times New Roman" w:hAnsi="Times New Roman" w:cs="Times New Roman"/>
          <w:sz w:val="24"/>
          <w:szCs w:val="24"/>
        </w:rPr>
        <w:t>Mr</w:t>
      </w:r>
      <w:proofErr w:type="spellEnd"/>
      <w:r w:rsidR="00476B9D" w:rsidRPr="007E6C38">
        <w:rPr>
          <w:rFonts w:ascii="Times New Roman" w:hAnsi="Times New Roman" w:cs="Times New Roman"/>
          <w:sz w:val="24"/>
          <w:szCs w:val="24"/>
        </w:rPr>
        <w:t xml:space="preserve"> y </w:t>
      </w:r>
      <w:proofErr w:type="spellStart"/>
      <w:r w:rsidR="00476B9D" w:rsidRPr="007E6C38">
        <w:rPr>
          <w:rFonts w:ascii="Times New Roman" w:hAnsi="Times New Roman" w:cs="Times New Roman"/>
          <w:sz w:val="24"/>
          <w:szCs w:val="24"/>
        </w:rPr>
        <w:t>Mrs</w:t>
      </w:r>
      <w:proofErr w:type="spellEnd"/>
      <w:r w:rsidR="00476B9D" w:rsidRPr="007E6C38">
        <w:rPr>
          <w:rFonts w:ascii="Times New Roman" w:hAnsi="Times New Roman" w:cs="Times New Roman"/>
          <w:sz w:val="24"/>
          <w:szCs w:val="24"/>
        </w:rPr>
        <w:t xml:space="preserve"> </w:t>
      </w:r>
      <w:proofErr w:type="spellStart"/>
      <w:r w:rsidR="00476B9D" w:rsidRPr="007E6C38">
        <w:rPr>
          <w:rFonts w:ascii="Times New Roman" w:hAnsi="Times New Roman" w:cs="Times New Roman"/>
          <w:sz w:val="24"/>
          <w:szCs w:val="24"/>
        </w:rPr>
        <w:t>Bonato</w:t>
      </w:r>
      <w:proofErr w:type="spellEnd"/>
      <w:r w:rsidR="00476B9D" w:rsidRPr="007E6C38">
        <w:rPr>
          <w:rFonts w:ascii="Times New Roman" w:hAnsi="Times New Roman" w:cs="Times New Roman"/>
          <w:sz w:val="24"/>
          <w:szCs w:val="24"/>
        </w:rPr>
        <w:t>), en el sentido de que</w:t>
      </w:r>
      <w:r w:rsidR="00B66DB6" w:rsidRPr="007E6C38">
        <w:rPr>
          <w:rFonts w:ascii="Times New Roman" w:hAnsi="Times New Roman" w:cs="Times New Roman"/>
          <w:sz w:val="24"/>
          <w:szCs w:val="24"/>
        </w:rPr>
        <w:t>,</w:t>
      </w:r>
      <w:r w:rsidR="00476B9D" w:rsidRPr="007E6C38">
        <w:rPr>
          <w:rFonts w:ascii="Times New Roman" w:hAnsi="Times New Roman" w:cs="Times New Roman"/>
          <w:sz w:val="24"/>
          <w:szCs w:val="24"/>
        </w:rPr>
        <w:t xml:space="preserve"> si bien no se deduce ni del texto, ni de los objetivos de los </w:t>
      </w:r>
      <w:proofErr w:type="spellStart"/>
      <w:r w:rsidR="00476B9D" w:rsidRPr="007E6C38">
        <w:rPr>
          <w:rFonts w:ascii="Times New Roman" w:hAnsi="Times New Roman" w:cs="Times New Roman"/>
          <w:sz w:val="24"/>
          <w:szCs w:val="24"/>
        </w:rPr>
        <w:t>arts</w:t>
      </w:r>
      <w:proofErr w:type="spellEnd"/>
      <w:r w:rsidR="00476B9D" w:rsidRPr="007E6C38">
        <w:rPr>
          <w:rFonts w:ascii="Times New Roman" w:hAnsi="Times New Roman" w:cs="Times New Roman"/>
          <w:sz w:val="24"/>
          <w:szCs w:val="24"/>
        </w:rPr>
        <w:t xml:space="preserve"> 5 y 8 de la directiva 48/2008 que la evaluación de la situación económica y de las necesidades del consumidor deba efectuarse antes de proporcionar las explicaciones adecuadas y el prestamista está en condiciones de dar explicaciones adecuadas al deudor, fundadas únicamente en los datos que éste le comunica, no obstante, “el prestamista debe tener en cuenta la evaluación de la solvencia del consumidor en el supuesto de que esa evaluación haga necesaria una adaptación de las explicaciones facilitadas”. </w:t>
      </w:r>
    </w:p>
    <w:p w:rsidR="00467D15" w:rsidRPr="007E6C38" w:rsidRDefault="002361E6"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La decisión última de contratar un producto de crédito adecuado compete al prestatario, pero d</w:t>
      </w:r>
      <w:r w:rsidR="00AA7D78" w:rsidRPr="007E6C38">
        <w:rPr>
          <w:rFonts w:ascii="Times New Roman" w:hAnsi="Times New Roman" w:cs="Times New Roman"/>
          <w:sz w:val="24"/>
          <w:szCs w:val="24"/>
        </w:rPr>
        <w:t>e este deber de dar explicaciones adecuadas sobre la adecuación del producto a la situación finan</w:t>
      </w:r>
      <w:r w:rsidRPr="007E6C38">
        <w:rPr>
          <w:rFonts w:ascii="Times New Roman" w:hAnsi="Times New Roman" w:cs="Times New Roman"/>
          <w:sz w:val="24"/>
          <w:szCs w:val="24"/>
        </w:rPr>
        <w:t xml:space="preserve">ciera del deudor </w:t>
      </w:r>
      <w:r w:rsidR="00AA7D78" w:rsidRPr="00CF1335">
        <w:rPr>
          <w:rFonts w:ascii="Times New Roman" w:hAnsi="Times New Roman" w:cs="Times New Roman"/>
          <w:color w:val="FF0000"/>
          <w:sz w:val="24"/>
          <w:szCs w:val="24"/>
        </w:rPr>
        <w:t>podría derivarse responsabil</w:t>
      </w:r>
      <w:r w:rsidR="00DA5ED0" w:rsidRPr="00CF1335">
        <w:rPr>
          <w:rFonts w:ascii="Times New Roman" w:hAnsi="Times New Roman" w:cs="Times New Roman"/>
          <w:color w:val="FF0000"/>
          <w:sz w:val="24"/>
          <w:szCs w:val="24"/>
        </w:rPr>
        <w:t>i</w:t>
      </w:r>
      <w:r w:rsidR="00B66DB6" w:rsidRPr="00CF1335">
        <w:rPr>
          <w:rFonts w:ascii="Times New Roman" w:hAnsi="Times New Roman" w:cs="Times New Roman"/>
          <w:color w:val="FF0000"/>
          <w:sz w:val="24"/>
          <w:szCs w:val="24"/>
        </w:rPr>
        <w:t>dad para la entidad prestamista</w:t>
      </w:r>
      <w:r w:rsidR="00DA5ED0" w:rsidRPr="00CF1335">
        <w:rPr>
          <w:rFonts w:ascii="Times New Roman" w:hAnsi="Times New Roman" w:cs="Times New Roman"/>
          <w:color w:val="FF0000"/>
          <w:sz w:val="24"/>
          <w:szCs w:val="24"/>
        </w:rPr>
        <w:t xml:space="preserve"> si el producto ofrecido por la entidad fuera claramente inadecuado de acuerdo con la situación financiera del prestatario y la entidad hubiera hecho dejación de su obligación de advertir </w:t>
      </w:r>
      <w:r w:rsidR="00DA5ED0" w:rsidRPr="007E6C38">
        <w:rPr>
          <w:rFonts w:ascii="Times New Roman" w:hAnsi="Times New Roman" w:cs="Times New Roman"/>
          <w:sz w:val="24"/>
          <w:szCs w:val="24"/>
        </w:rPr>
        <w:t>sobre esta inadecuación o</w:t>
      </w:r>
      <w:r w:rsidR="00B66DB6" w:rsidRPr="007E6C38">
        <w:rPr>
          <w:rFonts w:ascii="Times New Roman" w:hAnsi="Times New Roman" w:cs="Times New Roman"/>
          <w:sz w:val="24"/>
          <w:szCs w:val="24"/>
        </w:rPr>
        <w:t xml:space="preserve"> incluso</w:t>
      </w:r>
      <w:r w:rsidR="00DA5ED0" w:rsidRPr="007E6C38">
        <w:rPr>
          <w:rFonts w:ascii="Times New Roman" w:hAnsi="Times New Roman" w:cs="Times New Roman"/>
          <w:sz w:val="24"/>
          <w:szCs w:val="24"/>
        </w:rPr>
        <w:t xml:space="preserve"> hubiera recomendado la contratación del mismo</w:t>
      </w:r>
      <w:r w:rsidR="0076756D" w:rsidRPr="007E6C38">
        <w:rPr>
          <w:rStyle w:val="Refdenotaalpie"/>
          <w:rFonts w:ascii="Times New Roman" w:hAnsi="Times New Roman" w:cs="Times New Roman"/>
          <w:sz w:val="24"/>
          <w:szCs w:val="24"/>
        </w:rPr>
        <w:footnoteReference w:id="25"/>
      </w:r>
      <w:r w:rsidR="00DA5ED0" w:rsidRPr="007E6C38">
        <w:rPr>
          <w:rFonts w:ascii="Times New Roman" w:hAnsi="Times New Roman" w:cs="Times New Roman"/>
          <w:sz w:val="24"/>
          <w:szCs w:val="24"/>
        </w:rPr>
        <w:t xml:space="preserve">. </w:t>
      </w:r>
      <w:r w:rsidR="00DA5ED0" w:rsidRPr="00CF1335">
        <w:rPr>
          <w:rFonts w:ascii="Times New Roman" w:hAnsi="Times New Roman" w:cs="Times New Roman"/>
          <w:color w:val="FF0000"/>
          <w:sz w:val="24"/>
          <w:szCs w:val="24"/>
        </w:rPr>
        <w:t>Pensemos en el caso de un préstamo en divisas ofrecido a un consumidor que no pudiera hacer frente a sus obligaciones de pago en caso de una depreciación previsible del euro, sin que la entidad pudiera acreditar haber dado una explicación adecuada sobre este riesgo</w:t>
      </w:r>
      <w:r w:rsidR="00467D15" w:rsidRPr="007E6C38">
        <w:rPr>
          <w:rFonts w:ascii="Times New Roman" w:hAnsi="Times New Roman" w:cs="Times New Roman"/>
          <w:sz w:val="24"/>
          <w:szCs w:val="24"/>
        </w:rPr>
        <w:t xml:space="preserve">, explicación que resulta necesaria conforme a la STJUE 20 septiembre 2017 (Asunto C-186/16, Banca </w:t>
      </w:r>
      <w:proofErr w:type="spellStart"/>
      <w:r w:rsidR="00467D15" w:rsidRPr="007E6C38">
        <w:rPr>
          <w:rFonts w:ascii="Times New Roman" w:hAnsi="Times New Roman" w:cs="Times New Roman"/>
          <w:sz w:val="24"/>
          <w:szCs w:val="24"/>
        </w:rPr>
        <w:t>Românească</w:t>
      </w:r>
      <w:proofErr w:type="spellEnd"/>
      <w:r w:rsidR="00467D15" w:rsidRPr="007E6C38">
        <w:rPr>
          <w:rFonts w:ascii="Times New Roman" w:hAnsi="Times New Roman" w:cs="Times New Roman"/>
          <w:sz w:val="24"/>
          <w:szCs w:val="24"/>
        </w:rPr>
        <w:t xml:space="preserve"> SA), según la cual el “prestatario deberá estar claramente informado de que, al suscribir un contrato de préstamo denominado en una divisa extranjera, se expone a un riesgo de tipo de cambio que le será, eventualmente, difícil de asumir desde un punto de vista económico”</w:t>
      </w:r>
      <w:r w:rsidR="00467D15" w:rsidRPr="007E6C38">
        <w:rPr>
          <w:rStyle w:val="Refdenotaalpie"/>
          <w:rFonts w:ascii="Times New Roman" w:hAnsi="Times New Roman" w:cs="Times New Roman"/>
          <w:sz w:val="24"/>
          <w:szCs w:val="24"/>
        </w:rPr>
        <w:footnoteReference w:id="26"/>
      </w:r>
      <w:r w:rsidR="00DA5ED0" w:rsidRPr="007E6C38">
        <w:rPr>
          <w:rFonts w:ascii="Times New Roman" w:hAnsi="Times New Roman" w:cs="Times New Roman"/>
          <w:sz w:val="24"/>
          <w:szCs w:val="24"/>
        </w:rPr>
        <w:t>.</w:t>
      </w:r>
    </w:p>
    <w:p w:rsidR="00905951" w:rsidRPr="007E6C38" w:rsidRDefault="00283F99"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No obstante, las consecuencias sobre el plano contractual de esta o</w:t>
      </w:r>
      <w:r w:rsidR="00B66DB6" w:rsidRPr="007E6C38">
        <w:rPr>
          <w:rFonts w:ascii="Times New Roman" w:hAnsi="Times New Roman" w:cs="Times New Roman"/>
          <w:sz w:val="24"/>
          <w:szCs w:val="24"/>
        </w:rPr>
        <w:t>misión no han de ser</w:t>
      </w:r>
      <w:r w:rsidRPr="007E6C38">
        <w:rPr>
          <w:rFonts w:ascii="Times New Roman" w:hAnsi="Times New Roman" w:cs="Times New Roman"/>
          <w:sz w:val="24"/>
          <w:szCs w:val="24"/>
        </w:rPr>
        <w:t xml:space="preserve"> automáticas, sino que dependerán de la influencia que la omisión de esta información haya podido tener en la concurrencia en cada caso de los requisitos de los supuestos de nulidad por falta de transparencia (art. 82 TR-LGDCU), error excusable (art. 1.266 CC) o de la responsabilidad por incumplimiento de obligaciones legales (art. 1.101 CC).</w:t>
      </w:r>
    </w:p>
    <w:p w:rsidR="00905951" w:rsidRPr="007E6C38" w:rsidRDefault="00905951"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 iii) </w:t>
      </w:r>
      <w:r w:rsidR="00283F99" w:rsidRPr="007E6C38">
        <w:rPr>
          <w:rFonts w:ascii="Times New Roman" w:hAnsi="Times New Roman" w:cs="Times New Roman"/>
          <w:b/>
          <w:sz w:val="24"/>
          <w:szCs w:val="24"/>
        </w:rPr>
        <w:t>Obligación de proporcionar e</w:t>
      </w:r>
      <w:r w:rsidRPr="007E6C38">
        <w:rPr>
          <w:rFonts w:ascii="Times New Roman" w:hAnsi="Times New Roman" w:cs="Times New Roman"/>
          <w:b/>
          <w:sz w:val="24"/>
          <w:szCs w:val="24"/>
        </w:rPr>
        <w:t>xplicaciones complementarias sobre las características principales del contrato de préstamo</w:t>
      </w:r>
      <w:r w:rsidRPr="007E6C38">
        <w:rPr>
          <w:rFonts w:ascii="Times New Roman" w:hAnsi="Times New Roman" w:cs="Times New Roman"/>
          <w:sz w:val="24"/>
          <w:szCs w:val="24"/>
        </w:rPr>
        <w:t xml:space="preserve">, que no se deduzcan del formato estandarizado de la FEIN, ni de la </w:t>
      </w:r>
      <w:proofErr w:type="spellStart"/>
      <w:r w:rsidRPr="007E6C38">
        <w:rPr>
          <w:rFonts w:ascii="Times New Roman" w:hAnsi="Times New Roman" w:cs="Times New Roman"/>
          <w:sz w:val="24"/>
          <w:szCs w:val="24"/>
        </w:rPr>
        <w:t>FiAE</w:t>
      </w:r>
      <w:proofErr w:type="spellEnd"/>
      <w:r w:rsidRPr="007E6C38">
        <w:rPr>
          <w:rFonts w:ascii="Times New Roman" w:hAnsi="Times New Roman" w:cs="Times New Roman"/>
          <w:sz w:val="24"/>
          <w:szCs w:val="24"/>
        </w:rPr>
        <w:t xml:space="preserve">, ni de la demás documentación a la que se refiere el </w:t>
      </w:r>
      <w:r w:rsidR="00654E83" w:rsidRPr="007E6C38">
        <w:rPr>
          <w:rFonts w:ascii="Times New Roman" w:hAnsi="Times New Roman" w:cs="Times New Roman"/>
          <w:sz w:val="24"/>
          <w:szCs w:val="24"/>
        </w:rPr>
        <w:t>art. 14</w:t>
      </w:r>
      <w:r w:rsidR="00283F99" w:rsidRPr="007E6C38">
        <w:rPr>
          <w:rFonts w:ascii="Times New Roman" w:hAnsi="Times New Roman" w:cs="Times New Roman"/>
          <w:sz w:val="24"/>
          <w:szCs w:val="24"/>
        </w:rPr>
        <w:t>.1 LCCI</w:t>
      </w:r>
      <w:r w:rsidR="00F14921" w:rsidRPr="007E6C38">
        <w:rPr>
          <w:rFonts w:ascii="Times New Roman" w:hAnsi="Times New Roman" w:cs="Times New Roman"/>
          <w:sz w:val="24"/>
          <w:szCs w:val="24"/>
        </w:rPr>
        <w:t>, pero que sean necesarias para que el prestatario pueda adoptar su decisión con pleno conocimiento de causa</w:t>
      </w:r>
      <w:r w:rsidR="00283F99" w:rsidRPr="007E6C38">
        <w:rPr>
          <w:rFonts w:ascii="Times New Roman" w:hAnsi="Times New Roman" w:cs="Times New Roman"/>
          <w:sz w:val="24"/>
          <w:szCs w:val="24"/>
        </w:rPr>
        <w:t xml:space="preserve">. </w:t>
      </w:r>
      <w:r w:rsidR="00F14921" w:rsidRPr="007E6C38">
        <w:rPr>
          <w:rFonts w:ascii="Times New Roman" w:hAnsi="Times New Roman" w:cs="Times New Roman"/>
          <w:sz w:val="24"/>
          <w:szCs w:val="24"/>
        </w:rPr>
        <w:t>La obligación de proporcionar “toda la información que sea necesaria” del art. 14.2 LCCI, alcanza a las explicaciones sobre</w:t>
      </w:r>
      <w:r w:rsidRPr="007E6C38">
        <w:rPr>
          <w:rFonts w:ascii="Times New Roman" w:hAnsi="Times New Roman" w:cs="Times New Roman"/>
          <w:sz w:val="24"/>
          <w:szCs w:val="24"/>
        </w:rPr>
        <w:t xml:space="preserve"> las </w:t>
      </w:r>
      <w:r w:rsidRPr="00CF1335">
        <w:rPr>
          <w:rFonts w:ascii="Times New Roman" w:hAnsi="Times New Roman" w:cs="Times New Roman"/>
          <w:color w:val="FF0000"/>
          <w:sz w:val="24"/>
          <w:szCs w:val="24"/>
        </w:rPr>
        <w:t>características genuinas de un concreto contrato</w:t>
      </w:r>
      <w:r w:rsidR="00F14921" w:rsidRPr="00CF1335">
        <w:rPr>
          <w:rFonts w:ascii="Times New Roman" w:hAnsi="Times New Roman" w:cs="Times New Roman"/>
          <w:color w:val="FF0000"/>
          <w:sz w:val="24"/>
          <w:szCs w:val="24"/>
        </w:rPr>
        <w:t xml:space="preserve"> de crédito que puedan no quedar</w:t>
      </w:r>
      <w:r w:rsidRPr="00CF1335">
        <w:rPr>
          <w:rFonts w:ascii="Times New Roman" w:hAnsi="Times New Roman" w:cs="Times New Roman"/>
          <w:color w:val="FF0000"/>
          <w:sz w:val="24"/>
          <w:szCs w:val="24"/>
        </w:rPr>
        <w:t xml:space="preserve"> reflejadas en la estructura formal y estandarizada de aquellos documentos, lo que ocurrirá principalmente cuando el producto de crédito ofrecido sea original o extravagante en su estructura financiera</w:t>
      </w:r>
      <w:r w:rsidR="00FB7CAD" w:rsidRPr="007E6C38">
        <w:rPr>
          <w:rStyle w:val="Refdenotaalpie"/>
          <w:rFonts w:ascii="Times New Roman" w:hAnsi="Times New Roman" w:cs="Times New Roman"/>
          <w:sz w:val="24"/>
          <w:szCs w:val="24"/>
        </w:rPr>
        <w:footnoteReference w:id="27"/>
      </w:r>
      <w:r w:rsidRPr="007E6C38">
        <w:rPr>
          <w:rFonts w:ascii="Times New Roman" w:hAnsi="Times New Roman" w:cs="Times New Roman"/>
          <w:sz w:val="24"/>
          <w:szCs w:val="24"/>
        </w:rPr>
        <w:t>.</w:t>
      </w:r>
      <w:r w:rsidR="00FA3924" w:rsidRPr="007E6C38">
        <w:rPr>
          <w:rFonts w:ascii="Times New Roman" w:hAnsi="Times New Roman" w:cs="Times New Roman"/>
          <w:sz w:val="24"/>
          <w:szCs w:val="24"/>
        </w:rPr>
        <w:t xml:space="preserve"> El prestamista debe asumir entonces una actitud proactiva</w:t>
      </w:r>
      <w:r w:rsidR="002361E6" w:rsidRPr="007E6C38">
        <w:rPr>
          <w:rFonts w:ascii="Times New Roman" w:hAnsi="Times New Roman" w:cs="Times New Roman"/>
          <w:sz w:val="24"/>
          <w:szCs w:val="24"/>
        </w:rPr>
        <w:t xml:space="preserve"> y no de mera disponibilidad</w:t>
      </w:r>
      <w:r w:rsidR="00FA3924" w:rsidRPr="007E6C38">
        <w:rPr>
          <w:rFonts w:ascii="Times New Roman" w:hAnsi="Times New Roman" w:cs="Times New Roman"/>
          <w:sz w:val="24"/>
          <w:szCs w:val="24"/>
        </w:rPr>
        <w:t>, anticipando al prestatario la</w:t>
      </w:r>
      <w:r w:rsidR="0046207A" w:rsidRPr="007E6C38">
        <w:rPr>
          <w:rFonts w:ascii="Times New Roman" w:hAnsi="Times New Roman" w:cs="Times New Roman"/>
          <w:sz w:val="24"/>
          <w:szCs w:val="24"/>
        </w:rPr>
        <w:t xml:space="preserve"> información específica sobre el</w:t>
      </w:r>
      <w:r w:rsidR="00FA3924" w:rsidRPr="007E6C38">
        <w:rPr>
          <w:rFonts w:ascii="Times New Roman" w:hAnsi="Times New Roman" w:cs="Times New Roman"/>
          <w:sz w:val="24"/>
          <w:szCs w:val="24"/>
        </w:rPr>
        <w:t xml:space="preserve"> producto</w:t>
      </w:r>
      <w:r w:rsidR="0046207A" w:rsidRPr="007E6C38">
        <w:rPr>
          <w:rFonts w:ascii="Times New Roman" w:hAnsi="Times New Roman" w:cs="Times New Roman"/>
          <w:sz w:val="24"/>
          <w:szCs w:val="24"/>
        </w:rPr>
        <w:t xml:space="preserve"> ofrecido</w:t>
      </w:r>
      <w:r w:rsidR="00FA3924" w:rsidRPr="007E6C38">
        <w:rPr>
          <w:rFonts w:ascii="Times New Roman" w:hAnsi="Times New Roman" w:cs="Times New Roman"/>
          <w:sz w:val="24"/>
          <w:szCs w:val="24"/>
        </w:rPr>
        <w:t xml:space="preserve"> que sea necesaria para una completa comprensión del mismo, sin abandonarse a la comodidad de la entrega de los formularios estandarizados que son la FEIN y la </w:t>
      </w:r>
      <w:proofErr w:type="spellStart"/>
      <w:r w:rsidR="00FA3924" w:rsidRPr="007E6C38">
        <w:rPr>
          <w:rFonts w:ascii="Times New Roman" w:hAnsi="Times New Roman" w:cs="Times New Roman"/>
          <w:sz w:val="24"/>
          <w:szCs w:val="24"/>
        </w:rPr>
        <w:t>FiAE</w:t>
      </w:r>
      <w:proofErr w:type="spellEnd"/>
      <w:r w:rsidR="00FA3924" w:rsidRPr="007E6C38">
        <w:rPr>
          <w:rFonts w:ascii="Times New Roman" w:hAnsi="Times New Roman" w:cs="Times New Roman"/>
          <w:sz w:val="24"/>
          <w:szCs w:val="24"/>
        </w:rPr>
        <w:t>, en los que pueden no quedar reflejados aquellas características singulares.</w:t>
      </w:r>
    </w:p>
    <w:p w:rsidR="00B66DB6" w:rsidRPr="007E6C38" w:rsidRDefault="00FA3924"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Esta función complementaria de las explicaciones adecuadas </w:t>
      </w:r>
      <w:r w:rsidRPr="00CF1335">
        <w:rPr>
          <w:rFonts w:ascii="Times New Roman" w:hAnsi="Times New Roman" w:cs="Times New Roman"/>
          <w:color w:val="FF0000"/>
          <w:sz w:val="24"/>
          <w:szCs w:val="24"/>
        </w:rPr>
        <w:t>s</w:t>
      </w:r>
      <w:r w:rsidR="00905951" w:rsidRPr="00CF1335">
        <w:rPr>
          <w:rFonts w:ascii="Times New Roman" w:hAnsi="Times New Roman" w:cs="Times New Roman"/>
          <w:color w:val="FF0000"/>
          <w:sz w:val="24"/>
          <w:szCs w:val="24"/>
        </w:rPr>
        <w:t xml:space="preserve">upone admitir que la estructura estandarizada de la FEIN y de la </w:t>
      </w:r>
      <w:proofErr w:type="spellStart"/>
      <w:r w:rsidR="00905951" w:rsidRPr="00CF1335">
        <w:rPr>
          <w:rFonts w:ascii="Times New Roman" w:hAnsi="Times New Roman" w:cs="Times New Roman"/>
          <w:color w:val="FF0000"/>
          <w:sz w:val="24"/>
          <w:szCs w:val="24"/>
        </w:rPr>
        <w:t>FiAE</w:t>
      </w:r>
      <w:proofErr w:type="spellEnd"/>
      <w:r w:rsidR="00905951" w:rsidRPr="00CF1335">
        <w:rPr>
          <w:rFonts w:ascii="Times New Roman" w:hAnsi="Times New Roman" w:cs="Times New Roman"/>
          <w:color w:val="FF0000"/>
          <w:sz w:val="24"/>
          <w:szCs w:val="24"/>
        </w:rPr>
        <w:t xml:space="preserve"> tiene porosidades por las que podrían escabullirse cláusulas financieras del contrato de crédito que afecten al coste del mismo, </w:t>
      </w:r>
      <w:r w:rsidRPr="00CF1335">
        <w:rPr>
          <w:rFonts w:ascii="Times New Roman" w:hAnsi="Times New Roman" w:cs="Times New Roman"/>
          <w:color w:val="FF0000"/>
          <w:sz w:val="24"/>
          <w:szCs w:val="24"/>
        </w:rPr>
        <w:t>de una manera que pasaría inadvertida a</w:t>
      </w:r>
      <w:r w:rsidR="00905951" w:rsidRPr="00CF1335">
        <w:rPr>
          <w:rFonts w:ascii="Times New Roman" w:hAnsi="Times New Roman" w:cs="Times New Roman"/>
          <w:color w:val="FF0000"/>
          <w:sz w:val="24"/>
          <w:szCs w:val="24"/>
        </w:rPr>
        <w:t>l prestatario sin una inf</w:t>
      </w:r>
      <w:r w:rsidRPr="00CF1335">
        <w:rPr>
          <w:rFonts w:ascii="Times New Roman" w:hAnsi="Times New Roman" w:cs="Times New Roman"/>
          <w:color w:val="FF0000"/>
          <w:sz w:val="24"/>
          <w:szCs w:val="24"/>
        </w:rPr>
        <w:t>ormación adicional</w:t>
      </w:r>
      <w:r w:rsidRPr="007E6C38">
        <w:rPr>
          <w:rFonts w:ascii="Times New Roman" w:hAnsi="Times New Roman" w:cs="Times New Roman"/>
          <w:sz w:val="24"/>
          <w:szCs w:val="24"/>
        </w:rPr>
        <w:t xml:space="preserve">. A lo largo de este trabajo hemos señalado algunos ejemplos, como es el caso de los </w:t>
      </w:r>
      <w:r w:rsidRPr="00CF1335">
        <w:rPr>
          <w:rFonts w:ascii="Times New Roman" w:hAnsi="Times New Roman" w:cs="Times New Roman"/>
          <w:color w:val="FF0000"/>
          <w:sz w:val="24"/>
          <w:szCs w:val="24"/>
        </w:rPr>
        <w:t xml:space="preserve">préstamos con derivados implícitos, en los que el coste de cancelación del derivado, y por ende del préstamo, puede ser muy elevado </w:t>
      </w:r>
      <w:r w:rsidRPr="007E6C38">
        <w:rPr>
          <w:rFonts w:ascii="Times New Roman" w:hAnsi="Times New Roman" w:cs="Times New Roman"/>
          <w:sz w:val="24"/>
          <w:szCs w:val="24"/>
        </w:rPr>
        <w:t>y debería ser conocido por el prestamista</w:t>
      </w:r>
      <w:r w:rsidR="005D17E0" w:rsidRPr="007E6C38">
        <w:rPr>
          <w:rFonts w:ascii="Times New Roman" w:hAnsi="Times New Roman" w:cs="Times New Roman"/>
          <w:sz w:val="24"/>
          <w:szCs w:val="24"/>
        </w:rPr>
        <w:t xml:space="preserve"> para adoptar su decisión de contratar con pleno conocimiento de causa</w:t>
      </w:r>
      <w:r w:rsidR="00B66DB6" w:rsidRPr="007E6C38">
        <w:rPr>
          <w:rStyle w:val="Refdenotaalpie"/>
          <w:rFonts w:ascii="Times New Roman" w:hAnsi="Times New Roman" w:cs="Times New Roman"/>
          <w:sz w:val="24"/>
          <w:szCs w:val="24"/>
        </w:rPr>
        <w:footnoteReference w:id="28"/>
      </w:r>
      <w:r w:rsidR="005D17E0" w:rsidRPr="007E6C38">
        <w:rPr>
          <w:rFonts w:ascii="Times New Roman" w:hAnsi="Times New Roman" w:cs="Times New Roman"/>
          <w:sz w:val="24"/>
          <w:szCs w:val="24"/>
        </w:rPr>
        <w:t xml:space="preserve">. </w:t>
      </w:r>
    </w:p>
    <w:p w:rsidR="005D17E0" w:rsidRPr="007E6C38" w:rsidRDefault="00B66DB6"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También hemos observado</w:t>
      </w:r>
      <w:r w:rsidR="005D17E0" w:rsidRPr="007E6C38">
        <w:rPr>
          <w:rFonts w:ascii="Times New Roman" w:hAnsi="Times New Roman" w:cs="Times New Roman"/>
          <w:sz w:val="24"/>
          <w:szCs w:val="24"/>
        </w:rPr>
        <w:t xml:space="preserve"> en relación a los préstamos con índice IRPH que</w:t>
      </w:r>
      <w:r w:rsidR="00930930" w:rsidRPr="007E6C38">
        <w:rPr>
          <w:rFonts w:ascii="Times New Roman" w:hAnsi="Times New Roman" w:cs="Times New Roman"/>
          <w:sz w:val="24"/>
          <w:szCs w:val="24"/>
        </w:rPr>
        <w:t xml:space="preserve">, en la medida en que es un índice cuya aplicación en el mercado hipotecario español es marginal respecto a la del euríbor, </w:t>
      </w:r>
      <w:r w:rsidR="005D17E0" w:rsidRPr="007E6C38">
        <w:rPr>
          <w:rFonts w:ascii="Times New Roman" w:hAnsi="Times New Roman" w:cs="Times New Roman"/>
          <w:sz w:val="24"/>
          <w:szCs w:val="24"/>
        </w:rPr>
        <w:t xml:space="preserve">el prestatario necesitaría para prestar su consentimiento con pleno conocimiento de causa información </w:t>
      </w:r>
      <w:r w:rsidR="005D17E0" w:rsidRPr="00CF1335">
        <w:rPr>
          <w:rFonts w:ascii="Times New Roman" w:hAnsi="Times New Roman" w:cs="Times New Roman"/>
          <w:color w:val="FF0000"/>
          <w:sz w:val="24"/>
          <w:szCs w:val="24"/>
        </w:rPr>
        <w:t xml:space="preserve">sobre la evolución comparativa del IRPH y del Euribor, información que no se refleja en la FEIN, </w:t>
      </w:r>
      <w:r w:rsidR="005D17E0" w:rsidRPr="007E6C38">
        <w:rPr>
          <w:rFonts w:ascii="Times New Roman" w:hAnsi="Times New Roman" w:cs="Times New Roman"/>
          <w:sz w:val="24"/>
          <w:szCs w:val="24"/>
        </w:rPr>
        <w:t xml:space="preserve">ni en el resto de documentos a los que se refiere el </w:t>
      </w:r>
      <w:r w:rsidR="00654E83" w:rsidRPr="007E6C38">
        <w:rPr>
          <w:rFonts w:ascii="Times New Roman" w:hAnsi="Times New Roman" w:cs="Times New Roman"/>
          <w:sz w:val="24"/>
          <w:szCs w:val="24"/>
        </w:rPr>
        <w:t>art. 14</w:t>
      </w:r>
      <w:r w:rsidR="00930930" w:rsidRPr="007E6C38">
        <w:rPr>
          <w:rFonts w:ascii="Times New Roman" w:hAnsi="Times New Roman" w:cs="Times New Roman"/>
          <w:sz w:val="24"/>
          <w:szCs w:val="24"/>
        </w:rPr>
        <w:t>.1 LCCI.</w:t>
      </w:r>
    </w:p>
    <w:p w:rsidR="00337D80" w:rsidRPr="007E6C38" w:rsidRDefault="00930930"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Otro ejemplo sobre la necesidad de proporcionar explicaciones adecuadas sobre las características principales de un producto de crédito</w:t>
      </w:r>
      <w:r w:rsidR="004C7AB7" w:rsidRPr="007E6C38">
        <w:rPr>
          <w:rFonts w:ascii="Times New Roman" w:hAnsi="Times New Roman" w:cs="Times New Roman"/>
          <w:sz w:val="24"/>
          <w:szCs w:val="24"/>
        </w:rPr>
        <w:t>,</w:t>
      </w:r>
      <w:r w:rsidRPr="007E6C38">
        <w:rPr>
          <w:rFonts w:ascii="Times New Roman" w:hAnsi="Times New Roman" w:cs="Times New Roman"/>
          <w:sz w:val="24"/>
          <w:szCs w:val="24"/>
        </w:rPr>
        <w:t xml:space="preserve"> </w:t>
      </w:r>
      <w:r w:rsidR="004C7AB7" w:rsidRPr="007E6C38">
        <w:rPr>
          <w:rFonts w:ascii="Times New Roman" w:hAnsi="Times New Roman" w:cs="Times New Roman"/>
          <w:sz w:val="24"/>
          <w:szCs w:val="24"/>
        </w:rPr>
        <w:t>complementarias a la información documental</w:t>
      </w:r>
      <w:r w:rsidRPr="007E6C38">
        <w:rPr>
          <w:rFonts w:ascii="Times New Roman" w:hAnsi="Times New Roman" w:cs="Times New Roman"/>
          <w:sz w:val="24"/>
          <w:szCs w:val="24"/>
        </w:rPr>
        <w:t xml:space="preserve"> prevista en el </w:t>
      </w:r>
      <w:r w:rsidR="00654E83" w:rsidRPr="007E6C38">
        <w:rPr>
          <w:rFonts w:ascii="Times New Roman" w:hAnsi="Times New Roman" w:cs="Times New Roman"/>
          <w:sz w:val="24"/>
          <w:szCs w:val="24"/>
        </w:rPr>
        <w:t>art. 14</w:t>
      </w:r>
      <w:r w:rsidRPr="007E6C38">
        <w:rPr>
          <w:rFonts w:ascii="Times New Roman" w:hAnsi="Times New Roman" w:cs="Times New Roman"/>
          <w:sz w:val="24"/>
          <w:szCs w:val="24"/>
        </w:rPr>
        <w:t>.1 LCCI</w:t>
      </w:r>
      <w:r w:rsidR="004C7AB7" w:rsidRPr="007E6C38">
        <w:rPr>
          <w:rFonts w:ascii="Times New Roman" w:hAnsi="Times New Roman" w:cs="Times New Roman"/>
          <w:sz w:val="24"/>
          <w:szCs w:val="24"/>
        </w:rPr>
        <w:t>,</w:t>
      </w:r>
      <w:r w:rsidRPr="007E6C38">
        <w:rPr>
          <w:rFonts w:ascii="Times New Roman" w:hAnsi="Times New Roman" w:cs="Times New Roman"/>
          <w:sz w:val="24"/>
          <w:szCs w:val="24"/>
        </w:rPr>
        <w:t xml:space="preserve"> </w:t>
      </w:r>
      <w:r w:rsidR="00F14921" w:rsidRPr="007E6C38">
        <w:rPr>
          <w:rFonts w:ascii="Times New Roman" w:hAnsi="Times New Roman" w:cs="Times New Roman"/>
          <w:sz w:val="24"/>
          <w:szCs w:val="24"/>
        </w:rPr>
        <w:t>puede venir</w:t>
      </w:r>
      <w:r w:rsidRPr="007E6C38">
        <w:rPr>
          <w:rFonts w:ascii="Times New Roman" w:hAnsi="Times New Roman" w:cs="Times New Roman"/>
          <w:sz w:val="24"/>
          <w:szCs w:val="24"/>
        </w:rPr>
        <w:t xml:space="preserve"> dado por las denominas </w:t>
      </w:r>
      <w:r w:rsidRPr="00CF1335">
        <w:rPr>
          <w:rFonts w:ascii="Times New Roman" w:hAnsi="Times New Roman" w:cs="Times New Roman"/>
          <w:color w:val="FF0000"/>
          <w:sz w:val="24"/>
          <w:szCs w:val="24"/>
        </w:rPr>
        <w:t>hipotecas tranquilidad</w:t>
      </w:r>
      <w:r w:rsidR="00F14921" w:rsidRPr="00CF1335">
        <w:rPr>
          <w:rFonts w:ascii="Times New Roman" w:hAnsi="Times New Roman" w:cs="Times New Roman"/>
          <w:color w:val="FF0000"/>
          <w:sz w:val="24"/>
          <w:szCs w:val="24"/>
        </w:rPr>
        <w:t xml:space="preserve"> con cuotas crecientes</w:t>
      </w:r>
      <w:r w:rsidRPr="00CF1335">
        <w:rPr>
          <w:rFonts w:ascii="Times New Roman" w:hAnsi="Times New Roman" w:cs="Times New Roman"/>
          <w:color w:val="FF0000"/>
          <w:sz w:val="24"/>
          <w:szCs w:val="24"/>
        </w:rPr>
        <w:t xml:space="preserve">. </w:t>
      </w:r>
      <w:r w:rsidRPr="007E6C38">
        <w:rPr>
          <w:rFonts w:ascii="Times New Roman" w:hAnsi="Times New Roman" w:cs="Times New Roman"/>
          <w:sz w:val="24"/>
          <w:szCs w:val="24"/>
        </w:rPr>
        <w:t>Se trata de préstamos en los que se combina un periodo de interés fijo con otro</w:t>
      </w:r>
      <w:r w:rsidR="00F14921" w:rsidRPr="007E6C38">
        <w:rPr>
          <w:rFonts w:ascii="Times New Roman" w:hAnsi="Times New Roman" w:cs="Times New Roman"/>
          <w:sz w:val="24"/>
          <w:szCs w:val="24"/>
        </w:rPr>
        <w:t xml:space="preserve"> de interés</w:t>
      </w:r>
      <w:r w:rsidRPr="007E6C38">
        <w:rPr>
          <w:rFonts w:ascii="Times New Roman" w:hAnsi="Times New Roman" w:cs="Times New Roman"/>
          <w:sz w:val="24"/>
          <w:szCs w:val="24"/>
        </w:rPr>
        <w:t xml:space="preserve"> variable, </w:t>
      </w:r>
      <w:r w:rsidR="00337D80" w:rsidRPr="00CF1335">
        <w:rPr>
          <w:rFonts w:ascii="Times New Roman" w:hAnsi="Times New Roman" w:cs="Times New Roman"/>
          <w:color w:val="FF0000"/>
          <w:sz w:val="24"/>
          <w:szCs w:val="24"/>
        </w:rPr>
        <w:t>estando</w:t>
      </w:r>
      <w:r w:rsidRPr="00CF1335">
        <w:rPr>
          <w:rFonts w:ascii="Times New Roman" w:hAnsi="Times New Roman" w:cs="Times New Roman"/>
          <w:color w:val="FF0000"/>
          <w:sz w:val="24"/>
          <w:szCs w:val="24"/>
        </w:rPr>
        <w:t xml:space="preserve"> el importe de la</w:t>
      </w:r>
      <w:r w:rsidR="004C7AB7" w:rsidRPr="00CF1335">
        <w:rPr>
          <w:rFonts w:ascii="Times New Roman" w:hAnsi="Times New Roman" w:cs="Times New Roman"/>
          <w:color w:val="FF0000"/>
          <w:sz w:val="24"/>
          <w:szCs w:val="24"/>
        </w:rPr>
        <w:t>s</w:t>
      </w:r>
      <w:r w:rsidRPr="00CF1335">
        <w:rPr>
          <w:rFonts w:ascii="Times New Roman" w:hAnsi="Times New Roman" w:cs="Times New Roman"/>
          <w:color w:val="FF0000"/>
          <w:sz w:val="24"/>
          <w:szCs w:val="24"/>
        </w:rPr>
        <w:t xml:space="preserve"> cuota</w:t>
      </w:r>
      <w:r w:rsidR="004C7AB7" w:rsidRPr="00CF1335">
        <w:rPr>
          <w:rFonts w:ascii="Times New Roman" w:hAnsi="Times New Roman" w:cs="Times New Roman"/>
          <w:color w:val="FF0000"/>
          <w:sz w:val="24"/>
          <w:szCs w:val="24"/>
        </w:rPr>
        <w:t>s periódicas</w:t>
      </w:r>
      <w:r w:rsidRPr="00CF1335">
        <w:rPr>
          <w:rFonts w:ascii="Times New Roman" w:hAnsi="Times New Roman" w:cs="Times New Roman"/>
          <w:color w:val="FF0000"/>
          <w:sz w:val="24"/>
          <w:szCs w:val="24"/>
        </w:rPr>
        <w:t xml:space="preserve"> prefijado</w:t>
      </w:r>
      <w:r w:rsidR="00F14921" w:rsidRPr="00CF1335">
        <w:rPr>
          <w:rFonts w:ascii="Times New Roman" w:hAnsi="Times New Roman" w:cs="Times New Roman"/>
          <w:color w:val="FF0000"/>
          <w:sz w:val="24"/>
          <w:szCs w:val="24"/>
        </w:rPr>
        <w:t xml:space="preserve"> –normalmente de manera creciente-</w:t>
      </w:r>
      <w:r w:rsidR="00337D80" w:rsidRPr="00CF1335">
        <w:rPr>
          <w:rFonts w:ascii="Times New Roman" w:hAnsi="Times New Roman" w:cs="Times New Roman"/>
          <w:color w:val="FF0000"/>
          <w:sz w:val="24"/>
          <w:szCs w:val="24"/>
        </w:rPr>
        <w:t>,</w:t>
      </w:r>
      <w:r w:rsidRPr="00CF1335">
        <w:rPr>
          <w:rFonts w:ascii="Times New Roman" w:hAnsi="Times New Roman" w:cs="Times New Roman"/>
          <w:color w:val="FF0000"/>
          <w:sz w:val="24"/>
          <w:szCs w:val="24"/>
        </w:rPr>
        <w:t xml:space="preserve"> y en los que</w:t>
      </w:r>
      <w:r w:rsidR="004C7AB7" w:rsidRPr="00CF1335">
        <w:rPr>
          <w:rFonts w:ascii="Times New Roman" w:hAnsi="Times New Roman" w:cs="Times New Roman"/>
          <w:color w:val="FF0000"/>
          <w:sz w:val="24"/>
          <w:szCs w:val="24"/>
        </w:rPr>
        <w:t>,</w:t>
      </w:r>
      <w:r w:rsidRPr="00CF1335">
        <w:rPr>
          <w:rFonts w:ascii="Times New Roman" w:hAnsi="Times New Roman" w:cs="Times New Roman"/>
          <w:color w:val="FF0000"/>
          <w:sz w:val="24"/>
          <w:szCs w:val="24"/>
        </w:rPr>
        <w:t xml:space="preserve"> por </w:t>
      </w:r>
      <w:r w:rsidR="004C7AB7" w:rsidRPr="00CF1335">
        <w:rPr>
          <w:rFonts w:ascii="Times New Roman" w:hAnsi="Times New Roman" w:cs="Times New Roman"/>
          <w:color w:val="FF0000"/>
          <w:sz w:val="24"/>
          <w:szCs w:val="24"/>
        </w:rPr>
        <w:t xml:space="preserve">lo </w:t>
      </w:r>
      <w:r w:rsidRPr="00CF1335">
        <w:rPr>
          <w:rFonts w:ascii="Times New Roman" w:hAnsi="Times New Roman" w:cs="Times New Roman"/>
          <w:color w:val="FF0000"/>
          <w:sz w:val="24"/>
          <w:szCs w:val="24"/>
        </w:rPr>
        <w:t>tanto</w:t>
      </w:r>
      <w:r w:rsidR="004C7AB7" w:rsidRPr="00CF1335">
        <w:rPr>
          <w:rFonts w:ascii="Times New Roman" w:hAnsi="Times New Roman" w:cs="Times New Roman"/>
          <w:color w:val="FF0000"/>
          <w:sz w:val="24"/>
          <w:szCs w:val="24"/>
        </w:rPr>
        <w:t>,</w:t>
      </w:r>
      <w:r w:rsidRPr="00CF1335">
        <w:rPr>
          <w:rFonts w:ascii="Times New Roman" w:hAnsi="Times New Roman" w:cs="Times New Roman"/>
          <w:color w:val="FF0000"/>
          <w:sz w:val="24"/>
          <w:szCs w:val="24"/>
        </w:rPr>
        <w:t xml:space="preserve"> </w:t>
      </w:r>
      <w:r w:rsidR="004C7AB7" w:rsidRPr="00CF1335">
        <w:rPr>
          <w:rFonts w:ascii="Times New Roman" w:hAnsi="Times New Roman" w:cs="Times New Roman"/>
          <w:color w:val="FF0000"/>
          <w:sz w:val="24"/>
          <w:szCs w:val="24"/>
        </w:rPr>
        <w:t xml:space="preserve">la </w:t>
      </w:r>
      <w:r w:rsidRPr="00CF1335">
        <w:rPr>
          <w:rFonts w:ascii="Times New Roman" w:hAnsi="Times New Roman" w:cs="Times New Roman"/>
          <w:color w:val="FF0000"/>
          <w:sz w:val="24"/>
          <w:szCs w:val="24"/>
        </w:rPr>
        <w:t>variación del tipo de interés</w:t>
      </w:r>
      <w:r w:rsidR="00F14921" w:rsidRPr="00CF1335">
        <w:rPr>
          <w:rFonts w:ascii="Times New Roman" w:hAnsi="Times New Roman" w:cs="Times New Roman"/>
          <w:color w:val="FF0000"/>
          <w:sz w:val="24"/>
          <w:szCs w:val="24"/>
        </w:rPr>
        <w:t xml:space="preserve"> durante la fase de interés variable</w:t>
      </w:r>
      <w:r w:rsidRPr="00CF1335">
        <w:rPr>
          <w:rFonts w:ascii="Times New Roman" w:hAnsi="Times New Roman" w:cs="Times New Roman"/>
          <w:color w:val="FF0000"/>
          <w:sz w:val="24"/>
          <w:szCs w:val="24"/>
        </w:rPr>
        <w:t xml:space="preserve"> no repercutirá sobre el importe de la cuota sino sobre la duración del préstamo</w:t>
      </w:r>
      <w:r w:rsidR="00F14921" w:rsidRPr="00CF1335">
        <w:rPr>
          <w:rFonts w:ascii="Times New Roman" w:hAnsi="Times New Roman" w:cs="Times New Roman"/>
          <w:color w:val="FF0000"/>
          <w:sz w:val="24"/>
          <w:szCs w:val="24"/>
        </w:rPr>
        <w:t>, pudiendo establecerse un periodo de amortización máximo</w:t>
      </w:r>
      <w:r w:rsidR="00FE6F85" w:rsidRPr="00CF1335">
        <w:rPr>
          <w:rFonts w:ascii="Times New Roman" w:hAnsi="Times New Roman" w:cs="Times New Roman"/>
          <w:color w:val="FF0000"/>
          <w:sz w:val="24"/>
          <w:szCs w:val="24"/>
        </w:rPr>
        <w:t>,</w:t>
      </w:r>
      <w:r w:rsidR="00F14921" w:rsidRPr="00CF1335">
        <w:rPr>
          <w:rFonts w:ascii="Times New Roman" w:hAnsi="Times New Roman" w:cs="Times New Roman"/>
          <w:color w:val="FF0000"/>
          <w:sz w:val="24"/>
          <w:szCs w:val="24"/>
        </w:rPr>
        <w:t xml:space="preserve"> al final del cual habrá que pagar en una sola cuota el capital que quede pendiente</w:t>
      </w:r>
      <w:r w:rsidRPr="007E6C38">
        <w:rPr>
          <w:rFonts w:ascii="Times New Roman" w:hAnsi="Times New Roman" w:cs="Times New Roman"/>
          <w:sz w:val="24"/>
          <w:szCs w:val="24"/>
        </w:rPr>
        <w:t xml:space="preserve">. </w:t>
      </w:r>
      <w:r w:rsidR="00FE6F85" w:rsidRPr="007E6C38">
        <w:rPr>
          <w:rFonts w:ascii="Times New Roman" w:hAnsi="Times New Roman" w:cs="Times New Roman"/>
          <w:sz w:val="24"/>
          <w:szCs w:val="24"/>
        </w:rPr>
        <w:t xml:space="preserve">Nada que objetar al respecto, siempre y cuando el prestatario haya sido advertido de la posibilidad de pagar una cuota final muy elevada y si con arreglo a su situación financiera pudiera asumir dicha cuota final. Pero </w:t>
      </w:r>
      <w:r w:rsidR="00FE6F85" w:rsidRPr="00CF1335">
        <w:rPr>
          <w:rFonts w:ascii="Times New Roman" w:hAnsi="Times New Roman" w:cs="Times New Roman"/>
          <w:color w:val="FF0000"/>
          <w:sz w:val="24"/>
          <w:szCs w:val="24"/>
        </w:rPr>
        <w:t>este tipo de préstamo puede tener además un ritmo de amortización muy lento</w:t>
      </w:r>
      <w:r w:rsidR="00FE6F85" w:rsidRPr="007E6C38">
        <w:rPr>
          <w:rFonts w:ascii="Times New Roman" w:hAnsi="Times New Roman" w:cs="Times New Roman"/>
          <w:sz w:val="24"/>
          <w:szCs w:val="24"/>
        </w:rPr>
        <w:t>, s</w:t>
      </w:r>
      <w:r w:rsidR="00F14921" w:rsidRPr="007E6C38">
        <w:rPr>
          <w:rFonts w:ascii="Times New Roman" w:hAnsi="Times New Roman" w:cs="Times New Roman"/>
          <w:sz w:val="24"/>
          <w:szCs w:val="24"/>
        </w:rPr>
        <w:t xml:space="preserve">i </w:t>
      </w:r>
      <w:r w:rsidR="00F14921" w:rsidRPr="00CF1335">
        <w:rPr>
          <w:rFonts w:ascii="Times New Roman" w:hAnsi="Times New Roman" w:cs="Times New Roman"/>
          <w:color w:val="FF0000"/>
          <w:sz w:val="24"/>
          <w:szCs w:val="24"/>
        </w:rPr>
        <w:t>durante el periodo en que el interés es fijo, el importe de la cuota preestablecida se ha fijad</w:t>
      </w:r>
      <w:r w:rsidR="00FE6F85" w:rsidRPr="00CF1335">
        <w:rPr>
          <w:rFonts w:ascii="Times New Roman" w:hAnsi="Times New Roman" w:cs="Times New Roman"/>
          <w:color w:val="FF0000"/>
          <w:sz w:val="24"/>
          <w:szCs w:val="24"/>
        </w:rPr>
        <w:t>o en una cuantía que sea muy próxima</w:t>
      </w:r>
      <w:r w:rsidR="00F14921" w:rsidRPr="00CF1335">
        <w:rPr>
          <w:rFonts w:ascii="Times New Roman" w:hAnsi="Times New Roman" w:cs="Times New Roman"/>
          <w:color w:val="FF0000"/>
          <w:sz w:val="24"/>
          <w:szCs w:val="24"/>
        </w:rPr>
        <w:t xml:space="preserve"> al importe de los intereses nominales devenga</w:t>
      </w:r>
      <w:r w:rsidR="00FE6F85" w:rsidRPr="00CF1335">
        <w:rPr>
          <w:rFonts w:ascii="Times New Roman" w:hAnsi="Times New Roman" w:cs="Times New Roman"/>
          <w:color w:val="FF0000"/>
          <w:sz w:val="24"/>
          <w:szCs w:val="24"/>
        </w:rPr>
        <w:t>dos en cada periodo</w:t>
      </w:r>
      <w:r w:rsidR="004C7AB7" w:rsidRPr="007E6C38">
        <w:rPr>
          <w:rFonts w:ascii="Times New Roman" w:hAnsi="Times New Roman" w:cs="Times New Roman"/>
          <w:sz w:val="24"/>
          <w:szCs w:val="24"/>
        </w:rPr>
        <w:t xml:space="preserve">, pues sólo una pequeña parte de la cuota irá destinada a la amortización de capital, lo que obviamente repercutirá </w:t>
      </w:r>
      <w:r w:rsidR="00337D80" w:rsidRPr="007E6C38">
        <w:rPr>
          <w:rFonts w:ascii="Times New Roman" w:hAnsi="Times New Roman" w:cs="Times New Roman"/>
          <w:sz w:val="24"/>
          <w:szCs w:val="24"/>
        </w:rPr>
        <w:t xml:space="preserve">sobre el importe </w:t>
      </w:r>
      <w:r w:rsidR="004C7AB7" w:rsidRPr="007E6C38">
        <w:rPr>
          <w:rFonts w:ascii="Times New Roman" w:hAnsi="Times New Roman" w:cs="Times New Roman"/>
          <w:sz w:val="24"/>
          <w:szCs w:val="24"/>
        </w:rPr>
        <w:t>total del crédito</w:t>
      </w:r>
      <w:r w:rsidR="00337D80" w:rsidRPr="007E6C38">
        <w:rPr>
          <w:rFonts w:ascii="Times New Roman" w:hAnsi="Times New Roman" w:cs="Times New Roman"/>
          <w:sz w:val="24"/>
          <w:szCs w:val="24"/>
        </w:rPr>
        <w:t xml:space="preserve"> a reembolsar por</w:t>
      </w:r>
      <w:r w:rsidR="004C7AB7" w:rsidRPr="007E6C38">
        <w:rPr>
          <w:rFonts w:ascii="Times New Roman" w:hAnsi="Times New Roman" w:cs="Times New Roman"/>
          <w:sz w:val="24"/>
          <w:szCs w:val="24"/>
        </w:rPr>
        <w:t xml:space="preserve"> el consumidor. </w:t>
      </w:r>
      <w:r w:rsidR="004C7AB7" w:rsidRPr="00CF1335">
        <w:rPr>
          <w:rFonts w:ascii="Times New Roman" w:hAnsi="Times New Roman" w:cs="Times New Roman"/>
          <w:color w:val="FF0000"/>
          <w:sz w:val="24"/>
          <w:szCs w:val="24"/>
        </w:rPr>
        <w:t>Ci</w:t>
      </w:r>
      <w:r w:rsidR="00F14921" w:rsidRPr="00CF1335">
        <w:rPr>
          <w:rFonts w:ascii="Times New Roman" w:hAnsi="Times New Roman" w:cs="Times New Roman"/>
          <w:color w:val="FF0000"/>
          <w:sz w:val="24"/>
          <w:szCs w:val="24"/>
        </w:rPr>
        <w:t>ertamente, en la FEIN (Sección 3ª</w:t>
      </w:r>
      <w:r w:rsidR="004C7AB7" w:rsidRPr="00CF1335">
        <w:rPr>
          <w:rFonts w:ascii="Times New Roman" w:hAnsi="Times New Roman" w:cs="Times New Roman"/>
          <w:color w:val="FF0000"/>
          <w:sz w:val="24"/>
          <w:szCs w:val="24"/>
        </w:rPr>
        <w:t xml:space="preserve"> sobre las características principales del crédito), se informa sobre el importe total a reembolsar</w:t>
      </w:r>
      <w:r w:rsidR="00FE6F85" w:rsidRPr="00CF1335">
        <w:rPr>
          <w:rFonts w:ascii="Times New Roman" w:hAnsi="Times New Roman" w:cs="Times New Roman"/>
          <w:color w:val="FF0000"/>
          <w:sz w:val="24"/>
          <w:szCs w:val="24"/>
        </w:rPr>
        <w:t xml:space="preserve"> –en la hipótesis de que el tipo de interés inicial permaneciera constante-</w:t>
      </w:r>
      <w:r w:rsidR="00337D80" w:rsidRPr="00CF1335">
        <w:rPr>
          <w:rFonts w:ascii="Times New Roman" w:hAnsi="Times New Roman" w:cs="Times New Roman"/>
          <w:color w:val="FF0000"/>
          <w:sz w:val="24"/>
          <w:szCs w:val="24"/>
        </w:rPr>
        <w:t xml:space="preserve"> y, por otra parte, la entrega de un documento separado con una referencia especial a las cuotas periódicas a satisfacer por el prestatario en diferentes escenarios de evolución de los tipos de interés</w:t>
      </w:r>
      <w:r w:rsidR="00FE6F85" w:rsidRPr="00CF1335">
        <w:rPr>
          <w:rFonts w:ascii="Times New Roman" w:hAnsi="Times New Roman" w:cs="Times New Roman"/>
          <w:color w:val="FF0000"/>
          <w:sz w:val="24"/>
          <w:szCs w:val="24"/>
        </w:rPr>
        <w:t xml:space="preserve"> variable</w:t>
      </w:r>
      <w:r w:rsidR="00337D80" w:rsidRPr="00CF1335">
        <w:rPr>
          <w:rFonts w:ascii="Times New Roman" w:hAnsi="Times New Roman" w:cs="Times New Roman"/>
          <w:color w:val="FF0000"/>
          <w:sz w:val="24"/>
          <w:szCs w:val="24"/>
        </w:rPr>
        <w:t xml:space="preserve"> que exige el </w:t>
      </w:r>
      <w:r w:rsidR="00654E83" w:rsidRPr="00CF1335">
        <w:rPr>
          <w:rFonts w:ascii="Times New Roman" w:hAnsi="Times New Roman" w:cs="Times New Roman"/>
          <w:color w:val="FF0000"/>
          <w:sz w:val="24"/>
          <w:szCs w:val="24"/>
        </w:rPr>
        <w:t>art. 14</w:t>
      </w:r>
      <w:r w:rsidR="00FE6F85" w:rsidRPr="00CF1335">
        <w:rPr>
          <w:rFonts w:ascii="Times New Roman" w:hAnsi="Times New Roman" w:cs="Times New Roman"/>
          <w:color w:val="FF0000"/>
          <w:sz w:val="24"/>
          <w:szCs w:val="24"/>
        </w:rPr>
        <w:t xml:space="preserve">.1.c) LCCI, </w:t>
      </w:r>
      <w:r w:rsidR="00337D80" w:rsidRPr="00CF1335">
        <w:rPr>
          <w:rFonts w:ascii="Times New Roman" w:hAnsi="Times New Roman" w:cs="Times New Roman"/>
          <w:color w:val="FF0000"/>
          <w:sz w:val="24"/>
          <w:szCs w:val="24"/>
        </w:rPr>
        <w:t>permitiría al prestatario conocer el ritmo de a</w:t>
      </w:r>
      <w:r w:rsidR="00FE6F85" w:rsidRPr="00CF1335">
        <w:rPr>
          <w:rFonts w:ascii="Times New Roman" w:hAnsi="Times New Roman" w:cs="Times New Roman"/>
          <w:color w:val="FF0000"/>
          <w:sz w:val="24"/>
          <w:szCs w:val="24"/>
        </w:rPr>
        <w:t>mortización de dicho préstamo</w:t>
      </w:r>
      <w:r w:rsidR="00FE6F85" w:rsidRPr="007E6C38">
        <w:rPr>
          <w:rFonts w:ascii="Times New Roman" w:hAnsi="Times New Roman" w:cs="Times New Roman"/>
          <w:sz w:val="24"/>
          <w:szCs w:val="24"/>
        </w:rPr>
        <w:t>. P</w:t>
      </w:r>
      <w:r w:rsidR="00337D80" w:rsidRPr="007E6C38">
        <w:rPr>
          <w:rFonts w:ascii="Times New Roman" w:hAnsi="Times New Roman" w:cs="Times New Roman"/>
          <w:sz w:val="24"/>
          <w:szCs w:val="24"/>
        </w:rPr>
        <w:t>ero dada la singularidad de la estructura de amortización del referido préstamo, debería proporcionarse</w:t>
      </w:r>
      <w:r w:rsidR="00F14921" w:rsidRPr="007E6C38">
        <w:rPr>
          <w:rFonts w:ascii="Times New Roman" w:hAnsi="Times New Roman" w:cs="Times New Roman"/>
          <w:sz w:val="24"/>
          <w:szCs w:val="24"/>
        </w:rPr>
        <w:t xml:space="preserve"> adicionalmente</w:t>
      </w:r>
      <w:r w:rsidR="00337D80" w:rsidRPr="007E6C38">
        <w:rPr>
          <w:rFonts w:ascii="Times New Roman" w:hAnsi="Times New Roman" w:cs="Times New Roman"/>
          <w:sz w:val="24"/>
          <w:szCs w:val="24"/>
        </w:rPr>
        <w:t xml:space="preserve"> al prestatario </w:t>
      </w:r>
      <w:r w:rsidR="00337D80" w:rsidRPr="00CF1335">
        <w:rPr>
          <w:rFonts w:ascii="Times New Roman" w:hAnsi="Times New Roman" w:cs="Times New Roman"/>
          <w:color w:val="FF0000"/>
          <w:sz w:val="24"/>
          <w:szCs w:val="24"/>
        </w:rPr>
        <w:t>una comparación</w:t>
      </w:r>
      <w:r w:rsidR="0046207A" w:rsidRPr="00CF1335">
        <w:rPr>
          <w:rFonts w:ascii="Times New Roman" w:hAnsi="Times New Roman" w:cs="Times New Roman"/>
          <w:color w:val="FF0000"/>
          <w:sz w:val="24"/>
          <w:szCs w:val="24"/>
        </w:rPr>
        <w:t xml:space="preserve"> de su amortización</w:t>
      </w:r>
      <w:r w:rsidR="00337D80" w:rsidRPr="00CF1335">
        <w:rPr>
          <w:rFonts w:ascii="Times New Roman" w:hAnsi="Times New Roman" w:cs="Times New Roman"/>
          <w:color w:val="FF0000"/>
          <w:sz w:val="24"/>
          <w:szCs w:val="24"/>
        </w:rPr>
        <w:t xml:space="preserve"> con</w:t>
      </w:r>
      <w:r w:rsidR="0046207A" w:rsidRPr="00CF1335">
        <w:rPr>
          <w:rFonts w:ascii="Times New Roman" w:hAnsi="Times New Roman" w:cs="Times New Roman"/>
          <w:color w:val="FF0000"/>
          <w:sz w:val="24"/>
          <w:szCs w:val="24"/>
        </w:rPr>
        <w:t xml:space="preserve"> la</w:t>
      </w:r>
      <w:r w:rsidR="00337D80" w:rsidRPr="00CF1335">
        <w:rPr>
          <w:rFonts w:ascii="Times New Roman" w:hAnsi="Times New Roman" w:cs="Times New Roman"/>
          <w:color w:val="FF0000"/>
          <w:sz w:val="24"/>
          <w:szCs w:val="24"/>
        </w:rPr>
        <w:t xml:space="preserve"> un préstamo con una estructura de amortización normal, esto es con un sistema francés y una duración predeterminada</w:t>
      </w:r>
      <w:r w:rsidR="00F14921" w:rsidRPr="00CF1335">
        <w:rPr>
          <w:rFonts w:ascii="Times New Roman" w:hAnsi="Times New Roman" w:cs="Times New Roman"/>
          <w:color w:val="FF0000"/>
          <w:sz w:val="24"/>
          <w:szCs w:val="24"/>
        </w:rPr>
        <w:t xml:space="preserve">, </w:t>
      </w:r>
      <w:r w:rsidR="00F14921" w:rsidRPr="007E6C38">
        <w:rPr>
          <w:rFonts w:ascii="Times New Roman" w:hAnsi="Times New Roman" w:cs="Times New Roman"/>
          <w:sz w:val="24"/>
          <w:szCs w:val="24"/>
        </w:rPr>
        <w:t>para que así pudiera ser consciente del sobrecoste que representará haber optado por ese producto que en apariencia podría resultar muy atractivo por asegurar que la cuota se mantuviera al margen de las oscilaciones del euríbor</w:t>
      </w:r>
      <w:r w:rsidR="00337D80" w:rsidRPr="007E6C38">
        <w:rPr>
          <w:rStyle w:val="Refdenotaalpie"/>
          <w:rFonts w:ascii="Times New Roman" w:hAnsi="Times New Roman" w:cs="Times New Roman"/>
          <w:sz w:val="24"/>
          <w:szCs w:val="24"/>
        </w:rPr>
        <w:footnoteReference w:id="29"/>
      </w:r>
      <w:r w:rsidR="00337D80" w:rsidRPr="007E6C38">
        <w:rPr>
          <w:rFonts w:ascii="Times New Roman" w:hAnsi="Times New Roman" w:cs="Times New Roman"/>
          <w:sz w:val="24"/>
          <w:szCs w:val="24"/>
        </w:rPr>
        <w:t>.</w:t>
      </w:r>
    </w:p>
    <w:p w:rsidR="0046207A" w:rsidRPr="007E6C38" w:rsidRDefault="005D76A8" w:rsidP="00F60A8E">
      <w:pPr>
        <w:spacing w:before="120"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En cuanto a la forma e</w:t>
      </w:r>
      <w:r w:rsidR="00974427" w:rsidRPr="007E6C38">
        <w:rPr>
          <w:rFonts w:ascii="Times New Roman" w:hAnsi="Times New Roman" w:cs="Times New Roman"/>
          <w:sz w:val="24"/>
          <w:szCs w:val="24"/>
        </w:rPr>
        <w:t>n la que se han de prestar estas</w:t>
      </w:r>
      <w:r w:rsidRPr="007E6C38">
        <w:rPr>
          <w:rFonts w:ascii="Times New Roman" w:hAnsi="Times New Roman" w:cs="Times New Roman"/>
          <w:sz w:val="24"/>
          <w:szCs w:val="24"/>
        </w:rPr>
        <w:t xml:space="preserve"> explicaciones adecuadas</w:t>
      </w:r>
      <w:r w:rsidR="00974427" w:rsidRPr="007E6C38">
        <w:rPr>
          <w:rFonts w:ascii="Times New Roman" w:hAnsi="Times New Roman" w:cs="Times New Roman"/>
          <w:sz w:val="24"/>
          <w:szCs w:val="24"/>
        </w:rPr>
        <w:t xml:space="preserve"> complementarias sobre las características principales d</w:t>
      </w:r>
      <w:r w:rsidR="00F14921" w:rsidRPr="007E6C38">
        <w:rPr>
          <w:rFonts w:ascii="Times New Roman" w:hAnsi="Times New Roman" w:cs="Times New Roman"/>
          <w:sz w:val="24"/>
          <w:szCs w:val="24"/>
        </w:rPr>
        <w:t>el contrato de crédito ofrecido</w:t>
      </w:r>
      <w:r w:rsidR="00974427" w:rsidRPr="007E6C38">
        <w:rPr>
          <w:rFonts w:ascii="Times New Roman" w:hAnsi="Times New Roman" w:cs="Times New Roman"/>
          <w:sz w:val="24"/>
          <w:szCs w:val="24"/>
        </w:rPr>
        <w:t xml:space="preserve"> cuando sean necesarias</w:t>
      </w:r>
      <w:r w:rsidRPr="007E6C38">
        <w:rPr>
          <w:rFonts w:ascii="Times New Roman" w:hAnsi="Times New Roman" w:cs="Times New Roman"/>
          <w:sz w:val="24"/>
          <w:szCs w:val="24"/>
        </w:rPr>
        <w:t xml:space="preserve">, </w:t>
      </w:r>
      <w:r w:rsidR="00F14921" w:rsidRPr="007E6C38">
        <w:rPr>
          <w:rFonts w:ascii="Times New Roman" w:hAnsi="Times New Roman" w:cs="Times New Roman"/>
          <w:sz w:val="24"/>
          <w:szCs w:val="24"/>
        </w:rPr>
        <w:t xml:space="preserve">aunque </w:t>
      </w:r>
      <w:r w:rsidR="00974427" w:rsidRPr="007E6C38">
        <w:rPr>
          <w:rFonts w:ascii="Times New Roman" w:hAnsi="Times New Roman" w:cs="Times New Roman"/>
          <w:sz w:val="24"/>
          <w:szCs w:val="24"/>
        </w:rPr>
        <w:t xml:space="preserve">el art. 16.2 de la Directiva </w:t>
      </w:r>
      <w:r w:rsidRPr="007E6C38">
        <w:rPr>
          <w:rFonts w:ascii="Times New Roman" w:hAnsi="Times New Roman" w:cs="Times New Roman"/>
          <w:sz w:val="24"/>
          <w:szCs w:val="24"/>
        </w:rPr>
        <w:t>2014/17</w:t>
      </w:r>
      <w:r w:rsidR="00974427" w:rsidRPr="007E6C38">
        <w:rPr>
          <w:rFonts w:ascii="Times New Roman" w:hAnsi="Times New Roman" w:cs="Times New Roman"/>
          <w:sz w:val="24"/>
          <w:szCs w:val="24"/>
        </w:rPr>
        <w:t>/UE</w:t>
      </w:r>
      <w:r w:rsidRPr="007E6C38">
        <w:rPr>
          <w:rFonts w:ascii="Times New Roman" w:hAnsi="Times New Roman" w:cs="Times New Roman"/>
          <w:sz w:val="24"/>
          <w:szCs w:val="24"/>
        </w:rPr>
        <w:t xml:space="preserve"> deja libertad a los estados miembros para adaptar el modo de prestación de esta información</w:t>
      </w:r>
      <w:r w:rsidR="00F14921" w:rsidRPr="007E6C38">
        <w:rPr>
          <w:rFonts w:ascii="Times New Roman" w:hAnsi="Times New Roman" w:cs="Times New Roman"/>
          <w:sz w:val="24"/>
          <w:szCs w:val="24"/>
        </w:rPr>
        <w:t xml:space="preserve"> y el legislador español no ha precisado la forma en la que se tenga que prestar “toda la información necesaria”, </w:t>
      </w:r>
      <w:r w:rsidR="00F14921" w:rsidRPr="00CF1335">
        <w:rPr>
          <w:rFonts w:ascii="Times New Roman" w:hAnsi="Times New Roman" w:cs="Times New Roman"/>
          <w:color w:val="FF0000"/>
          <w:sz w:val="24"/>
          <w:szCs w:val="24"/>
        </w:rPr>
        <w:t>e</w:t>
      </w:r>
      <w:r w:rsidR="00974427" w:rsidRPr="00CF1335">
        <w:rPr>
          <w:rFonts w:ascii="Times New Roman" w:hAnsi="Times New Roman" w:cs="Times New Roman"/>
          <w:color w:val="FF0000"/>
          <w:sz w:val="24"/>
          <w:szCs w:val="24"/>
        </w:rPr>
        <w:t>l prestamista</w:t>
      </w:r>
      <w:r w:rsidRPr="00CF1335">
        <w:rPr>
          <w:rFonts w:ascii="Times New Roman" w:hAnsi="Times New Roman" w:cs="Times New Roman"/>
          <w:color w:val="FF0000"/>
          <w:sz w:val="24"/>
          <w:szCs w:val="24"/>
        </w:rPr>
        <w:t>, en su propio interés y para constituir prueba de dicha</w:t>
      </w:r>
      <w:r w:rsidR="00F14921" w:rsidRPr="00CF1335">
        <w:rPr>
          <w:rFonts w:ascii="Times New Roman" w:hAnsi="Times New Roman" w:cs="Times New Roman"/>
          <w:color w:val="FF0000"/>
          <w:sz w:val="24"/>
          <w:szCs w:val="24"/>
        </w:rPr>
        <w:t>s explicaciones</w:t>
      </w:r>
      <w:r w:rsidR="00974427" w:rsidRPr="00CF1335">
        <w:rPr>
          <w:rFonts w:ascii="Times New Roman" w:hAnsi="Times New Roman" w:cs="Times New Roman"/>
          <w:color w:val="FF0000"/>
          <w:sz w:val="24"/>
          <w:szCs w:val="24"/>
        </w:rPr>
        <w:t>,</w:t>
      </w:r>
      <w:r w:rsidR="00F14921" w:rsidRPr="00CF1335">
        <w:rPr>
          <w:rFonts w:ascii="Times New Roman" w:hAnsi="Times New Roman" w:cs="Times New Roman"/>
          <w:color w:val="FF0000"/>
          <w:sz w:val="24"/>
          <w:szCs w:val="24"/>
        </w:rPr>
        <w:t xml:space="preserve"> debería proporcionarla por escrito y pasarla</w:t>
      </w:r>
      <w:r w:rsidRPr="00CF1335">
        <w:rPr>
          <w:rFonts w:ascii="Times New Roman" w:hAnsi="Times New Roman" w:cs="Times New Roman"/>
          <w:color w:val="FF0000"/>
          <w:sz w:val="24"/>
          <w:szCs w:val="24"/>
        </w:rPr>
        <w:t xml:space="preserve"> además por el tamiz del acta notarial a la</w:t>
      </w:r>
      <w:r w:rsidR="00974427" w:rsidRPr="00CF1335">
        <w:rPr>
          <w:rFonts w:ascii="Times New Roman" w:hAnsi="Times New Roman" w:cs="Times New Roman"/>
          <w:color w:val="FF0000"/>
          <w:sz w:val="24"/>
          <w:szCs w:val="24"/>
        </w:rPr>
        <w:t xml:space="preserve"> que se refiere el </w:t>
      </w:r>
      <w:r w:rsidR="00B66DB6" w:rsidRPr="00CF1335">
        <w:rPr>
          <w:rFonts w:ascii="Times New Roman" w:hAnsi="Times New Roman" w:cs="Times New Roman"/>
          <w:color w:val="FF0000"/>
          <w:sz w:val="24"/>
          <w:szCs w:val="24"/>
        </w:rPr>
        <w:t>art. 17</w:t>
      </w:r>
      <w:r w:rsidR="00974427" w:rsidRPr="00CF1335">
        <w:rPr>
          <w:rFonts w:ascii="Times New Roman" w:hAnsi="Times New Roman" w:cs="Times New Roman"/>
          <w:color w:val="FF0000"/>
          <w:sz w:val="24"/>
          <w:szCs w:val="24"/>
        </w:rPr>
        <w:t xml:space="preserve"> LCCI</w:t>
      </w:r>
      <w:r w:rsidRPr="00CF1335">
        <w:rPr>
          <w:rFonts w:ascii="Times New Roman" w:hAnsi="Times New Roman" w:cs="Times New Roman"/>
          <w:color w:val="FF0000"/>
          <w:sz w:val="24"/>
          <w:szCs w:val="24"/>
        </w:rPr>
        <w:t xml:space="preserve">. </w:t>
      </w:r>
      <w:r w:rsidRPr="007E6C38">
        <w:rPr>
          <w:rFonts w:ascii="Times New Roman" w:hAnsi="Times New Roman" w:cs="Times New Roman"/>
          <w:sz w:val="24"/>
          <w:szCs w:val="24"/>
        </w:rPr>
        <w:t>En tal sentido, puesto que el contenido de la FEIN es intocable</w:t>
      </w:r>
      <w:r w:rsidR="009816AA" w:rsidRPr="007E6C38">
        <w:rPr>
          <w:rFonts w:ascii="Times New Roman" w:hAnsi="Times New Roman" w:cs="Times New Roman"/>
          <w:sz w:val="24"/>
          <w:szCs w:val="24"/>
        </w:rPr>
        <w:t xml:space="preserve"> y no se pueden realizar adiciones,</w:t>
      </w:r>
      <w:r w:rsidR="00974427" w:rsidRPr="007E6C38">
        <w:rPr>
          <w:rFonts w:ascii="Times New Roman" w:hAnsi="Times New Roman" w:cs="Times New Roman"/>
          <w:sz w:val="24"/>
          <w:szCs w:val="24"/>
        </w:rPr>
        <w:t xml:space="preserve"> por mandato imperativo</w:t>
      </w:r>
      <w:r w:rsidR="009816AA" w:rsidRPr="007E6C38">
        <w:rPr>
          <w:rFonts w:ascii="Times New Roman" w:hAnsi="Times New Roman" w:cs="Times New Roman"/>
          <w:sz w:val="24"/>
          <w:szCs w:val="24"/>
        </w:rPr>
        <w:t xml:space="preserve"> del art. 2.2 de la Directiva 2014/17/UE</w:t>
      </w:r>
      <w:r w:rsidRPr="007E6C38">
        <w:rPr>
          <w:rFonts w:ascii="Times New Roman" w:hAnsi="Times New Roman" w:cs="Times New Roman"/>
          <w:sz w:val="24"/>
          <w:szCs w:val="24"/>
        </w:rPr>
        <w:t xml:space="preserve">, </w:t>
      </w:r>
      <w:r w:rsidRPr="00CF1335">
        <w:rPr>
          <w:rFonts w:ascii="Times New Roman" w:hAnsi="Times New Roman" w:cs="Times New Roman"/>
          <w:color w:val="FF0000"/>
          <w:sz w:val="24"/>
          <w:szCs w:val="24"/>
        </w:rPr>
        <w:t xml:space="preserve">el documento idóneo para incluir estas explicaciones adecuadas sobre las características </w:t>
      </w:r>
      <w:r w:rsidR="00FE6F85" w:rsidRPr="00CF1335">
        <w:rPr>
          <w:rFonts w:ascii="Times New Roman" w:hAnsi="Times New Roman" w:cs="Times New Roman"/>
          <w:color w:val="FF0000"/>
          <w:sz w:val="24"/>
          <w:szCs w:val="24"/>
        </w:rPr>
        <w:t>concretas de un producto</w:t>
      </w:r>
      <w:r w:rsidR="009816AA" w:rsidRPr="00CF1335">
        <w:rPr>
          <w:rFonts w:ascii="Times New Roman" w:hAnsi="Times New Roman" w:cs="Times New Roman"/>
          <w:color w:val="FF0000"/>
          <w:sz w:val="24"/>
          <w:szCs w:val="24"/>
        </w:rPr>
        <w:t xml:space="preserve"> es la </w:t>
      </w:r>
      <w:proofErr w:type="spellStart"/>
      <w:r w:rsidR="009816AA" w:rsidRPr="00CF1335">
        <w:rPr>
          <w:rFonts w:ascii="Times New Roman" w:hAnsi="Times New Roman" w:cs="Times New Roman"/>
          <w:color w:val="FF0000"/>
          <w:sz w:val="24"/>
          <w:szCs w:val="24"/>
        </w:rPr>
        <w:t>FiAE</w:t>
      </w:r>
      <w:proofErr w:type="spellEnd"/>
      <w:r w:rsidR="009816AA" w:rsidRPr="00CF1335">
        <w:rPr>
          <w:rFonts w:ascii="Times New Roman" w:hAnsi="Times New Roman" w:cs="Times New Roman"/>
          <w:color w:val="FF0000"/>
          <w:sz w:val="24"/>
          <w:szCs w:val="24"/>
        </w:rPr>
        <w:t xml:space="preserve">, cuyo contenido no está cerrado, pues el </w:t>
      </w:r>
      <w:r w:rsidR="00654E83" w:rsidRPr="00CF1335">
        <w:rPr>
          <w:rFonts w:ascii="Times New Roman" w:hAnsi="Times New Roman" w:cs="Times New Roman"/>
          <w:color w:val="FF0000"/>
          <w:sz w:val="24"/>
          <w:szCs w:val="24"/>
        </w:rPr>
        <w:t>art. 14</w:t>
      </w:r>
      <w:r w:rsidR="009816AA" w:rsidRPr="00CF1335">
        <w:rPr>
          <w:rFonts w:ascii="Times New Roman" w:hAnsi="Times New Roman" w:cs="Times New Roman"/>
          <w:color w:val="FF0000"/>
          <w:sz w:val="24"/>
          <w:szCs w:val="24"/>
        </w:rPr>
        <w:t xml:space="preserve">.1.b) </w:t>
      </w:r>
      <w:r w:rsidR="009816AA" w:rsidRPr="007E6C38">
        <w:rPr>
          <w:rFonts w:ascii="Times New Roman" w:hAnsi="Times New Roman" w:cs="Times New Roman"/>
          <w:sz w:val="24"/>
          <w:szCs w:val="24"/>
        </w:rPr>
        <w:t>LCCI se refiere a la inclusión en la misma de la referencia a cláusulas o elementos relevantes del contrato de préstamo, señalando las que “al menos”, pero no con carácter excluyente, se deben incluir</w:t>
      </w:r>
      <w:r w:rsidR="00ED0EE7" w:rsidRPr="007E6C38">
        <w:rPr>
          <w:rStyle w:val="Refdenotaalpie"/>
          <w:rFonts w:ascii="Times New Roman" w:hAnsi="Times New Roman" w:cs="Times New Roman"/>
          <w:sz w:val="24"/>
          <w:szCs w:val="24"/>
        </w:rPr>
        <w:footnoteReference w:id="30"/>
      </w:r>
      <w:r w:rsidR="009816AA" w:rsidRPr="007E6C38">
        <w:rPr>
          <w:rFonts w:ascii="Times New Roman" w:hAnsi="Times New Roman" w:cs="Times New Roman"/>
          <w:sz w:val="24"/>
          <w:szCs w:val="24"/>
        </w:rPr>
        <w:t>.</w:t>
      </w:r>
    </w:p>
    <w:p w:rsidR="001F009D" w:rsidRPr="007E6C38" w:rsidRDefault="001F009D" w:rsidP="00F60A8E">
      <w:pPr>
        <w:spacing w:before="120" w:after="120" w:line="360" w:lineRule="auto"/>
        <w:jc w:val="both"/>
        <w:rPr>
          <w:rFonts w:ascii="Times New Roman" w:hAnsi="Times New Roman" w:cs="Times New Roman"/>
          <w:b/>
          <w:sz w:val="24"/>
          <w:szCs w:val="24"/>
        </w:rPr>
      </w:pPr>
    </w:p>
    <w:p w:rsidR="006378E4" w:rsidRPr="007E6C38" w:rsidRDefault="006378E4" w:rsidP="00F60A8E">
      <w:pPr>
        <w:spacing w:before="120" w:after="120" w:line="360" w:lineRule="auto"/>
        <w:jc w:val="both"/>
        <w:rPr>
          <w:rFonts w:ascii="Times New Roman" w:hAnsi="Times New Roman" w:cs="Times New Roman"/>
          <w:b/>
          <w:sz w:val="24"/>
          <w:szCs w:val="24"/>
        </w:rPr>
      </w:pPr>
      <w:r w:rsidRPr="007E6C38">
        <w:rPr>
          <w:rFonts w:ascii="Times New Roman" w:hAnsi="Times New Roman" w:cs="Times New Roman"/>
          <w:b/>
          <w:sz w:val="24"/>
          <w:szCs w:val="24"/>
        </w:rPr>
        <w:t>VI</w:t>
      </w:r>
      <w:r w:rsidR="00F60A8E" w:rsidRPr="007E6C38">
        <w:rPr>
          <w:rFonts w:ascii="Times New Roman" w:hAnsi="Times New Roman" w:cs="Times New Roman"/>
          <w:b/>
          <w:sz w:val="24"/>
          <w:szCs w:val="24"/>
        </w:rPr>
        <w:t>I</w:t>
      </w:r>
      <w:r w:rsidRPr="007E6C38">
        <w:rPr>
          <w:rFonts w:ascii="Times New Roman" w:hAnsi="Times New Roman" w:cs="Times New Roman"/>
          <w:b/>
          <w:sz w:val="24"/>
          <w:szCs w:val="24"/>
        </w:rPr>
        <w:t>. EL VALOR PROBATORIO DEL ACTA NOTARIAL</w:t>
      </w:r>
    </w:p>
    <w:p w:rsidR="00C3037E" w:rsidRPr="007E6C38" w:rsidRDefault="00C3037E"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El régimen de información precontractual previsto en la LCCI se completa con el control notarial del cumplimiento del principio de t</w:t>
      </w:r>
      <w:r w:rsidR="00C93809" w:rsidRPr="007E6C38">
        <w:rPr>
          <w:rFonts w:ascii="Times New Roman" w:hAnsi="Times New Roman" w:cs="Times New Roman"/>
          <w:sz w:val="24"/>
          <w:szCs w:val="24"/>
        </w:rPr>
        <w:t xml:space="preserve">ransparencia material previsto en el </w:t>
      </w:r>
      <w:r w:rsidR="00654E83" w:rsidRPr="007E6C38">
        <w:rPr>
          <w:rFonts w:ascii="Times New Roman" w:hAnsi="Times New Roman" w:cs="Times New Roman"/>
          <w:sz w:val="24"/>
          <w:szCs w:val="24"/>
        </w:rPr>
        <w:t>art. 15</w:t>
      </w:r>
      <w:r w:rsidR="00A81AC0" w:rsidRPr="007E6C38">
        <w:rPr>
          <w:rFonts w:ascii="Times New Roman" w:hAnsi="Times New Roman" w:cs="Times New Roman"/>
          <w:sz w:val="24"/>
          <w:szCs w:val="24"/>
        </w:rPr>
        <w:t>.2</w:t>
      </w:r>
      <w:r w:rsidRPr="007E6C38">
        <w:rPr>
          <w:rFonts w:ascii="Times New Roman" w:hAnsi="Times New Roman" w:cs="Times New Roman"/>
          <w:sz w:val="24"/>
          <w:szCs w:val="24"/>
        </w:rPr>
        <w:t xml:space="preserve"> LCCI, mediante un acta obligatoria en la que </w:t>
      </w:r>
      <w:r w:rsidRPr="00CF1335">
        <w:rPr>
          <w:rFonts w:ascii="Times New Roman" w:hAnsi="Times New Roman" w:cs="Times New Roman"/>
          <w:color w:val="FF0000"/>
          <w:sz w:val="24"/>
          <w:szCs w:val="24"/>
        </w:rPr>
        <w:t xml:space="preserve">el notario debe verificar y hacer constar no sólo </w:t>
      </w:r>
      <w:r w:rsidR="00CA7A39" w:rsidRPr="00CF1335">
        <w:rPr>
          <w:rFonts w:ascii="Times New Roman" w:hAnsi="Times New Roman" w:cs="Times New Roman"/>
          <w:color w:val="FF0000"/>
          <w:sz w:val="24"/>
          <w:szCs w:val="24"/>
        </w:rPr>
        <w:t xml:space="preserve">que </w:t>
      </w:r>
      <w:r w:rsidR="00C93809" w:rsidRPr="00CF1335">
        <w:rPr>
          <w:rFonts w:ascii="Times New Roman" w:hAnsi="Times New Roman" w:cs="Times New Roman"/>
          <w:color w:val="FF0000"/>
          <w:sz w:val="24"/>
          <w:szCs w:val="24"/>
        </w:rPr>
        <w:t>se ha hecho entrega al prestatario</w:t>
      </w:r>
      <w:r w:rsidRPr="00CF1335">
        <w:rPr>
          <w:rFonts w:ascii="Times New Roman" w:hAnsi="Times New Roman" w:cs="Times New Roman"/>
          <w:color w:val="FF0000"/>
          <w:sz w:val="24"/>
          <w:szCs w:val="24"/>
        </w:rPr>
        <w:t xml:space="preserve"> en el pl</w:t>
      </w:r>
      <w:r w:rsidR="00C93809" w:rsidRPr="00CF1335">
        <w:rPr>
          <w:rFonts w:ascii="Times New Roman" w:hAnsi="Times New Roman" w:cs="Times New Roman"/>
          <w:color w:val="FF0000"/>
          <w:sz w:val="24"/>
          <w:szCs w:val="24"/>
        </w:rPr>
        <w:t>azo establecido de los documentos</w:t>
      </w:r>
      <w:r w:rsidRPr="00CF1335">
        <w:rPr>
          <w:rFonts w:ascii="Times New Roman" w:hAnsi="Times New Roman" w:cs="Times New Roman"/>
          <w:color w:val="FF0000"/>
          <w:sz w:val="24"/>
          <w:szCs w:val="24"/>
        </w:rPr>
        <w:t xml:space="preserve"> referidos en el </w:t>
      </w:r>
      <w:r w:rsidR="00654E83" w:rsidRPr="00CF1335">
        <w:rPr>
          <w:rFonts w:ascii="Times New Roman" w:hAnsi="Times New Roman" w:cs="Times New Roman"/>
          <w:color w:val="FF0000"/>
          <w:sz w:val="24"/>
          <w:szCs w:val="24"/>
        </w:rPr>
        <w:t>art. 14</w:t>
      </w:r>
      <w:r w:rsidR="005C6311" w:rsidRPr="00CF1335">
        <w:rPr>
          <w:rFonts w:ascii="Times New Roman" w:hAnsi="Times New Roman" w:cs="Times New Roman"/>
          <w:color w:val="FF0000"/>
          <w:sz w:val="24"/>
          <w:szCs w:val="24"/>
        </w:rPr>
        <w:t>.1</w:t>
      </w:r>
      <w:r w:rsidRPr="00CF1335">
        <w:rPr>
          <w:rFonts w:ascii="Times New Roman" w:hAnsi="Times New Roman" w:cs="Times New Roman"/>
          <w:color w:val="FF0000"/>
          <w:sz w:val="24"/>
          <w:szCs w:val="24"/>
        </w:rPr>
        <w:t xml:space="preserve"> PLCCI</w:t>
      </w:r>
      <w:r w:rsidR="00FE6F85" w:rsidRPr="00CF1335">
        <w:rPr>
          <w:rFonts w:ascii="Times New Roman" w:hAnsi="Times New Roman" w:cs="Times New Roman"/>
          <w:color w:val="FF0000"/>
          <w:sz w:val="24"/>
          <w:szCs w:val="24"/>
        </w:rPr>
        <w:t xml:space="preserve">, </w:t>
      </w:r>
      <w:r w:rsidR="00C93809" w:rsidRPr="00CF1335">
        <w:rPr>
          <w:rFonts w:ascii="Times New Roman" w:hAnsi="Times New Roman" w:cs="Times New Roman"/>
          <w:color w:val="FF0000"/>
          <w:sz w:val="24"/>
          <w:szCs w:val="24"/>
        </w:rPr>
        <w:t>a);</w:t>
      </w:r>
      <w:r w:rsidRPr="00CF1335">
        <w:rPr>
          <w:rFonts w:ascii="Times New Roman" w:hAnsi="Times New Roman" w:cs="Times New Roman"/>
          <w:color w:val="FF0000"/>
          <w:sz w:val="24"/>
          <w:szCs w:val="24"/>
        </w:rPr>
        <w:t xml:space="preserve"> sino además,</w:t>
      </w:r>
      <w:r w:rsidR="00C93809" w:rsidRPr="00CF1335">
        <w:rPr>
          <w:rFonts w:ascii="Times New Roman" w:hAnsi="Times New Roman" w:cs="Times New Roman"/>
          <w:color w:val="FF0000"/>
          <w:sz w:val="24"/>
          <w:szCs w:val="24"/>
        </w:rPr>
        <w:t xml:space="preserve"> de</w:t>
      </w:r>
      <w:r w:rsidRPr="00CF1335">
        <w:rPr>
          <w:rFonts w:ascii="Times New Roman" w:hAnsi="Times New Roman" w:cs="Times New Roman"/>
          <w:color w:val="FF0000"/>
          <w:sz w:val="24"/>
          <w:szCs w:val="24"/>
        </w:rPr>
        <w:t xml:space="preserve"> las cuestiones planteadas por el prestatario y el asesoramiento que le ha prestado al respecto</w:t>
      </w:r>
      <w:r w:rsidR="00FE6F85" w:rsidRPr="00CF1335">
        <w:rPr>
          <w:rFonts w:ascii="Times New Roman" w:hAnsi="Times New Roman" w:cs="Times New Roman"/>
          <w:color w:val="FF0000"/>
          <w:sz w:val="24"/>
          <w:szCs w:val="24"/>
        </w:rPr>
        <w:t>,</w:t>
      </w:r>
      <w:r w:rsidR="00C93809" w:rsidRPr="00CF1335">
        <w:rPr>
          <w:rFonts w:ascii="Times New Roman" w:hAnsi="Times New Roman" w:cs="Times New Roman"/>
          <w:color w:val="FF0000"/>
          <w:sz w:val="24"/>
          <w:szCs w:val="24"/>
        </w:rPr>
        <w:t xml:space="preserve"> b)</w:t>
      </w:r>
      <w:r w:rsidRPr="00CF1335">
        <w:rPr>
          <w:rFonts w:ascii="Times New Roman" w:hAnsi="Times New Roman" w:cs="Times New Roman"/>
          <w:color w:val="FF0000"/>
          <w:sz w:val="24"/>
          <w:szCs w:val="24"/>
        </w:rPr>
        <w:t xml:space="preserve">; </w:t>
      </w:r>
      <w:r w:rsidR="00662770" w:rsidRPr="00CF1335">
        <w:rPr>
          <w:rFonts w:ascii="Times New Roman" w:hAnsi="Times New Roman" w:cs="Times New Roman"/>
          <w:color w:val="FF0000"/>
          <w:sz w:val="24"/>
          <w:szCs w:val="24"/>
        </w:rPr>
        <w:t>d</w:t>
      </w:r>
      <w:r w:rsidRPr="00CF1335">
        <w:rPr>
          <w:rFonts w:ascii="Times New Roman" w:hAnsi="Times New Roman" w:cs="Times New Roman"/>
          <w:color w:val="FF0000"/>
          <w:sz w:val="24"/>
          <w:szCs w:val="24"/>
        </w:rPr>
        <w:t>el asesorami</w:t>
      </w:r>
      <w:r w:rsidR="00C93809" w:rsidRPr="00CF1335">
        <w:rPr>
          <w:rFonts w:ascii="Times New Roman" w:hAnsi="Times New Roman" w:cs="Times New Roman"/>
          <w:color w:val="FF0000"/>
          <w:sz w:val="24"/>
          <w:szCs w:val="24"/>
        </w:rPr>
        <w:t xml:space="preserve">ento que ha prestado sobre las </w:t>
      </w:r>
      <w:r w:rsidRPr="00CF1335">
        <w:rPr>
          <w:rFonts w:ascii="Times New Roman" w:hAnsi="Times New Roman" w:cs="Times New Roman"/>
          <w:color w:val="FF0000"/>
          <w:sz w:val="24"/>
          <w:szCs w:val="24"/>
        </w:rPr>
        <w:t>cláusulas específicas recogidas en la FEIN y en la FIAE de manera individualizada</w:t>
      </w:r>
      <w:r w:rsidR="00C93809" w:rsidRPr="00CF1335">
        <w:rPr>
          <w:rFonts w:ascii="Times New Roman" w:hAnsi="Times New Roman" w:cs="Times New Roman"/>
          <w:color w:val="FF0000"/>
          <w:sz w:val="24"/>
          <w:szCs w:val="24"/>
        </w:rPr>
        <w:t>, con referencia expresa a cada una de ellas;</w:t>
      </w:r>
      <w:r w:rsidRPr="00CF1335">
        <w:rPr>
          <w:rFonts w:ascii="Times New Roman" w:hAnsi="Times New Roman" w:cs="Times New Roman"/>
          <w:color w:val="FF0000"/>
          <w:sz w:val="24"/>
          <w:szCs w:val="24"/>
        </w:rPr>
        <w:t xml:space="preserve"> así como la realización de un test por el prestatario sobre la documentación entregada y la información suministrada</w:t>
      </w:r>
      <w:r w:rsidR="005C6311" w:rsidRPr="00CF1335">
        <w:rPr>
          <w:rFonts w:ascii="Times New Roman" w:hAnsi="Times New Roman" w:cs="Times New Roman"/>
          <w:color w:val="FF0000"/>
          <w:sz w:val="24"/>
          <w:szCs w:val="24"/>
        </w:rPr>
        <w:t xml:space="preserve"> por el prestamista</w:t>
      </w:r>
      <w:r w:rsidR="00FE6F85" w:rsidRPr="00CF1335">
        <w:rPr>
          <w:rFonts w:ascii="Times New Roman" w:hAnsi="Times New Roman" w:cs="Times New Roman"/>
          <w:color w:val="FF0000"/>
          <w:sz w:val="24"/>
          <w:szCs w:val="24"/>
        </w:rPr>
        <w:t>,</w:t>
      </w:r>
      <w:r w:rsidR="00C93809" w:rsidRPr="00CF1335">
        <w:rPr>
          <w:rFonts w:ascii="Times New Roman" w:hAnsi="Times New Roman" w:cs="Times New Roman"/>
          <w:color w:val="FF0000"/>
          <w:sz w:val="24"/>
          <w:szCs w:val="24"/>
        </w:rPr>
        <w:t xml:space="preserve"> c)</w:t>
      </w:r>
      <w:r w:rsidR="001F009D" w:rsidRPr="00CF1335">
        <w:rPr>
          <w:rFonts w:ascii="Times New Roman" w:hAnsi="Times New Roman" w:cs="Times New Roman"/>
          <w:color w:val="FF0000"/>
          <w:sz w:val="24"/>
          <w:szCs w:val="24"/>
        </w:rPr>
        <w:t>.</w:t>
      </w:r>
    </w:p>
    <w:p w:rsidR="001F009D" w:rsidRPr="00CF1335" w:rsidRDefault="007907D2" w:rsidP="00F60A8E">
      <w:pPr>
        <w:spacing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En el texto final de la LCCI han desapar</w:t>
      </w:r>
      <w:r w:rsidR="009A6AF3" w:rsidRPr="007E6C38">
        <w:rPr>
          <w:rFonts w:ascii="Times New Roman" w:hAnsi="Times New Roman" w:cs="Times New Roman"/>
          <w:sz w:val="24"/>
          <w:szCs w:val="24"/>
        </w:rPr>
        <w:t>ecido respecto del Proyecto de LCCI de 17 de noviembre de 2017</w:t>
      </w:r>
      <w:r w:rsidR="009A6AF3" w:rsidRPr="007E6C38">
        <w:rPr>
          <w:rStyle w:val="Refdenotaalpie"/>
          <w:rFonts w:ascii="Times New Roman" w:hAnsi="Times New Roman" w:cs="Times New Roman"/>
          <w:sz w:val="24"/>
          <w:szCs w:val="24"/>
        </w:rPr>
        <w:footnoteReference w:id="31"/>
      </w:r>
      <w:r w:rsidR="009A6AF3" w:rsidRPr="007E6C38">
        <w:rPr>
          <w:rFonts w:ascii="Times New Roman" w:hAnsi="Times New Roman" w:cs="Times New Roman"/>
          <w:sz w:val="24"/>
          <w:szCs w:val="24"/>
        </w:rPr>
        <w:t xml:space="preserve"> </w:t>
      </w:r>
      <w:r w:rsidRPr="007E6C38">
        <w:rPr>
          <w:rFonts w:ascii="Times New Roman" w:hAnsi="Times New Roman" w:cs="Times New Roman"/>
          <w:sz w:val="24"/>
          <w:szCs w:val="24"/>
        </w:rPr>
        <w:t>la obligación de hacer constar en el acta las pruebas realizadas por el notario al prestatario sobre el entendimiento de diversos ejemplos de aplicación práctica de las cláusulas financieras en diversos escenario (art. 13.2.</w:t>
      </w:r>
      <w:r w:rsidR="001F009D" w:rsidRPr="007E6C38">
        <w:rPr>
          <w:rFonts w:ascii="Times New Roman" w:hAnsi="Times New Roman" w:cs="Times New Roman"/>
          <w:sz w:val="24"/>
          <w:szCs w:val="24"/>
        </w:rPr>
        <w:t xml:space="preserve"> c</w:t>
      </w:r>
      <w:r w:rsidRPr="007E6C38">
        <w:rPr>
          <w:rFonts w:ascii="Times New Roman" w:hAnsi="Times New Roman" w:cs="Times New Roman"/>
          <w:sz w:val="24"/>
          <w:szCs w:val="24"/>
        </w:rPr>
        <w:t xml:space="preserve">. del Proyecto), así como la </w:t>
      </w:r>
      <w:r w:rsidRPr="00CF1335">
        <w:rPr>
          <w:rFonts w:ascii="Times New Roman" w:hAnsi="Times New Roman" w:cs="Times New Roman"/>
          <w:color w:val="FF0000"/>
          <w:sz w:val="24"/>
          <w:szCs w:val="24"/>
        </w:rPr>
        <w:t>manifestación manuscrita y firmada por el prestatario</w:t>
      </w:r>
      <w:r w:rsidRPr="007E6C38">
        <w:rPr>
          <w:rFonts w:ascii="Times New Roman" w:hAnsi="Times New Roman" w:cs="Times New Roman"/>
          <w:sz w:val="24"/>
          <w:szCs w:val="24"/>
        </w:rPr>
        <w:t>, por la que declarase haber recibido la documental exigida, así como que comprende y acepta su contenido y que entiende los riesgos jurídicos y e</w:t>
      </w:r>
      <w:r w:rsidR="001F009D" w:rsidRPr="007E6C38">
        <w:rPr>
          <w:rFonts w:ascii="Times New Roman" w:hAnsi="Times New Roman" w:cs="Times New Roman"/>
          <w:sz w:val="24"/>
          <w:szCs w:val="24"/>
        </w:rPr>
        <w:t xml:space="preserve">conómicos de la operación (art. 13.2. e del Proyecto). </w:t>
      </w:r>
      <w:r w:rsidR="001F009D" w:rsidRPr="00CF1335">
        <w:rPr>
          <w:rFonts w:ascii="Times New Roman" w:hAnsi="Times New Roman" w:cs="Times New Roman"/>
          <w:color w:val="FF0000"/>
          <w:sz w:val="24"/>
          <w:szCs w:val="24"/>
        </w:rPr>
        <w:t>Una manifestación de</w:t>
      </w:r>
      <w:r w:rsidR="00662770" w:rsidRPr="00CF1335">
        <w:rPr>
          <w:rFonts w:ascii="Times New Roman" w:hAnsi="Times New Roman" w:cs="Times New Roman"/>
          <w:color w:val="FF0000"/>
          <w:sz w:val="24"/>
          <w:szCs w:val="24"/>
        </w:rPr>
        <w:t>l prestatario de</w:t>
      </w:r>
      <w:r w:rsidR="001F009D" w:rsidRPr="00CF1335">
        <w:rPr>
          <w:rFonts w:ascii="Times New Roman" w:hAnsi="Times New Roman" w:cs="Times New Roman"/>
          <w:color w:val="FF0000"/>
          <w:sz w:val="24"/>
          <w:szCs w:val="24"/>
        </w:rPr>
        <w:t xml:space="preserve"> tal g</w:t>
      </w:r>
      <w:r w:rsidR="00662770" w:rsidRPr="00CF1335">
        <w:rPr>
          <w:rFonts w:ascii="Times New Roman" w:hAnsi="Times New Roman" w:cs="Times New Roman"/>
          <w:color w:val="FF0000"/>
          <w:sz w:val="24"/>
          <w:szCs w:val="24"/>
        </w:rPr>
        <w:t>énero</w:t>
      </w:r>
      <w:r w:rsidR="001F009D" w:rsidRPr="00CF1335">
        <w:rPr>
          <w:rFonts w:ascii="Times New Roman" w:hAnsi="Times New Roman" w:cs="Times New Roman"/>
          <w:color w:val="FF0000"/>
          <w:sz w:val="24"/>
          <w:szCs w:val="24"/>
        </w:rPr>
        <w:t xml:space="preserve"> ya no ha de hacerse en la misma acta notarial, sino que por mor del art. 14.1 LCCI, párrafo fina</w:t>
      </w:r>
      <w:r w:rsidR="005C6311" w:rsidRPr="00CF1335">
        <w:rPr>
          <w:rFonts w:ascii="Times New Roman" w:hAnsi="Times New Roman" w:cs="Times New Roman"/>
          <w:color w:val="FF0000"/>
          <w:sz w:val="24"/>
          <w:szCs w:val="24"/>
        </w:rPr>
        <w:t>l,</w:t>
      </w:r>
      <w:r w:rsidR="000E5F4E" w:rsidRPr="00CF1335">
        <w:rPr>
          <w:rFonts w:ascii="Times New Roman" w:hAnsi="Times New Roman" w:cs="Times New Roman"/>
          <w:color w:val="FF0000"/>
          <w:sz w:val="24"/>
          <w:szCs w:val="24"/>
        </w:rPr>
        <w:t xml:space="preserve"> es previa al acta </w:t>
      </w:r>
      <w:r w:rsidR="00662770" w:rsidRPr="00CF1335">
        <w:rPr>
          <w:rFonts w:ascii="Times New Roman" w:hAnsi="Times New Roman" w:cs="Times New Roman"/>
          <w:color w:val="FF0000"/>
          <w:sz w:val="24"/>
          <w:szCs w:val="24"/>
        </w:rPr>
        <w:t>-y se ha de remitir</w:t>
      </w:r>
      <w:r w:rsidR="000E5F4E" w:rsidRPr="00CF1335">
        <w:rPr>
          <w:rFonts w:ascii="Times New Roman" w:hAnsi="Times New Roman" w:cs="Times New Roman"/>
          <w:color w:val="FF0000"/>
          <w:sz w:val="24"/>
          <w:szCs w:val="24"/>
        </w:rPr>
        <w:t xml:space="preserve"> al notario junto con la demás documentación</w:t>
      </w:r>
      <w:r w:rsidR="00662770" w:rsidRPr="00CF1335">
        <w:rPr>
          <w:rFonts w:ascii="Times New Roman" w:hAnsi="Times New Roman" w:cs="Times New Roman"/>
          <w:color w:val="FF0000"/>
          <w:sz w:val="24"/>
          <w:szCs w:val="24"/>
        </w:rPr>
        <w:t xml:space="preserve"> del art. 14.1 LCCI-</w:t>
      </w:r>
      <w:r w:rsidR="000E5F4E" w:rsidRPr="00CF1335">
        <w:rPr>
          <w:rFonts w:ascii="Times New Roman" w:hAnsi="Times New Roman" w:cs="Times New Roman"/>
          <w:color w:val="FF0000"/>
          <w:sz w:val="24"/>
          <w:szCs w:val="24"/>
        </w:rPr>
        <w:t xml:space="preserve"> y en ella el prestatario sólo debe declarar que ha recibido la documentación y que le ha sido explicado su contenido, no que lo haya comprendido.</w:t>
      </w:r>
    </w:p>
    <w:p w:rsidR="000E5F4E" w:rsidRPr="007E6C38" w:rsidRDefault="00E83F88"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Una de las cuestiones más polémicas en relación al acta notarial es el valor probatorio que s</w:t>
      </w:r>
      <w:r w:rsidR="000E5F4E" w:rsidRPr="007E6C38">
        <w:rPr>
          <w:rFonts w:ascii="Times New Roman" w:hAnsi="Times New Roman" w:cs="Times New Roman"/>
          <w:sz w:val="24"/>
          <w:szCs w:val="24"/>
        </w:rPr>
        <w:t>e le atribuye a la misma, porque según cuál sea éste y, particularmente, si se concibe que hace prueba de la comprensión por el prestatario de la documentación entregada, supondrá cerrar el paso de modo casi absoluto a las demandas fundadas en falta de transparencia</w:t>
      </w:r>
      <w:r w:rsidR="00644A5A" w:rsidRPr="007E6C38">
        <w:rPr>
          <w:rStyle w:val="Refdenotaalpie"/>
          <w:rFonts w:ascii="Times New Roman" w:hAnsi="Times New Roman" w:cs="Times New Roman"/>
          <w:sz w:val="24"/>
          <w:szCs w:val="24"/>
        </w:rPr>
        <w:footnoteReference w:id="32"/>
      </w:r>
      <w:r w:rsidR="00100736" w:rsidRPr="007E6C38">
        <w:rPr>
          <w:rFonts w:ascii="Times New Roman" w:hAnsi="Times New Roman" w:cs="Times New Roman"/>
          <w:sz w:val="24"/>
          <w:szCs w:val="24"/>
        </w:rPr>
        <w:t>.</w:t>
      </w:r>
      <w:r w:rsidR="001F009D" w:rsidRPr="007E6C38">
        <w:rPr>
          <w:rFonts w:ascii="Times New Roman" w:hAnsi="Times New Roman" w:cs="Times New Roman"/>
          <w:sz w:val="24"/>
          <w:szCs w:val="24"/>
        </w:rPr>
        <w:t xml:space="preserve"> El art. </w:t>
      </w:r>
      <w:r w:rsidR="001F009D" w:rsidRPr="00CF1335">
        <w:rPr>
          <w:rFonts w:ascii="Times New Roman" w:hAnsi="Times New Roman" w:cs="Times New Roman"/>
          <w:color w:val="FF0000"/>
          <w:sz w:val="24"/>
          <w:szCs w:val="24"/>
        </w:rPr>
        <w:t>15.6 LCCI</w:t>
      </w:r>
      <w:r w:rsidRPr="00CF1335">
        <w:rPr>
          <w:rFonts w:ascii="Times New Roman" w:hAnsi="Times New Roman" w:cs="Times New Roman"/>
          <w:color w:val="FF0000"/>
          <w:sz w:val="24"/>
          <w:szCs w:val="24"/>
        </w:rPr>
        <w:t xml:space="preserve"> dispone respecto al valor probatorio del acta que su contenido se presume veraz e íntegro y hará prueba del “asesoramiento prestado por e</w:t>
      </w:r>
      <w:r w:rsidR="001F009D" w:rsidRPr="00CF1335">
        <w:rPr>
          <w:rFonts w:ascii="Times New Roman" w:hAnsi="Times New Roman" w:cs="Times New Roman"/>
          <w:color w:val="FF0000"/>
          <w:sz w:val="24"/>
          <w:szCs w:val="24"/>
        </w:rPr>
        <w:t xml:space="preserve">l notario y de la manifestación </w:t>
      </w:r>
      <w:r w:rsidRPr="00CF1335">
        <w:rPr>
          <w:rFonts w:ascii="Times New Roman" w:hAnsi="Times New Roman" w:cs="Times New Roman"/>
          <w:color w:val="FF0000"/>
          <w:sz w:val="24"/>
          <w:szCs w:val="24"/>
        </w:rPr>
        <w:t>de que el prestatario comprende y acepta el contenido de los documentos descritos, a efectos de cumplir con el principio de transparencia en su vertiente material”.</w:t>
      </w:r>
      <w:r w:rsidR="001F009D" w:rsidRPr="00CF1335">
        <w:rPr>
          <w:rFonts w:ascii="Times New Roman" w:hAnsi="Times New Roman" w:cs="Times New Roman"/>
          <w:color w:val="FF0000"/>
          <w:sz w:val="24"/>
          <w:szCs w:val="24"/>
        </w:rPr>
        <w:t xml:space="preserve"> </w:t>
      </w:r>
      <w:r w:rsidR="001F009D" w:rsidRPr="007E6C38">
        <w:rPr>
          <w:rFonts w:ascii="Times New Roman" w:hAnsi="Times New Roman" w:cs="Times New Roman"/>
          <w:sz w:val="24"/>
          <w:szCs w:val="24"/>
        </w:rPr>
        <w:t xml:space="preserve">Sorprende que el art. 15.6 LCCI haga referencia al valor probatorio del acta sobre la manifestación del prestatario de que comprende y acepta el contenido de los documentos entregados, </w:t>
      </w:r>
      <w:r w:rsidR="000E5F4E" w:rsidRPr="007E6C38">
        <w:rPr>
          <w:rFonts w:ascii="Times New Roman" w:hAnsi="Times New Roman" w:cs="Times New Roman"/>
          <w:sz w:val="24"/>
          <w:szCs w:val="24"/>
        </w:rPr>
        <w:t>puesto que a diferencia de lo que ocurría en el Proyecto</w:t>
      </w:r>
      <w:r w:rsidR="009A6AF3" w:rsidRPr="007E6C38">
        <w:rPr>
          <w:rFonts w:ascii="Times New Roman" w:hAnsi="Times New Roman" w:cs="Times New Roman"/>
          <w:sz w:val="24"/>
          <w:szCs w:val="24"/>
        </w:rPr>
        <w:t xml:space="preserve"> de 17 de noviembre de 2017</w:t>
      </w:r>
      <w:r w:rsidR="000E5F4E" w:rsidRPr="007E6C38">
        <w:rPr>
          <w:rFonts w:ascii="Times New Roman" w:hAnsi="Times New Roman" w:cs="Times New Roman"/>
          <w:sz w:val="24"/>
          <w:szCs w:val="24"/>
        </w:rPr>
        <w:t xml:space="preserve">, que exigía que una manifestación de tal tipo se incluyera en el acta (art. 13.2.e) del Proyecto), en el texto final de la Ley, según el art. 15.2 LCCI, </w:t>
      </w:r>
      <w:r w:rsidR="00662770" w:rsidRPr="007E6C38">
        <w:rPr>
          <w:rFonts w:ascii="Times New Roman" w:hAnsi="Times New Roman" w:cs="Times New Roman"/>
          <w:sz w:val="24"/>
          <w:szCs w:val="24"/>
        </w:rPr>
        <w:t>no se debe hacer</w:t>
      </w:r>
      <w:r w:rsidR="000E5F4E" w:rsidRPr="007E6C38">
        <w:rPr>
          <w:rFonts w:ascii="Times New Roman" w:hAnsi="Times New Roman" w:cs="Times New Roman"/>
          <w:sz w:val="24"/>
          <w:szCs w:val="24"/>
        </w:rPr>
        <w:t xml:space="preserve"> constar en el acta ninguna manifestación de comprensión por parte del prestatario y la única manifestación que realiza el prestatario durante la fase precontractual es previa al acta (art. 14.1 párrafo final) y no es de comprensión del contenido de la documentación entregada, sino una mera declaración de haber recibido la documentación y de que se le ha explicado su contenido.</w:t>
      </w:r>
    </w:p>
    <w:p w:rsidR="000E5F4E" w:rsidRPr="007D15F9" w:rsidRDefault="00E83F88" w:rsidP="00F60A8E">
      <w:pPr>
        <w:spacing w:after="120" w:line="360" w:lineRule="auto"/>
        <w:jc w:val="both"/>
        <w:rPr>
          <w:rFonts w:ascii="Times New Roman" w:hAnsi="Times New Roman" w:cs="Times New Roman"/>
          <w:color w:val="FF0000"/>
          <w:sz w:val="24"/>
          <w:szCs w:val="24"/>
        </w:rPr>
      </w:pPr>
      <w:r w:rsidRPr="007E6C38">
        <w:rPr>
          <w:rFonts w:ascii="Times New Roman" w:hAnsi="Times New Roman" w:cs="Times New Roman"/>
          <w:sz w:val="24"/>
          <w:szCs w:val="24"/>
        </w:rPr>
        <w:t>Una interpretación de este art. 15.6 LCCI en el sentido de qu</w:t>
      </w:r>
      <w:r w:rsidR="000E5F4E" w:rsidRPr="007E6C38">
        <w:rPr>
          <w:rFonts w:ascii="Times New Roman" w:hAnsi="Times New Roman" w:cs="Times New Roman"/>
          <w:sz w:val="24"/>
          <w:szCs w:val="24"/>
        </w:rPr>
        <w:t xml:space="preserve">e el acta notarial constituyera prueba </w:t>
      </w:r>
      <w:r w:rsidRPr="007E6C38">
        <w:rPr>
          <w:rFonts w:ascii="Times New Roman" w:hAnsi="Times New Roman" w:cs="Times New Roman"/>
          <w:sz w:val="24"/>
          <w:szCs w:val="24"/>
        </w:rPr>
        <w:t>de la comprensión por el prestatario del contenido íntegro de los documentos entregados supondría un bloqueo casi absoluto a la posibilidad futura de entablar una demanda con fundamento en la falta de transparencia</w:t>
      </w:r>
      <w:r w:rsidR="00A81AC0" w:rsidRPr="007E6C38">
        <w:rPr>
          <w:rFonts w:ascii="Times New Roman" w:hAnsi="Times New Roman" w:cs="Times New Roman"/>
          <w:sz w:val="24"/>
          <w:szCs w:val="24"/>
        </w:rPr>
        <w:t>, pero no creemos</w:t>
      </w:r>
      <w:r w:rsidR="00CA7A39" w:rsidRPr="007E6C38">
        <w:rPr>
          <w:rFonts w:ascii="Times New Roman" w:hAnsi="Times New Roman" w:cs="Times New Roman"/>
          <w:sz w:val="24"/>
          <w:szCs w:val="24"/>
        </w:rPr>
        <w:t xml:space="preserve"> que de la literalidad del art. </w:t>
      </w:r>
      <w:r w:rsidR="00A81AC0" w:rsidRPr="007E6C38">
        <w:rPr>
          <w:rFonts w:ascii="Times New Roman" w:hAnsi="Times New Roman" w:cs="Times New Roman"/>
          <w:sz w:val="24"/>
          <w:szCs w:val="24"/>
        </w:rPr>
        <w:t>15.6 LCCI</w:t>
      </w:r>
      <w:r w:rsidR="000E5F4E" w:rsidRPr="007E6C38">
        <w:rPr>
          <w:rFonts w:ascii="Times New Roman" w:hAnsi="Times New Roman" w:cs="Times New Roman"/>
          <w:sz w:val="24"/>
          <w:szCs w:val="24"/>
        </w:rPr>
        <w:t xml:space="preserve"> pueda deducirse realmente esto y no sólo porque el art. 15.6 LCCI en este sentido es contradictorio con el art. 15.2 LCCI (en cuanto que no exige</w:t>
      </w:r>
      <w:r w:rsidR="00662770" w:rsidRPr="007E6C38">
        <w:rPr>
          <w:rFonts w:ascii="Times New Roman" w:hAnsi="Times New Roman" w:cs="Times New Roman"/>
          <w:sz w:val="24"/>
          <w:szCs w:val="24"/>
        </w:rPr>
        <w:t xml:space="preserve"> que conste</w:t>
      </w:r>
      <w:r w:rsidR="000E5F4E" w:rsidRPr="007E6C38">
        <w:rPr>
          <w:rFonts w:ascii="Times New Roman" w:hAnsi="Times New Roman" w:cs="Times New Roman"/>
          <w:sz w:val="24"/>
          <w:szCs w:val="24"/>
        </w:rPr>
        <w:t xml:space="preserve"> una manifestación de tal tipo en el acta) y con el art. 14.1, párrafo final, LCCI (en cuanto que el prestatario con carácter previo al acta sólo declara haber recibido la documentación y que su contenido le ha sido explicado), sino porque </w:t>
      </w:r>
      <w:r w:rsidR="000E5F4E" w:rsidRPr="007D15F9">
        <w:rPr>
          <w:rFonts w:ascii="Times New Roman" w:hAnsi="Times New Roman" w:cs="Times New Roman"/>
          <w:color w:val="FF0000"/>
          <w:sz w:val="24"/>
          <w:szCs w:val="24"/>
        </w:rPr>
        <w:t>p</w:t>
      </w:r>
      <w:r w:rsidR="00A81AC0" w:rsidRPr="007D15F9">
        <w:rPr>
          <w:rFonts w:ascii="Times New Roman" w:hAnsi="Times New Roman" w:cs="Times New Roman"/>
          <w:color w:val="FF0000"/>
          <w:sz w:val="24"/>
          <w:szCs w:val="24"/>
        </w:rPr>
        <w:t>arece iluso pretender que un acta notarial pueda dar fe de un hecho interno</w:t>
      </w:r>
      <w:r w:rsidR="005F3464" w:rsidRPr="007D15F9">
        <w:rPr>
          <w:rFonts w:ascii="Times New Roman" w:hAnsi="Times New Roman" w:cs="Times New Roman"/>
          <w:color w:val="FF0000"/>
          <w:sz w:val="24"/>
          <w:szCs w:val="24"/>
        </w:rPr>
        <w:t>,</w:t>
      </w:r>
      <w:r w:rsidR="00A81AC0" w:rsidRPr="007D15F9">
        <w:rPr>
          <w:rFonts w:ascii="Times New Roman" w:hAnsi="Times New Roman" w:cs="Times New Roman"/>
          <w:color w:val="FF0000"/>
          <w:sz w:val="24"/>
          <w:szCs w:val="24"/>
        </w:rPr>
        <w:t xml:space="preserve"> como es el de la comprensión</w:t>
      </w:r>
      <w:r w:rsidR="00662770" w:rsidRPr="007D15F9">
        <w:rPr>
          <w:rFonts w:ascii="Times New Roman" w:hAnsi="Times New Roman" w:cs="Times New Roman"/>
          <w:color w:val="FF0000"/>
          <w:sz w:val="24"/>
          <w:szCs w:val="24"/>
        </w:rPr>
        <w:t xml:space="preserve"> por el prestatario</w:t>
      </w:r>
      <w:r w:rsidR="00A81AC0" w:rsidRPr="007D15F9">
        <w:rPr>
          <w:rFonts w:ascii="Times New Roman" w:hAnsi="Times New Roman" w:cs="Times New Roman"/>
          <w:color w:val="FF0000"/>
          <w:sz w:val="24"/>
          <w:szCs w:val="24"/>
        </w:rPr>
        <w:t xml:space="preserve"> de las consecuencias económicas y jurídicas de las cláusulas de un contrato de préstamo</w:t>
      </w:r>
      <w:r w:rsidR="00644A5A" w:rsidRPr="007D15F9">
        <w:rPr>
          <w:rStyle w:val="Refdenotaalpie"/>
          <w:rFonts w:ascii="Times New Roman" w:hAnsi="Times New Roman" w:cs="Times New Roman"/>
          <w:color w:val="FF0000"/>
          <w:sz w:val="24"/>
          <w:szCs w:val="24"/>
        </w:rPr>
        <w:footnoteReference w:id="33"/>
      </w:r>
      <w:r w:rsidR="00A81AC0" w:rsidRPr="007D15F9">
        <w:rPr>
          <w:rFonts w:ascii="Times New Roman" w:hAnsi="Times New Roman" w:cs="Times New Roman"/>
          <w:color w:val="FF0000"/>
          <w:sz w:val="24"/>
          <w:szCs w:val="24"/>
        </w:rPr>
        <w:t xml:space="preserve">. </w:t>
      </w:r>
      <w:r w:rsidR="000E5F4E" w:rsidRPr="007D15F9">
        <w:rPr>
          <w:rFonts w:ascii="Times New Roman" w:hAnsi="Times New Roman" w:cs="Times New Roman"/>
          <w:color w:val="FF0000"/>
          <w:sz w:val="24"/>
          <w:szCs w:val="24"/>
        </w:rPr>
        <w:t>El acta sólo puede hacer prueba de hechos históricos que acaecen en presencia del notario:</w:t>
      </w:r>
      <w:r w:rsidR="009055CE" w:rsidRPr="007D15F9">
        <w:rPr>
          <w:rFonts w:ascii="Times New Roman" w:hAnsi="Times New Roman" w:cs="Times New Roman"/>
          <w:color w:val="FF0000"/>
          <w:sz w:val="24"/>
          <w:szCs w:val="24"/>
        </w:rPr>
        <w:t xml:space="preserve"> de</w:t>
      </w:r>
      <w:r w:rsidR="000E5F4E" w:rsidRPr="007D15F9">
        <w:rPr>
          <w:rFonts w:ascii="Times New Roman" w:hAnsi="Times New Roman" w:cs="Times New Roman"/>
          <w:color w:val="FF0000"/>
          <w:sz w:val="24"/>
          <w:szCs w:val="24"/>
        </w:rPr>
        <w:t xml:space="preserve"> la entrega de la documentación requerida por el art. </w:t>
      </w:r>
      <w:r w:rsidR="009A6AF3" w:rsidRPr="007D15F9">
        <w:rPr>
          <w:rFonts w:ascii="Times New Roman" w:hAnsi="Times New Roman" w:cs="Times New Roman"/>
          <w:color w:val="FF0000"/>
          <w:sz w:val="24"/>
          <w:szCs w:val="24"/>
        </w:rPr>
        <w:t>14.1 LCCI</w:t>
      </w:r>
      <w:r w:rsidR="000E5F4E" w:rsidRPr="007D15F9">
        <w:rPr>
          <w:rFonts w:ascii="Times New Roman" w:hAnsi="Times New Roman" w:cs="Times New Roman"/>
          <w:color w:val="FF0000"/>
          <w:sz w:val="24"/>
          <w:szCs w:val="24"/>
        </w:rPr>
        <w:t xml:space="preserve"> </w:t>
      </w:r>
      <w:r w:rsidR="009A6AF3" w:rsidRPr="007D15F9">
        <w:rPr>
          <w:rFonts w:ascii="Times New Roman" w:hAnsi="Times New Roman" w:cs="Times New Roman"/>
          <w:color w:val="FF0000"/>
          <w:sz w:val="24"/>
          <w:szCs w:val="24"/>
        </w:rPr>
        <w:t>-</w:t>
      </w:r>
      <w:r w:rsidR="000E5F4E" w:rsidRPr="007D15F9">
        <w:rPr>
          <w:rFonts w:ascii="Times New Roman" w:hAnsi="Times New Roman" w:cs="Times New Roman"/>
          <w:color w:val="FF0000"/>
          <w:sz w:val="24"/>
          <w:szCs w:val="24"/>
        </w:rPr>
        <w:t>y entre esta, de la manifestación</w:t>
      </w:r>
      <w:r w:rsidR="00662770" w:rsidRPr="007D15F9">
        <w:rPr>
          <w:rFonts w:ascii="Times New Roman" w:hAnsi="Times New Roman" w:cs="Times New Roman"/>
          <w:color w:val="FF0000"/>
          <w:sz w:val="24"/>
          <w:szCs w:val="24"/>
        </w:rPr>
        <w:t xml:space="preserve"> del prestatario</w:t>
      </w:r>
      <w:r w:rsidR="000E5F4E" w:rsidRPr="007D15F9">
        <w:rPr>
          <w:rFonts w:ascii="Times New Roman" w:hAnsi="Times New Roman" w:cs="Times New Roman"/>
          <w:color w:val="FF0000"/>
          <w:sz w:val="24"/>
          <w:szCs w:val="24"/>
        </w:rPr>
        <w:t xml:space="preserve"> previa al acta por la que declara haber recibido esta documentación y sus explicaciones</w:t>
      </w:r>
      <w:r w:rsidR="009A6AF3" w:rsidRPr="007D15F9">
        <w:rPr>
          <w:rFonts w:ascii="Times New Roman" w:hAnsi="Times New Roman" w:cs="Times New Roman"/>
          <w:color w:val="FF0000"/>
          <w:sz w:val="24"/>
          <w:szCs w:val="24"/>
        </w:rPr>
        <w:t>-</w:t>
      </w:r>
      <w:r w:rsidR="000E5F4E" w:rsidRPr="007D15F9">
        <w:rPr>
          <w:rFonts w:ascii="Times New Roman" w:hAnsi="Times New Roman" w:cs="Times New Roman"/>
          <w:color w:val="FF0000"/>
          <w:sz w:val="24"/>
          <w:szCs w:val="24"/>
        </w:rPr>
        <w:t>, del asesoramiento prestado por el propio notario y del redundante test practica</w:t>
      </w:r>
      <w:r w:rsidR="005C6311" w:rsidRPr="007D15F9">
        <w:rPr>
          <w:rFonts w:ascii="Times New Roman" w:hAnsi="Times New Roman" w:cs="Times New Roman"/>
          <w:color w:val="FF0000"/>
          <w:sz w:val="24"/>
          <w:szCs w:val="24"/>
        </w:rPr>
        <w:t>do al prestatario</w:t>
      </w:r>
      <w:r w:rsidR="000E5F4E" w:rsidRPr="007D15F9">
        <w:rPr>
          <w:rFonts w:ascii="Times New Roman" w:hAnsi="Times New Roman" w:cs="Times New Roman"/>
          <w:color w:val="FF0000"/>
          <w:sz w:val="24"/>
          <w:szCs w:val="24"/>
        </w:rPr>
        <w:t xml:space="preserve"> sobre la documentación entregada y la información suministrada.</w:t>
      </w:r>
    </w:p>
    <w:p w:rsidR="00A81AC0" w:rsidRPr="007E6C38" w:rsidRDefault="00A81AC0"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Desde luego que todo hubiese sido mucho más claro si la norma hubiera reflejado lo que dice la </w:t>
      </w:r>
      <w:r w:rsidRPr="007D15F9">
        <w:rPr>
          <w:rFonts w:ascii="Times New Roman" w:hAnsi="Times New Roman" w:cs="Times New Roman"/>
          <w:color w:val="FF0000"/>
          <w:sz w:val="24"/>
          <w:szCs w:val="24"/>
        </w:rPr>
        <w:t>exposición de motivos de la LCCI, según la cual, “se constituirá prueba (mediante el acta) en beneficio de ambas partes –prestamista y prestatario- de que el primero ha cumplido con su obligación de entregar en los plazos previstos dicha documentación</w:t>
      </w:r>
      <w:r w:rsidRPr="007E6C38">
        <w:rPr>
          <w:rFonts w:ascii="Times New Roman" w:hAnsi="Times New Roman" w:cs="Times New Roman"/>
          <w:sz w:val="24"/>
          <w:szCs w:val="24"/>
        </w:rPr>
        <w:t>”. Es decir, según la exposición de motivos, el acta notarial s</w:t>
      </w:r>
      <w:r w:rsidR="00434BF0" w:rsidRPr="007E6C38">
        <w:rPr>
          <w:rFonts w:ascii="Times New Roman" w:hAnsi="Times New Roman" w:cs="Times New Roman"/>
          <w:sz w:val="24"/>
          <w:szCs w:val="24"/>
        </w:rPr>
        <w:t>ólo habría de acreditar</w:t>
      </w:r>
      <w:r w:rsidRPr="007E6C38">
        <w:rPr>
          <w:rFonts w:ascii="Times New Roman" w:hAnsi="Times New Roman" w:cs="Times New Roman"/>
          <w:sz w:val="24"/>
          <w:szCs w:val="24"/>
        </w:rPr>
        <w:t xml:space="preserve"> un hecho objetivo, el cumplimiento de la obligación de entrega de la documentación en los plazos previstos.</w:t>
      </w:r>
    </w:p>
    <w:p w:rsidR="00434BF0" w:rsidRPr="007E6C38" w:rsidRDefault="000E5F4E"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Limitado de esta manera el valor probatorio del acta, el</w:t>
      </w:r>
      <w:r w:rsidR="00434BF0" w:rsidRPr="007E6C38">
        <w:rPr>
          <w:rFonts w:ascii="Times New Roman" w:hAnsi="Times New Roman" w:cs="Times New Roman"/>
          <w:sz w:val="24"/>
          <w:szCs w:val="24"/>
        </w:rPr>
        <w:t xml:space="preserve"> establecimiento de un procedimiento de verificación en sede notarial del cumplimiento de la obligación de entrega de la documentación precontractual así como del asesoramiento prestado </w:t>
      </w:r>
      <w:r w:rsidR="00434BF0" w:rsidRPr="007D15F9">
        <w:rPr>
          <w:rFonts w:ascii="Times New Roman" w:hAnsi="Times New Roman" w:cs="Times New Roman"/>
          <w:color w:val="FF0000"/>
          <w:sz w:val="24"/>
          <w:szCs w:val="24"/>
        </w:rPr>
        <w:t>es una medida positiva, que permite, en consonancia con lo expuesto por la exposición de motivos, poder constituir una prueba acerca de qué información fue realmente proporcionada y del asesoramiento prestado por el propio notario y esta prueba de por sí ya tiene una indudable trascendencia</w:t>
      </w:r>
      <w:r w:rsidR="009055CE" w:rsidRPr="007D15F9">
        <w:rPr>
          <w:rFonts w:ascii="Times New Roman" w:hAnsi="Times New Roman" w:cs="Times New Roman"/>
          <w:color w:val="FF0000"/>
          <w:sz w:val="24"/>
          <w:szCs w:val="24"/>
        </w:rPr>
        <w:t xml:space="preserve"> en sede procesal</w:t>
      </w:r>
      <w:r w:rsidR="00434BF0" w:rsidRPr="007D15F9">
        <w:rPr>
          <w:rFonts w:ascii="Times New Roman" w:hAnsi="Times New Roman" w:cs="Times New Roman"/>
          <w:color w:val="FF0000"/>
          <w:sz w:val="24"/>
          <w:szCs w:val="24"/>
        </w:rPr>
        <w:t xml:space="preserve">, </w:t>
      </w:r>
      <w:r w:rsidR="00434BF0" w:rsidRPr="007E6C38">
        <w:rPr>
          <w:rFonts w:ascii="Times New Roman" w:hAnsi="Times New Roman" w:cs="Times New Roman"/>
          <w:sz w:val="24"/>
          <w:szCs w:val="24"/>
        </w:rPr>
        <w:t xml:space="preserve">pues satisfechas las obligaciones de información precontractual por la entidad prestamista, </w:t>
      </w:r>
      <w:r w:rsidR="00434BF0" w:rsidRPr="007D15F9">
        <w:rPr>
          <w:rFonts w:ascii="Times New Roman" w:hAnsi="Times New Roman" w:cs="Times New Roman"/>
          <w:color w:val="FF0000"/>
          <w:sz w:val="24"/>
          <w:szCs w:val="24"/>
        </w:rPr>
        <w:t>se traslada sobre el prestatario la carga de conocer</w:t>
      </w:r>
      <w:r w:rsidRPr="007D15F9">
        <w:rPr>
          <w:rFonts w:ascii="Times New Roman" w:hAnsi="Times New Roman" w:cs="Times New Roman"/>
          <w:color w:val="FF0000"/>
          <w:sz w:val="24"/>
          <w:szCs w:val="24"/>
        </w:rPr>
        <w:t>la</w:t>
      </w:r>
      <w:r w:rsidR="00434BF0" w:rsidRPr="007D15F9">
        <w:rPr>
          <w:rFonts w:ascii="Times New Roman" w:hAnsi="Times New Roman" w:cs="Times New Roman"/>
          <w:color w:val="FF0000"/>
          <w:sz w:val="24"/>
          <w:szCs w:val="24"/>
        </w:rPr>
        <w:t xml:space="preserve"> y </w:t>
      </w:r>
      <w:r w:rsidRPr="007D15F9">
        <w:rPr>
          <w:rFonts w:ascii="Times New Roman" w:hAnsi="Times New Roman" w:cs="Times New Roman"/>
          <w:color w:val="FF0000"/>
          <w:sz w:val="24"/>
          <w:szCs w:val="24"/>
        </w:rPr>
        <w:t>comprenderla</w:t>
      </w:r>
      <w:r w:rsidRPr="007E6C38">
        <w:rPr>
          <w:rFonts w:ascii="Times New Roman" w:hAnsi="Times New Roman" w:cs="Times New Roman"/>
          <w:sz w:val="24"/>
          <w:szCs w:val="24"/>
        </w:rPr>
        <w:t>, pues la propia exposición de motivos de la LCCI se refiere al derecho a recibir la información necesaria y al deber de conocerla.</w:t>
      </w:r>
    </w:p>
    <w:p w:rsidR="000E5F4E" w:rsidRPr="007E6C38" w:rsidRDefault="00CA7A39" w:rsidP="00F60A8E">
      <w:pPr>
        <w:spacing w:after="120" w:line="360" w:lineRule="auto"/>
        <w:jc w:val="both"/>
        <w:rPr>
          <w:rFonts w:ascii="Times New Roman" w:hAnsi="Times New Roman" w:cs="Times New Roman"/>
          <w:sz w:val="24"/>
          <w:szCs w:val="24"/>
        </w:rPr>
      </w:pPr>
      <w:r w:rsidRPr="007E6C38">
        <w:rPr>
          <w:rFonts w:ascii="Times New Roman" w:hAnsi="Times New Roman" w:cs="Times New Roman"/>
          <w:sz w:val="24"/>
          <w:szCs w:val="24"/>
        </w:rPr>
        <w:t xml:space="preserve">Quiere esto decir que en </w:t>
      </w:r>
      <w:r w:rsidR="000E5F4E" w:rsidRPr="007E6C38">
        <w:rPr>
          <w:rFonts w:ascii="Times New Roman" w:hAnsi="Times New Roman" w:cs="Times New Roman"/>
          <w:sz w:val="24"/>
          <w:szCs w:val="24"/>
        </w:rPr>
        <w:t>el ulteriores litigios motivados por falta de transparencia no hay que valorar si una cláusula o un elemento concreto de un contrato de crédito inmobiliario fue efectivamente comprendido por el prestatario</w:t>
      </w:r>
      <w:r w:rsidRPr="007E6C38">
        <w:rPr>
          <w:rFonts w:ascii="Times New Roman" w:hAnsi="Times New Roman" w:cs="Times New Roman"/>
          <w:sz w:val="24"/>
          <w:szCs w:val="24"/>
        </w:rPr>
        <w:t xml:space="preserve">, prueba además imposible por cuanto que la comprensión es un proceso psicológico de imposible verificación empírica, sino </w:t>
      </w:r>
      <w:r w:rsidRPr="007D15F9">
        <w:rPr>
          <w:rFonts w:ascii="Times New Roman" w:hAnsi="Times New Roman" w:cs="Times New Roman"/>
          <w:color w:val="FF0000"/>
          <w:sz w:val="24"/>
          <w:szCs w:val="24"/>
        </w:rPr>
        <w:t>que hay que valorar si por la suficiencia de la información proporcionada por la entidad prestamista</w:t>
      </w:r>
      <w:r w:rsidR="005C6311" w:rsidRPr="007D15F9">
        <w:rPr>
          <w:rFonts w:ascii="Times New Roman" w:hAnsi="Times New Roman" w:cs="Times New Roman"/>
          <w:color w:val="FF0000"/>
          <w:sz w:val="24"/>
          <w:szCs w:val="24"/>
        </w:rPr>
        <w:t xml:space="preserve"> y por el asesoramiento reflejado en el acta notarial</w:t>
      </w:r>
      <w:r w:rsidRPr="007D15F9">
        <w:rPr>
          <w:rFonts w:ascii="Times New Roman" w:hAnsi="Times New Roman" w:cs="Times New Roman"/>
          <w:color w:val="FF0000"/>
          <w:sz w:val="24"/>
          <w:szCs w:val="24"/>
        </w:rPr>
        <w:t>, el prestatario, actuando</w:t>
      </w:r>
      <w:r w:rsidR="005C6311" w:rsidRPr="007D15F9">
        <w:rPr>
          <w:rFonts w:ascii="Times New Roman" w:hAnsi="Times New Roman" w:cs="Times New Roman"/>
          <w:color w:val="FF0000"/>
          <w:sz w:val="24"/>
          <w:szCs w:val="24"/>
        </w:rPr>
        <w:t xml:space="preserve"> con </w:t>
      </w:r>
      <w:r w:rsidR="00662770" w:rsidRPr="007D15F9">
        <w:rPr>
          <w:rFonts w:ascii="Times New Roman" w:hAnsi="Times New Roman" w:cs="Times New Roman"/>
          <w:color w:val="FF0000"/>
          <w:sz w:val="24"/>
          <w:szCs w:val="24"/>
        </w:rPr>
        <w:t>diligencia, debió</w:t>
      </w:r>
      <w:r w:rsidRPr="007D15F9">
        <w:rPr>
          <w:rFonts w:ascii="Times New Roman" w:hAnsi="Times New Roman" w:cs="Times New Roman"/>
          <w:color w:val="FF0000"/>
          <w:sz w:val="24"/>
          <w:szCs w:val="24"/>
        </w:rPr>
        <w:t xml:space="preserve"> conocer, por sí mismo o recabando el asesoramiento antes dicho, las consecuencias económicas de la cláusula en cuestión, por lo que no sería desproporcionado establecer una presunción de superación del deber de transparencia material</w:t>
      </w:r>
      <w:r w:rsidRPr="007E6C38">
        <w:rPr>
          <w:rFonts w:ascii="Times New Roman" w:hAnsi="Times New Roman" w:cs="Times New Roman"/>
          <w:sz w:val="24"/>
          <w:szCs w:val="24"/>
        </w:rPr>
        <w:t>, una vez acreditado el cumplimiento de las obligaciones de documentación precontractual establecida</w:t>
      </w:r>
      <w:r w:rsidR="005C6311" w:rsidRPr="007E6C38">
        <w:rPr>
          <w:rStyle w:val="Refdenotaalpie"/>
          <w:rFonts w:ascii="Times New Roman" w:hAnsi="Times New Roman" w:cs="Times New Roman"/>
          <w:sz w:val="24"/>
          <w:szCs w:val="24"/>
        </w:rPr>
        <w:footnoteReference w:id="34"/>
      </w:r>
      <w:r w:rsidRPr="007E6C38">
        <w:rPr>
          <w:rFonts w:ascii="Times New Roman" w:hAnsi="Times New Roman" w:cs="Times New Roman"/>
          <w:sz w:val="24"/>
          <w:szCs w:val="24"/>
        </w:rPr>
        <w:t xml:space="preserve">, </w:t>
      </w:r>
      <w:r w:rsidRPr="007D15F9">
        <w:rPr>
          <w:rFonts w:ascii="Times New Roman" w:hAnsi="Times New Roman" w:cs="Times New Roman"/>
          <w:color w:val="FF0000"/>
          <w:sz w:val="24"/>
          <w:szCs w:val="24"/>
        </w:rPr>
        <w:t>que admitiese sin embargo</w:t>
      </w:r>
      <w:r w:rsidR="009055CE" w:rsidRPr="007D15F9">
        <w:rPr>
          <w:rFonts w:ascii="Times New Roman" w:hAnsi="Times New Roman" w:cs="Times New Roman"/>
          <w:color w:val="FF0000"/>
          <w:sz w:val="24"/>
          <w:szCs w:val="24"/>
        </w:rPr>
        <w:t xml:space="preserve">, de manera </w:t>
      </w:r>
      <w:proofErr w:type="spellStart"/>
      <w:r w:rsidR="009055CE" w:rsidRPr="007D15F9">
        <w:rPr>
          <w:rFonts w:ascii="Times New Roman" w:hAnsi="Times New Roman" w:cs="Times New Roman"/>
          <w:color w:val="FF0000"/>
          <w:sz w:val="24"/>
          <w:szCs w:val="24"/>
        </w:rPr>
        <w:t>excpecional</w:t>
      </w:r>
      <w:proofErr w:type="spellEnd"/>
      <w:r w:rsidR="009055CE" w:rsidRPr="007D15F9">
        <w:rPr>
          <w:rFonts w:ascii="Times New Roman" w:hAnsi="Times New Roman" w:cs="Times New Roman"/>
          <w:color w:val="FF0000"/>
          <w:sz w:val="24"/>
          <w:szCs w:val="24"/>
        </w:rPr>
        <w:t>,</w:t>
      </w:r>
      <w:r w:rsidRPr="007D15F9">
        <w:rPr>
          <w:rFonts w:ascii="Times New Roman" w:hAnsi="Times New Roman" w:cs="Times New Roman"/>
          <w:color w:val="FF0000"/>
          <w:sz w:val="24"/>
          <w:szCs w:val="24"/>
        </w:rPr>
        <w:t xml:space="preserve"> una prueba en contrario</w:t>
      </w:r>
      <w:r w:rsidR="00662770" w:rsidRPr="007D15F9">
        <w:rPr>
          <w:rFonts w:ascii="Times New Roman" w:hAnsi="Times New Roman" w:cs="Times New Roman"/>
          <w:color w:val="FF0000"/>
          <w:sz w:val="24"/>
          <w:szCs w:val="24"/>
        </w:rPr>
        <w:t>,</w:t>
      </w:r>
      <w:r w:rsidRPr="007E6C38">
        <w:rPr>
          <w:rFonts w:ascii="Times New Roman" w:hAnsi="Times New Roman" w:cs="Times New Roman"/>
          <w:sz w:val="24"/>
          <w:szCs w:val="24"/>
        </w:rPr>
        <w:t xml:space="preserve"> que pudier</w:t>
      </w:r>
      <w:r w:rsidR="000E5F4E" w:rsidRPr="007E6C38">
        <w:rPr>
          <w:rFonts w:ascii="Times New Roman" w:hAnsi="Times New Roman" w:cs="Times New Roman"/>
          <w:sz w:val="24"/>
          <w:szCs w:val="24"/>
        </w:rPr>
        <w:t>a fundarse en la ausencia de las explicaciones adecuadas a las que se refieren el art. 16 de la Directiva 2014/17/UE y el art. 14.2 LCCI</w:t>
      </w:r>
      <w:r w:rsidR="00662770" w:rsidRPr="007E6C38">
        <w:rPr>
          <w:rFonts w:ascii="Times New Roman" w:hAnsi="Times New Roman" w:cs="Times New Roman"/>
          <w:sz w:val="24"/>
          <w:szCs w:val="24"/>
        </w:rPr>
        <w:t>;</w:t>
      </w:r>
      <w:r w:rsidR="000E5F4E" w:rsidRPr="007E6C38">
        <w:rPr>
          <w:rFonts w:ascii="Times New Roman" w:hAnsi="Times New Roman" w:cs="Times New Roman"/>
          <w:sz w:val="24"/>
          <w:szCs w:val="24"/>
        </w:rPr>
        <w:t xml:space="preserve"> </w:t>
      </w:r>
      <w:r w:rsidR="000E5F4E" w:rsidRPr="007D15F9">
        <w:rPr>
          <w:rFonts w:ascii="Times New Roman" w:hAnsi="Times New Roman" w:cs="Times New Roman"/>
          <w:color w:val="FF0000"/>
          <w:sz w:val="24"/>
          <w:szCs w:val="24"/>
        </w:rPr>
        <w:t xml:space="preserve">bien por haber inducido al prestatario a confusión a </w:t>
      </w:r>
      <w:r w:rsidR="009F32ED" w:rsidRPr="007D15F9">
        <w:rPr>
          <w:rFonts w:ascii="Times New Roman" w:hAnsi="Times New Roman" w:cs="Times New Roman"/>
          <w:color w:val="FF0000"/>
          <w:sz w:val="24"/>
          <w:szCs w:val="24"/>
        </w:rPr>
        <w:t>partir de explicaciones inexactas</w:t>
      </w:r>
      <w:r w:rsidR="000E5F4E" w:rsidRPr="007D15F9">
        <w:rPr>
          <w:rFonts w:ascii="Times New Roman" w:hAnsi="Times New Roman" w:cs="Times New Roman"/>
          <w:color w:val="FF0000"/>
          <w:sz w:val="24"/>
          <w:szCs w:val="24"/>
        </w:rPr>
        <w:t xml:space="preserve"> </w:t>
      </w:r>
      <w:r w:rsidR="009F32ED" w:rsidRPr="007D15F9">
        <w:rPr>
          <w:rFonts w:ascii="Times New Roman" w:hAnsi="Times New Roman" w:cs="Times New Roman"/>
          <w:color w:val="FF0000"/>
          <w:sz w:val="24"/>
          <w:szCs w:val="24"/>
        </w:rPr>
        <w:t>sobre la documentación aportada</w:t>
      </w:r>
      <w:r w:rsidR="009055CE" w:rsidRPr="007D15F9">
        <w:rPr>
          <w:rFonts w:ascii="Times New Roman" w:hAnsi="Times New Roman" w:cs="Times New Roman"/>
          <w:color w:val="FF0000"/>
          <w:sz w:val="24"/>
          <w:szCs w:val="24"/>
        </w:rPr>
        <w:t xml:space="preserve"> o por haber hecho dejación de su obligación de asistencia</w:t>
      </w:r>
      <w:r w:rsidR="009F32ED" w:rsidRPr="007D15F9">
        <w:rPr>
          <w:rFonts w:ascii="Times New Roman" w:hAnsi="Times New Roman" w:cs="Times New Roman"/>
          <w:color w:val="FF0000"/>
          <w:sz w:val="24"/>
          <w:szCs w:val="24"/>
        </w:rPr>
        <w:t>;</w:t>
      </w:r>
      <w:r w:rsidR="000E5F4E" w:rsidRPr="007D15F9">
        <w:rPr>
          <w:rFonts w:ascii="Times New Roman" w:hAnsi="Times New Roman" w:cs="Times New Roman"/>
          <w:color w:val="FF0000"/>
          <w:sz w:val="24"/>
          <w:szCs w:val="24"/>
        </w:rPr>
        <w:t xml:space="preserve"> bien por no haber proporcionado </w:t>
      </w:r>
      <w:r w:rsidR="009055CE" w:rsidRPr="007D15F9">
        <w:rPr>
          <w:rFonts w:ascii="Times New Roman" w:hAnsi="Times New Roman" w:cs="Times New Roman"/>
          <w:color w:val="FF0000"/>
          <w:sz w:val="24"/>
          <w:szCs w:val="24"/>
        </w:rPr>
        <w:t xml:space="preserve">al prestatario </w:t>
      </w:r>
      <w:r w:rsidR="000E5F4E" w:rsidRPr="007D15F9">
        <w:rPr>
          <w:rFonts w:ascii="Times New Roman" w:hAnsi="Times New Roman" w:cs="Times New Roman"/>
          <w:color w:val="FF0000"/>
          <w:sz w:val="24"/>
          <w:szCs w:val="24"/>
        </w:rPr>
        <w:t>explicaciones oportunas sobre</w:t>
      </w:r>
      <w:r w:rsidR="005C6311" w:rsidRPr="007D15F9">
        <w:rPr>
          <w:rFonts w:ascii="Times New Roman" w:hAnsi="Times New Roman" w:cs="Times New Roman"/>
          <w:color w:val="FF0000"/>
          <w:sz w:val="24"/>
          <w:szCs w:val="24"/>
        </w:rPr>
        <w:t xml:space="preserve"> la adecuación del producto a su</w:t>
      </w:r>
      <w:r w:rsidR="000E5F4E" w:rsidRPr="007D15F9">
        <w:rPr>
          <w:rFonts w:ascii="Times New Roman" w:hAnsi="Times New Roman" w:cs="Times New Roman"/>
          <w:color w:val="FF0000"/>
          <w:sz w:val="24"/>
          <w:szCs w:val="24"/>
        </w:rPr>
        <w:t xml:space="preserve"> situ</w:t>
      </w:r>
      <w:r w:rsidR="005C6311" w:rsidRPr="007D15F9">
        <w:rPr>
          <w:rFonts w:ascii="Times New Roman" w:hAnsi="Times New Roman" w:cs="Times New Roman"/>
          <w:color w:val="FF0000"/>
          <w:sz w:val="24"/>
          <w:szCs w:val="24"/>
        </w:rPr>
        <w:t>ación financiera</w:t>
      </w:r>
      <w:r w:rsidR="000E5F4E" w:rsidRPr="007D15F9">
        <w:rPr>
          <w:rFonts w:ascii="Times New Roman" w:hAnsi="Times New Roman" w:cs="Times New Roman"/>
          <w:color w:val="FF0000"/>
          <w:sz w:val="24"/>
          <w:szCs w:val="24"/>
        </w:rPr>
        <w:t>; bien</w:t>
      </w:r>
      <w:r w:rsidR="00662770" w:rsidRPr="007D15F9">
        <w:rPr>
          <w:rFonts w:ascii="Times New Roman" w:hAnsi="Times New Roman" w:cs="Times New Roman"/>
          <w:color w:val="FF0000"/>
          <w:sz w:val="24"/>
          <w:szCs w:val="24"/>
        </w:rPr>
        <w:t xml:space="preserve"> por no haber</w:t>
      </w:r>
      <w:r w:rsidR="000E5F4E" w:rsidRPr="007D15F9">
        <w:rPr>
          <w:rFonts w:ascii="Times New Roman" w:hAnsi="Times New Roman" w:cs="Times New Roman"/>
          <w:color w:val="FF0000"/>
          <w:sz w:val="24"/>
          <w:szCs w:val="24"/>
        </w:rPr>
        <w:t xml:space="preserve"> </w:t>
      </w:r>
      <w:r w:rsidR="009F32ED" w:rsidRPr="007D15F9">
        <w:rPr>
          <w:rFonts w:ascii="Times New Roman" w:hAnsi="Times New Roman" w:cs="Times New Roman"/>
          <w:color w:val="FF0000"/>
          <w:sz w:val="24"/>
          <w:szCs w:val="24"/>
        </w:rPr>
        <w:t>incorporado</w:t>
      </w:r>
      <w:r w:rsidR="00662770" w:rsidRPr="007D15F9">
        <w:rPr>
          <w:rFonts w:ascii="Times New Roman" w:hAnsi="Times New Roman" w:cs="Times New Roman"/>
          <w:color w:val="FF0000"/>
          <w:sz w:val="24"/>
          <w:szCs w:val="24"/>
        </w:rPr>
        <w:t xml:space="preserve"> explicaciones complementarias sobre las características principales del contrato de préstamo</w:t>
      </w:r>
      <w:r w:rsidR="009055CE" w:rsidRPr="007D15F9">
        <w:rPr>
          <w:rFonts w:ascii="Times New Roman" w:hAnsi="Times New Roman" w:cs="Times New Roman"/>
          <w:color w:val="FF0000"/>
          <w:sz w:val="24"/>
          <w:szCs w:val="24"/>
        </w:rPr>
        <w:t>,</w:t>
      </w:r>
      <w:r w:rsidR="00662770" w:rsidRPr="007E6C38">
        <w:rPr>
          <w:rFonts w:ascii="Times New Roman" w:hAnsi="Times New Roman" w:cs="Times New Roman"/>
          <w:sz w:val="24"/>
          <w:szCs w:val="24"/>
        </w:rPr>
        <w:t xml:space="preserve"> que no se deduzcan del formato estandarizado de la FEIN, ni de la </w:t>
      </w:r>
      <w:proofErr w:type="spellStart"/>
      <w:r w:rsidR="00662770" w:rsidRPr="007E6C38">
        <w:rPr>
          <w:rFonts w:ascii="Times New Roman" w:hAnsi="Times New Roman" w:cs="Times New Roman"/>
          <w:sz w:val="24"/>
          <w:szCs w:val="24"/>
        </w:rPr>
        <w:t>FiAE</w:t>
      </w:r>
      <w:proofErr w:type="spellEnd"/>
      <w:r w:rsidR="00662770" w:rsidRPr="007E6C38">
        <w:rPr>
          <w:rFonts w:ascii="Times New Roman" w:hAnsi="Times New Roman" w:cs="Times New Roman"/>
          <w:sz w:val="24"/>
          <w:szCs w:val="24"/>
        </w:rPr>
        <w:t>, ni de la demás documentación a la que se refiere el art. 14.1 LCCI y que fuesen necesarias para que el prestatario pudiera adoptar su decisión de contratar con pleno conocimiento de causa, teniendo en cuenta la originalidad o extravagancia del producto ofrecido.</w:t>
      </w:r>
    </w:p>
    <w:p w:rsidR="00100736" w:rsidRPr="007E6C38" w:rsidRDefault="00100736" w:rsidP="00F60A8E">
      <w:pPr>
        <w:spacing w:after="120" w:line="360" w:lineRule="auto"/>
        <w:jc w:val="both"/>
        <w:rPr>
          <w:rFonts w:ascii="Times New Roman" w:hAnsi="Times New Roman" w:cs="Times New Roman"/>
          <w:sz w:val="24"/>
          <w:szCs w:val="24"/>
        </w:rPr>
      </w:pPr>
    </w:p>
    <w:p w:rsidR="00E83F88" w:rsidRPr="007E6C38" w:rsidRDefault="00E83F88" w:rsidP="00F60A8E">
      <w:pPr>
        <w:spacing w:after="120" w:line="360" w:lineRule="auto"/>
        <w:jc w:val="both"/>
        <w:rPr>
          <w:rFonts w:ascii="Times New Roman" w:hAnsi="Times New Roman" w:cs="Times New Roman"/>
          <w:sz w:val="24"/>
          <w:szCs w:val="24"/>
        </w:rPr>
      </w:pPr>
    </w:p>
    <w:p w:rsidR="00E83F88" w:rsidRPr="007E6C38" w:rsidRDefault="00E83F88" w:rsidP="00F60A8E">
      <w:pPr>
        <w:spacing w:after="120" w:line="360" w:lineRule="auto"/>
        <w:jc w:val="both"/>
        <w:rPr>
          <w:rFonts w:ascii="Times New Roman" w:hAnsi="Times New Roman" w:cs="Times New Roman"/>
          <w:sz w:val="24"/>
          <w:szCs w:val="24"/>
        </w:rPr>
      </w:pPr>
    </w:p>
    <w:p w:rsidR="007907D2" w:rsidRPr="007E6C38" w:rsidRDefault="007907D2" w:rsidP="00F60A8E">
      <w:pPr>
        <w:spacing w:after="120" w:line="360" w:lineRule="auto"/>
        <w:jc w:val="both"/>
        <w:rPr>
          <w:rFonts w:ascii="Times New Roman" w:hAnsi="Times New Roman" w:cs="Times New Roman"/>
          <w:sz w:val="24"/>
          <w:szCs w:val="24"/>
        </w:rPr>
      </w:pPr>
    </w:p>
    <w:p w:rsidR="00C93809" w:rsidRPr="007E6C38" w:rsidRDefault="00C93809" w:rsidP="00F60A8E">
      <w:pPr>
        <w:spacing w:after="120" w:line="360" w:lineRule="auto"/>
        <w:jc w:val="both"/>
        <w:rPr>
          <w:rFonts w:ascii="Times New Roman" w:hAnsi="Times New Roman" w:cs="Times New Roman"/>
          <w:sz w:val="24"/>
          <w:szCs w:val="24"/>
        </w:rPr>
      </w:pPr>
    </w:p>
    <w:p w:rsidR="005D76A8" w:rsidRPr="007E6C38" w:rsidRDefault="005D76A8" w:rsidP="00F60A8E">
      <w:pPr>
        <w:spacing w:before="120" w:after="120" w:line="360" w:lineRule="auto"/>
        <w:jc w:val="both"/>
        <w:rPr>
          <w:rFonts w:ascii="Times New Roman" w:hAnsi="Times New Roman" w:cs="Times New Roman"/>
          <w:b/>
          <w:sz w:val="24"/>
          <w:szCs w:val="24"/>
        </w:rPr>
      </w:pPr>
    </w:p>
    <w:sectPr w:rsidR="005D76A8" w:rsidRPr="007E6C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F0" w:rsidRDefault="00434BF0" w:rsidP="0053707C">
      <w:pPr>
        <w:spacing w:after="0" w:line="240" w:lineRule="auto"/>
      </w:pPr>
      <w:r>
        <w:separator/>
      </w:r>
    </w:p>
  </w:endnote>
  <w:endnote w:type="continuationSeparator" w:id="0">
    <w:p w:rsidR="00434BF0" w:rsidRDefault="00434BF0" w:rsidP="0053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18893"/>
      <w:docPartObj>
        <w:docPartGallery w:val="Page Numbers (Bottom of Page)"/>
        <w:docPartUnique/>
      </w:docPartObj>
    </w:sdtPr>
    <w:sdtEndPr/>
    <w:sdtContent>
      <w:p w:rsidR="00434BF0" w:rsidRDefault="00434BF0">
        <w:pPr>
          <w:pStyle w:val="Piedepgina"/>
          <w:jc w:val="center"/>
        </w:pPr>
        <w:r>
          <w:fldChar w:fldCharType="begin"/>
        </w:r>
        <w:r>
          <w:instrText>PAGE   \* MERGEFORMAT</w:instrText>
        </w:r>
        <w:r>
          <w:fldChar w:fldCharType="separate"/>
        </w:r>
        <w:r w:rsidR="003F70EC">
          <w:rPr>
            <w:noProof/>
          </w:rPr>
          <w:t>14</w:t>
        </w:r>
        <w:r>
          <w:fldChar w:fldCharType="end"/>
        </w:r>
      </w:p>
    </w:sdtContent>
  </w:sdt>
  <w:p w:rsidR="00434BF0" w:rsidRDefault="00434B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F0" w:rsidRDefault="00434BF0" w:rsidP="0053707C">
      <w:pPr>
        <w:spacing w:after="0" w:line="240" w:lineRule="auto"/>
      </w:pPr>
      <w:r>
        <w:separator/>
      </w:r>
    </w:p>
  </w:footnote>
  <w:footnote w:type="continuationSeparator" w:id="0">
    <w:p w:rsidR="00434BF0" w:rsidRDefault="00434BF0" w:rsidP="0053707C">
      <w:pPr>
        <w:spacing w:after="0" w:line="240" w:lineRule="auto"/>
      </w:pPr>
      <w:r>
        <w:continuationSeparator/>
      </w:r>
    </w:p>
  </w:footnote>
  <w:footnote w:id="1">
    <w:p w:rsidR="00434BF0" w:rsidRPr="00134665" w:rsidRDefault="00434BF0" w:rsidP="005D5ED4">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De acuerdo con la doctrina sobre el doble control de transparencia o el control de transparencia material instaurada en relación a las cláusulas suelo por la STS 9 mayo 2013 (Ar. 2013/3088) pueden ser declaradas abusivas las cláusulas relativas al objeto principal del contrato de préstamo que, aun habiendo superado los requisitos de incorporación de las condiciones generales al contrato de los arts. 5 y 7 de la Ley 7/1998, de 13 de abril, sobre Condiciones Generales de la Contratación (resumidamente, claridad, comprensibilidad, entrega y firma), causen de manera subrepticia una alteración de las expectativas legítimas del prestatario consumidor sobre el coste del crédito, por no haberle sido proporcionada una información previa suficiente sobre las mismas que le permitiera conocer su trascendencia económica durante la ejecución del contrato. De manera análoga, el Tribunal</w:t>
      </w:r>
      <w:r w:rsidR="00662770" w:rsidRPr="00134665">
        <w:rPr>
          <w:rFonts w:ascii="Times New Roman" w:hAnsi="Times New Roman" w:cs="Times New Roman"/>
        </w:rPr>
        <w:t xml:space="preserve"> de Justicia de la UE</w:t>
      </w:r>
      <w:r w:rsidRPr="00134665">
        <w:rPr>
          <w:rFonts w:ascii="Times New Roman" w:hAnsi="Times New Roman" w:cs="Times New Roman"/>
        </w:rPr>
        <w:t xml:space="preserve"> en la STJUE 30 abril 2014 (Asunto C-26/13 </w:t>
      </w:r>
      <w:proofErr w:type="spellStart"/>
      <w:r w:rsidRPr="00134665">
        <w:rPr>
          <w:rFonts w:ascii="Times New Roman" w:hAnsi="Times New Roman" w:cs="Times New Roman"/>
        </w:rPr>
        <w:t>Kásler</w:t>
      </w:r>
      <w:proofErr w:type="spellEnd"/>
      <w:r w:rsidRPr="00134665">
        <w:rPr>
          <w:rFonts w:ascii="Times New Roman" w:hAnsi="Times New Roman" w:cs="Times New Roman"/>
        </w:rPr>
        <w:t xml:space="preserve"> Vs OTP </w:t>
      </w:r>
      <w:proofErr w:type="spellStart"/>
      <w:r w:rsidRPr="00134665">
        <w:rPr>
          <w:rFonts w:ascii="Times New Roman" w:hAnsi="Times New Roman" w:cs="Times New Roman"/>
        </w:rPr>
        <w:t>Jelzálogbank</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Zrt</w:t>
      </w:r>
      <w:proofErr w:type="spellEnd"/>
      <w:r w:rsidRPr="00134665">
        <w:rPr>
          <w:rFonts w:ascii="Times New Roman" w:hAnsi="Times New Roman" w:cs="Times New Roman"/>
        </w:rPr>
        <w:t xml:space="preserve">),  y en las posteriores STJUE 24 marzo 2015 (Asunto C-143/13, </w:t>
      </w:r>
      <w:proofErr w:type="spellStart"/>
      <w:r w:rsidRPr="00134665">
        <w:rPr>
          <w:rFonts w:ascii="Times New Roman" w:hAnsi="Times New Roman" w:cs="Times New Roman"/>
        </w:rPr>
        <w:t>Matei</w:t>
      </w:r>
      <w:proofErr w:type="spellEnd"/>
      <w:r w:rsidRPr="00134665">
        <w:rPr>
          <w:rFonts w:ascii="Times New Roman" w:hAnsi="Times New Roman" w:cs="Times New Roman"/>
        </w:rPr>
        <w:t xml:space="preserve"> vs </w:t>
      </w:r>
      <w:proofErr w:type="spellStart"/>
      <w:r w:rsidRPr="00134665">
        <w:rPr>
          <w:rFonts w:ascii="Times New Roman" w:hAnsi="Times New Roman" w:cs="Times New Roman"/>
        </w:rPr>
        <w:t>Volksbank</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România</w:t>
      </w:r>
      <w:proofErr w:type="spellEnd"/>
      <w:r w:rsidRPr="00134665">
        <w:rPr>
          <w:rFonts w:ascii="Times New Roman" w:hAnsi="Times New Roman" w:cs="Times New Roman"/>
        </w:rPr>
        <w:t xml:space="preserve"> SA), STJUE 23 abril 2015 (Asunto C-96/14, Van Hove vs CNP </w:t>
      </w:r>
      <w:proofErr w:type="spellStart"/>
      <w:r w:rsidRPr="00134665">
        <w:rPr>
          <w:rFonts w:ascii="Times New Roman" w:hAnsi="Times New Roman" w:cs="Times New Roman"/>
        </w:rPr>
        <w:t>Assurance</w:t>
      </w:r>
      <w:proofErr w:type="spellEnd"/>
      <w:r w:rsidRPr="00134665">
        <w:rPr>
          <w:rFonts w:ascii="Times New Roman" w:hAnsi="Times New Roman" w:cs="Times New Roman"/>
        </w:rPr>
        <w:t xml:space="preserve"> SA) y STJUE 20 septiembre 2017 (Asunto C-186/16 </w:t>
      </w:r>
      <w:proofErr w:type="spellStart"/>
      <w:r w:rsidRPr="00134665">
        <w:rPr>
          <w:rFonts w:ascii="Times New Roman" w:hAnsi="Times New Roman" w:cs="Times New Roman"/>
          <w:bCs/>
          <w:color w:val="333333"/>
        </w:rPr>
        <w:t>Andriciuc</w:t>
      </w:r>
      <w:proofErr w:type="spellEnd"/>
      <w:r w:rsidRPr="00134665">
        <w:rPr>
          <w:rFonts w:ascii="Times New Roman" w:hAnsi="Times New Roman" w:cs="Times New Roman"/>
          <w:bCs/>
          <w:color w:val="333333"/>
        </w:rPr>
        <w:t xml:space="preserve"> y otros</w:t>
      </w:r>
      <w:r w:rsidRPr="00134665">
        <w:rPr>
          <w:rFonts w:ascii="Times New Roman" w:hAnsi="Times New Roman" w:cs="Times New Roman"/>
          <w:color w:val="333333"/>
        </w:rPr>
        <w:t xml:space="preserve"> y </w:t>
      </w:r>
      <w:r w:rsidRPr="00134665">
        <w:rPr>
          <w:rFonts w:ascii="Times New Roman" w:hAnsi="Times New Roman" w:cs="Times New Roman"/>
          <w:bCs/>
          <w:color w:val="333333"/>
        </w:rPr>
        <w:t xml:space="preserve">Banca </w:t>
      </w:r>
      <w:proofErr w:type="spellStart"/>
      <w:r w:rsidRPr="00134665">
        <w:rPr>
          <w:rFonts w:ascii="Times New Roman" w:hAnsi="Times New Roman" w:cs="Times New Roman"/>
          <w:bCs/>
          <w:color w:val="333333"/>
        </w:rPr>
        <w:t>Românească</w:t>
      </w:r>
      <w:proofErr w:type="spellEnd"/>
      <w:r w:rsidRPr="00134665">
        <w:rPr>
          <w:rFonts w:ascii="Times New Roman" w:hAnsi="Times New Roman" w:cs="Times New Roman"/>
          <w:bCs/>
          <w:color w:val="333333"/>
        </w:rPr>
        <w:t> SA), dispuso que</w:t>
      </w:r>
      <w:r w:rsidRPr="00134665">
        <w:rPr>
          <w:rFonts w:ascii="Times New Roman" w:hAnsi="Times New Roman" w:cs="Times New Roman"/>
        </w:rPr>
        <w:t xml:space="preserve"> la obligación de claridad y comprensibilidad de las cláusulas relativas al objeto principal del contrato derivada del art. 4.2 de la Directiva 1993/13/CEE, de 5 de abril, sobre cláusulas abusivas en contratos con consumidores, debe entenderse de manera extensiva, de modo que el consumidor pueda prever sobre la base de criterios precisos las consecuencias económicas derivadas a su cargo</w:t>
      </w:r>
      <w:r w:rsidR="00662770" w:rsidRPr="00134665">
        <w:rPr>
          <w:rFonts w:ascii="Times New Roman" w:hAnsi="Times New Roman" w:cs="Times New Roman"/>
        </w:rPr>
        <w:t>.</w:t>
      </w:r>
    </w:p>
  </w:footnote>
  <w:footnote w:id="2">
    <w:p w:rsidR="00434BF0" w:rsidRPr="00134665" w:rsidRDefault="00434BF0" w:rsidP="005D5ED4">
      <w:pPr>
        <w:spacing w:before="120" w:after="0" w:line="240" w:lineRule="auto"/>
        <w:jc w:val="both"/>
        <w:rPr>
          <w:rFonts w:ascii="Times New Roman" w:hAnsi="Times New Roman" w:cs="Times New Roman"/>
          <w:sz w:val="20"/>
          <w:szCs w:val="20"/>
        </w:rPr>
      </w:pPr>
      <w:r w:rsidRPr="00134665">
        <w:rPr>
          <w:rStyle w:val="Refdenotaalpie"/>
          <w:rFonts w:ascii="Times New Roman" w:hAnsi="Times New Roman" w:cs="Times New Roman"/>
          <w:sz w:val="20"/>
          <w:szCs w:val="20"/>
        </w:rPr>
        <w:footnoteRef/>
      </w:r>
      <w:r w:rsidRPr="00134665">
        <w:rPr>
          <w:rFonts w:ascii="Times New Roman" w:hAnsi="Times New Roman" w:cs="Times New Roman"/>
          <w:sz w:val="20"/>
          <w:szCs w:val="20"/>
        </w:rPr>
        <w:t xml:space="preserve"> Como expresó la STS 9 mayo 2013 (Ar. 2013/3088) </w:t>
      </w:r>
      <w:r w:rsidRPr="00134665">
        <w:rPr>
          <w:rFonts w:ascii="Times New Roman" w:hAnsi="Times New Roman" w:cs="Times New Roman"/>
          <w:i/>
          <w:sz w:val="20"/>
          <w:szCs w:val="20"/>
        </w:rPr>
        <w:t>“el cumplimiento de las prescripciones de esta norma (OM 5 mayo 1994) no garantiza, por sí sólo, la necesaria transparencia de las condiciones generales que recogen la cláusula suelo, de modo que el consumidor pueda hacerse una idea cabal y suficiente de las consecuencias económicas que puede tener la inserción de dicha cláusula”.</w:t>
      </w:r>
      <w:r w:rsidRPr="00134665">
        <w:rPr>
          <w:rFonts w:ascii="Times New Roman" w:hAnsi="Times New Roman" w:cs="Times New Roman"/>
          <w:sz w:val="20"/>
          <w:szCs w:val="20"/>
        </w:rPr>
        <w:t xml:space="preserve"> Frente a un deber de transparencia formal y documental, representado por rigorismos formales en muchas ocasiones carentes de eficacia real –según dijo el Auto TS 3 junio 2013 (Ar. 2015/3617) aclaratorio de la STS 9 mayo 2013 (Ar. 2013/3088)- se contrapuso un deber de transparencia material o real que no se define por las exigencias de unos parámetros objetivos de información previamente </w:t>
      </w:r>
      <w:proofErr w:type="spellStart"/>
      <w:r w:rsidRPr="00134665">
        <w:rPr>
          <w:rFonts w:ascii="Times New Roman" w:hAnsi="Times New Roman" w:cs="Times New Roman"/>
          <w:sz w:val="20"/>
          <w:szCs w:val="20"/>
        </w:rPr>
        <w:t>positivizados</w:t>
      </w:r>
      <w:proofErr w:type="spellEnd"/>
      <w:r w:rsidRPr="00134665">
        <w:rPr>
          <w:rFonts w:ascii="Times New Roman" w:hAnsi="Times New Roman" w:cs="Times New Roman"/>
          <w:sz w:val="20"/>
          <w:szCs w:val="20"/>
        </w:rPr>
        <w:t xml:space="preserve"> en una norma jurídica, sino por una finalidad, la de un consumidor perfectamente informado sobre el precio del contrato, debiendo proporcionar la entidad la información necesaria, no previamente definida en abstracto por el legislador, para la consecución de tal fin. No tardaron en surgir en la doctrina voces críticas a esta doctrina sobre el control de transparencia material, en cuanto que fuente de inseguridad jurídica, por permitir a los órganos judiciales crear “a posteriori” reglas y sub reglas de conducta, basadas en juicios de valor no contrastables, ni objetivables, </w:t>
      </w:r>
      <w:r w:rsidRPr="00134665">
        <w:rPr>
          <w:rFonts w:ascii="Times New Roman" w:hAnsi="Times New Roman" w:cs="Times New Roman"/>
          <w:smallCaps/>
          <w:sz w:val="20"/>
          <w:szCs w:val="20"/>
        </w:rPr>
        <w:t>Carrasco Perera</w:t>
      </w:r>
      <w:r w:rsidRPr="00134665">
        <w:rPr>
          <w:rFonts w:ascii="Times New Roman" w:hAnsi="Times New Roman" w:cs="Times New Roman"/>
          <w:sz w:val="20"/>
          <w:szCs w:val="20"/>
        </w:rPr>
        <w:t xml:space="preserve">, A. y </w:t>
      </w:r>
      <w:r w:rsidRPr="00134665">
        <w:rPr>
          <w:rFonts w:ascii="Times New Roman" w:hAnsi="Times New Roman" w:cs="Times New Roman"/>
          <w:smallCaps/>
          <w:sz w:val="20"/>
          <w:szCs w:val="20"/>
        </w:rPr>
        <w:t>Cordero Lobato,</w:t>
      </w:r>
      <w:r w:rsidRPr="00134665">
        <w:rPr>
          <w:rFonts w:ascii="Times New Roman" w:hAnsi="Times New Roman" w:cs="Times New Roman"/>
          <w:sz w:val="20"/>
          <w:szCs w:val="20"/>
        </w:rPr>
        <w:t xml:space="preserve"> E., “El espurio control de transparencia sobre condiciones generales de la contratación”,</w:t>
      </w:r>
      <w:r w:rsidRPr="00134665">
        <w:rPr>
          <w:rFonts w:ascii="Times New Roman" w:hAnsi="Times New Roman" w:cs="Times New Roman"/>
          <w:smallCaps/>
          <w:sz w:val="20"/>
          <w:szCs w:val="20"/>
        </w:rPr>
        <w:t xml:space="preserve"> </w:t>
      </w:r>
      <w:r w:rsidRPr="00134665">
        <w:rPr>
          <w:rFonts w:ascii="Times New Roman" w:hAnsi="Times New Roman" w:cs="Times New Roman"/>
          <w:i/>
          <w:sz w:val="20"/>
          <w:szCs w:val="20"/>
        </w:rPr>
        <w:t>Centro de Estudios de Consumo UCLM</w:t>
      </w:r>
      <w:r w:rsidRPr="00134665">
        <w:rPr>
          <w:rFonts w:ascii="Times New Roman" w:hAnsi="Times New Roman" w:cs="Times New Roman"/>
          <w:sz w:val="20"/>
          <w:szCs w:val="20"/>
        </w:rPr>
        <w:t xml:space="preserve">, </w:t>
      </w:r>
      <w:hyperlink r:id="rId1" w:history="1">
        <w:r w:rsidRPr="00134665">
          <w:rPr>
            <w:rStyle w:val="Hipervnculo"/>
            <w:rFonts w:ascii="Times New Roman" w:hAnsi="Times New Roman" w:cs="Times New Roman"/>
            <w:color w:val="auto"/>
            <w:sz w:val="20"/>
            <w:szCs w:val="20"/>
            <w:u w:val="none"/>
          </w:rPr>
          <w:t>www.uclm.es.centros/cesco</w:t>
        </w:r>
      </w:hyperlink>
      <w:r w:rsidRPr="00134665">
        <w:rPr>
          <w:rFonts w:ascii="Times New Roman" w:hAnsi="Times New Roman" w:cs="Times New Roman"/>
          <w:sz w:val="20"/>
          <w:szCs w:val="20"/>
        </w:rPr>
        <w:t>, septiembre 2013, p. 12.</w:t>
      </w:r>
    </w:p>
    <w:p w:rsidR="00434BF0" w:rsidRPr="00134665" w:rsidRDefault="00434BF0" w:rsidP="004205E3">
      <w:pPr>
        <w:pStyle w:val="Textonotapie"/>
        <w:rPr>
          <w:rFonts w:ascii="Times New Roman" w:hAnsi="Times New Roman" w:cs="Times New Roman"/>
        </w:rPr>
      </w:pPr>
    </w:p>
  </w:footnote>
  <w:footnote w:id="3">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smallCaps/>
        </w:rPr>
        <w:t>De los Ríos Flores, M</w:t>
      </w:r>
      <w:r w:rsidRPr="00134665">
        <w:rPr>
          <w:rFonts w:ascii="Times New Roman" w:hAnsi="Times New Roman" w:cs="Times New Roman"/>
        </w:rPr>
        <w:t xml:space="preserve">., “La ficha europea del crédito hipotecario (FEIN)”, en </w:t>
      </w:r>
      <w:r w:rsidRPr="00134665">
        <w:rPr>
          <w:rFonts w:ascii="Times New Roman" w:hAnsi="Times New Roman" w:cs="Times New Roman"/>
          <w:i/>
        </w:rPr>
        <w:t>El préstamo hipotecario y el mercado del crédito en la Unión Europea”</w:t>
      </w:r>
      <w:r w:rsidRPr="00134665">
        <w:rPr>
          <w:rFonts w:ascii="Times New Roman" w:hAnsi="Times New Roman" w:cs="Times New Roman"/>
        </w:rPr>
        <w:t xml:space="preserve"> (</w:t>
      </w:r>
      <w:proofErr w:type="spellStart"/>
      <w:r w:rsidRPr="00134665">
        <w:rPr>
          <w:rFonts w:ascii="Times New Roman" w:hAnsi="Times New Roman" w:cs="Times New Roman"/>
        </w:rPr>
        <w:t>Dirs</w:t>
      </w:r>
      <w:proofErr w:type="spellEnd"/>
      <w:r w:rsidRPr="00134665">
        <w:rPr>
          <w:rFonts w:ascii="Times New Roman" w:hAnsi="Times New Roman" w:cs="Times New Roman"/>
        </w:rPr>
        <w:t xml:space="preserve">. Flores Doña y Raga Gil), Ed. </w:t>
      </w:r>
      <w:proofErr w:type="spellStart"/>
      <w:r w:rsidRPr="00134665">
        <w:rPr>
          <w:rFonts w:ascii="Times New Roman" w:hAnsi="Times New Roman" w:cs="Times New Roman"/>
        </w:rPr>
        <w:t>Dikynson</w:t>
      </w:r>
      <w:proofErr w:type="spellEnd"/>
      <w:r w:rsidRPr="00134665">
        <w:rPr>
          <w:rFonts w:ascii="Times New Roman" w:hAnsi="Times New Roman" w:cs="Times New Roman"/>
        </w:rPr>
        <w:t>, Madrid, 2015, p. 384, destaca que la normalización de la información precontractual es un factor que además que facilita la organización de datos heterogéneos y simplifica el proceso de formación del crédito hipotecario, fomenta la comparabilidad entre las distintas ofertas de crédito inmobiliario.</w:t>
      </w:r>
    </w:p>
  </w:footnote>
  <w:footnote w:id="4">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smallCaps/>
        </w:rPr>
        <w:t>Arroyo Amayuelas,</w:t>
      </w:r>
      <w:r w:rsidRPr="00134665">
        <w:rPr>
          <w:rFonts w:ascii="Times New Roman" w:hAnsi="Times New Roman" w:cs="Times New Roman"/>
        </w:rPr>
        <w:t xml:space="preserve"> E. “La directiva 2014/17/UE sobre contratos de crédito con consumidores para bienes inmuebles de uso resid</w:t>
      </w:r>
      <w:r w:rsidR="00662770" w:rsidRPr="00134665">
        <w:rPr>
          <w:rFonts w:ascii="Times New Roman" w:hAnsi="Times New Roman" w:cs="Times New Roman"/>
        </w:rPr>
        <w:t xml:space="preserve">encial”, </w:t>
      </w:r>
      <w:proofErr w:type="spellStart"/>
      <w:r w:rsidR="00662770" w:rsidRPr="00134665">
        <w:rPr>
          <w:rFonts w:ascii="Times New Roman" w:hAnsi="Times New Roman" w:cs="Times New Roman"/>
          <w:i/>
        </w:rPr>
        <w:t>Indret</w:t>
      </w:r>
      <w:proofErr w:type="spellEnd"/>
      <w:r w:rsidR="00662770" w:rsidRPr="00134665">
        <w:rPr>
          <w:rFonts w:ascii="Times New Roman" w:hAnsi="Times New Roman" w:cs="Times New Roman"/>
        </w:rPr>
        <w:t>, Nº 2, 2017, p</w:t>
      </w:r>
      <w:r w:rsidRPr="00134665">
        <w:rPr>
          <w:rFonts w:ascii="Times New Roman" w:hAnsi="Times New Roman" w:cs="Times New Roman"/>
        </w:rPr>
        <w:t>. 22.</w:t>
      </w:r>
    </w:p>
  </w:footnote>
  <w:footnote w:id="5">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El Libro Verde del crédito hipotecario en la UE de 2005 y el Libro Blanco sobre integración de los mercados de crédito inmobiliario de la UE de 2007, en los que se apoyó la precedente propuesta de directiva UE de crédito inmobiliario de 2011, realizaron un examen completo de los distintos mercados nacionales del crédito hipotecario, </w:t>
      </w:r>
      <w:r w:rsidR="00EC62C7" w:rsidRPr="00134665">
        <w:rPr>
          <w:rFonts w:ascii="Times New Roman" w:hAnsi="Times New Roman" w:cs="Times New Roman"/>
        </w:rPr>
        <w:t xml:space="preserve">como ilustran </w:t>
      </w:r>
      <w:r w:rsidRPr="00134665">
        <w:rPr>
          <w:rFonts w:ascii="Times New Roman" w:hAnsi="Times New Roman" w:cs="Times New Roman"/>
          <w:smallCaps/>
        </w:rPr>
        <w:t xml:space="preserve">Díaz </w:t>
      </w:r>
      <w:proofErr w:type="spellStart"/>
      <w:r w:rsidRPr="00134665">
        <w:rPr>
          <w:rFonts w:ascii="Times New Roman" w:hAnsi="Times New Roman" w:cs="Times New Roman"/>
          <w:smallCaps/>
        </w:rPr>
        <w:t>Alabart</w:t>
      </w:r>
      <w:proofErr w:type="spellEnd"/>
      <w:r w:rsidRPr="00134665">
        <w:rPr>
          <w:rFonts w:ascii="Times New Roman" w:hAnsi="Times New Roman" w:cs="Times New Roman"/>
          <w:smallCaps/>
        </w:rPr>
        <w:t>. S. y Álvarez Moreno M.T</w:t>
      </w:r>
      <w:r w:rsidRPr="00134665">
        <w:rPr>
          <w:rFonts w:ascii="Times New Roman" w:hAnsi="Times New Roman" w:cs="Times New Roman"/>
        </w:rPr>
        <w:t xml:space="preserve">., “La directiva 2014/17, de 4 de febrero de 2014, sobre contratos los contratos de crédito celebrados con consumidores para bienes inmuebles de uso residencial”, en </w:t>
      </w:r>
      <w:r w:rsidRPr="00134665">
        <w:rPr>
          <w:rFonts w:ascii="Times New Roman" w:hAnsi="Times New Roman" w:cs="Times New Roman"/>
          <w:i/>
        </w:rPr>
        <w:t>La protección del consumidor en los créditos hipotecarios (Directiva 2014/17/UE)”</w:t>
      </w:r>
      <w:r w:rsidRPr="00134665">
        <w:rPr>
          <w:rFonts w:ascii="Times New Roman" w:hAnsi="Times New Roman" w:cs="Times New Roman"/>
        </w:rPr>
        <w:t xml:space="preserve"> (</w:t>
      </w:r>
      <w:proofErr w:type="spellStart"/>
      <w:r w:rsidRPr="00134665">
        <w:rPr>
          <w:rFonts w:ascii="Times New Roman" w:hAnsi="Times New Roman" w:cs="Times New Roman"/>
        </w:rPr>
        <w:t>Dirs</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Diaz</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Alabart</w:t>
      </w:r>
      <w:proofErr w:type="spellEnd"/>
      <w:r w:rsidRPr="00134665">
        <w:rPr>
          <w:rFonts w:ascii="Times New Roman" w:hAnsi="Times New Roman" w:cs="Times New Roman"/>
        </w:rPr>
        <w:t xml:space="preserve">, Represa Polo y </w:t>
      </w:r>
      <w:proofErr w:type="spellStart"/>
      <w:r w:rsidRPr="00134665">
        <w:rPr>
          <w:rFonts w:ascii="Times New Roman" w:hAnsi="Times New Roman" w:cs="Times New Roman"/>
        </w:rPr>
        <w:t>Carrancho</w:t>
      </w:r>
      <w:proofErr w:type="spellEnd"/>
      <w:r w:rsidRPr="00134665">
        <w:rPr>
          <w:rFonts w:ascii="Times New Roman" w:hAnsi="Times New Roman" w:cs="Times New Roman"/>
        </w:rPr>
        <w:t xml:space="preserve"> Herrero), Ed. Reus, 2015, p. 14.</w:t>
      </w:r>
    </w:p>
  </w:footnote>
  <w:footnote w:id="6">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proofErr w:type="spellStart"/>
      <w:r w:rsidRPr="00134665">
        <w:rPr>
          <w:rFonts w:ascii="Times New Roman" w:hAnsi="Times New Roman" w:cs="Times New Roman"/>
          <w:smallCaps/>
        </w:rPr>
        <w:t>Pertíñez</w:t>
      </w:r>
      <w:proofErr w:type="spellEnd"/>
      <w:r w:rsidRPr="00134665">
        <w:rPr>
          <w:rFonts w:ascii="Times New Roman" w:hAnsi="Times New Roman" w:cs="Times New Roman"/>
          <w:smallCaps/>
        </w:rPr>
        <w:t xml:space="preserve"> Vílchez,</w:t>
      </w:r>
      <w:r w:rsidRPr="00134665">
        <w:rPr>
          <w:rFonts w:ascii="Times New Roman" w:hAnsi="Times New Roman" w:cs="Times New Roman"/>
        </w:rPr>
        <w:t xml:space="preserve"> F.,</w:t>
      </w:r>
      <w:r w:rsidR="00E9654C" w:rsidRPr="00134665">
        <w:rPr>
          <w:rFonts w:ascii="Times New Roman" w:hAnsi="Times New Roman" w:cs="Times New Roman"/>
        </w:rPr>
        <w:t xml:space="preserve"> </w:t>
      </w:r>
      <w:r w:rsidR="00100736" w:rsidRPr="00134665">
        <w:rPr>
          <w:rFonts w:ascii="Times New Roman" w:hAnsi="Times New Roman" w:cs="Times New Roman"/>
        </w:rPr>
        <w:t>“</w:t>
      </w:r>
      <w:r w:rsidR="00E9654C" w:rsidRPr="00134665">
        <w:rPr>
          <w:rFonts w:ascii="Times New Roman" w:hAnsi="Times New Roman" w:cs="Times New Roman"/>
        </w:rPr>
        <w:t>La información precontractual en la directiva 17/2014 sobre los contratos de crédito celebrados por consumidores para bienes inmuebles de uso residencial. Contraste con la normativa de transparencia hipotecaria española y opciones de transposición</w:t>
      </w:r>
      <w:r w:rsidR="00100736" w:rsidRPr="00134665">
        <w:rPr>
          <w:rFonts w:ascii="Times New Roman" w:hAnsi="Times New Roman" w:cs="Times New Roman"/>
        </w:rPr>
        <w:t>”</w:t>
      </w:r>
      <w:r w:rsidR="00E9654C" w:rsidRPr="00134665">
        <w:rPr>
          <w:rFonts w:ascii="Times New Roman" w:hAnsi="Times New Roman" w:cs="Times New Roman"/>
        </w:rPr>
        <w:t xml:space="preserve">, </w:t>
      </w:r>
      <w:r w:rsidR="00E9654C" w:rsidRPr="00134665">
        <w:rPr>
          <w:rFonts w:ascii="Times New Roman" w:hAnsi="Times New Roman" w:cs="Times New Roman"/>
          <w:i/>
        </w:rPr>
        <w:t>Revista Doctrinal Aranzadi Civil-Mercantil</w:t>
      </w:r>
      <w:r w:rsidR="00E9654C" w:rsidRPr="00134665">
        <w:rPr>
          <w:rFonts w:ascii="Times New Roman" w:hAnsi="Times New Roman" w:cs="Times New Roman"/>
        </w:rPr>
        <w:t>, 2/2015, pp. 57 y 58.</w:t>
      </w:r>
    </w:p>
  </w:footnote>
  <w:footnote w:id="7">
    <w:p w:rsidR="00434BF0" w:rsidRPr="00134665" w:rsidRDefault="00434BF0" w:rsidP="004205E3">
      <w:pPr>
        <w:pStyle w:val="Textonotapie"/>
        <w:jc w:val="both"/>
        <w:rPr>
          <w:rFonts w:ascii="Times New Roman" w:hAnsi="Times New Roman" w:cs="Times New Roman"/>
          <w:color w:val="FF0000"/>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00EC62C7" w:rsidRPr="00134665">
        <w:rPr>
          <w:rFonts w:ascii="Times New Roman" w:hAnsi="Times New Roman" w:cs="Times New Roman"/>
          <w:smallCaps/>
        </w:rPr>
        <w:t>Marín</w:t>
      </w:r>
      <w:r w:rsidR="00EC62C7" w:rsidRPr="00134665">
        <w:rPr>
          <w:rFonts w:ascii="Times New Roman" w:hAnsi="Times New Roman" w:cs="Times New Roman"/>
        </w:rPr>
        <w:t xml:space="preserve"> </w:t>
      </w:r>
      <w:r w:rsidR="00EC62C7" w:rsidRPr="00134665">
        <w:rPr>
          <w:rFonts w:ascii="Times New Roman" w:hAnsi="Times New Roman" w:cs="Times New Roman"/>
          <w:smallCaps/>
        </w:rPr>
        <w:t>López</w:t>
      </w:r>
      <w:r w:rsidR="00EC62C7" w:rsidRPr="00134665">
        <w:rPr>
          <w:rFonts w:ascii="Times New Roman" w:hAnsi="Times New Roman" w:cs="Times New Roman"/>
        </w:rPr>
        <w:t xml:space="preserve">, M. J., “Una lectura de la normativa en materia de crédito inmobiliario desde la perspectiva de los prestatarios”, en </w:t>
      </w:r>
      <w:r w:rsidR="00EC62C7" w:rsidRPr="00134665">
        <w:rPr>
          <w:rFonts w:ascii="Times New Roman" w:hAnsi="Times New Roman" w:cs="Times New Roman"/>
          <w:i/>
        </w:rPr>
        <w:t xml:space="preserve">Los contratos de crédito inmobiliario. Novedades legislativas y problemas prácticos </w:t>
      </w:r>
      <w:r w:rsidR="00EC62C7" w:rsidRPr="00134665">
        <w:rPr>
          <w:rFonts w:ascii="Times New Roman" w:hAnsi="Times New Roman" w:cs="Times New Roman"/>
        </w:rPr>
        <w:t>(</w:t>
      </w:r>
      <w:proofErr w:type="spellStart"/>
      <w:r w:rsidR="00EC62C7" w:rsidRPr="00134665">
        <w:rPr>
          <w:rFonts w:ascii="Times New Roman" w:hAnsi="Times New Roman" w:cs="Times New Roman"/>
        </w:rPr>
        <w:t>Dirs</w:t>
      </w:r>
      <w:proofErr w:type="spellEnd"/>
      <w:r w:rsidR="00EC62C7" w:rsidRPr="00134665">
        <w:rPr>
          <w:rFonts w:ascii="Times New Roman" w:hAnsi="Times New Roman" w:cs="Times New Roman"/>
        </w:rPr>
        <w:t xml:space="preserve">. K. J., </w:t>
      </w:r>
      <w:proofErr w:type="spellStart"/>
      <w:r w:rsidR="00EC62C7" w:rsidRPr="00134665">
        <w:rPr>
          <w:rFonts w:ascii="Times New Roman" w:hAnsi="Times New Roman" w:cs="Times New Roman"/>
        </w:rPr>
        <w:t>Albiez</w:t>
      </w:r>
      <w:proofErr w:type="spellEnd"/>
      <w:r w:rsidR="00EC62C7" w:rsidRPr="00134665">
        <w:rPr>
          <w:rFonts w:ascii="Times New Roman" w:hAnsi="Times New Roman" w:cs="Times New Roman"/>
        </w:rPr>
        <w:t xml:space="preserve"> </w:t>
      </w:r>
      <w:proofErr w:type="spellStart"/>
      <w:r w:rsidR="00EC62C7" w:rsidRPr="00134665">
        <w:rPr>
          <w:rFonts w:ascii="Times New Roman" w:hAnsi="Times New Roman" w:cs="Times New Roman"/>
        </w:rPr>
        <w:t>Dohrmann</w:t>
      </w:r>
      <w:proofErr w:type="spellEnd"/>
      <w:r w:rsidR="00EC62C7" w:rsidRPr="00134665">
        <w:rPr>
          <w:rFonts w:ascii="Times New Roman" w:hAnsi="Times New Roman" w:cs="Times New Roman"/>
        </w:rPr>
        <w:t xml:space="preserve"> y Mª. L. </w:t>
      </w:r>
      <w:proofErr w:type="spellStart"/>
      <w:r w:rsidR="00EC62C7" w:rsidRPr="00134665">
        <w:rPr>
          <w:rFonts w:ascii="Times New Roman" w:hAnsi="Times New Roman" w:cs="Times New Roman"/>
        </w:rPr>
        <w:t>Morerno</w:t>
      </w:r>
      <w:proofErr w:type="spellEnd"/>
      <w:r w:rsidR="00EC62C7" w:rsidRPr="00134665">
        <w:rPr>
          <w:rFonts w:ascii="Times New Roman" w:hAnsi="Times New Roman" w:cs="Times New Roman"/>
        </w:rPr>
        <w:t xml:space="preserve"> Torres), ed. Thomson Reuters</w:t>
      </w:r>
      <w:r w:rsidR="00472DE7" w:rsidRPr="00134665">
        <w:rPr>
          <w:rFonts w:ascii="Times New Roman" w:hAnsi="Times New Roman" w:cs="Times New Roman"/>
        </w:rPr>
        <w:t>-Aranzadi, Navarra, 2017</w:t>
      </w:r>
      <w:r w:rsidR="00EC62C7" w:rsidRPr="00134665">
        <w:rPr>
          <w:rFonts w:ascii="Times New Roman" w:hAnsi="Times New Roman" w:cs="Times New Roman"/>
        </w:rPr>
        <w:t>, p. 172.</w:t>
      </w:r>
    </w:p>
  </w:footnote>
  <w:footnote w:id="8">
    <w:p w:rsidR="00F7504F" w:rsidRPr="00134665" w:rsidRDefault="00F7504F" w:rsidP="00E9654C">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En contra de la opción por atribuir al consumidor un derecho de desistimiento posterior al contrato se había manifestado en la doctrina </w:t>
      </w:r>
      <w:r w:rsidRPr="00134665">
        <w:rPr>
          <w:rFonts w:ascii="Times New Roman" w:hAnsi="Times New Roman" w:cs="Times New Roman"/>
          <w:smallCaps/>
        </w:rPr>
        <w:t xml:space="preserve">Hernández </w:t>
      </w:r>
      <w:proofErr w:type="spellStart"/>
      <w:r w:rsidRPr="00134665">
        <w:rPr>
          <w:rFonts w:ascii="Times New Roman" w:hAnsi="Times New Roman" w:cs="Times New Roman"/>
          <w:smallCaps/>
        </w:rPr>
        <w:t>Saín</w:t>
      </w:r>
      <w:r w:rsidR="00100736" w:rsidRPr="00134665">
        <w:rPr>
          <w:rFonts w:ascii="Times New Roman" w:hAnsi="Times New Roman" w:cs="Times New Roman"/>
          <w:smallCaps/>
        </w:rPr>
        <w:t>z</w:t>
      </w:r>
      <w:proofErr w:type="spellEnd"/>
      <w:r w:rsidRPr="00134665">
        <w:rPr>
          <w:rFonts w:ascii="Times New Roman" w:hAnsi="Times New Roman" w:cs="Times New Roman"/>
        </w:rPr>
        <w:t>, E., “El plazo de reflexión en la contratación de préstamos hipotecarios: instrumentos para su garantía”</w:t>
      </w:r>
      <w:r w:rsidRPr="00134665">
        <w:rPr>
          <w:rFonts w:ascii="Times New Roman" w:hAnsi="Times New Roman" w:cs="Times New Roman"/>
          <w:i/>
        </w:rPr>
        <w:t xml:space="preserve">, </w:t>
      </w:r>
      <w:proofErr w:type="spellStart"/>
      <w:r w:rsidRPr="00134665">
        <w:rPr>
          <w:rFonts w:ascii="Times New Roman" w:hAnsi="Times New Roman" w:cs="Times New Roman"/>
          <w:i/>
        </w:rPr>
        <w:t>Indret</w:t>
      </w:r>
      <w:proofErr w:type="spellEnd"/>
      <w:r w:rsidRPr="00134665">
        <w:rPr>
          <w:rFonts w:ascii="Times New Roman" w:hAnsi="Times New Roman" w:cs="Times New Roman"/>
          <w:i/>
        </w:rPr>
        <w:t>,</w:t>
      </w:r>
      <w:r w:rsidR="000350BF" w:rsidRPr="00134665">
        <w:rPr>
          <w:rFonts w:ascii="Times New Roman" w:hAnsi="Times New Roman" w:cs="Times New Roman"/>
        </w:rPr>
        <w:t xml:space="preserve"> 4/2017, p. 8 y </w:t>
      </w:r>
      <w:proofErr w:type="spellStart"/>
      <w:r w:rsidR="000350BF" w:rsidRPr="00134665">
        <w:rPr>
          <w:rFonts w:ascii="Times New Roman" w:hAnsi="Times New Roman" w:cs="Times New Roman"/>
          <w:smallCaps/>
        </w:rPr>
        <w:t>Pertíñez</w:t>
      </w:r>
      <w:proofErr w:type="spellEnd"/>
      <w:r w:rsidR="000350BF" w:rsidRPr="00134665">
        <w:rPr>
          <w:rFonts w:ascii="Times New Roman" w:hAnsi="Times New Roman" w:cs="Times New Roman"/>
          <w:smallCaps/>
        </w:rPr>
        <w:t xml:space="preserve"> Vílchez</w:t>
      </w:r>
      <w:r w:rsidR="000350BF" w:rsidRPr="00134665">
        <w:rPr>
          <w:rFonts w:ascii="Times New Roman" w:hAnsi="Times New Roman" w:cs="Times New Roman"/>
        </w:rPr>
        <w:t>, F., “La información precontractual en la directiva 17/2014</w:t>
      </w:r>
      <w:r w:rsidR="00100736" w:rsidRPr="00134665">
        <w:rPr>
          <w:rFonts w:ascii="Times New Roman" w:hAnsi="Times New Roman" w:cs="Times New Roman"/>
        </w:rPr>
        <w:t>..</w:t>
      </w:r>
      <w:proofErr w:type="gramStart"/>
      <w:r w:rsidR="00100736" w:rsidRPr="00134665">
        <w:rPr>
          <w:rFonts w:ascii="Times New Roman" w:hAnsi="Times New Roman" w:cs="Times New Roman"/>
        </w:rPr>
        <w:t>,</w:t>
      </w:r>
      <w:proofErr w:type="gramEnd"/>
      <w:r w:rsidR="00100736" w:rsidRPr="00134665">
        <w:rPr>
          <w:rFonts w:ascii="Times New Roman" w:hAnsi="Times New Roman" w:cs="Times New Roman"/>
        </w:rPr>
        <w:t xml:space="preserve"> </w:t>
      </w:r>
      <w:proofErr w:type="spellStart"/>
      <w:r w:rsidR="00100736" w:rsidRPr="00134665">
        <w:rPr>
          <w:rFonts w:ascii="Times New Roman" w:hAnsi="Times New Roman" w:cs="Times New Roman"/>
        </w:rPr>
        <w:t>op</w:t>
      </w:r>
      <w:proofErr w:type="spellEnd"/>
      <w:r w:rsidR="00100736" w:rsidRPr="00134665">
        <w:rPr>
          <w:rFonts w:ascii="Times New Roman" w:hAnsi="Times New Roman" w:cs="Times New Roman"/>
        </w:rPr>
        <w:t>. cit.</w:t>
      </w:r>
      <w:r w:rsidR="00E9654C" w:rsidRPr="00134665">
        <w:rPr>
          <w:rFonts w:ascii="Times New Roman" w:hAnsi="Times New Roman" w:cs="Times New Roman"/>
        </w:rPr>
        <w:t>, p. 55</w:t>
      </w:r>
      <w:r w:rsidR="00100736" w:rsidRPr="00134665">
        <w:rPr>
          <w:rFonts w:ascii="Times New Roman" w:hAnsi="Times New Roman" w:cs="Times New Roman"/>
        </w:rPr>
        <w:t>.</w:t>
      </w:r>
    </w:p>
  </w:footnote>
  <w:footnote w:id="9">
    <w:p w:rsidR="0024693C" w:rsidRPr="00134665" w:rsidRDefault="0024693C" w:rsidP="0024693C">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Sobre el carácter vinculante de la oferta, </w:t>
      </w:r>
      <w:proofErr w:type="spellStart"/>
      <w:r w:rsidRPr="00134665">
        <w:rPr>
          <w:rFonts w:ascii="Times New Roman" w:hAnsi="Times New Roman" w:cs="Times New Roman"/>
          <w:smallCaps/>
        </w:rPr>
        <w:t>Ordás</w:t>
      </w:r>
      <w:proofErr w:type="spellEnd"/>
      <w:r w:rsidRPr="00134665">
        <w:rPr>
          <w:rFonts w:ascii="Times New Roman" w:hAnsi="Times New Roman" w:cs="Times New Roman"/>
          <w:smallCaps/>
        </w:rPr>
        <w:t xml:space="preserve"> Alonso,</w:t>
      </w:r>
      <w:r w:rsidRPr="00134665">
        <w:rPr>
          <w:rFonts w:ascii="Times New Roman" w:hAnsi="Times New Roman" w:cs="Times New Roman"/>
        </w:rPr>
        <w:t xml:space="preserve"> M., “La oferta vinculante. Análisis de la regulación vigente y de la contenida en el proyecto de ley de contratos de crédito inmobiliario” en </w:t>
      </w:r>
      <w:r w:rsidRPr="00134665">
        <w:rPr>
          <w:rFonts w:ascii="Times New Roman" w:hAnsi="Times New Roman" w:cs="Times New Roman"/>
          <w:i/>
        </w:rPr>
        <w:t xml:space="preserve">Los contratos de crédito inmobiliario. Novedades legislativas y problemas prácticos </w:t>
      </w:r>
      <w:r w:rsidRPr="00134665">
        <w:rPr>
          <w:rFonts w:ascii="Times New Roman" w:hAnsi="Times New Roman" w:cs="Times New Roman"/>
        </w:rPr>
        <w:t>(</w:t>
      </w:r>
      <w:proofErr w:type="spellStart"/>
      <w:r w:rsidRPr="00134665">
        <w:rPr>
          <w:rFonts w:ascii="Times New Roman" w:hAnsi="Times New Roman" w:cs="Times New Roman"/>
        </w:rPr>
        <w:t>Dirs</w:t>
      </w:r>
      <w:proofErr w:type="spellEnd"/>
      <w:r w:rsidRPr="00134665">
        <w:rPr>
          <w:rFonts w:ascii="Times New Roman" w:hAnsi="Times New Roman" w:cs="Times New Roman"/>
        </w:rPr>
        <w:t xml:space="preserve">. K. J., </w:t>
      </w:r>
      <w:proofErr w:type="spellStart"/>
      <w:r w:rsidRPr="00134665">
        <w:rPr>
          <w:rFonts w:ascii="Times New Roman" w:hAnsi="Times New Roman" w:cs="Times New Roman"/>
        </w:rPr>
        <w:t>Albiez</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Dohrmann</w:t>
      </w:r>
      <w:proofErr w:type="spellEnd"/>
      <w:r w:rsidRPr="00134665">
        <w:rPr>
          <w:rFonts w:ascii="Times New Roman" w:hAnsi="Times New Roman" w:cs="Times New Roman"/>
        </w:rPr>
        <w:t xml:space="preserve"> y Mª. L. </w:t>
      </w:r>
      <w:proofErr w:type="spellStart"/>
      <w:r w:rsidRPr="00134665">
        <w:rPr>
          <w:rFonts w:ascii="Times New Roman" w:hAnsi="Times New Roman" w:cs="Times New Roman"/>
        </w:rPr>
        <w:t>Morerno</w:t>
      </w:r>
      <w:proofErr w:type="spellEnd"/>
      <w:r w:rsidRPr="00134665">
        <w:rPr>
          <w:rFonts w:ascii="Times New Roman" w:hAnsi="Times New Roman" w:cs="Times New Roman"/>
        </w:rPr>
        <w:t xml:space="preserve"> Torres), ed. Thomson Reuters-Aranzadi, Navarra, 2017, pp. 305 y 314 y </w:t>
      </w:r>
      <w:r w:rsidRPr="00134665">
        <w:rPr>
          <w:rFonts w:ascii="Times New Roman" w:hAnsi="Times New Roman" w:cs="Times New Roman"/>
          <w:smallCaps/>
        </w:rPr>
        <w:t>Vázquez-Pastor Jiménez</w:t>
      </w:r>
      <w:r w:rsidRPr="00134665">
        <w:rPr>
          <w:rFonts w:ascii="Times New Roman" w:hAnsi="Times New Roman" w:cs="Times New Roman"/>
        </w:rPr>
        <w:t xml:space="preserve">, L., “La oferta vinculante en los contratos de crédito inmobiliario”, en </w:t>
      </w:r>
      <w:r w:rsidRPr="00134665">
        <w:rPr>
          <w:rFonts w:ascii="Times New Roman" w:hAnsi="Times New Roman" w:cs="Times New Roman"/>
          <w:i/>
        </w:rPr>
        <w:t>Los contratos de crédito inmobiliario. Algunas soluciones legales</w:t>
      </w:r>
      <w:r w:rsidRPr="00134665">
        <w:rPr>
          <w:rFonts w:ascii="Times New Roman" w:hAnsi="Times New Roman" w:cs="Times New Roman"/>
        </w:rPr>
        <w:t>, Ed. Reus, Madrid, 2018, pp. 71 y 72.</w:t>
      </w:r>
    </w:p>
  </w:footnote>
  <w:footnote w:id="10">
    <w:p w:rsidR="0024693C" w:rsidRPr="00134665" w:rsidRDefault="0024693C" w:rsidP="00E9654C">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No aprecia este carácter irrenunciable del plazo en el Proyecto de 17 de noviembre de 2017, aunque sí lo hubiera considerado deseable </w:t>
      </w:r>
      <w:r w:rsidRPr="00134665">
        <w:rPr>
          <w:rFonts w:ascii="Times New Roman" w:hAnsi="Times New Roman" w:cs="Times New Roman"/>
          <w:smallCaps/>
        </w:rPr>
        <w:t>Vázquez-Pastor Jiménez</w:t>
      </w:r>
      <w:r w:rsidRPr="00134665">
        <w:rPr>
          <w:rFonts w:ascii="Times New Roman" w:hAnsi="Times New Roman" w:cs="Times New Roman"/>
        </w:rPr>
        <w:t>, L., “La oferta vinculante en los contratos de crédito inmobiliario</w:t>
      </w:r>
      <w:proofErr w:type="gramStart"/>
      <w:r w:rsidR="005D638B" w:rsidRPr="00134665">
        <w:rPr>
          <w:rFonts w:ascii="Times New Roman" w:hAnsi="Times New Roman" w:cs="Times New Roman"/>
        </w:rPr>
        <w:t>..</w:t>
      </w:r>
      <w:r w:rsidRPr="00134665">
        <w:rPr>
          <w:rFonts w:ascii="Times New Roman" w:hAnsi="Times New Roman" w:cs="Times New Roman"/>
        </w:rPr>
        <w:t>”</w:t>
      </w:r>
      <w:proofErr w:type="gramEnd"/>
      <w:r w:rsidR="005D638B" w:rsidRPr="00134665">
        <w:rPr>
          <w:rFonts w:ascii="Times New Roman" w:hAnsi="Times New Roman" w:cs="Times New Roman"/>
        </w:rPr>
        <w:t xml:space="preserve">, </w:t>
      </w:r>
      <w:proofErr w:type="spellStart"/>
      <w:r w:rsidR="005D638B" w:rsidRPr="00134665">
        <w:rPr>
          <w:rFonts w:ascii="Times New Roman" w:hAnsi="Times New Roman" w:cs="Times New Roman"/>
        </w:rPr>
        <w:t>op</w:t>
      </w:r>
      <w:proofErr w:type="spellEnd"/>
      <w:r w:rsidR="005D638B" w:rsidRPr="00134665">
        <w:rPr>
          <w:rFonts w:ascii="Times New Roman" w:hAnsi="Times New Roman" w:cs="Times New Roman"/>
        </w:rPr>
        <w:t xml:space="preserve">. cit., </w:t>
      </w:r>
      <w:r w:rsidRPr="00134665">
        <w:rPr>
          <w:rFonts w:ascii="Times New Roman" w:hAnsi="Times New Roman" w:cs="Times New Roman"/>
        </w:rPr>
        <w:t xml:space="preserve">p. 74, por ser la </w:t>
      </w:r>
      <w:proofErr w:type="spellStart"/>
      <w:r w:rsidRPr="00134665">
        <w:rPr>
          <w:rFonts w:ascii="Times New Roman" w:hAnsi="Times New Roman" w:cs="Times New Roman"/>
        </w:rPr>
        <w:t>irrenunciabilidad</w:t>
      </w:r>
      <w:proofErr w:type="spellEnd"/>
      <w:r w:rsidRPr="00134665">
        <w:rPr>
          <w:rFonts w:ascii="Times New Roman" w:hAnsi="Times New Roman" w:cs="Times New Roman"/>
        </w:rPr>
        <w:t xml:space="preserve"> del plazo una forma de proteger al solicitante del mismo contra él mismo y las decisiones precipitadas que pudiera adoptar</w:t>
      </w:r>
      <w:r w:rsidR="005D638B" w:rsidRPr="00134665">
        <w:rPr>
          <w:rFonts w:ascii="Times New Roman" w:hAnsi="Times New Roman" w:cs="Times New Roman"/>
        </w:rPr>
        <w:t>.</w:t>
      </w:r>
    </w:p>
  </w:footnote>
  <w:footnote w:id="11">
    <w:p w:rsidR="00E9654C" w:rsidRPr="00134665" w:rsidRDefault="00E9654C">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smallCaps/>
        </w:rPr>
        <w:t xml:space="preserve">Hernández </w:t>
      </w:r>
      <w:proofErr w:type="spellStart"/>
      <w:r w:rsidRPr="00134665">
        <w:rPr>
          <w:rFonts w:ascii="Times New Roman" w:hAnsi="Times New Roman" w:cs="Times New Roman"/>
          <w:smallCaps/>
        </w:rPr>
        <w:t>Sáinz</w:t>
      </w:r>
      <w:proofErr w:type="spellEnd"/>
      <w:r w:rsidRPr="00134665">
        <w:rPr>
          <w:rFonts w:ascii="Times New Roman" w:hAnsi="Times New Roman" w:cs="Times New Roman"/>
          <w:smallCaps/>
        </w:rPr>
        <w:t>,</w:t>
      </w:r>
      <w:r w:rsidRPr="00134665">
        <w:rPr>
          <w:rFonts w:ascii="Times New Roman" w:hAnsi="Times New Roman" w:cs="Times New Roman"/>
        </w:rPr>
        <w:t xml:space="preserve"> E., “El plazo de reflexión en la contratación de préstamos hipotecarios</w:t>
      </w:r>
      <w:proofErr w:type="gramStart"/>
      <w:r w:rsidR="00100736" w:rsidRPr="00134665">
        <w:rPr>
          <w:rFonts w:ascii="Times New Roman" w:hAnsi="Times New Roman" w:cs="Times New Roman"/>
        </w:rPr>
        <w:t>..”</w:t>
      </w:r>
      <w:proofErr w:type="gramEnd"/>
      <w:r w:rsidRPr="00134665">
        <w:rPr>
          <w:rFonts w:ascii="Times New Roman" w:hAnsi="Times New Roman" w:cs="Times New Roman"/>
        </w:rPr>
        <w:t>,</w:t>
      </w:r>
      <w:r w:rsidR="00100736" w:rsidRPr="00134665">
        <w:rPr>
          <w:rFonts w:ascii="Times New Roman" w:hAnsi="Times New Roman" w:cs="Times New Roman"/>
        </w:rPr>
        <w:t xml:space="preserve"> </w:t>
      </w:r>
      <w:proofErr w:type="spellStart"/>
      <w:r w:rsidR="00100736" w:rsidRPr="00134665">
        <w:rPr>
          <w:rFonts w:ascii="Times New Roman" w:hAnsi="Times New Roman" w:cs="Times New Roman"/>
        </w:rPr>
        <w:t>op</w:t>
      </w:r>
      <w:proofErr w:type="spellEnd"/>
      <w:r w:rsidR="00100736" w:rsidRPr="00134665">
        <w:rPr>
          <w:rFonts w:ascii="Times New Roman" w:hAnsi="Times New Roman" w:cs="Times New Roman"/>
        </w:rPr>
        <w:t>. cit.,</w:t>
      </w:r>
      <w:r w:rsidRPr="00134665">
        <w:rPr>
          <w:rFonts w:ascii="Times New Roman" w:hAnsi="Times New Roman" w:cs="Times New Roman"/>
        </w:rPr>
        <w:t xml:space="preserve"> p. 34.</w:t>
      </w:r>
    </w:p>
  </w:footnote>
  <w:footnote w:id="12">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Al respecto, STS 1 julio 2016</w:t>
      </w:r>
      <w:r w:rsidR="008908AD" w:rsidRPr="00134665">
        <w:rPr>
          <w:rFonts w:ascii="Times New Roman" w:hAnsi="Times New Roman" w:cs="Times New Roman"/>
        </w:rPr>
        <w:t xml:space="preserve"> (Ar 2016/4068)</w:t>
      </w:r>
      <w:r w:rsidRPr="00134665">
        <w:rPr>
          <w:rFonts w:ascii="Times New Roman" w:hAnsi="Times New Roman" w:cs="Times New Roman"/>
        </w:rPr>
        <w:t>, STS 2 febrero 2017</w:t>
      </w:r>
      <w:r w:rsidR="008908AD" w:rsidRPr="00134665">
        <w:rPr>
          <w:rFonts w:ascii="Times New Roman" w:hAnsi="Times New Roman" w:cs="Times New Roman"/>
        </w:rPr>
        <w:t xml:space="preserve"> (Ar. 2017/389)</w:t>
      </w:r>
      <w:r w:rsidRPr="00134665">
        <w:rPr>
          <w:rFonts w:ascii="Times New Roman" w:hAnsi="Times New Roman" w:cs="Times New Roman"/>
        </w:rPr>
        <w:t xml:space="preserve"> y STS 17 febrero 2017</w:t>
      </w:r>
      <w:r w:rsidR="008908AD" w:rsidRPr="00134665">
        <w:rPr>
          <w:rFonts w:ascii="Times New Roman" w:hAnsi="Times New Roman" w:cs="Times New Roman"/>
        </w:rPr>
        <w:t xml:space="preserve"> (Ar 2017/590)</w:t>
      </w:r>
      <w:r w:rsidRPr="00134665">
        <w:rPr>
          <w:rFonts w:ascii="Times New Roman" w:hAnsi="Times New Roman" w:cs="Times New Roman"/>
        </w:rPr>
        <w:t>.</w:t>
      </w:r>
    </w:p>
  </w:footnote>
  <w:footnote w:id="13">
    <w:p w:rsidR="00D10D6E" w:rsidRPr="00134665" w:rsidRDefault="00D10D6E">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i/>
        </w:rPr>
        <w:t>El banco ha de dar una referencia genérica y aproximada, que pueda permitir al cliente hacerse una idea de cuánto podría costarle la cancelación y el riesgo que con ello asume</w:t>
      </w:r>
      <w:r w:rsidRPr="00134665">
        <w:rPr>
          <w:rFonts w:ascii="Times New Roman" w:hAnsi="Times New Roman" w:cs="Times New Roman"/>
        </w:rPr>
        <w:t>”.</w:t>
      </w:r>
    </w:p>
  </w:footnote>
  <w:footnote w:id="14">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Doctrina que es traslación de la STJUE 20 septiembre 2017 (Asunto C-186/16, Banca </w:t>
      </w:r>
      <w:proofErr w:type="spellStart"/>
      <w:r w:rsidRPr="00134665">
        <w:rPr>
          <w:rFonts w:ascii="Times New Roman" w:hAnsi="Times New Roman" w:cs="Times New Roman"/>
        </w:rPr>
        <w:t>Românească</w:t>
      </w:r>
      <w:proofErr w:type="spellEnd"/>
      <w:r w:rsidRPr="00134665">
        <w:rPr>
          <w:rFonts w:ascii="Times New Roman" w:hAnsi="Times New Roman" w:cs="Times New Roman"/>
        </w:rPr>
        <w:t xml:space="preserve"> SA) acerca de la obligatoriedad de informar sobre las implicaciones económicas de los préstamos hipotecarios en divisas conforme al art. 4.2 de la Directiva CEE/1993/13 de cláusulas abusivas.</w:t>
      </w:r>
    </w:p>
  </w:footnote>
  <w:footnote w:id="15">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Excepto en caso de que la autoridad competente autorice prácticas de ventas vinculadas concretas cuando el prestamista pueda demostrar que los productos vinculados o las categorías de productos ofrecidos, en condiciones similares entre sí, que no se presenten por separado, acarrean un claro beneficio a los prestatarios (art. 17.1.II LCCI) o en caso de que el prestamista vincule el préstamo a que el prestatario, su cónyuge, pareja de hecho, o un pariente por consanguinidad o afinidad hasta el segundo grado de parentesco contrate ciertos productos financieros establecidos por orden del Ministro de Economía y Empresa, siempre que sirva de soporte operativo o de garantía a las operaciones de un préstamo (art. 17.4 LCCI).</w:t>
      </w:r>
    </w:p>
  </w:footnote>
  <w:footnote w:id="16">
    <w:p w:rsidR="00EC62C7" w:rsidRPr="00134665" w:rsidRDefault="00EC62C7">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smallCaps/>
        </w:rPr>
        <w:t>Marín</w:t>
      </w:r>
      <w:r w:rsidRPr="00134665">
        <w:rPr>
          <w:rFonts w:ascii="Times New Roman" w:hAnsi="Times New Roman" w:cs="Times New Roman"/>
        </w:rPr>
        <w:t xml:space="preserve"> López, M. J., “Una lectura de la normativa en materia de crédito inmobiliario desde la perspectiva de los prestatarios”, en </w:t>
      </w:r>
      <w:r w:rsidRPr="00134665">
        <w:rPr>
          <w:rFonts w:ascii="Times New Roman" w:hAnsi="Times New Roman" w:cs="Times New Roman"/>
          <w:i/>
        </w:rPr>
        <w:t xml:space="preserve">Los contratos de crédito inmobiliario. Novedades legislativas y problemas prácticos, </w:t>
      </w:r>
      <w:proofErr w:type="spellStart"/>
      <w:r w:rsidRPr="00134665">
        <w:rPr>
          <w:rFonts w:ascii="Times New Roman" w:hAnsi="Times New Roman" w:cs="Times New Roman"/>
        </w:rPr>
        <w:t>op</w:t>
      </w:r>
      <w:proofErr w:type="spellEnd"/>
      <w:r w:rsidRPr="00134665">
        <w:rPr>
          <w:rFonts w:ascii="Times New Roman" w:hAnsi="Times New Roman" w:cs="Times New Roman"/>
        </w:rPr>
        <w:t>. cit., p. 169.</w:t>
      </w:r>
    </w:p>
  </w:footnote>
  <w:footnote w:id="17">
    <w:p w:rsidR="00134665" w:rsidRPr="00134665" w:rsidRDefault="00134665" w:rsidP="00134665">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Los índices IRPH se calculan a partir del tipo medio de los préstamos hipotecarios a más de tres años que en cada momento concierten los Bancos, Cajas o Entidades, según su modalidad. Como la mayor parte de los préstamos hipotecarios en el mercado hipotecario español se conciertan a interés variable, siendo el índice de referencia normalmente empleado el euríbor, al que se le suma un diferencial, por el efecto de este diferencial, la media de los préstamos hipotecarios que se concierten en cada momento será por definición superior al euríbor, pues para que pasase lo contrario tendría que darse una circunstancia tan insólita como que la mayoría de los préstamos concertados lo fueran con un diferencial negativo. Además, por la misma razón, en periodos en los que el euríbor se encuentre en niveles muy bajos, la brecha entre el euríbor y los índices IRPH será mayor, porque en los préstamos nuevos referenciados al euríbor que se concierten en ese escenario el diferencial sumado al euríbor será mayor para compensar la bajada del índice de referencia, por lo que los índices IRPH además de ser por naturaleza superiores al euríbor, presentan una mayor resistencia a la bajada.</w:t>
      </w:r>
    </w:p>
  </w:footnote>
  <w:footnote w:id="18">
    <w:p w:rsidR="00434BF0" w:rsidRPr="00134665" w:rsidRDefault="00434BF0">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proofErr w:type="spellStart"/>
      <w:r w:rsidRPr="00134665">
        <w:rPr>
          <w:rFonts w:ascii="Times New Roman" w:hAnsi="Times New Roman" w:cs="Times New Roman"/>
          <w:smallCaps/>
        </w:rPr>
        <w:t>Pertíñez</w:t>
      </w:r>
      <w:proofErr w:type="spellEnd"/>
      <w:r w:rsidR="008908AD" w:rsidRPr="00134665">
        <w:rPr>
          <w:rFonts w:ascii="Times New Roman" w:hAnsi="Times New Roman" w:cs="Times New Roman"/>
          <w:smallCaps/>
        </w:rPr>
        <w:t xml:space="preserve"> Vílchez, F.,</w:t>
      </w:r>
      <w:r w:rsidR="008908AD" w:rsidRPr="00134665">
        <w:rPr>
          <w:rFonts w:ascii="Times New Roman" w:hAnsi="Times New Roman" w:cs="Times New Roman"/>
        </w:rPr>
        <w:t xml:space="preserve"> La información precontractual en la directiva 17/2014 sobre los contratos de créd</w:t>
      </w:r>
      <w:r w:rsidR="00100736" w:rsidRPr="00134665">
        <w:rPr>
          <w:rFonts w:ascii="Times New Roman" w:hAnsi="Times New Roman" w:cs="Times New Roman"/>
        </w:rPr>
        <w:t>ito celebrados con consumidores</w:t>
      </w:r>
      <w:proofErr w:type="gramStart"/>
      <w:r w:rsidR="00100736" w:rsidRPr="00134665">
        <w:rPr>
          <w:rFonts w:ascii="Times New Roman" w:hAnsi="Times New Roman" w:cs="Times New Roman"/>
        </w:rPr>
        <w:t>..”</w:t>
      </w:r>
      <w:proofErr w:type="gramEnd"/>
      <w:r w:rsidR="00100736" w:rsidRPr="00134665">
        <w:rPr>
          <w:rFonts w:ascii="Times New Roman" w:hAnsi="Times New Roman" w:cs="Times New Roman"/>
        </w:rPr>
        <w:t xml:space="preserve">, </w:t>
      </w:r>
      <w:proofErr w:type="spellStart"/>
      <w:r w:rsidR="00100736" w:rsidRPr="00134665">
        <w:rPr>
          <w:rFonts w:ascii="Times New Roman" w:hAnsi="Times New Roman" w:cs="Times New Roman"/>
        </w:rPr>
        <w:t>op</w:t>
      </w:r>
      <w:proofErr w:type="spellEnd"/>
      <w:r w:rsidR="00100736" w:rsidRPr="00134665">
        <w:rPr>
          <w:rFonts w:ascii="Times New Roman" w:hAnsi="Times New Roman" w:cs="Times New Roman"/>
        </w:rPr>
        <w:t xml:space="preserve">. cit., </w:t>
      </w:r>
      <w:r w:rsidR="008908AD" w:rsidRPr="00134665">
        <w:rPr>
          <w:rFonts w:ascii="Times New Roman" w:hAnsi="Times New Roman" w:cs="Times New Roman"/>
        </w:rPr>
        <w:t>pp. 51 y 52.</w:t>
      </w:r>
    </w:p>
  </w:footnote>
  <w:footnote w:id="19">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Según expresa el Voto Particular del Magistrado Excmo. Sr Orduña a la STS 14 diciembre 2017</w:t>
      </w:r>
      <w:r w:rsidR="005D5ED4" w:rsidRPr="00134665">
        <w:rPr>
          <w:rFonts w:ascii="Times New Roman" w:hAnsi="Times New Roman" w:cs="Times New Roman"/>
        </w:rPr>
        <w:t xml:space="preserve"> (Ar. 2017/5167)</w:t>
      </w:r>
      <w:r w:rsidRPr="00134665">
        <w:rPr>
          <w:rFonts w:ascii="Times New Roman" w:hAnsi="Times New Roman" w:cs="Times New Roman"/>
        </w:rPr>
        <w:t>, en el año 2006 el índice IRPH fue empleado sólo en el 11,47 % de los préstamos a interés variable.</w:t>
      </w:r>
    </w:p>
  </w:footnote>
  <w:footnote w:id="20">
    <w:p w:rsidR="002D72AE" w:rsidRPr="00134665" w:rsidRDefault="002D72AE">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En el mismo sentido, </w:t>
      </w:r>
      <w:r w:rsidRPr="00134665">
        <w:rPr>
          <w:rFonts w:ascii="Times New Roman" w:hAnsi="Times New Roman" w:cs="Times New Roman"/>
          <w:smallCaps/>
        </w:rPr>
        <w:t xml:space="preserve">Sánchez </w:t>
      </w:r>
      <w:proofErr w:type="spellStart"/>
      <w:r w:rsidRPr="00134665">
        <w:rPr>
          <w:rFonts w:ascii="Times New Roman" w:hAnsi="Times New Roman" w:cs="Times New Roman"/>
          <w:smallCaps/>
        </w:rPr>
        <w:t>Lería</w:t>
      </w:r>
      <w:proofErr w:type="spellEnd"/>
      <w:r w:rsidRPr="00134665">
        <w:rPr>
          <w:rFonts w:ascii="Times New Roman" w:hAnsi="Times New Roman" w:cs="Times New Roman"/>
        </w:rPr>
        <w:t>, R., “Sobre el deber de transparencia en el proyecto de ley reguladora de los contratos de crédito inmobiliario”, en Los contratos de crédito inmobiliario. Algunas soluciones legales (</w:t>
      </w:r>
      <w:proofErr w:type="spellStart"/>
      <w:r w:rsidRPr="00134665">
        <w:rPr>
          <w:rFonts w:ascii="Times New Roman" w:hAnsi="Times New Roman" w:cs="Times New Roman"/>
        </w:rPr>
        <w:t>Coords</w:t>
      </w:r>
      <w:proofErr w:type="spellEnd"/>
      <w:r w:rsidRPr="00134665">
        <w:rPr>
          <w:rFonts w:ascii="Times New Roman" w:hAnsi="Times New Roman" w:cs="Times New Roman"/>
        </w:rPr>
        <w:t xml:space="preserve">. R. Sánchez </w:t>
      </w:r>
      <w:proofErr w:type="spellStart"/>
      <w:r w:rsidRPr="00134665">
        <w:rPr>
          <w:rFonts w:ascii="Times New Roman" w:hAnsi="Times New Roman" w:cs="Times New Roman"/>
        </w:rPr>
        <w:t>Lería</w:t>
      </w:r>
      <w:proofErr w:type="spellEnd"/>
      <w:r w:rsidRPr="00134665">
        <w:rPr>
          <w:rFonts w:ascii="Times New Roman" w:hAnsi="Times New Roman" w:cs="Times New Roman"/>
        </w:rPr>
        <w:t xml:space="preserve"> y L. Vázquez-Pastor Jiménez), ed. Reus, Madrid, 2018</w:t>
      </w:r>
      <w:r w:rsidR="00644A5A" w:rsidRPr="00134665">
        <w:rPr>
          <w:rFonts w:ascii="Times New Roman" w:hAnsi="Times New Roman" w:cs="Times New Roman"/>
        </w:rPr>
        <w:t>, p. 98.</w:t>
      </w:r>
    </w:p>
  </w:footnote>
  <w:footnote w:id="21">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00644A5A" w:rsidRPr="00134665">
        <w:rPr>
          <w:rFonts w:ascii="Times New Roman" w:hAnsi="Times New Roman" w:cs="Times New Roman"/>
        </w:rPr>
        <w:t xml:space="preserve"> </w:t>
      </w:r>
      <w:r w:rsidR="00644A5A" w:rsidRPr="00134665">
        <w:rPr>
          <w:rFonts w:ascii="Times New Roman" w:hAnsi="Times New Roman" w:cs="Times New Roman"/>
          <w:smallCaps/>
        </w:rPr>
        <w:t>Álvarez Lata</w:t>
      </w:r>
      <w:r w:rsidRPr="00134665">
        <w:rPr>
          <w:rFonts w:ascii="Times New Roman" w:hAnsi="Times New Roman" w:cs="Times New Roman"/>
        </w:rPr>
        <w:t xml:space="preserve">, N., “Notas a la STJUE de 18 de diciembre 2014 (Asunto C-499/13). Obligaciones derivadas del principio de crédito responsable: primeras interpretaciones del TJUE”, </w:t>
      </w:r>
      <w:r w:rsidRPr="00134665">
        <w:rPr>
          <w:rFonts w:ascii="Times New Roman" w:hAnsi="Times New Roman" w:cs="Times New Roman"/>
          <w:i/>
        </w:rPr>
        <w:t>Centro de Estudios de Consumo Universidad Castilla la Mancha,</w:t>
      </w:r>
      <w:r w:rsidRPr="00134665">
        <w:rPr>
          <w:rFonts w:ascii="Times New Roman" w:hAnsi="Times New Roman" w:cs="Times New Roman"/>
        </w:rPr>
        <w:t xml:space="preserve"> (16 enero 2015), </w:t>
      </w:r>
      <w:hyperlink r:id="rId2" w:history="1">
        <w:r w:rsidRPr="00134665">
          <w:rPr>
            <w:rStyle w:val="Hipervnculo"/>
            <w:rFonts w:ascii="Times New Roman" w:hAnsi="Times New Roman" w:cs="Times New Roman"/>
            <w:color w:val="auto"/>
            <w:u w:val="none"/>
          </w:rPr>
          <w:t>www.uclm.es/centro/cesco</w:t>
        </w:r>
      </w:hyperlink>
      <w:r w:rsidRPr="00134665">
        <w:rPr>
          <w:rFonts w:ascii="Times New Roman" w:hAnsi="Times New Roman" w:cs="Times New Roman"/>
        </w:rPr>
        <w:t>, p. 11, en relación a las “explicaciones adecuadas” exigidas por la directiva 48/2008 sobre créditos de consumo, considera que “puede entenderse como síntoma de la propia plasticidad que debería predicarse de este tipo de obligación, que no debería encorsetarse en formas concretas”.</w:t>
      </w:r>
    </w:p>
  </w:footnote>
  <w:footnote w:id="22">
    <w:p w:rsidR="009F32ED" w:rsidRPr="00134665" w:rsidRDefault="009F32ED">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Como señala </w:t>
      </w:r>
      <w:r w:rsidRPr="00134665">
        <w:rPr>
          <w:rFonts w:ascii="Times New Roman" w:hAnsi="Times New Roman" w:cs="Times New Roman"/>
          <w:smallCaps/>
        </w:rPr>
        <w:t xml:space="preserve">Villanueva </w:t>
      </w:r>
      <w:proofErr w:type="spellStart"/>
      <w:r w:rsidRPr="00134665">
        <w:rPr>
          <w:rFonts w:ascii="Times New Roman" w:hAnsi="Times New Roman" w:cs="Times New Roman"/>
          <w:smallCaps/>
        </w:rPr>
        <w:t>Lupión</w:t>
      </w:r>
      <w:proofErr w:type="spellEnd"/>
      <w:r w:rsidRPr="00134665">
        <w:rPr>
          <w:rFonts w:ascii="Times New Roman" w:hAnsi="Times New Roman" w:cs="Times New Roman"/>
        </w:rPr>
        <w:t xml:space="preserve">, C., “La asistencia adecuada y los servicios de asesoramiento en la concesión de créditos inmobiliarios”, en </w:t>
      </w:r>
      <w:r w:rsidRPr="00134665">
        <w:rPr>
          <w:rFonts w:ascii="Times New Roman" w:hAnsi="Times New Roman" w:cs="Times New Roman"/>
          <w:i/>
        </w:rPr>
        <w:t xml:space="preserve">Los contratos de crédito inmobiliario. Novedades legislativas y problemas prácticos </w:t>
      </w:r>
      <w:r w:rsidRPr="00134665">
        <w:rPr>
          <w:rFonts w:ascii="Times New Roman" w:hAnsi="Times New Roman" w:cs="Times New Roman"/>
        </w:rPr>
        <w:t>(</w:t>
      </w:r>
      <w:proofErr w:type="spellStart"/>
      <w:r w:rsidRPr="00134665">
        <w:rPr>
          <w:rFonts w:ascii="Times New Roman" w:hAnsi="Times New Roman" w:cs="Times New Roman"/>
        </w:rPr>
        <w:t>Dirs</w:t>
      </w:r>
      <w:proofErr w:type="spellEnd"/>
      <w:r w:rsidRPr="00134665">
        <w:rPr>
          <w:rFonts w:ascii="Times New Roman" w:hAnsi="Times New Roman" w:cs="Times New Roman"/>
        </w:rPr>
        <w:t xml:space="preserve">. K. J., </w:t>
      </w:r>
      <w:proofErr w:type="spellStart"/>
      <w:r w:rsidRPr="00134665">
        <w:rPr>
          <w:rFonts w:ascii="Times New Roman" w:hAnsi="Times New Roman" w:cs="Times New Roman"/>
        </w:rPr>
        <w:t>Albiez</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Dohrmann</w:t>
      </w:r>
      <w:proofErr w:type="spellEnd"/>
      <w:r w:rsidRPr="00134665">
        <w:rPr>
          <w:rFonts w:ascii="Times New Roman" w:hAnsi="Times New Roman" w:cs="Times New Roman"/>
        </w:rPr>
        <w:t xml:space="preserve"> y Mª. L. </w:t>
      </w:r>
      <w:proofErr w:type="spellStart"/>
      <w:r w:rsidRPr="00134665">
        <w:rPr>
          <w:rFonts w:ascii="Times New Roman" w:hAnsi="Times New Roman" w:cs="Times New Roman"/>
        </w:rPr>
        <w:t>Morerno</w:t>
      </w:r>
      <w:proofErr w:type="spellEnd"/>
      <w:r w:rsidRPr="00134665">
        <w:rPr>
          <w:rFonts w:ascii="Times New Roman" w:hAnsi="Times New Roman" w:cs="Times New Roman"/>
        </w:rPr>
        <w:t xml:space="preserve"> Torres), ed. Thomson Reuters-Aranzadi, Navarra, 2017, pp. 672, la obligación de asistencia para cumplir su función propia de suplir las carencias del formato de una información precontractual estandarizada deber s</w:t>
      </w:r>
      <w:r w:rsidR="00134665">
        <w:rPr>
          <w:rFonts w:ascii="Times New Roman" w:hAnsi="Times New Roman" w:cs="Times New Roman"/>
        </w:rPr>
        <w:t>e</w:t>
      </w:r>
      <w:r w:rsidRPr="00134665">
        <w:rPr>
          <w:rFonts w:ascii="Times New Roman" w:hAnsi="Times New Roman" w:cs="Times New Roman"/>
        </w:rPr>
        <w:t>r flexible a las exigencias del consumidor y hacerse conforme a las condiciones de la persona a quien se ofrece y la naturaleza del crédito ofrecido.</w:t>
      </w:r>
    </w:p>
  </w:footnote>
  <w:footnote w:id="23">
    <w:p w:rsidR="00434BF0" w:rsidRPr="00134665" w:rsidRDefault="00434BF0">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Incluido en el trámite de enmiendas al Pro</w:t>
      </w:r>
      <w:r w:rsidR="008908AD" w:rsidRPr="00134665">
        <w:rPr>
          <w:rFonts w:ascii="Times New Roman" w:hAnsi="Times New Roman" w:cs="Times New Roman"/>
        </w:rPr>
        <w:t>yecto de Ley en el Congreso (BOCG, 11 diciembre 2018, Serie A, Proyectos de Ley, Nº 12/4</w:t>
      </w:r>
      <w:r w:rsidRPr="00134665">
        <w:rPr>
          <w:rFonts w:ascii="Times New Roman" w:hAnsi="Times New Roman" w:cs="Times New Roman"/>
        </w:rPr>
        <w:t>)</w:t>
      </w:r>
    </w:p>
  </w:footnote>
  <w:footnote w:id="24">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005D5ED4" w:rsidRPr="00134665">
        <w:rPr>
          <w:rFonts w:ascii="Times New Roman" w:hAnsi="Times New Roman" w:cs="Times New Roman"/>
        </w:rPr>
        <w:t xml:space="preserve"> STS 12 enero 2015 (Ar 2015/608</w:t>
      </w:r>
      <w:r w:rsidR="008908AD" w:rsidRPr="00134665">
        <w:rPr>
          <w:rFonts w:ascii="Times New Roman" w:hAnsi="Times New Roman" w:cs="Times New Roman"/>
        </w:rPr>
        <w:t>).</w:t>
      </w:r>
    </w:p>
  </w:footnote>
  <w:footnote w:id="25">
    <w:p w:rsidR="00434BF0" w:rsidRPr="00134665" w:rsidRDefault="00434BF0">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Según explica </w:t>
      </w:r>
      <w:proofErr w:type="spellStart"/>
      <w:r w:rsidRPr="00134665">
        <w:rPr>
          <w:rFonts w:ascii="Times New Roman" w:hAnsi="Times New Roman" w:cs="Times New Roman"/>
          <w:smallCaps/>
        </w:rPr>
        <w:t>Legrand</w:t>
      </w:r>
      <w:proofErr w:type="spellEnd"/>
      <w:r w:rsidRPr="00134665">
        <w:rPr>
          <w:rFonts w:ascii="Times New Roman" w:hAnsi="Times New Roman" w:cs="Times New Roman"/>
          <w:smallCaps/>
        </w:rPr>
        <w:t>,</w:t>
      </w:r>
      <w:r w:rsidRPr="00134665">
        <w:rPr>
          <w:rFonts w:ascii="Times New Roman" w:hAnsi="Times New Roman" w:cs="Times New Roman"/>
        </w:rPr>
        <w:t xml:space="preserve"> V., “La normativa francesa” en</w:t>
      </w:r>
      <w:r w:rsidR="00E2621D" w:rsidRPr="00134665">
        <w:rPr>
          <w:rFonts w:ascii="Times New Roman" w:hAnsi="Times New Roman" w:cs="Times New Roman"/>
          <w:i/>
        </w:rPr>
        <w:t xml:space="preserve"> Los contratos de crédito inmobiliario. Novedades legislativas y problemas prácticos </w:t>
      </w:r>
      <w:r w:rsidR="00E2621D" w:rsidRPr="00134665">
        <w:rPr>
          <w:rFonts w:ascii="Times New Roman" w:hAnsi="Times New Roman" w:cs="Times New Roman"/>
        </w:rPr>
        <w:t>(</w:t>
      </w:r>
      <w:proofErr w:type="spellStart"/>
      <w:r w:rsidR="00E2621D" w:rsidRPr="00134665">
        <w:rPr>
          <w:rFonts w:ascii="Times New Roman" w:hAnsi="Times New Roman" w:cs="Times New Roman"/>
        </w:rPr>
        <w:t>Dirs</w:t>
      </w:r>
      <w:proofErr w:type="spellEnd"/>
      <w:r w:rsidR="00E2621D" w:rsidRPr="00134665">
        <w:rPr>
          <w:rFonts w:ascii="Times New Roman" w:hAnsi="Times New Roman" w:cs="Times New Roman"/>
        </w:rPr>
        <w:t xml:space="preserve">. K. J., </w:t>
      </w:r>
      <w:proofErr w:type="spellStart"/>
      <w:r w:rsidR="00E2621D" w:rsidRPr="00134665">
        <w:rPr>
          <w:rFonts w:ascii="Times New Roman" w:hAnsi="Times New Roman" w:cs="Times New Roman"/>
        </w:rPr>
        <w:t>Albiez</w:t>
      </w:r>
      <w:proofErr w:type="spellEnd"/>
      <w:r w:rsidR="00E2621D" w:rsidRPr="00134665">
        <w:rPr>
          <w:rFonts w:ascii="Times New Roman" w:hAnsi="Times New Roman" w:cs="Times New Roman"/>
        </w:rPr>
        <w:t xml:space="preserve"> </w:t>
      </w:r>
      <w:proofErr w:type="spellStart"/>
      <w:r w:rsidR="00E2621D" w:rsidRPr="00134665">
        <w:rPr>
          <w:rFonts w:ascii="Times New Roman" w:hAnsi="Times New Roman" w:cs="Times New Roman"/>
        </w:rPr>
        <w:t>Dohrmann</w:t>
      </w:r>
      <w:proofErr w:type="spellEnd"/>
      <w:r w:rsidR="00E2621D" w:rsidRPr="00134665">
        <w:rPr>
          <w:rFonts w:ascii="Times New Roman" w:hAnsi="Times New Roman" w:cs="Times New Roman"/>
        </w:rPr>
        <w:t xml:space="preserve"> y Mª. L. </w:t>
      </w:r>
      <w:proofErr w:type="spellStart"/>
      <w:r w:rsidR="00E2621D" w:rsidRPr="00134665">
        <w:rPr>
          <w:rFonts w:ascii="Times New Roman" w:hAnsi="Times New Roman" w:cs="Times New Roman"/>
        </w:rPr>
        <w:t>Morerno</w:t>
      </w:r>
      <w:proofErr w:type="spellEnd"/>
      <w:r w:rsidR="00E2621D" w:rsidRPr="00134665">
        <w:rPr>
          <w:rFonts w:ascii="Times New Roman" w:hAnsi="Times New Roman" w:cs="Times New Roman"/>
        </w:rPr>
        <w:t xml:space="preserve"> Torres), ed. Thomson Reuters-Aranzadi, Navarra, 2017</w:t>
      </w:r>
      <w:r w:rsidRPr="00134665">
        <w:rPr>
          <w:rFonts w:ascii="Times New Roman" w:hAnsi="Times New Roman" w:cs="Times New Roman"/>
        </w:rPr>
        <w:t>, pp. 255, en el Código de consumo francés L.313-12, el acreedor que conceda un crédito sin proporcionar explicaciones adecuadas al consumidor o sin advertirle puede ser despojado del derecho a los intereses en el límite del 30 % y de los intereses en una cantidad de 30.000 €.</w:t>
      </w:r>
    </w:p>
  </w:footnote>
  <w:footnote w:id="26">
    <w:p w:rsidR="00467D15" w:rsidRPr="00134665" w:rsidRDefault="00467D15" w:rsidP="00FB7CAD">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En sentido similar, </w:t>
      </w:r>
      <w:r w:rsidRPr="00134665">
        <w:rPr>
          <w:rFonts w:ascii="Times New Roman" w:hAnsi="Times New Roman" w:cs="Times New Roman"/>
          <w:smallCaps/>
        </w:rPr>
        <w:t>Martínez Escribano</w:t>
      </w:r>
      <w:r w:rsidRPr="00134665">
        <w:rPr>
          <w:rFonts w:ascii="Times New Roman" w:hAnsi="Times New Roman" w:cs="Times New Roman"/>
        </w:rPr>
        <w:t xml:space="preserve">, C., “Préstamos inmobiliarios en moneda extranjera: de la Jurisprudencia al proyecto de Ley de los contratos de crédito inmobiliario” en </w:t>
      </w:r>
      <w:r w:rsidRPr="00134665">
        <w:rPr>
          <w:rFonts w:ascii="Times New Roman" w:hAnsi="Times New Roman" w:cs="Times New Roman"/>
          <w:i/>
        </w:rPr>
        <w:t>Los contratos de crédito inmobiliario. Algunas soluciones legales</w:t>
      </w:r>
      <w:r w:rsidRPr="00134665">
        <w:rPr>
          <w:rFonts w:ascii="Times New Roman" w:hAnsi="Times New Roman" w:cs="Times New Roman"/>
        </w:rPr>
        <w:t xml:space="preserve">, Ed. Reus, Madrid, 2018, p. 139, para quien la mera indicación en la </w:t>
      </w:r>
      <w:proofErr w:type="spellStart"/>
      <w:r w:rsidRPr="00134665">
        <w:rPr>
          <w:rFonts w:ascii="Times New Roman" w:hAnsi="Times New Roman" w:cs="Times New Roman"/>
        </w:rPr>
        <w:t>FiAE</w:t>
      </w:r>
      <w:proofErr w:type="spellEnd"/>
      <w:r w:rsidRPr="00134665">
        <w:rPr>
          <w:rFonts w:ascii="Times New Roman" w:hAnsi="Times New Roman" w:cs="Times New Roman"/>
        </w:rPr>
        <w:t xml:space="preserve"> de que se trata de un préstamo en moneda extranjera no será suficiente para cumplir con el deber de transparencia, pues no se acomoda a los pronunciamientos del TJUE sobre esta cuest</w:t>
      </w:r>
      <w:r w:rsidR="00FB7CAD" w:rsidRPr="00134665">
        <w:rPr>
          <w:rFonts w:ascii="Times New Roman" w:hAnsi="Times New Roman" w:cs="Times New Roman"/>
        </w:rPr>
        <w:t>i</w:t>
      </w:r>
      <w:r w:rsidRPr="00134665">
        <w:rPr>
          <w:rFonts w:ascii="Times New Roman" w:hAnsi="Times New Roman" w:cs="Times New Roman"/>
        </w:rPr>
        <w:t>ón.</w:t>
      </w:r>
    </w:p>
  </w:footnote>
  <w:footnote w:id="27">
    <w:p w:rsidR="00FB7CAD" w:rsidRPr="00134665" w:rsidRDefault="00FB7CAD">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Como señala el presidente de la Asociación Hipotecaria Española, </w:t>
      </w:r>
      <w:r w:rsidRPr="00134665">
        <w:rPr>
          <w:rFonts w:ascii="Times New Roman" w:hAnsi="Times New Roman" w:cs="Times New Roman"/>
          <w:smallCaps/>
        </w:rPr>
        <w:t>González Sánchez</w:t>
      </w:r>
      <w:r w:rsidRPr="00134665">
        <w:rPr>
          <w:rFonts w:ascii="Times New Roman" w:hAnsi="Times New Roman" w:cs="Times New Roman"/>
        </w:rPr>
        <w:t xml:space="preserve">, S. “Mercado de crédito Inmobiliario” </w:t>
      </w:r>
      <w:r w:rsidRPr="00134665">
        <w:rPr>
          <w:rFonts w:ascii="Times New Roman" w:hAnsi="Times New Roman" w:cs="Times New Roman"/>
          <w:i/>
        </w:rPr>
        <w:t xml:space="preserve">Los contratos de crédito inmobiliario. Novedades legislativas y problemas prácticos </w:t>
      </w:r>
      <w:r w:rsidRPr="00134665">
        <w:rPr>
          <w:rFonts w:ascii="Times New Roman" w:hAnsi="Times New Roman" w:cs="Times New Roman"/>
        </w:rPr>
        <w:t>(</w:t>
      </w:r>
      <w:proofErr w:type="spellStart"/>
      <w:r w:rsidRPr="00134665">
        <w:rPr>
          <w:rFonts w:ascii="Times New Roman" w:hAnsi="Times New Roman" w:cs="Times New Roman"/>
        </w:rPr>
        <w:t>Dirs</w:t>
      </w:r>
      <w:proofErr w:type="spellEnd"/>
      <w:r w:rsidRPr="00134665">
        <w:rPr>
          <w:rFonts w:ascii="Times New Roman" w:hAnsi="Times New Roman" w:cs="Times New Roman"/>
        </w:rPr>
        <w:t xml:space="preserve">. K. J., </w:t>
      </w:r>
      <w:proofErr w:type="spellStart"/>
      <w:r w:rsidRPr="00134665">
        <w:rPr>
          <w:rFonts w:ascii="Times New Roman" w:hAnsi="Times New Roman" w:cs="Times New Roman"/>
        </w:rPr>
        <w:t>Albiez</w:t>
      </w:r>
      <w:proofErr w:type="spellEnd"/>
      <w:r w:rsidRPr="00134665">
        <w:rPr>
          <w:rFonts w:ascii="Times New Roman" w:hAnsi="Times New Roman" w:cs="Times New Roman"/>
        </w:rPr>
        <w:t xml:space="preserve"> </w:t>
      </w:r>
      <w:proofErr w:type="spellStart"/>
      <w:r w:rsidRPr="00134665">
        <w:rPr>
          <w:rFonts w:ascii="Times New Roman" w:hAnsi="Times New Roman" w:cs="Times New Roman"/>
        </w:rPr>
        <w:t>Dohrmann</w:t>
      </w:r>
      <w:proofErr w:type="spellEnd"/>
      <w:r w:rsidRPr="00134665">
        <w:rPr>
          <w:rFonts w:ascii="Times New Roman" w:hAnsi="Times New Roman" w:cs="Times New Roman"/>
        </w:rPr>
        <w:t xml:space="preserve"> y Mª. L. </w:t>
      </w:r>
      <w:proofErr w:type="spellStart"/>
      <w:r w:rsidRPr="00134665">
        <w:rPr>
          <w:rFonts w:ascii="Times New Roman" w:hAnsi="Times New Roman" w:cs="Times New Roman"/>
        </w:rPr>
        <w:t>Morerno</w:t>
      </w:r>
      <w:proofErr w:type="spellEnd"/>
      <w:r w:rsidRPr="00134665">
        <w:rPr>
          <w:rFonts w:ascii="Times New Roman" w:hAnsi="Times New Roman" w:cs="Times New Roman"/>
        </w:rPr>
        <w:t xml:space="preserve"> Torres), ed. Thomson Reuters-Aranzadi, Navarra, 2017, pp. 65 y 66, ciertas opciones de crédito, como los créditos con amplios periodos de carencia, o con cuotas de amortización especial o </w:t>
      </w:r>
      <w:proofErr w:type="spellStart"/>
      <w:r w:rsidRPr="00134665">
        <w:rPr>
          <w:rFonts w:ascii="Times New Roman" w:hAnsi="Times New Roman" w:cs="Times New Roman"/>
          <w:i/>
        </w:rPr>
        <w:t>bullets</w:t>
      </w:r>
      <w:proofErr w:type="spellEnd"/>
      <w:r w:rsidRPr="00134665">
        <w:rPr>
          <w:rFonts w:ascii="Times New Roman" w:hAnsi="Times New Roman" w:cs="Times New Roman"/>
        </w:rPr>
        <w:t xml:space="preserve"> a su vencimiento, créditos en monedas distintas a los flujos de ingresos o con sistema de amortización no habituales, distintos del francés, no son válidas para la mayoría de los consumidores, ya que se corresponden con características más complejas que deben ser analizadas con sensibilidades más expertas y añade que aunque puedan ser una buena opción “pueden implicar cambios en la evolución del préstamo, que es necesario analizar y entender para asumir la opción de riesgo futuro”.</w:t>
      </w:r>
    </w:p>
  </w:footnote>
  <w:footnote w:id="28">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Recuérdese que los llamados derivados implícitos no son servicios accesorios</w:t>
      </w:r>
      <w:r w:rsidR="008908AD" w:rsidRPr="00134665">
        <w:rPr>
          <w:rFonts w:ascii="Times New Roman" w:hAnsi="Times New Roman" w:cs="Times New Roman"/>
        </w:rPr>
        <w:t xml:space="preserve"> del préstamo</w:t>
      </w:r>
      <w:r w:rsidRPr="00134665">
        <w:rPr>
          <w:rFonts w:ascii="Times New Roman" w:hAnsi="Times New Roman" w:cs="Times New Roman"/>
        </w:rPr>
        <w:t xml:space="preserve"> sino parte del contrato de préstamo y, por tanto, el coste sobre su cancelación escapa a las exigencias informativas que respecto a las consecuencias de la cancelación de los servicios accesorios s</w:t>
      </w:r>
      <w:r w:rsidR="008908AD" w:rsidRPr="00134665">
        <w:rPr>
          <w:rFonts w:ascii="Times New Roman" w:hAnsi="Times New Roman" w:cs="Times New Roman"/>
        </w:rPr>
        <w:t>e prevén en la FEIN (Sección 8ª</w:t>
      </w:r>
      <w:r w:rsidRPr="00134665">
        <w:rPr>
          <w:rFonts w:ascii="Times New Roman" w:hAnsi="Times New Roman" w:cs="Times New Roman"/>
        </w:rPr>
        <w:t>) y en el art. 17.7.d) LCCI.</w:t>
      </w:r>
    </w:p>
  </w:footnote>
  <w:footnote w:id="29">
    <w:p w:rsidR="00434BF0" w:rsidRPr="00134665" w:rsidRDefault="00434BF0" w:rsidP="004205E3">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En la Jurisprudencia de las AAPP, el tratamiento de las hipotecas tranquilidad es muy di</w:t>
      </w:r>
      <w:r w:rsidR="00472DE7" w:rsidRPr="00134665">
        <w:rPr>
          <w:rFonts w:ascii="Times New Roman" w:hAnsi="Times New Roman" w:cs="Times New Roman"/>
        </w:rPr>
        <w:t>spar. Han declarado nula por falta de transparencia las cláusulas que inciden en su estructura de amortización, por ejemplo, las SAP Madrid (Sec. 25ª) 14 junio 2018 (Ar. 2018/191489) y SAP Alicante (Sec. 8ª) 15 junio 2018 (Ar. 2018/1323).</w:t>
      </w:r>
    </w:p>
  </w:footnote>
  <w:footnote w:id="30">
    <w:p w:rsidR="00ED0EE7" w:rsidRPr="00134665" w:rsidRDefault="00ED0EE7">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proofErr w:type="spellStart"/>
      <w:r w:rsidRPr="00134665">
        <w:rPr>
          <w:rFonts w:ascii="Times New Roman" w:hAnsi="Times New Roman" w:cs="Times New Roman"/>
          <w:smallCaps/>
        </w:rPr>
        <w:t>Cabanas</w:t>
      </w:r>
      <w:proofErr w:type="spellEnd"/>
      <w:r w:rsidRPr="00134665">
        <w:rPr>
          <w:rFonts w:ascii="Times New Roman" w:hAnsi="Times New Roman" w:cs="Times New Roman"/>
          <w:smallCaps/>
        </w:rPr>
        <w:t xml:space="preserve"> Trejo</w:t>
      </w:r>
      <w:r w:rsidRPr="00134665">
        <w:rPr>
          <w:rFonts w:ascii="Times New Roman" w:hAnsi="Times New Roman" w:cs="Times New Roman"/>
        </w:rPr>
        <w:t xml:space="preserve">, R., “Anotaciones de un notario perplejo al Anteproyecto de Le Reguladora de los Contratos de Crédito Inmobiliario”, </w:t>
      </w:r>
      <w:r w:rsidRPr="00134665">
        <w:rPr>
          <w:rFonts w:ascii="Times New Roman" w:hAnsi="Times New Roman" w:cs="Times New Roman"/>
          <w:i/>
        </w:rPr>
        <w:t>Diario la Ley</w:t>
      </w:r>
      <w:r w:rsidRPr="00134665">
        <w:rPr>
          <w:rFonts w:ascii="Times New Roman" w:hAnsi="Times New Roman" w:cs="Times New Roman"/>
        </w:rPr>
        <w:t>, Nº 9047, 2017, p. 7.</w:t>
      </w:r>
    </w:p>
  </w:footnote>
  <w:footnote w:id="31">
    <w:p w:rsidR="009A6AF3" w:rsidRPr="00134665" w:rsidRDefault="009A6AF3">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BOCG 17 noviembre 2017 (Serie A, Proyectos de Ley, Núm. 12-1)</w:t>
      </w:r>
    </w:p>
  </w:footnote>
  <w:footnote w:id="32">
    <w:p w:rsidR="00644A5A" w:rsidRPr="00134665" w:rsidRDefault="00644A5A" w:rsidP="00EC62C7">
      <w:pPr>
        <w:pStyle w:val="Textonotapie"/>
        <w:jc w:val="both"/>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Pr="00134665">
        <w:rPr>
          <w:rFonts w:ascii="Times New Roman" w:hAnsi="Times New Roman" w:cs="Times New Roman"/>
          <w:smallCaps/>
        </w:rPr>
        <w:t>Marín</w:t>
      </w:r>
      <w:r w:rsidRPr="00134665">
        <w:rPr>
          <w:rFonts w:ascii="Times New Roman" w:hAnsi="Times New Roman" w:cs="Times New Roman"/>
        </w:rPr>
        <w:t xml:space="preserve"> López, M. J., “Una lectura de la normativa en materia de crédito inmobiliario desde la perspectiva de los prestatarios”, </w:t>
      </w:r>
      <w:proofErr w:type="spellStart"/>
      <w:r w:rsidR="00EC62C7" w:rsidRPr="00134665">
        <w:rPr>
          <w:rFonts w:ascii="Times New Roman" w:hAnsi="Times New Roman" w:cs="Times New Roman"/>
        </w:rPr>
        <w:t>op</w:t>
      </w:r>
      <w:proofErr w:type="spellEnd"/>
      <w:r w:rsidR="00EC62C7" w:rsidRPr="00134665">
        <w:rPr>
          <w:rFonts w:ascii="Times New Roman" w:hAnsi="Times New Roman" w:cs="Times New Roman"/>
        </w:rPr>
        <w:t>. cit.,</w:t>
      </w:r>
      <w:r w:rsidR="00100736" w:rsidRPr="00134665">
        <w:rPr>
          <w:rFonts w:ascii="Times New Roman" w:hAnsi="Times New Roman" w:cs="Times New Roman"/>
        </w:rPr>
        <w:t xml:space="preserve"> p. 167,</w:t>
      </w:r>
      <w:r w:rsidR="00EC62C7" w:rsidRPr="00134665">
        <w:rPr>
          <w:rFonts w:ascii="Times New Roman" w:hAnsi="Times New Roman" w:cs="Times New Roman"/>
        </w:rPr>
        <w:t xml:space="preserve"> en relación al caso concreto de las cláusulas suelo.</w:t>
      </w:r>
    </w:p>
  </w:footnote>
  <w:footnote w:id="33">
    <w:p w:rsidR="00644A5A" w:rsidRPr="00134665" w:rsidRDefault="00644A5A">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proofErr w:type="spellStart"/>
      <w:r w:rsidRPr="00134665">
        <w:rPr>
          <w:rFonts w:ascii="Times New Roman" w:hAnsi="Times New Roman" w:cs="Times New Roman"/>
          <w:smallCaps/>
        </w:rPr>
        <w:t>Pertíñez</w:t>
      </w:r>
      <w:proofErr w:type="spellEnd"/>
      <w:r w:rsidRPr="00134665">
        <w:rPr>
          <w:rFonts w:ascii="Times New Roman" w:hAnsi="Times New Roman" w:cs="Times New Roman"/>
          <w:smallCaps/>
        </w:rPr>
        <w:t xml:space="preserve"> Vílchez, F.,</w:t>
      </w:r>
      <w:r w:rsidR="005F3464" w:rsidRPr="00134665">
        <w:rPr>
          <w:rFonts w:ascii="Times New Roman" w:hAnsi="Times New Roman" w:cs="Times New Roman"/>
        </w:rPr>
        <w:t xml:space="preserve"> </w:t>
      </w:r>
      <w:r w:rsidR="00472DE7" w:rsidRPr="00134665">
        <w:rPr>
          <w:rFonts w:ascii="Times New Roman" w:hAnsi="Times New Roman" w:cs="Times New Roman"/>
        </w:rPr>
        <w:t xml:space="preserve">“Transparencia material y transparencia documental en los contratos de préstamo hipotecario”, en </w:t>
      </w:r>
      <w:r w:rsidR="00472DE7" w:rsidRPr="00134665">
        <w:rPr>
          <w:rFonts w:ascii="Times New Roman" w:hAnsi="Times New Roman" w:cs="Times New Roman"/>
          <w:i/>
        </w:rPr>
        <w:t xml:space="preserve">Los contratos de crédito inmobiliario. Novedades legislativas y problemas prácticos </w:t>
      </w:r>
      <w:r w:rsidR="00472DE7" w:rsidRPr="00134665">
        <w:rPr>
          <w:rFonts w:ascii="Times New Roman" w:hAnsi="Times New Roman" w:cs="Times New Roman"/>
        </w:rPr>
        <w:t>(</w:t>
      </w:r>
      <w:proofErr w:type="spellStart"/>
      <w:r w:rsidR="00472DE7" w:rsidRPr="00134665">
        <w:rPr>
          <w:rFonts w:ascii="Times New Roman" w:hAnsi="Times New Roman" w:cs="Times New Roman"/>
        </w:rPr>
        <w:t>Dirs</w:t>
      </w:r>
      <w:proofErr w:type="spellEnd"/>
      <w:r w:rsidR="00472DE7" w:rsidRPr="00134665">
        <w:rPr>
          <w:rFonts w:ascii="Times New Roman" w:hAnsi="Times New Roman" w:cs="Times New Roman"/>
        </w:rPr>
        <w:t xml:space="preserve">. K. J., </w:t>
      </w:r>
      <w:proofErr w:type="spellStart"/>
      <w:r w:rsidR="00472DE7" w:rsidRPr="00134665">
        <w:rPr>
          <w:rFonts w:ascii="Times New Roman" w:hAnsi="Times New Roman" w:cs="Times New Roman"/>
        </w:rPr>
        <w:t>Albiez</w:t>
      </w:r>
      <w:proofErr w:type="spellEnd"/>
      <w:r w:rsidR="00472DE7" w:rsidRPr="00134665">
        <w:rPr>
          <w:rFonts w:ascii="Times New Roman" w:hAnsi="Times New Roman" w:cs="Times New Roman"/>
        </w:rPr>
        <w:t xml:space="preserve"> </w:t>
      </w:r>
      <w:proofErr w:type="spellStart"/>
      <w:r w:rsidR="00472DE7" w:rsidRPr="00134665">
        <w:rPr>
          <w:rFonts w:ascii="Times New Roman" w:hAnsi="Times New Roman" w:cs="Times New Roman"/>
        </w:rPr>
        <w:t>Dohrmann</w:t>
      </w:r>
      <w:proofErr w:type="spellEnd"/>
      <w:r w:rsidR="00472DE7" w:rsidRPr="00134665">
        <w:rPr>
          <w:rFonts w:ascii="Times New Roman" w:hAnsi="Times New Roman" w:cs="Times New Roman"/>
        </w:rPr>
        <w:t xml:space="preserve"> y Mª. L. </w:t>
      </w:r>
      <w:proofErr w:type="spellStart"/>
      <w:r w:rsidR="00472DE7" w:rsidRPr="00134665">
        <w:rPr>
          <w:rFonts w:ascii="Times New Roman" w:hAnsi="Times New Roman" w:cs="Times New Roman"/>
        </w:rPr>
        <w:t>Morerno</w:t>
      </w:r>
      <w:proofErr w:type="spellEnd"/>
      <w:r w:rsidR="00472DE7" w:rsidRPr="00134665">
        <w:rPr>
          <w:rFonts w:ascii="Times New Roman" w:hAnsi="Times New Roman" w:cs="Times New Roman"/>
        </w:rPr>
        <w:t xml:space="preserve"> Torres), ed. Thomson Reuters-Aranzadi, Navarra, 2017, p. 433;</w:t>
      </w:r>
      <w:r w:rsidR="00472DE7" w:rsidRPr="00134665">
        <w:rPr>
          <w:rFonts w:ascii="Times New Roman" w:hAnsi="Times New Roman" w:cs="Times New Roman"/>
          <w:smallCaps/>
        </w:rPr>
        <w:t xml:space="preserve"> </w:t>
      </w:r>
      <w:r w:rsidRPr="00134665">
        <w:rPr>
          <w:rFonts w:ascii="Times New Roman" w:hAnsi="Times New Roman" w:cs="Times New Roman"/>
          <w:smallCaps/>
        </w:rPr>
        <w:t xml:space="preserve">Sánchez </w:t>
      </w:r>
      <w:proofErr w:type="spellStart"/>
      <w:r w:rsidRPr="00134665">
        <w:rPr>
          <w:rFonts w:ascii="Times New Roman" w:hAnsi="Times New Roman" w:cs="Times New Roman"/>
          <w:smallCaps/>
        </w:rPr>
        <w:t>Lería</w:t>
      </w:r>
      <w:proofErr w:type="spellEnd"/>
      <w:r w:rsidRPr="00134665">
        <w:rPr>
          <w:rFonts w:ascii="Times New Roman" w:hAnsi="Times New Roman" w:cs="Times New Roman"/>
        </w:rPr>
        <w:t xml:space="preserve">, R., “Sobre el deber de transparencia en el proyecto de ley reguladora…”, </w:t>
      </w:r>
      <w:proofErr w:type="spellStart"/>
      <w:r w:rsidRPr="00134665">
        <w:rPr>
          <w:rFonts w:ascii="Times New Roman" w:hAnsi="Times New Roman" w:cs="Times New Roman"/>
        </w:rPr>
        <w:t>op</w:t>
      </w:r>
      <w:proofErr w:type="spellEnd"/>
      <w:r w:rsidRPr="00134665">
        <w:rPr>
          <w:rFonts w:ascii="Times New Roman" w:hAnsi="Times New Roman" w:cs="Times New Roman"/>
        </w:rPr>
        <w:t xml:space="preserve">. cit., p. </w:t>
      </w:r>
      <w:r w:rsidR="005F3464" w:rsidRPr="00134665">
        <w:rPr>
          <w:rFonts w:ascii="Times New Roman" w:hAnsi="Times New Roman" w:cs="Times New Roman"/>
        </w:rPr>
        <w:t xml:space="preserve">25, </w:t>
      </w:r>
      <w:r w:rsidR="005F3464" w:rsidRPr="00134665">
        <w:rPr>
          <w:rFonts w:ascii="Times New Roman" w:hAnsi="Times New Roman" w:cs="Times New Roman"/>
          <w:smallCaps/>
        </w:rPr>
        <w:t xml:space="preserve">Berrocal </w:t>
      </w:r>
      <w:proofErr w:type="spellStart"/>
      <w:r w:rsidR="005F3464" w:rsidRPr="00134665">
        <w:rPr>
          <w:rFonts w:ascii="Times New Roman" w:hAnsi="Times New Roman" w:cs="Times New Roman"/>
          <w:smallCaps/>
        </w:rPr>
        <w:t>Lanzarot</w:t>
      </w:r>
      <w:proofErr w:type="spellEnd"/>
      <w:r w:rsidR="005F3464" w:rsidRPr="00134665">
        <w:rPr>
          <w:rFonts w:ascii="Times New Roman" w:hAnsi="Times New Roman" w:cs="Times New Roman"/>
        </w:rPr>
        <w:t xml:space="preserve">, A. I., “El deber de información y la obligación de evaluar la solvencia en el proyecto de Ley reguladora de los contratos de crédito inmobiliario: consecuencias jurídicas de su incumplimiento” en </w:t>
      </w:r>
      <w:r w:rsidR="005F3464" w:rsidRPr="00134665">
        <w:rPr>
          <w:rFonts w:ascii="Times New Roman" w:hAnsi="Times New Roman" w:cs="Times New Roman"/>
          <w:i/>
        </w:rPr>
        <w:t>Los contratos de crédito inmobiliario. Algunas soluciones legales</w:t>
      </w:r>
      <w:r w:rsidR="005F3464" w:rsidRPr="00134665">
        <w:rPr>
          <w:rFonts w:ascii="Times New Roman" w:hAnsi="Times New Roman" w:cs="Times New Roman"/>
        </w:rPr>
        <w:t>, Ed. Reus, Madrid, 2018, p. 203.</w:t>
      </w:r>
    </w:p>
  </w:footnote>
  <w:footnote w:id="34">
    <w:p w:rsidR="005C6311" w:rsidRPr="00134665" w:rsidRDefault="005C6311" w:rsidP="005C6311">
      <w:pPr>
        <w:pStyle w:val="Textonotapie"/>
        <w:rPr>
          <w:rFonts w:ascii="Times New Roman" w:hAnsi="Times New Roman" w:cs="Times New Roman"/>
        </w:rPr>
      </w:pPr>
      <w:r w:rsidRPr="00134665">
        <w:rPr>
          <w:rStyle w:val="Refdenotaalpie"/>
          <w:rFonts w:ascii="Times New Roman" w:hAnsi="Times New Roman" w:cs="Times New Roman"/>
        </w:rPr>
        <w:footnoteRef/>
      </w:r>
      <w:r w:rsidRPr="00134665">
        <w:rPr>
          <w:rFonts w:ascii="Times New Roman" w:hAnsi="Times New Roman" w:cs="Times New Roman"/>
        </w:rPr>
        <w:t xml:space="preserve"> </w:t>
      </w:r>
      <w:r w:rsidR="00100736" w:rsidRPr="00134665">
        <w:rPr>
          <w:rFonts w:ascii="Times New Roman" w:hAnsi="Times New Roman" w:cs="Times New Roman"/>
        </w:rPr>
        <w:t>El art. 6 del Anteproyecto de 2016 de la LCCI atribuía al acta un valor presuntivo del cumplimiento del principio de transparencia material.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C0"/>
    <w:rsid w:val="00000746"/>
    <w:rsid w:val="000017E0"/>
    <w:rsid w:val="00001E8F"/>
    <w:rsid w:val="000025BC"/>
    <w:rsid w:val="00003749"/>
    <w:rsid w:val="00003EFC"/>
    <w:rsid w:val="000046BA"/>
    <w:rsid w:val="00004F21"/>
    <w:rsid w:val="000054D1"/>
    <w:rsid w:val="00005DD6"/>
    <w:rsid w:val="00005E5E"/>
    <w:rsid w:val="00005F29"/>
    <w:rsid w:val="00007192"/>
    <w:rsid w:val="00007447"/>
    <w:rsid w:val="00007691"/>
    <w:rsid w:val="00007781"/>
    <w:rsid w:val="000119CB"/>
    <w:rsid w:val="0001297B"/>
    <w:rsid w:val="00012A08"/>
    <w:rsid w:val="00012BED"/>
    <w:rsid w:val="0001392F"/>
    <w:rsid w:val="00015057"/>
    <w:rsid w:val="00015F3F"/>
    <w:rsid w:val="00017539"/>
    <w:rsid w:val="000201AD"/>
    <w:rsid w:val="00020D3B"/>
    <w:rsid w:val="00021041"/>
    <w:rsid w:val="00021799"/>
    <w:rsid w:val="000239E0"/>
    <w:rsid w:val="00024A79"/>
    <w:rsid w:val="0002617F"/>
    <w:rsid w:val="00026312"/>
    <w:rsid w:val="00026D74"/>
    <w:rsid w:val="0002722F"/>
    <w:rsid w:val="00027A22"/>
    <w:rsid w:val="0003176B"/>
    <w:rsid w:val="00031BC5"/>
    <w:rsid w:val="0003300E"/>
    <w:rsid w:val="000333A3"/>
    <w:rsid w:val="000335DF"/>
    <w:rsid w:val="000339DC"/>
    <w:rsid w:val="000340D5"/>
    <w:rsid w:val="00034159"/>
    <w:rsid w:val="000350BF"/>
    <w:rsid w:val="0003595D"/>
    <w:rsid w:val="000373B9"/>
    <w:rsid w:val="0003752C"/>
    <w:rsid w:val="00037611"/>
    <w:rsid w:val="000379AD"/>
    <w:rsid w:val="00037E44"/>
    <w:rsid w:val="000400E8"/>
    <w:rsid w:val="00041244"/>
    <w:rsid w:val="00041A4C"/>
    <w:rsid w:val="00042142"/>
    <w:rsid w:val="00042188"/>
    <w:rsid w:val="00042777"/>
    <w:rsid w:val="0004283E"/>
    <w:rsid w:val="00043CE2"/>
    <w:rsid w:val="000453DC"/>
    <w:rsid w:val="00045D2F"/>
    <w:rsid w:val="00046058"/>
    <w:rsid w:val="00046FC1"/>
    <w:rsid w:val="00047DF2"/>
    <w:rsid w:val="000509BE"/>
    <w:rsid w:val="000528AF"/>
    <w:rsid w:val="00052BAA"/>
    <w:rsid w:val="00053B53"/>
    <w:rsid w:val="000545AF"/>
    <w:rsid w:val="00054AB8"/>
    <w:rsid w:val="00054CFF"/>
    <w:rsid w:val="00054E00"/>
    <w:rsid w:val="000556AE"/>
    <w:rsid w:val="00055AB8"/>
    <w:rsid w:val="00057A81"/>
    <w:rsid w:val="00057EE2"/>
    <w:rsid w:val="00060739"/>
    <w:rsid w:val="000637CE"/>
    <w:rsid w:val="00063DFB"/>
    <w:rsid w:val="00064B14"/>
    <w:rsid w:val="0006667C"/>
    <w:rsid w:val="00066A07"/>
    <w:rsid w:val="00070674"/>
    <w:rsid w:val="000707E6"/>
    <w:rsid w:val="000724F3"/>
    <w:rsid w:val="00073199"/>
    <w:rsid w:val="00073365"/>
    <w:rsid w:val="00073D87"/>
    <w:rsid w:val="0007470E"/>
    <w:rsid w:val="00074F5A"/>
    <w:rsid w:val="000750B3"/>
    <w:rsid w:val="0007678B"/>
    <w:rsid w:val="00076941"/>
    <w:rsid w:val="000778A8"/>
    <w:rsid w:val="0007791E"/>
    <w:rsid w:val="00080775"/>
    <w:rsid w:val="000810C4"/>
    <w:rsid w:val="00081308"/>
    <w:rsid w:val="000813B2"/>
    <w:rsid w:val="000817E9"/>
    <w:rsid w:val="000824A6"/>
    <w:rsid w:val="00083302"/>
    <w:rsid w:val="00083499"/>
    <w:rsid w:val="00084332"/>
    <w:rsid w:val="00084BC6"/>
    <w:rsid w:val="00085F9C"/>
    <w:rsid w:val="00086E69"/>
    <w:rsid w:val="00091AA8"/>
    <w:rsid w:val="000924F6"/>
    <w:rsid w:val="0009430E"/>
    <w:rsid w:val="0009476B"/>
    <w:rsid w:val="00095601"/>
    <w:rsid w:val="00095E55"/>
    <w:rsid w:val="00096E8E"/>
    <w:rsid w:val="0009764B"/>
    <w:rsid w:val="000A055C"/>
    <w:rsid w:val="000A0619"/>
    <w:rsid w:val="000A1A2C"/>
    <w:rsid w:val="000A26FF"/>
    <w:rsid w:val="000A312E"/>
    <w:rsid w:val="000A3470"/>
    <w:rsid w:val="000A394E"/>
    <w:rsid w:val="000A3CD0"/>
    <w:rsid w:val="000A4C8A"/>
    <w:rsid w:val="000A4FA6"/>
    <w:rsid w:val="000A500B"/>
    <w:rsid w:val="000A5222"/>
    <w:rsid w:val="000A5545"/>
    <w:rsid w:val="000A56D1"/>
    <w:rsid w:val="000A6389"/>
    <w:rsid w:val="000A7C3C"/>
    <w:rsid w:val="000A7F99"/>
    <w:rsid w:val="000B0C78"/>
    <w:rsid w:val="000B0E1B"/>
    <w:rsid w:val="000B148A"/>
    <w:rsid w:val="000B249B"/>
    <w:rsid w:val="000B2EF7"/>
    <w:rsid w:val="000B446F"/>
    <w:rsid w:val="000B4BA9"/>
    <w:rsid w:val="000B5613"/>
    <w:rsid w:val="000B5BD5"/>
    <w:rsid w:val="000B5F36"/>
    <w:rsid w:val="000B6FC1"/>
    <w:rsid w:val="000C05C9"/>
    <w:rsid w:val="000C1866"/>
    <w:rsid w:val="000C18EE"/>
    <w:rsid w:val="000C2098"/>
    <w:rsid w:val="000C39B9"/>
    <w:rsid w:val="000C3F09"/>
    <w:rsid w:val="000C54C4"/>
    <w:rsid w:val="000C56AE"/>
    <w:rsid w:val="000C56B4"/>
    <w:rsid w:val="000C645D"/>
    <w:rsid w:val="000C64B4"/>
    <w:rsid w:val="000C7985"/>
    <w:rsid w:val="000D0C38"/>
    <w:rsid w:val="000D0C3B"/>
    <w:rsid w:val="000D126C"/>
    <w:rsid w:val="000D2C57"/>
    <w:rsid w:val="000D2C5E"/>
    <w:rsid w:val="000D342B"/>
    <w:rsid w:val="000D3BA1"/>
    <w:rsid w:val="000D3CE1"/>
    <w:rsid w:val="000D50C0"/>
    <w:rsid w:val="000E140D"/>
    <w:rsid w:val="000E1756"/>
    <w:rsid w:val="000E1C34"/>
    <w:rsid w:val="000E3588"/>
    <w:rsid w:val="000E3CF9"/>
    <w:rsid w:val="000E3E03"/>
    <w:rsid w:val="000E3E83"/>
    <w:rsid w:val="000E4060"/>
    <w:rsid w:val="000E446C"/>
    <w:rsid w:val="000E4C29"/>
    <w:rsid w:val="000E5BA3"/>
    <w:rsid w:val="000E5F4E"/>
    <w:rsid w:val="000E64F4"/>
    <w:rsid w:val="000E6732"/>
    <w:rsid w:val="000E6BF5"/>
    <w:rsid w:val="000F0D06"/>
    <w:rsid w:val="000F2C19"/>
    <w:rsid w:val="000F3535"/>
    <w:rsid w:val="000F41F4"/>
    <w:rsid w:val="000F4683"/>
    <w:rsid w:val="000F5D7D"/>
    <w:rsid w:val="000F6498"/>
    <w:rsid w:val="000F6DD4"/>
    <w:rsid w:val="001003E0"/>
    <w:rsid w:val="0010050C"/>
    <w:rsid w:val="00100736"/>
    <w:rsid w:val="00101030"/>
    <w:rsid w:val="001014E6"/>
    <w:rsid w:val="00101784"/>
    <w:rsid w:val="00103236"/>
    <w:rsid w:val="00103ED9"/>
    <w:rsid w:val="0010566E"/>
    <w:rsid w:val="00105B12"/>
    <w:rsid w:val="00105D21"/>
    <w:rsid w:val="001072C0"/>
    <w:rsid w:val="001111FF"/>
    <w:rsid w:val="00112C89"/>
    <w:rsid w:val="00114EA3"/>
    <w:rsid w:val="00115332"/>
    <w:rsid w:val="001155E9"/>
    <w:rsid w:val="00115BEC"/>
    <w:rsid w:val="00117133"/>
    <w:rsid w:val="0012055B"/>
    <w:rsid w:val="00121328"/>
    <w:rsid w:val="00122AB6"/>
    <w:rsid w:val="00123720"/>
    <w:rsid w:val="001237BA"/>
    <w:rsid w:val="00124BD7"/>
    <w:rsid w:val="00125024"/>
    <w:rsid w:val="00125045"/>
    <w:rsid w:val="00126955"/>
    <w:rsid w:val="00126F91"/>
    <w:rsid w:val="0012722E"/>
    <w:rsid w:val="00127FB5"/>
    <w:rsid w:val="001300C2"/>
    <w:rsid w:val="001300E3"/>
    <w:rsid w:val="001301A1"/>
    <w:rsid w:val="00130345"/>
    <w:rsid w:val="00130B40"/>
    <w:rsid w:val="00132BFE"/>
    <w:rsid w:val="00133113"/>
    <w:rsid w:val="00133CA3"/>
    <w:rsid w:val="00133D98"/>
    <w:rsid w:val="00134665"/>
    <w:rsid w:val="00134BD1"/>
    <w:rsid w:val="00135451"/>
    <w:rsid w:val="001354F5"/>
    <w:rsid w:val="00135ACF"/>
    <w:rsid w:val="0013604E"/>
    <w:rsid w:val="0013611D"/>
    <w:rsid w:val="00136D45"/>
    <w:rsid w:val="001375E7"/>
    <w:rsid w:val="00137C43"/>
    <w:rsid w:val="00140E3C"/>
    <w:rsid w:val="00143617"/>
    <w:rsid w:val="00144C46"/>
    <w:rsid w:val="00145AFA"/>
    <w:rsid w:val="001466CF"/>
    <w:rsid w:val="00146BB7"/>
    <w:rsid w:val="00146FC2"/>
    <w:rsid w:val="00151570"/>
    <w:rsid w:val="00151890"/>
    <w:rsid w:val="00151A7B"/>
    <w:rsid w:val="001521D7"/>
    <w:rsid w:val="00152448"/>
    <w:rsid w:val="00152B16"/>
    <w:rsid w:val="00152DA5"/>
    <w:rsid w:val="001553A8"/>
    <w:rsid w:val="00156236"/>
    <w:rsid w:val="00156CA8"/>
    <w:rsid w:val="001602EB"/>
    <w:rsid w:val="00160D7F"/>
    <w:rsid w:val="001610F0"/>
    <w:rsid w:val="00161CFC"/>
    <w:rsid w:val="001638E6"/>
    <w:rsid w:val="001642AC"/>
    <w:rsid w:val="001642F5"/>
    <w:rsid w:val="00165A54"/>
    <w:rsid w:val="00166199"/>
    <w:rsid w:val="001662D3"/>
    <w:rsid w:val="00167A57"/>
    <w:rsid w:val="00167D1B"/>
    <w:rsid w:val="0017041F"/>
    <w:rsid w:val="00170DE8"/>
    <w:rsid w:val="00171F58"/>
    <w:rsid w:val="0017261D"/>
    <w:rsid w:val="0017341D"/>
    <w:rsid w:val="00173791"/>
    <w:rsid w:val="00173B1F"/>
    <w:rsid w:val="00173B94"/>
    <w:rsid w:val="0017437D"/>
    <w:rsid w:val="00174E5A"/>
    <w:rsid w:val="001759BF"/>
    <w:rsid w:val="00175ADE"/>
    <w:rsid w:val="00176131"/>
    <w:rsid w:val="00176707"/>
    <w:rsid w:val="001779EA"/>
    <w:rsid w:val="0018142D"/>
    <w:rsid w:val="0018234D"/>
    <w:rsid w:val="00182EE1"/>
    <w:rsid w:val="00183E28"/>
    <w:rsid w:val="001846F4"/>
    <w:rsid w:val="00184A70"/>
    <w:rsid w:val="001855EB"/>
    <w:rsid w:val="00186B10"/>
    <w:rsid w:val="00187DCE"/>
    <w:rsid w:val="00187F2A"/>
    <w:rsid w:val="00191100"/>
    <w:rsid w:val="001921F0"/>
    <w:rsid w:val="00192C8A"/>
    <w:rsid w:val="00193381"/>
    <w:rsid w:val="00193492"/>
    <w:rsid w:val="00193973"/>
    <w:rsid w:val="001939A2"/>
    <w:rsid w:val="00194D14"/>
    <w:rsid w:val="00195D6C"/>
    <w:rsid w:val="00196D9D"/>
    <w:rsid w:val="001977BD"/>
    <w:rsid w:val="001A03C9"/>
    <w:rsid w:val="001A1822"/>
    <w:rsid w:val="001A1A05"/>
    <w:rsid w:val="001A2ADE"/>
    <w:rsid w:val="001A2BBE"/>
    <w:rsid w:val="001A30D0"/>
    <w:rsid w:val="001A3B1C"/>
    <w:rsid w:val="001A498F"/>
    <w:rsid w:val="001A5BCC"/>
    <w:rsid w:val="001A6235"/>
    <w:rsid w:val="001A6D55"/>
    <w:rsid w:val="001A6E05"/>
    <w:rsid w:val="001A7D59"/>
    <w:rsid w:val="001B00BE"/>
    <w:rsid w:val="001B1488"/>
    <w:rsid w:val="001B2BFD"/>
    <w:rsid w:val="001B33A1"/>
    <w:rsid w:val="001B4597"/>
    <w:rsid w:val="001B4D66"/>
    <w:rsid w:val="001B5DC7"/>
    <w:rsid w:val="001B62D7"/>
    <w:rsid w:val="001B648A"/>
    <w:rsid w:val="001C0897"/>
    <w:rsid w:val="001C1521"/>
    <w:rsid w:val="001C1BE4"/>
    <w:rsid w:val="001C1C12"/>
    <w:rsid w:val="001C3163"/>
    <w:rsid w:val="001C5B69"/>
    <w:rsid w:val="001C62B5"/>
    <w:rsid w:val="001C6C1E"/>
    <w:rsid w:val="001C6D1D"/>
    <w:rsid w:val="001C6DF1"/>
    <w:rsid w:val="001C73F6"/>
    <w:rsid w:val="001C7494"/>
    <w:rsid w:val="001C7DBA"/>
    <w:rsid w:val="001C7E14"/>
    <w:rsid w:val="001D02B3"/>
    <w:rsid w:val="001D0B50"/>
    <w:rsid w:val="001D0EBC"/>
    <w:rsid w:val="001D2789"/>
    <w:rsid w:val="001D3138"/>
    <w:rsid w:val="001D5540"/>
    <w:rsid w:val="001D6DD7"/>
    <w:rsid w:val="001D788B"/>
    <w:rsid w:val="001D7958"/>
    <w:rsid w:val="001D79D4"/>
    <w:rsid w:val="001D7E22"/>
    <w:rsid w:val="001D7F5B"/>
    <w:rsid w:val="001E06EA"/>
    <w:rsid w:val="001E0DE9"/>
    <w:rsid w:val="001E13A6"/>
    <w:rsid w:val="001E14A3"/>
    <w:rsid w:val="001E33EB"/>
    <w:rsid w:val="001E4057"/>
    <w:rsid w:val="001E4737"/>
    <w:rsid w:val="001E498D"/>
    <w:rsid w:val="001E5EC1"/>
    <w:rsid w:val="001E6CD3"/>
    <w:rsid w:val="001E70C8"/>
    <w:rsid w:val="001E764A"/>
    <w:rsid w:val="001E7D29"/>
    <w:rsid w:val="001E7EF4"/>
    <w:rsid w:val="001F009D"/>
    <w:rsid w:val="001F0BD2"/>
    <w:rsid w:val="001F11F0"/>
    <w:rsid w:val="001F248A"/>
    <w:rsid w:val="001F27D9"/>
    <w:rsid w:val="001F2E3E"/>
    <w:rsid w:val="001F3089"/>
    <w:rsid w:val="001F3321"/>
    <w:rsid w:val="001F342B"/>
    <w:rsid w:val="001F58B0"/>
    <w:rsid w:val="001F6F72"/>
    <w:rsid w:val="001F76E9"/>
    <w:rsid w:val="001F7F91"/>
    <w:rsid w:val="0020001E"/>
    <w:rsid w:val="002014B7"/>
    <w:rsid w:val="002031A4"/>
    <w:rsid w:val="0020364F"/>
    <w:rsid w:val="002038AF"/>
    <w:rsid w:val="00205EF8"/>
    <w:rsid w:val="00206611"/>
    <w:rsid w:val="0020703B"/>
    <w:rsid w:val="0020728C"/>
    <w:rsid w:val="00207E43"/>
    <w:rsid w:val="002100C0"/>
    <w:rsid w:val="00211920"/>
    <w:rsid w:val="00213054"/>
    <w:rsid w:val="00213A74"/>
    <w:rsid w:val="00213B88"/>
    <w:rsid w:val="00214956"/>
    <w:rsid w:val="00215219"/>
    <w:rsid w:val="0021555C"/>
    <w:rsid w:val="00215755"/>
    <w:rsid w:val="00215EE2"/>
    <w:rsid w:val="00215F9E"/>
    <w:rsid w:val="00216B4D"/>
    <w:rsid w:val="00217FDA"/>
    <w:rsid w:val="00221845"/>
    <w:rsid w:val="00223019"/>
    <w:rsid w:val="00223D1A"/>
    <w:rsid w:val="00223E2A"/>
    <w:rsid w:val="0022437E"/>
    <w:rsid w:val="002248A6"/>
    <w:rsid w:val="00225768"/>
    <w:rsid w:val="0022684A"/>
    <w:rsid w:val="002276BB"/>
    <w:rsid w:val="00231408"/>
    <w:rsid w:val="0023187A"/>
    <w:rsid w:val="002327F7"/>
    <w:rsid w:val="0023358E"/>
    <w:rsid w:val="002336AB"/>
    <w:rsid w:val="00233BBE"/>
    <w:rsid w:val="00233C12"/>
    <w:rsid w:val="0023492E"/>
    <w:rsid w:val="00234C2A"/>
    <w:rsid w:val="00234F82"/>
    <w:rsid w:val="0023539B"/>
    <w:rsid w:val="002361E6"/>
    <w:rsid w:val="00236520"/>
    <w:rsid w:val="00237376"/>
    <w:rsid w:val="00241E6F"/>
    <w:rsid w:val="00241E81"/>
    <w:rsid w:val="00242175"/>
    <w:rsid w:val="00242F81"/>
    <w:rsid w:val="00243CB0"/>
    <w:rsid w:val="0024487B"/>
    <w:rsid w:val="00244943"/>
    <w:rsid w:val="00245134"/>
    <w:rsid w:val="00245AA5"/>
    <w:rsid w:val="00246875"/>
    <w:rsid w:val="0024693C"/>
    <w:rsid w:val="00246D71"/>
    <w:rsid w:val="0025426F"/>
    <w:rsid w:val="002557FE"/>
    <w:rsid w:val="002558BC"/>
    <w:rsid w:val="00257200"/>
    <w:rsid w:val="002600C4"/>
    <w:rsid w:val="002613FD"/>
    <w:rsid w:val="00261669"/>
    <w:rsid w:val="002622C8"/>
    <w:rsid w:val="00263EEC"/>
    <w:rsid w:val="00263F02"/>
    <w:rsid w:val="002646E1"/>
    <w:rsid w:val="00264F7C"/>
    <w:rsid w:val="002653E0"/>
    <w:rsid w:val="002656EA"/>
    <w:rsid w:val="00266F83"/>
    <w:rsid w:val="002670E9"/>
    <w:rsid w:val="002671CE"/>
    <w:rsid w:val="002671FB"/>
    <w:rsid w:val="002676F2"/>
    <w:rsid w:val="00270F44"/>
    <w:rsid w:val="002723A4"/>
    <w:rsid w:val="0027369A"/>
    <w:rsid w:val="00273B4D"/>
    <w:rsid w:val="00275146"/>
    <w:rsid w:val="002772FA"/>
    <w:rsid w:val="0027768D"/>
    <w:rsid w:val="00277ADF"/>
    <w:rsid w:val="002800E7"/>
    <w:rsid w:val="002811B3"/>
    <w:rsid w:val="00282429"/>
    <w:rsid w:val="00283CD0"/>
    <w:rsid w:val="00283DB2"/>
    <w:rsid w:val="00283F99"/>
    <w:rsid w:val="0028441E"/>
    <w:rsid w:val="0028443C"/>
    <w:rsid w:val="00290E63"/>
    <w:rsid w:val="0029127C"/>
    <w:rsid w:val="00292348"/>
    <w:rsid w:val="002951D3"/>
    <w:rsid w:val="00295A00"/>
    <w:rsid w:val="00296BCE"/>
    <w:rsid w:val="00297BC6"/>
    <w:rsid w:val="002A010C"/>
    <w:rsid w:val="002A1B09"/>
    <w:rsid w:val="002A2B1F"/>
    <w:rsid w:val="002A3247"/>
    <w:rsid w:val="002A3526"/>
    <w:rsid w:val="002A36AE"/>
    <w:rsid w:val="002A4272"/>
    <w:rsid w:val="002A4971"/>
    <w:rsid w:val="002A57DD"/>
    <w:rsid w:val="002A5B24"/>
    <w:rsid w:val="002A66D1"/>
    <w:rsid w:val="002A6B23"/>
    <w:rsid w:val="002A6F61"/>
    <w:rsid w:val="002A7337"/>
    <w:rsid w:val="002A7D93"/>
    <w:rsid w:val="002B1634"/>
    <w:rsid w:val="002B1731"/>
    <w:rsid w:val="002B1B67"/>
    <w:rsid w:val="002B2896"/>
    <w:rsid w:val="002B2F90"/>
    <w:rsid w:val="002B3044"/>
    <w:rsid w:val="002B33A5"/>
    <w:rsid w:val="002B3F00"/>
    <w:rsid w:val="002B545D"/>
    <w:rsid w:val="002B561B"/>
    <w:rsid w:val="002B720F"/>
    <w:rsid w:val="002B78A8"/>
    <w:rsid w:val="002B7D15"/>
    <w:rsid w:val="002C11D8"/>
    <w:rsid w:val="002C12CD"/>
    <w:rsid w:val="002C18F3"/>
    <w:rsid w:val="002C1B81"/>
    <w:rsid w:val="002C2898"/>
    <w:rsid w:val="002C2B34"/>
    <w:rsid w:val="002C2DFD"/>
    <w:rsid w:val="002C3CCE"/>
    <w:rsid w:val="002C3DDD"/>
    <w:rsid w:val="002C52FB"/>
    <w:rsid w:val="002C5436"/>
    <w:rsid w:val="002C6B06"/>
    <w:rsid w:val="002C6EBB"/>
    <w:rsid w:val="002D001F"/>
    <w:rsid w:val="002D07EA"/>
    <w:rsid w:val="002D43CE"/>
    <w:rsid w:val="002D4F0E"/>
    <w:rsid w:val="002D4FDD"/>
    <w:rsid w:val="002D72AE"/>
    <w:rsid w:val="002D7516"/>
    <w:rsid w:val="002D75F5"/>
    <w:rsid w:val="002D7786"/>
    <w:rsid w:val="002E0CFF"/>
    <w:rsid w:val="002E0E9F"/>
    <w:rsid w:val="002E1455"/>
    <w:rsid w:val="002E1613"/>
    <w:rsid w:val="002E3AB6"/>
    <w:rsid w:val="002E3D81"/>
    <w:rsid w:val="002E40C2"/>
    <w:rsid w:val="002E53E7"/>
    <w:rsid w:val="002E540F"/>
    <w:rsid w:val="002E54AF"/>
    <w:rsid w:val="002E554F"/>
    <w:rsid w:val="002E60CB"/>
    <w:rsid w:val="002E6291"/>
    <w:rsid w:val="002E7A4C"/>
    <w:rsid w:val="002F0EAE"/>
    <w:rsid w:val="002F1294"/>
    <w:rsid w:val="002F1958"/>
    <w:rsid w:val="002F255B"/>
    <w:rsid w:val="002F27E6"/>
    <w:rsid w:val="002F2AEB"/>
    <w:rsid w:val="002F2E79"/>
    <w:rsid w:val="002F366C"/>
    <w:rsid w:val="002F4257"/>
    <w:rsid w:val="002F449A"/>
    <w:rsid w:val="002F53DA"/>
    <w:rsid w:val="002F58A7"/>
    <w:rsid w:val="002F5D55"/>
    <w:rsid w:val="00300F1E"/>
    <w:rsid w:val="0030169A"/>
    <w:rsid w:val="0030251B"/>
    <w:rsid w:val="003039D4"/>
    <w:rsid w:val="00304AD4"/>
    <w:rsid w:val="00304B07"/>
    <w:rsid w:val="00304C6F"/>
    <w:rsid w:val="00305767"/>
    <w:rsid w:val="0030668B"/>
    <w:rsid w:val="00306A41"/>
    <w:rsid w:val="00306A96"/>
    <w:rsid w:val="003077E2"/>
    <w:rsid w:val="00311557"/>
    <w:rsid w:val="0031180C"/>
    <w:rsid w:val="00312E15"/>
    <w:rsid w:val="00313866"/>
    <w:rsid w:val="00313983"/>
    <w:rsid w:val="00313B24"/>
    <w:rsid w:val="003143F6"/>
    <w:rsid w:val="00315210"/>
    <w:rsid w:val="00316C89"/>
    <w:rsid w:val="003177BE"/>
    <w:rsid w:val="0031798D"/>
    <w:rsid w:val="00320992"/>
    <w:rsid w:val="00322530"/>
    <w:rsid w:val="00322554"/>
    <w:rsid w:val="00323065"/>
    <w:rsid w:val="0032339E"/>
    <w:rsid w:val="00323EDE"/>
    <w:rsid w:val="00323F3F"/>
    <w:rsid w:val="00325D87"/>
    <w:rsid w:val="003263CB"/>
    <w:rsid w:val="00326489"/>
    <w:rsid w:val="00326603"/>
    <w:rsid w:val="00326C76"/>
    <w:rsid w:val="00326F7E"/>
    <w:rsid w:val="0033049D"/>
    <w:rsid w:val="0033162B"/>
    <w:rsid w:val="00331A31"/>
    <w:rsid w:val="00331E29"/>
    <w:rsid w:val="00332207"/>
    <w:rsid w:val="0033279E"/>
    <w:rsid w:val="00332ABA"/>
    <w:rsid w:val="00334FFE"/>
    <w:rsid w:val="00335A5A"/>
    <w:rsid w:val="00335DBB"/>
    <w:rsid w:val="003360C4"/>
    <w:rsid w:val="00337D80"/>
    <w:rsid w:val="00340EC9"/>
    <w:rsid w:val="0034118D"/>
    <w:rsid w:val="00341647"/>
    <w:rsid w:val="00342A63"/>
    <w:rsid w:val="003430DE"/>
    <w:rsid w:val="003437FB"/>
    <w:rsid w:val="0034385A"/>
    <w:rsid w:val="00343F13"/>
    <w:rsid w:val="00344249"/>
    <w:rsid w:val="00344450"/>
    <w:rsid w:val="00345122"/>
    <w:rsid w:val="003457E0"/>
    <w:rsid w:val="00346399"/>
    <w:rsid w:val="00347695"/>
    <w:rsid w:val="00350633"/>
    <w:rsid w:val="00350927"/>
    <w:rsid w:val="00350F5E"/>
    <w:rsid w:val="003528AB"/>
    <w:rsid w:val="0035313B"/>
    <w:rsid w:val="00353BC3"/>
    <w:rsid w:val="003541E0"/>
    <w:rsid w:val="00354907"/>
    <w:rsid w:val="00355D0A"/>
    <w:rsid w:val="00355EB2"/>
    <w:rsid w:val="00356C8E"/>
    <w:rsid w:val="0036030D"/>
    <w:rsid w:val="003606AA"/>
    <w:rsid w:val="003628C2"/>
    <w:rsid w:val="00362C81"/>
    <w:rsid w:val="00363442"/>
    <w:rsid w:val="0036366B"/>
    <w:rsid w:val="00363A79"/>
    <w:rsid w:val="00363C47"/>
    <w:rsid w:val="0036642C"/>
    <w:rsid w:val="003665B8"/>
    <w:rsid w:val="00370E49"/>
    <w:rsid w:val="00370FAB"/>
    <w:rsid w:val="00371F77"/>
    <w:rsid w:val="00374867"/>
    <w:rsid w:val="00374D81"/>
    <w:rsid w:val="00375277"/>
    <w:rsid w:val="00376EDA"/>
    <w:rsid w:val="0037793A"/>
    <w:rsid w:val="00377AFE"/>
    <w:rsid w:val="0038150C"/>
    <w:rsid w:val="003834DB"/>
    <w:rsid w:val="003839EE"/>
    <w:rsid w:val="00383A0C"/>
    <w:rsid w:val="00384104"/>
    <w:rsid w:val="00385535"/>
    <w:rsid w:val="003856DD"/>
    <w:rsid w:val="003862EC"/>
    <w:rsid w:val="003864C7"/>
    <w:rsid w:val="00386516"/>
    <w:rsid w:val="00386AEA"/>
    <w:rsid w:val="00386FED"/>
    <w:rsid w:val="0038766C"/>
    <w:rsid w:val="00387BE6"/>
    <w:rsid w:val="00390622"/>
    <w:rsid w:val="00391110"/>
    <w:rsid w:val="00391255"/>
    <w:rsid w:val="00391B10"/>
    <w:rsid w:val="00392E83"/>
    <w:rsid w:val="0039360C"/>
    <w:rsid w:val="00393B9D"/>
    <w:rsid w:val="003941BC"/>
    <w:rsid w:val="00395399"/>
    <w:rsid w:val="00396A31"/>
    <w:rsid w:val="0039789B"/>
    <w:rsid w:val="003A00FD"/>
    <w:rsid w:val="003A0F68"/>
    <w:rsid w:val="003A1351"/>
    <w:rsid w:val="003A17B3"/>
    <w:rsid w:val="003A1BF8"/>
    <w:rsid w:val="003A1DF3"/>
    <w:rsid w:val="003A23F8"/>
    <w:rsid w:val="003A3496"/>
    <w:rsid w:val="003A3949"/>
    <w:rsid w:val="003A4737"/>
    <w:rsid w:val="003A4D1F"/>
    <w:rsid w:val="003A4F0D"/>
    <w:rsid w:val="003A662D"/>
    <w:rsid w:val="003A6743"/>
    <w:rsid w:val="003A691D"/>
    <w:rsid w:val="003A6BB2"/>
    <w:rsid w:val="003A70EF"/>
    <w:rsid w:val="003A79DD"/>
    <w:rsid w:val="003A7F88"/>
    <w:rsid w:val="003B1CE9"/>
    <w:rsid w:val="003B331C"/>
    <w:rsid w:val="003B3559"/>
    <w:rsid w:val="003B5140"/>
    <w:rsid w:val="003C02B4"/>
    <w:rsid w:val="003C11D3"/>
    <w:rsid w:val="003C140B"/>
    <w:rsid w:val="003C14CD"/>
    <w:rsid w:val="003C188C"/>
    <w:rsid w:val="003C1E2D"/>
    <w:rsid w:val="003C1F81"/>
    <w:rsid w:val="003C551A"/>
    <w:rsid w:val="003C613E"/>
    <w:rsid w:val="003C766D"/>
    <w:rsid w:val="003D03F0"/>
    <w:rsid w:val="003D07F2"/>
    <w:rsid w:val="003D15AD"/>
    <w:rsid w:val="003D27B2"/>
    <w:rsid w:val="003D3575"/>
    <w:rsid w:val="003D36AE"/>
    <w:rsid w:val="003D51FB"/>
    <w:rsid w:val="003D5843"/>
    <w:rsid w:val="003D62C1"/>
    <w:rsid w:val="003D65A5"/>
    <w:rsid w:val="003D6E68"/>
    <w:rsid w:val="003D74B9"/>
    <w:rsid w:val="003D7558"/>
    <w:rsid w:val="003D777C"/>
    <w:rsid w:val="003E0690"/>
    <w:rsid w:val="003E0A95"/>
    <w:rsid w:val="003E0E00"/>
    <w:rsid w:val="003E2A35"/>
    <w:rsid w:val="003E2A8A"/>
    <w:rsid w:val="003E2D80"/>
    <w:rsid w:val="003E3639"/>
    <w:rsid w:val="003E379E"/>
    <w:rsid w:val="003E3E06"/>
    <w:rsid w:val="003E4882"/>
    <w:rsid w:val="003E4DCF"/>
    <w:rsid w:val="003E6344"/>
    <w:rsid w:val="003E674E"/>
    <w:rsid w:val="003E7326"/>
    <w:rsid w:val="003E7CF6"/>
    <w:rsid w:val="003E7F12"/>
    <w:rsid w:val="003F0493"/>
    <w:rsid w:val="003F0F8D"/>
    <w:rsid w:val="003F17B6"/>
    <w:rsid w:val="003F1ABA"/>
    <w:rsid w:val="003F2FC6"/>
    <w:rsid w:val="003F3D8F"/>
    <w:rsid w:val="003F4168"/>
    <w:rsid w:val="003F48C3"/>
    <w:rsid w:val="003F4CFB"/>
    <w:rsid w:val="003F532F"/>
    <w:rsid w:val="003F70EC"/>
    <w:rsid w:val="003F75B6"/>
    <w:rsid w:val="004026CC"/>
    <w:rsid w:val="00402848"/>
    <w:rsid w:val="00403E55"/>
    <w:rsid w:val="00404585"/>
    <w:rsid w:val="00404914"/>
    <w:rsid w:val="00406C6E"/>
    <w:rsid w:val="004072B2"/>
    <w:rsid w:val="00407A29"/>
    <w:rsid w:val="00410A68"/>
    <w:rsid w:val="00411E93"/>
    <w:rsid w:val="00411F91"/>
    <w:rsid w:val="00412E07"/>
    <w:rsid w:val="00413E79"/>
    <w:rsid w:val="00414458"/>
    <w:rsid w:val="00415B61"/>
    <w:rsid w:val="00416A66"/>
    <w:rsid w:val="00420545"/>
    <w:rsid w:val="004205E3"/>
    <w:rsid w:val="00421130"/>
    <w:rsid w:val="00421934"/>
    <w:rsid w:val="004220EA"/>
    <w:rsid w:val="0042222E"/>
    <w:rsid w:val="00422B60"/>
    <w:rsid w:val="00422EE8"/>
    <w:rsid w:val="00424043"/>
    <w:rsid w:val="00425E90"/>
    <w:rsid w:val="0042651B"/>
    <w:rsid w:val="004269D7"/>
    <w:rsid w:val="00426AB6"/>
    <w:rsid w:val="004272AA"/>
    <w:rsid w:val="00430A65"/>
    <w:rsid w:val="0043180D"/>
    <w:rsid w:val="00432019"/>
    <w:rsid w:val="00433089"/>
    <w:rsid w:val="00433D10"/>
    <w:rsid w:val="00434719"/>
    <w:rsid w:val="00434BF0"/>
    <w:rsid w:val="00437A77"/>
    <w:rsid w:val="004403A7"/>
    <w:rsid w:val="0044040E"/>
    <w:rsid w:val="00442634"/>
    <w:rsid w:val="00443FF5"/>
    <w:rsid w:val="00444D0F"/>
    <w:rsid w:val="0044534D"/>
    <w:rsid w:val="00445816"/>
    <w:rsid w:val="00446715"/>
    <w:rsid w:val="00446A79"/>
    <w:rsid w:val="00446B6F"/>
    <w:rsid w:val="00446BC3"/>
    <w:rsid w:val="00447B81"/>
    <w:rsid w:val="00450268"/>
    <w:rsid w:val="00451432"/>
    <w:rsid w:val="00452446"/>
    <w:rsid w:val="004526E6"/>
    <w:rsid w:val="00452FC4"/>
    <w:rsid w:val="00453BDB"/>
    <w:rsid w:val="00453E34"/>
    <w:rsid w:val="00453EA0"/>
    <w:rsid w:val="004556CA"/>
    <w:rsid w:val="00456EEB"/>
    <w:rsid w:val="00457097"/>
    <w:rsid w:val="00457822"/>
    <w:rsid w:val="00457AB4"/>
    <w:rsid w:val="00460390"/>
    <w:rsid w:val="004609F3"/>
    <w:rsid w:val="00460D94"/>
    <w:rsid w:val="00461B4C"/>
    <w:rsid w:val="00461D36"/>
    <w:rsid w:val="0046207A"/>
    <w:rsid w:val="004667BF"/>
    <w:rsid w:val="00466B67"/>
    <w:rsid w:val="00466C43"/>
    <w:rsid w:val="00467D15"/>
    <w:rsid w:val="00471160"/>
    <w:rsid w:val="00471191"/>
    <w:rsid w:val="00471572"/>
    <w:rsid w:val="00472DE7"/>
    <w:rsid w:val="0047358A"/>
    <w:rsid w:val="00473E77"/>
    <w:rsid w:val="004743AC"/>
    <w:rsid w:val="004748EA"/>
    <w:rsid w:val="00474A8A"/>
    <w:rsid w:val="00475570"/>
    <w:rsid w:val="004757B6"/>
    <w:rsid w:val="00476672"/>
    <w:rsid w:val="00476B9D"/>
    <w:rsid w:val="00480D5C"/>
    <w:rsid w:val="004813CE"/>
    <w:rsid w:val="004814FD"/>
    <w:rsid w:val="0048159C"/>
    <w:rsid w:val="00481B68"/>
    <w:rsid w:val="00483151"/>
    <w:rsid w:val="00484886"/>
    <w:rsid w:val="00484BCD"/>
    <w:rsid w:val="0048544F"/>
    <w:rsid w:val="00485DF6"/>
    <w:rsid w:val="00485E82"/>
    <w:rsid w:val="00486245"/>
    <w:rsid w:val="00487041"/>
    <w:rsid w:val="00487C85"/>
    <w:rsid w:val="004917E8"/>
    <w:rsid w:val="00491A8A"/>
    <w:rsid w:val="00491E5A"/>
    <w:rsid w:val="004925D0"/>
    <w:rsid w:val="00493031"/>
    <w:rsid w:val="00494052"/>
    <w:rsid w:val="00494591"/>
    <w:rsid w:val="0049607A"/>
    <w:rsid w:val="004968C0"/>
    <w:rsid w:val="00496967"/>
    <w:rsid w:val="004A0C82"/>
    <w:rsid w:val="004A1038"/>
    <w:rsid w:val="004A121A"/>
    <w:rsid w:val="004A12C9"/>
    <w:rsid w:val="004A4260"/>
    <w:rsid w:val="004A555D"/>
    <w:rsid w:val="004A5844"/>
    <w:rsid w:val="004A7131"/>
    <w:rsid w:val="004A720D"/>
    <w:rsid w:val="004A73D7"/>
    <w:rsid w:val="004B1506"/>
    <w:rsid w:val="004B1A89"/>
    <w:rsid w:val="004B2A83"/>
    <w:rsid w:val="004B3D00"/>
    <w:rsid w:val="004B7388"/>
    <w:rsid w:val="004C028C"/>
    <w:rsid w:val="004C1069"/>
    <w:rsid w:val="004C11C0"/>
    <w:rsid w:val="004C247D"/>
    <w:rsid w:val="004C4905"/>
    <w:rsid w:val="004C64E4"/>
    <w:rsid w:val="004C675E"/>
    <w:rsid w:val="004C7AB7"/>
    <w:rsid w:val="004C7EE0"/>
    <w:rsid w:val="004D0158"/>
    <w:rsid w:val="004D0319"/>
    <w:rsid w:val="004D0DF9"/>
    <w:rsid w:val="004D0E35"/>
    <w:rsid w:val="004D14A5"/>
    <w:rsid w:val="004D2B5F"/>
    <w:rsid w:val="004D4014"/>
    <w:rsid w:val="004D4DDF"/>
    <w:rsid w:val="004D58F2"/>
    <w:rsid w:val="004D5F52"/>
    <w:rsid w:val="004D62A3"/>
    <w:rsid w:val="004D6ECC"/>
    <w:rsid w:val="004E1778"/>
    <w:rsid w:val="004E19D3"/>
    <w:rsid w:val="004E1D13"/>
    <w:rsid w:val="004E1E23"/>
    <w:rsid w:val="004E2842"/>
    <w:rsid w:val="004E28EF"/>
    <w:rsid w:val="004E2ABE"/>
    <w:rsid w:val="004E32FE"/>
    <w:rsid w:val="004E37FC"/>
    <w:rsid w:val="004E4D1E"/>
    <w:rsid w:val="004E5AD1"/>
    <w:rsid w:val="004E6440"/>
    <w:rsid w:val="004E7407"/>
    <w:rsid w:val="004F1790"/>
    <w:rsid w:val="004F3158"/>
    <w:rsid w:val="004F3A23"/>
    <w:rsid w:val="004F488A"/>
    <w:rsid w:val="004F537E"/>
    <w:rsid w:val="004F63CC"/>
    <w:rsid w:val="004F6920"/>
    <w:rsid w:val="004F6AAE"/>
    <w:rsid w:val="004F7EE2"/>
    <w:rsid w:val="0050024F"/>
    <w:rsid w:val="00502E8C"/>
    <w:rsid w:val="00502F8F"/>
    <w:rsid w:val="0050335A"/>
    <w:rsid w:val="005035E8"/>
    <w:rsid w:val="00504C11"/>
    <w:rsid w:val="00504C86"/>
    <w:rsid w:val="00505639"/>
    <w:rsid w:val="0050582E"/>
    <w:rsid w:val="00510D0D"/>
    <w:rsid w:val="00511D6B"/>
    <w:rsid w:val="005122C7"/>
    <w:rsid w:val="00512B19"/>
    <w:rsid w:val="00512C74"/>
    <w:rsid w:val="00513638"/>
    <w:rsid w:val="00513700"/>
    <w:rsid w:val="005146A9"/>
    <w:rsid w:val="0051556B"/>
    <w:rsid w:val="005158C3"/>
    <w:rsid w:val="00515C2F"/>
    <w:rsid w:val="00516161"/>
    <w:rsid w:val="00516F1E"/>
    <w:rsid w:val="00516FA2"/>
    <w:rsid w:val="00517009"/>
    <w:rsid w:val="00517790"/>
    <w:rsid w:val="00520753"/>
    <w:rsid w:val="00520C3E"/>
    <w:rsid w:val="0052188B"/>
    <w:rsid w:val="005228F6"/>
    <w:rsid w:val="00523909"/>
    <w:rsid w:val="00525740"/>
    <w:rsid w:val="00527895"/>
    <w:rsid w:val="00527F39"/>
    <w:rsid w:val="005301E8"/>
    <w:rsid w:val="00530AD5"/>
    <w:rsid w:val="00531AF1"/>
    <w:rsid w:val="005327E3"/>
    <w:rsid w:val="00533A9A"/>
    <w:rsid w:val="00533D10"/>
    <w:rsid w:val="00533D66"/>
    <w:rsid w:val="0053430A"/>
    <w:rsid w:val="0053445A"/>
    <w:rsid w:val="0053447E"/>
    <w:rsid w:val="005345BB"/>
    <w:rsid w:val="005357F6"/>
    <w:rsid w:val="00535F68"/>
    <w:rsid w:val="00536E09"/>
    <w:rsid w:val="0053707C"/>
    <w:rsid w:val="00541B18"/>
    <w:rsid w:val="00542177"/>
    <w:rsid w:val="005422F6"/>
    <w:rsid w:val="005426C7"/>
    <w:rsid w:val="005429AA"/>
    <w:rsid w:val="00543FEE"/>
    <w:rsid w:val="0054552D"/>
    <w:rsid w:val="00546E26"/>
    <w:rsid w:val="005473D8"/>
    <w:rsid w:val="00547ECD"/>
    <w:rsid w:val="00550394"/>
    <w:rsid w:val="00550D9E"/>
    <w:rsid w:val="005519CD"/>
    <w:rsid w:val="00551A2C"/>
    <w:rsid w:val="0055711C"/>
    <w:rsid w:val="00557839"/>
    <w:rsid w:val="00557AE7"/>
    <w:rsid w:val="00560114"/>
    <w:rsid w:val="0056168E"/>
    <w:rsid w:val="00561766"/>
    <w:rsid w:val="00562AA7"/>
    <w:rsid w:val="00564D40"/>
    <w:rsid w:val="0056657F"/>
    <w:rsid w:val="005665F6"/>
    <w:rsid w:val="005669E3"/>
    <w:rsid w:val="00566AD3"/>
    <w:rsid w:val="005673FC"/>
    <w:rsid w:val="005676E6"/>
    <w:rsid w:val="00567EA4"/>
    <w:rsid w:val="005700D2"/>
    <w:rsid w:val="00570FF3"/>
    <w:rsid w:val="0057275C"/>
    <w:rsid w:val="00572E2B"/>
    <w:rsid w:val="00572F4D"/>
    <w:rsid w:val="00572F93"/>
    <w:rsid w:val="00574723"/>
    <w:rsid w:val="005753C1"/>
    <w:rsid w:val="005804A2"/>
    <w:rsid w:val="00582F11"/>
    <w:rsid w:val="00583907"/>
    <w:rsid w:val="00583EA3"/>
    <w:rsid w:val="00583ED1"/>
    <w:rsid w:val="00584422"/>
    <w:rsid w:val="00585149"/>
    <w:rsid w:val="005868FB"/>
    <w:rsid w:val="00590783"/>
    <w:rsid w:val="00591C26"/>
    <w:rsid w:val="005932CA"/>
    <w:rsid w:val="005948D3"/>
    <w:rsid w:val="00594C8C"/>
    <w:rsid w:val="00595E4D"/>
    <w:rsid w:val="00596CD5"/>
    <w:rsid w:val="0059708C"/>
    <w:rsid w:val="00597C86"/>
    <w:rsid w:val="005A0047"/>
    <w:rsid w:val="005A01AB"/>
    <w:rsid w:val="005A0316"/>
    <w:rsid w:val="005A04CC"/>
    <w:rsid w:val="005A06F4"/>
    <w:rsid w:val="005A07D7"/>
    <w:rsid w:val="005A0F62"/>
    <w:rsid w:val="005A39EF"/>
    <w:rsid w:val="005A4E42"/>
    <w:rsid w:val="005A5173"/>
    <w:rsid w:val="005A5725"/>
    <w:rsid w:val="005A7033"/>
    <w:rsid w:val="005A721B"/>
    <w:rsid w:val="005A7E90"/>
    <w:rsid w:val="005B0E05"/>
    <w:rsid w:val="005B1B8C"/>
    <w:rsid w:val="005B1DB2"/>
    <w:rsid w:val="005B26E6"/>
    <w:rsid w:val="005B40EE"/>
    <w:rsid w:val="005B44AD"/>
    <w:rsid w:val="005B53AE"/>
    <w:rsid w:val="005B5B65"/>
    <w:rsid w:val="005B5FAA"/>
    <w:rsid w:val="005B6066"/>
    <w:rsid w:val="005B6320"/>
    <w:rsid w:val="005B75D2"/>
    <w:rsid w:val="005B797E"/>
    <w:rsid w:val="005C08DF"/>
    <w:rsid w:val="005C3392"/>
    <w:rsid w:val="005C4344"/>
    <w:rsid w:val="005C51C5"/>
    <w:rsid w:val="005C536A"/>
    <w:rsid w:val="005C6311"/>
    <w:rsid w:val="005C6FC6"/>
    <w:rsid w:val="005C7C13"/>
    <w:rsid w:val="005C7E1F"/>
    <w:rsid w:val="005D061C"/>
    <w:rsid w:val="005D0639"/>
    <w:rsid w:val="005D0730"/>
    <w:rsid w:val="005D1407"/>
    <w:rsid w:val="005D17E0"/>
    <w:rsid w:val="005D17EF"/>
    <w:rsid w:val="005D1BE9"/>
    <w:rsid w:val="005D1E80"/>
    <w:rsid w:val="005D21C2"/>
    <w:rsid w:val="005D247E"/>
    <w:rsid w:val="005D2D18"/>
    <w:rsid w:val="005D2DAA"/>
    <w:rsid w:val="005D2E1F"/>
    <w:rsid w:val="005D51D3"/>
    <w:rsid w:val="005D57D4"/>
    <w:rsid w:val="005D5859"/>
    <w:rsid w:val="005D5ED4"/>
    <w:rsid w:val="005D638B"/>
    <w:rsid w:val="005D7444"/>
    <w:rsid w:val="005D76A8"/>
    <w:rsid w:val="005D78D7"/>
    <w:rsid w:val="005D7FC9"/>
    <w:rsid w:val="005E0983"/>
    <w:rsid w:val="005E0EB3"/>
    <w:rsid w:val="005E4216"/>
    <w:rsid w:val="005E4288"/>
    <w:rsid w:val="005E4776"/>
    <w:rsid w:val="005E5169"/>
    <w:rsid w:val="005E55AF"/>
    <w:rsid w:val="005E5F41"/>
    <w:rsid w:val="005F007E"/>
    <w:rsid w:val="005F0256"/>
    <w:rsid w:val="005F0F71"/>
    <w:rsid w:val="005F1DA6"/>
    <w:rsid w:val="005F2901"/>
    <w:rsid w:val="005F3464"/>
    <w:rsid w:val="005F4578"/>
    <w:rsid w:val="005F4CAD"/>
    <w:rsid w:val="005F4EC6"/>
    <w:rsid w:val="005F50B7"/>
    <w:rsid w:val="005F55B9"/>
    <w:rsid w:val="005F6B10"/>
    <w:rsid w:val="005F6E12"/>
    <w:rsid w:val="005F7738"/>
    <w:rsid w:val="006006E0"/>
    <w:rsid w:val="006024C3"/>
    <w:rsid w:val="00602AFB"/>
    <w:rsid w:val="00602F03"/>
    <w:rsid w:val="006036BE"/>
    <w:rsid w:val="00604458"/>
    <w:rsid w:val="00604851"/>
    <w:rsid w:val="00604F2E"/>
    <w:rsid w:val="0060531A"/>
    <w:rsid w:val="00605D8A"/>
    <w:rsid w:val="0060719B"/>
    <w:rsid w:val="0061190A"/>
    <w:rsid w:val="006127F6"/>
    <w:rsid w:val="00613426"/>
    <w:rsid w:val="00613A79"/>
    <w:rsid w:val="00614C73"/>
    <w:rsid w:val="006161A3"/>
    <w:rsid w:val="0061628D"/>
    <w:rsid w:val="006166BC"/>
    <w:rsid w:val="00616B7C"/>
    <w:rsid w:val="00620070"/>
    <w:rsid w:val="00620B06"/>
    <w:rsid w:val="006212C5"/>
    <w:rsid w:val="006213E9"/>
    <w:rsid w:val="006221D0"/>
    <w:rsid w:val="006227B9"/>
    <w:rsid w:val="006230C1"/>
    <w:rsid w:val="006234B6"/>
    <w:rsid w:val="0062484A"/>
    <w:rsid w:val="0062535C"/>
    <w:rsid w:val="00625388"/>
    <w:rsid w:val="00626008"/>
    <w:rsid w:val="006274BA"/>
    <w:rsid w:val="006275EE"/>
    <w:rsid w:val="00630E0D"/>
    <w:rsid w:val="006314A6"/>
    <w:rsid w:val="00631C7D"/>
    <w:rsid w:val="0063225C"/>
    <w:rsid w:val="0063324D"/>
    <w:rsid w:val="0063369F"/>
    <w:rsid w:val="00634F7C"/>
    <w:rsid w:val="00635163"/>
    <w:rsid w:val="00635C84"/>
    <w:rsid w:val="00635DD2"/>
    <w:rsid w:val="00636773"/>
    <w:rsid w:val="00636799"/>
    <w:rsid w:val="006374EF"/>
    <w:rsid w:val="006378E4"/>
    <w:rsid w:val="00637B19"/>
    <w:rsid w:val="00637D41"/>
    <w:rsid w:val="00637D88"/>
    <w:rsid w:val="00640050"/>
    <w:rsid w:val="0064160C"/>
    <w:rsid w:val="00641E0F"/>
    <w:rsid w:val="0064275B"/>
    <w:rsid w:val="0064303A"/>
    <w:rsid w:val="0064384F"/>
    <w:rsid w:val="00644739"/>
    <w:rsid w:val="00644A5A"/>
    <w:rsid w:val="00644D9C"/>
    <w:rsid w:val="00645133"/>
    <w:rsid w:val="0064558B"/>
    <w:rsid w:val="00645B6D"/>
    <w:rsid w:val="00646794"/>
    <w:rsid w:val="00646C39"/>
    <w:rsid w:val="006476C7"/>
    <w:rsid w:val="00647841"/>
    <w:rsid w:val="0065028B"/>
    <w:rsid w:val="0065038C"/>
    <w:rsid w:val="0065125A"/>
    <w:rsid w:val="00651367"/>
    <w:rsid w:val="0065140A"/>
    <w:rsid w:val="006525AB"/>
    <w:rsid w:val="00652A22"/>
    <w:rsid w:val="00654BDC"/>
    <w:rsid w:val="00654E83"/>
    <w:rsid w:val="0065535A"/>
    <w:rsid w:val="0065544C"/>
    <w:rsid w:val="0065617D"/>
    <w:rsid w:val="00657AA7"/>
    <w:rsid w:val="00657ACD"/>
    <w:rsid w:val="00657D24"/>
    <w:rsid w:val="006625F1"/>
    <w:rsid w:val="00662770"/>
    <w:rsid w:val="00663216"/>
    <w:rsid w:val="00663B22"/>
    <w:rsid w:val="006643FD"/>
    <w:rsid w:val="006644F9"/>
    <w:rsid w:val="00666539"/>
    <w:rsid w:val="00667189"/>
    <w:rsid w:val="00671857"/>
    <w:rsid w:val="00671935"/>
    <w:rsid w:val="00671B57"/>
    <w:rsid w:val="00671B6D"/>
    <w:rsid w:val="006729AC"/>
    <w:rsid w:val="00672D47"/>
    <w:rsid w:val="00673DCD"/>
    <w:rsid w:val="0067425B"/>
    <w:rsid w:val="006742EC"/>
    <w:rsid w:val="0067489D"/>
    <w:rsid w:val="006750ED"/>
    <w:rsid w:val="006755F4"/>
    <w:rsid w:val="00676B64"/>
    <w:rsid w:val="00677EA7"/>
    <w:rsid w:val="0068021F"/>
    <w:rsid w:val="0068049B"/>
    <w:rsid w:val="00681CDD"/>
    <w:rsid w:val="00683EBB"/>
    <w:rsid w:val="006849B7"/>
    <w:rsid w:val="00685A48"/>
    <w:rsid w:val="00693308"/>
    <w:rsid w:val="006935C6"/>
    <w:rsid w:val="00693A84"/>
    <w:rsid w:val="00694634"/>
    <w:rsid w:val="00696722"/>
    <w:rsid w:val="00696839"/>
    <w:rsid w:val="00697EED"/>
    <w:rsid w:val="006A02E6"/>
    <w:rsid w:val="006A10CD"/>
    <w:rsid w:val="006A129D"/>
    <w:rsid w:val="006A24CE"/>
    <w:rsid w:val="006A258E"/>
    <w:rsid w:val="006A2A73"/>
    <w:rsid w:val="006A2EE0"/>
    <w:rsid w:val="006A2FAB"/>
    <w:rsid w:val="006A325D"/>
    <w:rsid w:val="006A4C65"/>
    <w:rsid w:val="006A58D3"/>
    <w:rsid w:val="006A5F1B"/>
    <w:rsid w:val="006A7824"/>
    <w:rsid w:val="006B1848"/>
    <w:rsid w:val="006B1931"/>
    <w:rsid w:val="006B2026"/>
    <w:rsid w:val="006B219C"/>
    <w:rsid w:val="006B2B1A"/>
    <w:rsid w:val="006B2EBA"/>
    <w:rsid w:val="006B30C1"/>
    <w:rsid w:val="006B3271"/>
    <w:rsid w:val="006B4E21"/>
    <w:rsid w:val="006B4E3B"/>
    <w:rsid w:val="006B52AB"/>
    <w:rsid w:val="006B56B2"/>
    <w:rsid w:val="006B5ECE"/>
    <w:rsid w:val="006B68A9"/>
    <w:rsid w:val="006C091A"/>
    <w:rsid w:val="006C0DDB"/>
    <w:rsid w:val="006C0F16"/>
    <w:rsid w:val="006C16E1"/>
    <w:rsid w:val="006C2B1F"/>
    <w:rsid w:val="006C3232"/>
    <w:rsid w:val="006C3C63"/>
    <w:rsid w:val="006C4EF0"/>
    <w:rsid w:val="006C65BB"/>
    <w:rsid w:val="006C6974"/>
    <w:rsid w:val="006C7CFB"/>
    <w:rsid w:val="006D0B10"/>
    <w:rsid w:val="006D2580"/>
    <w:rsid w:val="006D2CDE"/>
    <w:rsid w:val="006D2D3D"/>
    <w:rsid w:val="006D337F"/>
    <w:rsid w:val="006D38B9"/>
    <w:rsid w:val="006D5F26"/>
    <w:rsid w:val="006D64BE"/>
    <w:rsid w:val="006D6A99"/>
    <w:rsid w:val="006D6E60"/>
    <w:rsid w:val="006D7AA3"/>
    <w:rsid w:val="006D7B26"/>
    <w:rsid w:val="006E0F5D"/>
    <w:rsid w:val="006E24A8"/>
    <w:rsid w:val="006E26A9"/>
    <w:rsid w:val="006E2FDC"/>
    <w:rsid w:val="006E30AC"/>
    <w:rsid w:val="006E3950"/>
    <w:rsid w:val="006E3BEA"/>
    <w:rsid w:val="006E429F"/>
    <w:rsid w:val="006E434F"/>
    <w:rsid w:val="006E58DF"/>
    <w:rsid w:val="006E5EA8"/>
    <w:rsid w:val="006E66B8"/>
    <w:rsid w:val="006E6866"/>
    <w:rsid w:val="006F172B"/>
    <w:rsid w:val="006F1EA5"/>
    <w:rsid w:val="006F2CE6"/>
    <w:rsid w:val="006F316D"/>
    <w:rsid w:val="006F456C"/>
    <w:rsid w:val="006F4DDE"/>
    <w:rsid w:val="006F51D0"/>
    <w:rsid w:val="006F62B3"/>
    <w:rsid w:val="00701B5C"/>
    <w:rsid w:val="00701FFB"/>
    <w:rsid w:val="00703FA8"/>
    <w:rsid w:val="00704A2A"/>
    <w:rsid w:val="00705160"/>
    <w:rsid w:val="00705CA2"/>
    <w:rsid w:val="00705E0E"/>
    <w:rsid w:val="00706388"/>
    <w:rsid w:val="00707406"/>
    <w:rsid w:val="0071084E"/>
    <w:rsid w:val="00711ADF"/>
    <w:rsid w:val="00711DCB"/>
    <w:rsid w:val="00711E9E"/>
    <w:rsid w:val="007121C5"/>
    <w:rsid w:val="007123F7"/>
    <w:rsid w:val="00712CED"/>
    <w:rsid w:val="007130BF"/>
    <w:rsid w:val="007132AE"/>
    <w:rsid w:val="007152D3"/>
    <w:rsid w:val="00715823"/>
    <w:rsid w:val="00715C94"/>
    <w:rsid w:val="00715CC4"/>
    <w:rsid w:val="007160A9"/>
    <w:rsid w:val="00716622"/>
    <w:rsid w:val="00717C9C"/>
    <w:rsid w:val="0072019B"/>
    <w:rsid w:val="00720DDF"/>
    <w:rsid w:val="00721695"/>
    <w:rsid w:val="00722077"/>
    <w:rsid w:val="007247E0"/>
    <w:rsid w:val="00725D15"/>
    <w:rsid w:val="00726176"/>
    <w:rsid w:val="0072622E"/>
    <w:rsid w:val="0072635D"/>
    <w:rsid w:val="00726389"/>
    <w:rsid w:val="00727B79"/>
    <w:rsid w:val="00731EF1"/>
    <w:rsid w:val="00732110"/>
    <w:rsid w:val="00733384"/>
    <w:rsid w:val="00733CC5"/>
    <w:rsid w:val="00735514"/>
    <w:rsid w:val="00736933"/>
    <w:rsid w:val="00736F53"/>
    <w:rsid w:val="00741A16"/>
    <w:rsid w:val="0074238B"/>
    <w:rsid w:val="00742E1D"/>
    <w:rsid w:val="00743165"/>
    <w:rsid w:val="00743B0C"/>
    <w:rsid w:val="00745FF0"/>
    <w:rsid w:val="00746113"/>
    <w:rsid w:val="007477B7"/>
    <w:rsid w:val="007512E2"/>
    <w:rsid w:val="007519A9"/>
    <w:rsid w:val="00751FF8"/>
    <w:rsid w:val="00752105"/>
    <w:rsid w:val="00752331"/>
    <w:rsid w:val="00755299"/>
    <w:rsid w:val="00755771"/>
    <w:rsid w:val="00755F13"/>
    <w:rsid w:val="00760182"/>
    <w:rsid w:val="00760B43"/>
    <w:rsid w:val="00760D89"/>
    <w:rsid w:val="00760E45"/>
    <w:rsid w:val="00761219"/>
    <w:rsid w:val="007617C1"/>
    <w:rsid w:val="007633C0"/>
    <w:rsid w:val="00764884"/>
    <w:rsid w:val="00764E7D"/>
    <w:rsid w:val="00765230"/>
    <w:rsid w:val="00765B02"/>
    <w:rsid w:val="00765D2E"/>
    <w:rsid w:val="00766335"/>
    <w:rsid w:val="00766461"/>
    <w:rsid w:val="0076756D"/>
    <w:rsid w:val="007719EB"/>
    <w:rsid w:val="00772F18"/>
    <w:rsid w:val="007732DD"/>
    <w:rsid w:val="00773324"/>
    <w:rsid w:val="00774665"/>
    <w:rsid w:val="00774B56"/>
    <w:rsid w:val="00774F06"/>
    <w:rsid w:val="0077514B"/>
    <w:rsid w:val="007774DC"/>
    <w:rsid w:val="00780727"/>
    <w:rsid w:val="007824B0"/>
    <w:rsid w:val="00782987"/>
    <w:rsid w:val="00783A2A"/>
    <w:rsid w:val="00783CAC"/>
    <w:rsid w:val="0078473A"/>
    <w:rsid w:val="00784A6C"/>
    <w:rsid w:val="00784D48"/>
    <w:rsid w:val="007852E1"/>
    <w:rsid w:val="007860BF"/>
    <w:rsid w:val="00786514"/>
    <w:rsid w:val="00786BE8"/>
    <w:rsid w:val="0078716E"/>
    <w:rsid w:val="00787710"/>
    <w:rsid w:val="007903A3"/>
    <w:rsid w:val="007907D2"/>
    <w:rsid w:val="00791142"/>
    <w:rsid w:val="00791E22"/>
    <w:rsid w:val="00791EF6"/>
    <w:rsid w:val="00792AE9"/>
    <w:rsid w:val="00792CE5"/>
    <w:rsid w:val="00793248"/>
    <w:rsid w:val="00793399"/>
    <w:rsid w:val="00794DF7"/>
    <w:rsid w:val="00795732"/>
    <w:rsid w:val="0079603C"/>
    <w:rsid w:val="0079636B"/>
    <w:rsid w:val="0079716F"/>
    <w:rsid w:val="0079756E"/>
    <w:rsid w:val="007A04D3"/>
    <w:rsid w:val="007A0848"/>
    <w:rsid w:val="007A0EB1"/>
    <w:rsid w:val="007A296F"/>
    <w:rsid w:val="007A36E0"/>
    <w:rsid w:val="007A3718"/>
    <w:rsid w:val="007A3E01"/>
    <w:rsid w:val="007A450A"/>
    <w:rsid w:val="007A59A7"/>
    <w:rsid w:val="007A5C37"/>
    <w:rsid w:val="007A6DD3"/>
    <w:rsid w:val="007A7300"/>
    <w:rsid w:val="007A771B"/>
    <w:rsid w:val="007A791C"/>
    <w:rsid w:val="007B005E"/>
    <w:rsid w:val="007B030D"/>
    <w:rsid w:val="007B0CC1"/>
    <w:rsid w:val="007B1201"/>
    <w:rsid w:val="007B15BE"/>
    <w:rsid w:val="007B2176"/>
    <w:rsid w:val="007B2DC1"/>
    <w:rsid w:val="007B3074"/>
    <w:rsid w:val="007B3CCD"/>
    <w:rsid w:val="007B4185"/>
    <w:rsid w:val="007B58FA"/>
    <w:rsid w:val="007B636E"/>
    <w:rsid w:val="007B7B25"/>
    <w:rsid w:val="007C022D"/>
    <w:rsid w:val="007C27AF"/>
    <w:rsid w:val="007C3361"/>
    <w:rsid w:val="007C35F6"/>
    <w:rsid w:val="007C485B"/>
    <w:rsid w:val="007C5641"/>
    <w:rsid w:val="007C62BA"/>
    <w:rsid w:val="007C6ECB"/>
    <w:rsid w:val="007C7835"/>
    <w:rsid w:val="007D03D6"/>
    <w:rsid w:val="007D14E8"/>
    <w:rsid w:val="007D15F9"/>
    <w:rsid w:val="007D16C1"/>
    <w:rsid w:val="007D1C2E"/>
    <w:rsid w:val="007D20BF"/>
    <w:rsid w:val="007D2161"/>
    <w:rsid w:val="007D32A7"/>
    <w:rsid w:val="007D380D"/>
    <w:rsid w:val="007D53F1"/>
    <w:rsid w:val="007D689D"/>
    <w:rsid w:val="007E0D16"/>
    <w:rsid w:val="007E0E0D"/>
    <w:rsid w:val="007E1A14"/>
    <w:rsid w:val="007E2F8A"/>
    <w:rsid w:val="007E3213"/>
    <w:rsid w:val="007E3343"/>
    <w:rsid w:val="007E3C67"/>
    <w:rsid w:val="007E47F5"/>
    <w:rsid w:val="007E510A"/>
    <w:rsid w:val="007E5FDC"/>
    <w:rsid w:val="007E6C38"/>
    <w:rsid w:val="007E7176"/>
    <w:rsid w:val="007E7A34"/>
    <w:rsid w:val="007F17F5"/>
    <w:rsid w:val="007F3494"/>
    <w:rsid w:val="007F3895"/>
    <w:rsid w:val="007F480C"/>
    <w:rsid w:val="007F4A0B"/>
    <w:rsid w:val="007F51DE"/>
    <w:rsid w:val="007F57B0"/>
    <w:rsid w:val="007F5861"/>
    <w:rsid w:val="007F6DB4"/>
    <w:rsid w:val="007F7320"/>
    <w:rsid w:val="007F7F74"/>
    <w:rsid w:val="00801511"/>
    <w:rsid w:val="00801C5B"/>
    <w:rsid w:val="008040DE"/>
    <w:rsid w:val="00804B7C"/>
    <w:rsid w:val="00805E5A"/>
    <w:rsid w:val="008060FD"/>
    <w:rsid w:val="00806F99"/>
    <w:rsid w:val="008078A8"/>
    <w:rsid w:val="00807C85"/>
    <w:rsid w:val="00810CD3"/>
    <w:rsid w:val="00812123"/>
    <w:rsid w:val="00812BBA"/>
    <w:rsid w:val="00812E5E"/>
    <w:rsid w:val="00813A9C"/>
    <w:rsid w:val="00815058"/>
    <w:rsid w:val="00815FAE"/>
    <w:rsid w:val="00816979"/>
    <w:rsid w:val="00817321"/>
    <w:rsid w:val="008212A8"/>
    <w:rsid w:val="00821CA7"/>
    <w:rsid w:val="00822402"/>
    <w:rsid w:val="0082344B"/>
    <w:rsid w:val="00823814"/>
    <w:rsid w:val="00825D7D"/>
    <w:rsid w:val="00826A61"/>
    <w:rsid w:val="0082704D"/>
    <w:rsid w:val="00827184"/>
    <w:rsid w:val="008321DE"/>
    <w:rsid w:val="0083284A"/>
    <w:rsid w:val="00833156"/>
    <w:rsid w:val="00833C5F"/>
    <w:rsid w:val="008345FB"/>
    <w:rsid w:val="00834A01"/>
    <w:rsid w:val="00834DCD"/>
    <w:rsid w:val="00835012"/>
    <w:rsid w:val="0083566F"/>
    <w:rsid w:val="00835793"/>
    <w:rsid w:val="00836B2F"/>
    <w:rsid w:val="008449A5"/>
    <w:rsid w:val="008451EE"/>
    <w:rsid w:val="0084527E"/>
    <w:rsid w:val="008452D7"/>
    <w:rsid w:val="0084581E"/>
    <w:rsid w:val="00845F63"/>
    <w:rsid w:val="008469C9"/>
    <w:rsid w:val="00847B1C"/>
    <w:rsid w:val="00850F3B"/>
    <w:rsid w:val="00851A0E"/>
    <w:rsid w:val="00852F43"/>
    <w:rsid w:val="0085324D"/>
    <w:rsid w:val="008555E0"/>
    <w:rsid w:val="00855723"/>
    <w:rsid w:val="00855E14"/>
    <w:rsid w:val="0085605B"/>
    <w:rsid w:val="008570C3"/>
    <w:rsid w:val="00860022"/>
    <w:rsid w:val="008600F7"/>
    <w:rsid w:val="00860BA7"/>
    <w:rsid w:val="00861DC3"/>
    <w:rsid w:val="00862471"/>
    <w:rsid w:val="00862DB3"/>
    <w:rsid w:val="008634F0"/>
    <w:rsid w:val="00863D8C"/>
    <w:rsid w:val="00865892"/>
    <w:rsid w:val="00865945"/>
    <w:rsid w:val="008671DD"/>
    <w:rsid w:val="00867549"/>
    <w:rsid w:val="008715EF"/>
    <w:rsid w:val="0087172C"/>
    <w:rsid w:val="00871F84"/>
    <w:rsid w:val="008753E5"/>
    <w:rsid w:val="00875805"/>
    <w:rsid w:val="00875EB1"/>
    <w:rsid w:val="00876A81"/>
    <w:rsid w:val="00876C55"/>
    <w:rsid w:val="00876F87"/>
    <w:rsid w:val="00877AA6"/>
    <w:rsid w:val="00877C73"/>
    <w:rsid w:val="00877DB4"/>
    <w:rsid w:val="00880453"/>
    <w:rsid w:val="00880D24"/>
    <w:rsid w:val="00881817"/>
    <w:rsid w:val="00881F20"/>
    <w:rsid w:val="008822D3"/>
    <w:rsid w:val="00882372"/>
    <w:rsid w:val="00882728"/>
    <w:rsid w:val="008829BF"/>
    <w:rsid w:val="00882FA2"/>
    <w:rsid w:val="00883554"/>
    <w:rsid w:val="00883CA9"/>
    <w:rsid w:val="008841DB"/>
    <w:rsid w:val="0088435C"/>
    <w:rsid w:val="008844AD"/>
    <w:rsid w:val="008845F8"/>
    <w:rsid w:val="00884CEE"/>
    <w:rsid w:val="00887C1C"/>
    <w:rsid w:val="008902D6"/>
    <w:rsid w:val="0089057E"/>
    <w:rsid w:val="008908AD"/>
    <w:rsid w:val="00890FBE"/>
    <w:rsid w:val="008930AC"/>
    <w:rsid w:val="00893D23"/>
    <w:rsid w:val="008952D8"/>
    <w:rsid w:val="0089594E"/>
    <w:rsid w:val="00895A3D"/>
    <w:rsid w:val="008966D6"/>
    <w:rsid w:val="0089761A"/>
    <w:rsid w:val="00897818"/>
    <w:rsid w:val="008A158C"/>
    <w:rsid w:val="008A239D"/>
    <w:rsid w:val="008A254E"/>
    <w:rsid w:val="008A26E1"/>
    <w:rsid w:val="008A2E69"/>
    <w:rsid w:val="008A3036"/>
    <w:rsid w:val="008A32CE"/>
    <w:rsid w:val="008A3902"/>
    <w:rsid w:val="008A4364"/>
    <w:rsid w:val="008A43DD"/>
    <w:rsid w:val="008A4649"/>
    <w:rsid w:val="008A6185"/>
    <w:rsid w:val="008A7050"/>
    <w:rsid w:val="008A7EF1"/>
    <w:rsid w:val="008A7F6E"/>
    <w:rsid w:val="008B081F"/>
    <w:rsid w:val="008B194E"/>
    <w:rsid w:val="008B1B9C"/>
    <w:rsid w:val="008B2148"/>
    <w:rsid w:val="008B220C"/>
    <w:rsid w:val="008B227D"/>
    <w:rsid w:val="008B2325"/>
    <w:rsid w:val="008B2CDE"/>
    <w:rsid w:val="008B4AA6"/>
    <w:rsid w:val="008B5227"/>
    <w:rsid w:val="008B6E19"/>
    <w:rsid w:val="008B7943"/>
    <w:rsid w:val="008C22BD"/>
    <w:rsid w:val="008C3D78"/>
    <w:rsid w:val="008C42A7"/>
    <w:rsid w:val="008C6876"/>
    <w:rsid w:val="008D056B"/>
    <w:rsid w:val="008D0FE8"/>
    <w:rsid w:val="008D128A"/>
    <w:rsid w:val="008D28C1"/>
    <w:rsid w:val="008D353E"/>
    <w:rsid w:val="008D42B8"/>
    <w:rsid w:val="008D4A0D"/>
    <w:rsid w:val="008D5042"/>
    <w:rsid w:val="008D63A1"/>
    <w:rsid w:val="008D6E9C"/>
    <w:rsid w:val="008D76F5"/>
    <w:rsid w:val="008D7FEA"/>
    <w:rsid w:val="008E1FEC"/>
    <w:rsid w:val="008E2437"/>
    <w:rsid w:val="008E2DF1"/>
    <w:rsid w:val="008E2F6F"/>
    <w:rsid w:val="008E3185"/>
    <w:rsid w:val="008E52CA"/>
    <w:rsid w:val="008E5AA8"/>
    <w:rsid w:val="008E5ABA"/>
    <w:rsid w:val="008E5D56"/>
    <w:rsid w:val="008E71CD"/>
    <w:rsid w:val="008F025E"/>
    <w:rsid w:val="008F0D93"/>
    <w:rsid w:val="008F2919"/>
    <w:rsid w:val="008F2A00"/>
    <w:rsid w:val="008F361D"/>
    <w:rsid w:val="008F3764"/>
    <w:rsid w:val="008F3B6D"/>
    <w:rsid w:val="008F3FFF"/>
    <w:rsid w:val="008F5308"/>
    <w:rsid w:val="008F552C"/>
    <w:rsid w:val="008F7581"/>
    <w:rsid w:val="008F792B"/>
    <w:rsid w:val="0090000F"/>
    <w:rsid w:val="009005F8"/>
    <w:rsid w:val="00900862"/>
    <w:rsid w:val="009015CF"/>
    <w:rsid w:val="009033C1"/>
    <w:rsid w:val="0090350E"/>
    <w:rsid w:val="00903EA2"/>
    <w:rsid w:val="00903EC4"/>
    <w:rsid w:val="00903FDC"/>
    <w:rsid w:val="00904817"/>
    <w:rsid w:val="00904819"/>
    <w:rsid w:val="009055CE"/>
    <w:rsid w:val="00905951"/>
    <w:rsid w:val="0090612D"/>
    <w:rsid w:val="009064E1"/>
    <w:rsid w:val="00910538"/>
    <w:rsid w:val="00911A32"/>
    <w:rsid w:val="0091279E"/>
    <w:rsid w:val="00913201"/>
    <w:rsid w:val="00913A2B"/>
    <w:rsid w:val="00914132"/>
    <w:rsid w:val="0091756E"/>
    <w:rsid w:val="00922B89"/>
    <w:rsid w:val="00923202"/>
    <w:rsid w:val="00923956"/>
    <w:rsid w:val="00923D28"/>
    <w:rsid w:val="009241E2"/>
    <w:rsid w:val="00924BDA"/>
    <w:rsid w:val="00924D7E"/>
    <w:rsid w:val="00925253"/>
    <w:rsid w:val="00925723"/>
    <w:rsid w:val="009261B6"/>
    <w:rsid w:val="00927D0B"/>
    <w:rsid w:val="00927DE0"/>
    <w:rsid w:val="00930124"/>
    <w:rsid w:val="00930930"/>
    <w:rsid w:val="00931C2E"/>
    <w:rsid w:val="00933DB3"/>
    <w:rsid w:val="00935BF1"/>
    <w:rsid w:val="009376B3"/>
    <w:rsid w:val="009378DD"/>
    <w:rsid w:val="00937F45"/>
    <w:rsid w:val="0094185E"/>
    <w:rsid w:val="009425A9"/>
    <w:rsid w:val="009436BF"/>
    <w:rsid w:val="00943E04"/>
    <w:rsid w:val="009445F1"/>
    <w:rsid w:val="009451F5"/>
    <w:rsid w:val="0094542B"/>
    <w:rsid w:val="00945A7D"/>
    <w:rsid w:val="00945DF5"/>
    <w:rsid w:val="00945E84"/>
    <w:rsid w:val="00947CCF"/>
    <w:rsid w:val="009512E6"/>
    <w:rsid w:val="009513EA"/>
    <w:rsid w:val="00952834"/>
    <w:rsid w:val="00952982"/>
    <w:rsid w:val="00952D83"/>
    <w:rsid w:val="00953954"/>
    <w:rsid w:val="009545A9"/>
    <w:rsid w:val="00954D84"/>
    <w:rsid w:val="0095554F"/>
    <w:rsid w:val="00955B50"/>
    <w:rsid w:val="00956F08"/>
    <w:rsid w:val="00956FEF"/>
    <w:rsid w:val="00957427"/>
    <w:rsid w:val="00957A8B"/>
    <w:rsid w:val="009605CE"/>
    <w:rsid w:val="0096190E"/>
    <w:rsid w:val="00962BAC"/>
    <w:rsid w:val="009645A2"/>
    <w:rsid w:val="00964732"/>
    <w:rsid w:val="00965299"/>
    <w:rsid w:val="00965947"/>
    <w:rsid w:val="00965C3D"/>
    <w:rsid w:val="00965D56"/>
    <w:rsid w:val="0097101D"/>
    <w:rsid w:val="0097150D"/>
    <w:rsid w:val="00971BD7"/>
    <w:rsid w:val="00972414"/>
    <w:rsid w:val="00972E93"/>
    <w:rsid w:val="00973020"/>
    <w:rsid w:val="00973763"/>
    <w:rsid w:val="00973B9C"/>
    <w:rsid w:val="0097417A"/>
    <w:rsid w:val="00974427"/>
    <w:rsid w:val="009745E2"/>
    <w:rsid w:val="00975F36"/>
    <w:rsid w:val="00976159"/>
    <w:rsid w:val="00977151"/>
    <w:rsid w:val="00977F39"/>
    <w:rsid w:val="009801CB"/>
    <w:rsid w:val="0098035C"/>
    <w:rsid w:val="0098069D"/>
    <w:rsid w:val="009816AA"/>
    <w:rsid w:val="00982036"/>
    <w:rsid w:val="0098285E"/>
    <w:rsid w:val="00984895"/>
    <w:rsid w:val="009850F1"/>
    <w:rsid w:val="009851F8"/>
    <w:rsid w:val="0098590D"/>
    <w:rsid w:val="009861E5"/>
    <w:rsid w:val="00987AED"/>
    <w:rsid w:val="0099084A"/>
    <w:rsid w:val="00992F5E"/>
    <w:rsid w:val="009938C9"/>
    <w:rsid w:val="00993C2D"/>
    <w:rsid w:val="00994CBC"/>
    <w:rsid w:val="00995521"/>
    <w:rsid w:val="00995880"/>
    <w:rsid w:val="00996272"/>
    <w:rsid w:val="009966B3"/>
    <w:rsid w:val="009A1456"/>
    <w:rsid w:val="009A28B1"/>
    <w:rsid w:val="009A2D04"/>
    <w:rsid w:val="009A44D6"/>
    <w:rsid w:val="009A5ADF"/>
    <w:rsid w:val="009A6AF3"/>
    <w:rsid w:val="009A7068"/>
    <w:rsid w:val="009A747C"/>
    <w:rsid w:val="009A79A9"/>
    <w:rsid w:val="009B14F9"/>
    <w:rsid w:val="009B3BB2"/>
    <w:rsid w:val="009B3C66"/>
    <w:rsid w:val="009B4254"/>
    <w:rsid w:val="009B46C7"/>
    <w:rsid w:val="009B4B32"/>
    <w:rsid w:val="009B600C"/>
    <w:rsid w:val="009B6382"/>
    <w:rsid w:val="009B6999"/>
    <w:rsid w:val="009B7087"/>
    <w:rsid w:val="009B7295"/>
    <w:rsid w:val="009C05B4"/>
    <w:rsid w:val="009C114A"/>
    <w:rsid w:val="009C1ACF"/>
    <w:rsid w:val="009C1E2C"/>
    <w:rsid w:val="009C2D51"/>
    <w:rsid w:val="009C2DD2"/>
    <w:rsid w:val="009C334F"/>
    <w:rsid w:val="009C5356"/>
    <w:rsid w:val="009C5FC2"/>
    <w:rsid w:val="009C641E"/>
    <w:rsid w:val="009C64E2"/>
    <w:rsid w:val="009C6B7E"/>
    <w:rsid w:val="009D03E8"/>
    <w:rsid w:val="009D0468"/>
    <w:rsid w:val="009D12B3"/>
    <w:rsid w:val="009D1E5B"/>
    <w:rsid w:val="009D2A90"/>
    <w:rsid w:val="009D35BF"/>
    <w:rsid w:val="009D4051"/>
    <w:rsid w:val="009D51E2"/>
    <w:rsid w:val="009D5AE9"/>
    <w:rsid w:val="009D68D5"/>
    <w:rsid w:val="009D69EC"/>
    <w:rsid w:val="009D7868"/>
    <w:rsid w:val="009E11F9"/>
    <w:rsid w:val="009E13A6"/>
    <w:rsid w:val="009E1866"/>
    <w:rsid w:val="009E1D95"/>
    <w:rsid w:val="009E4B23"/>
    <w:rsid w:val="009E6561"/>
    <w:rsid w:val="009E6AD0"/>
    <w:rsid w:val="009E6C73"/>
    <w:rsid w:val="009E7EB3"/>
    <w:rsid w:val="009F01D0"/>
    <w:rsid w:val="009F0B06"/>
    <w:rsid w:val="009F13F5"/>
    <w:rsid w:val="009F1B02"/>
    <w:rsid w:val="009F1FEF"/>
    <w:rsid w:val="009F257E"/>
    <w:rsid w:val="009F2EA7"/>
    <w:rsid w:val="009F32ED"/>
    <w:rsid w:val="009F49D9"/>
    <w:rsid w:val="009F5780"/>
    <w:rsid w:val="009F59AC"/>
    <w:rsid w:val="00A014ED"/>
    <w:rsid w:val="00A01613"/>
    <w:rsid w:val="00A01CBC"/>
    <w:rsid w:val="00A03B0C"/>
    <w:rsid w:val="00A03B88"/>
    <w:rsid w:val="00A04581"/>
    <w:rsid w:val="00A05488"/>
    <w:rsid w:val="00A05A7B"/>
    <w:rsid w:val="00A05EA2"/>
    <w:rsid w:val="00A06BE9"/>
    <w:rsid w:val="00A07A18"/>
    <w:rsid w:val="00A07D6C"/>
    <w:rsid w:val="00A1045D"/>
    <w:rsid w:val="00A10907"/>
    <w:rsid w:val="00A112E1"/>
    <w:rsid w:val="00A11EC1"/>
    <w:rsid w:val="00A133AB"/>
    <w:rsid w:val="00A14266"/>
    <w:rsid w:val="00A147C7"/>
    <w:rsid w:val="00A14ED5"/>
    <w:rsid w:val="00A157D9"/>
    <w:rsid w:val="00A16780"/>
    <w:rsid w:val="00A16A68"/>
    <w:rsid w:val="00A21816"/>
    <w:rsid w:val="00A21FE5"/>
    <w:rsid w:val="00A22E64"/>
    <w:rsid w:val="00A22F06"/>
    <w:rsid w:val="00A240FD"/>
    <w:rsid w:val="00A2453B"/>
    <w:rsid w:val="00A24EB6"/>
    <w:rsid w:val="00A252ED"/>
    <w:rsid w:val="00A2530A"/>
    <w:rsid w:val="00A25A4C"/>
    <w:rsid w:val="00A26621"/>
    <w:rsid w:val="00A27F7A"/>
    <w:rsid w:val="00A3022D"/>
    <w:rsid w:val="00A32826"/>
    <w:rsid w:val="00A32A63"/>
    <w:rsid w:val="00A330CD"/>
    <w:rsid w:val="00A33451"/>
    <w:rsid w:val="00A35799"/>
    <w:rsid w:val="00A35E81"/>
    <w:rsid w:val="00A365F2"/>
    <w:rsid w:val="00A3678C"/>
    <w:rsid w:val="00A36D89"/>
    <w:rsid w:val="00A40407"/>
    <w:rsid w:val="00A40AC1"/>
    <w:rsid w:val="00A41631"/>
    <w:rsid w:val="00A41BCA"/>
    <w:rsid w:val="00A4211B"/>
    <w:rsid w:val="00A432FB"/>
    <w:rsid w:val="00A43633"/>
    <w:rsid w:val="00A43662"/>
    <w:rsid w:val="00A43734"/>
    <w:rsid w:val="00A437CC"/>
    <w:rsid w:val="00A441CF"/>
    <w:rsid w:val="00A443C3"/>
    <w:rsid w:val="00A455FF"/>
    <w:rsid w:val="00A47848"/>
    <w:rsid w:val="00A5128F"/>
    <w:rsid w:val="00A52B20"/>
    <w:rsid w:val="00A52E87"/>
    <w:rsid w:val="00A53926"/>
    <w:rsid w:val="00A542A9"/>
    <w:rsid w:val="00A5534D"/>
    <w:rsid w:val="00A559FC"/>
    <w:rsid w:val="00A57535"/>
    <w:rsid w:val="00A62C0B"/>
    <w:rsid w:val="00A63275"/>
    <w:rsid w:val="00A638F4"/>
    <w:rsid w:val="00A63EB7"/>
    <w:rsid w:val="00A65966"/>
    <w:rsid w:val="00A6623C"/>
    <w:rsid w:val="00A674D9"/>
    <w:rsid w:val="00A67D21"/>
    <w:rsid w:val="00A67D5D"/>
    <w:rsid w:val="00A7008C"/>
    <w:rsid w:val="00A70513"/>
    <w:rsid w:val="00A70A90"/>
    <w:rsid w:val="00A715F5"/>
    <w:rsid w:val="00A725C3"/>
    <w:rsid w:val="00A72621"/>
    <w:rsid w:val="00A7356B"/>
    <w:rsid w:val="00A75E6C"/>
    <w:rsid w:val="00A81AC0"/>
    <w:rsid w:val="00A82B50"/>
    <w:rsid w:val="00A82D71"/>
    <w:rsid w:val="00A831C7"/>
    <w:rsid w:val="00A83F46"/>
    <w:rsid w:val="00A85502"/>
    <w:rsid w:val="00A857E6"/>
    <w:rsid w:val="00A910F1"/>
    <w:rsid w:val="00A920D2"/>
    <w:rsid w:val="00A92119"/>
    <w:rsid w:val="00A9213B"/>
    <w:rsid w:val="00A93EB5"/>
    <w:rsid w:val="00A9408A"/>
    <w:rsid w:val="00A94C4C"/>
    <w:rsid w:val="00A94ED2"/>
    <w:rsid w:val="00A96D9E"/>
    <w:rsid w:val="00A9735F"/>
    <w:rsid w:val="00A97481"/>
    <w:rsid w:val="00AA03C0"/>
    <w:rsid w:val="00AA0447"/>
    <w:rsid w:val="00AA17A1"/>
    <w:rsid w:val="00AA3681"/>
    <w:rsid w:val="00AA6BB0"/>
    <w:rsid w:val="00AA6D3E"/>
    <w:rsid w:val="00AA6ED9"/>
    <w:rsid w:val="00AA7674"/>
    <w:rsid w:val="00AA7D78"/>
    <w:rsid w:val="00AB6EC4"/>
    <w:rsid w:val="00AB7451"/>
    <w:rsid w:val="00AC0D3C"/>
    <w:rsid w:val="00AC1654"/>
    <w:rsid w:val="00AC177F"/>
    <w:rsid w:val="00AC1AF6"/>
    <w:rsid w:val="00AC1CEA"/>
    <w:rsid w:val="00AC45FA"/>
    <w:rsid w:val="00AC5E78"/>
    <w:rsid w:val="00AC603E"/>
    <w:rsid w:val="00AC6F7F"/>
    <w:rsid w:val="00AC7BEE"/>
    <w:rsid w:val="00AD1A5D"/>
    <w:rsid w:val="00AD1B3A"/>
    <w:rsid w:val="00AD1E0C"/>
    <w:rsid w:val="00AD24B7"/>
    <w:rsid w:val="00AD25FA"/>
    <w:rsid w:val="00AD26A4"/>
    <w:rsid w:val="00AD329B"/>
    <w:rsid w:val="00AD3441"/>
    <w:rsid w:val="00AD49D6"/>
    <w:rsid w:val="00AE00DA"/>
    <w:rsid w:val="00AE0454"/>
    <w:rsid w:val="00AE10DB"/>
    <w:rsid w:val="00AE113F"/>
    <w:rsid w:val="00AE180D"/>
    <w:rsid w:val="00AE2BC7"/>
    <w:rsid w:val="00AE3597"/>
    <w:rsid w:val="00AE3E01"/>
    <w:rsid w:val="00AE4642"/>
    <w:rsid w:val="00AE49B5"/>
    <w:rsid w:val="00AE64A2"/>
    <w:rsid w:val="00AE6594"/>
    <w:rsid w:val="00AF0025"/>
    <w:rsid w:val="00AF029F"/>
    <w:rsid w:val="00AF0EBA"/>
    <w:rsid w:val="00AF18CA"/>
    <w:rsid w:val="00AF2FFE"/>
    <w:rsid w:val="00AF4E24"/>
    <w:rsid w:val="00AF59F9"/>
    <w:rsid w:val="00AF5A85"/>
    <w:rsid w:val="00AF61B6"/>
    <w:rsid w:val="00AF76E8"/>
    <w:rsid w:val="00AF7969"/>
    <w:rsid w:val="00B002E8"/>
    <w:rsid w:val="00B01C6F"/>
    <w:rsid w:val="00B025A5"/>
    <w:rsid w:val="00B02C53"/>
    <w:rsid w:val="00B03531"/>
    <w:rsid w:val="00B03F97"/>
    <w:rsid w:val="00B05A1E"/>
    <w:rsid w:val="00B06168"/>
    <w:rsid w:val="00B06967"/>
    <w:rsid w:val="00B06D93"/>
    <w:rsid w:val="00B0729B"/>
    <w:rsid w:val="00B0755C"/>
    <w:rsid w:val="00B0787E"/>
    <w:rsid w:val="00B10199"/>
    <w:rsid w:val="00B10D5A"/>
    <w:rsid w:val="00B11B57"/>
    <w:rsid w:val="00B12B76"/>
    <w:rsid w:val="00B13048"/>
    <w:rsid w:val="00B16A0D"/>
    <w:rsid w:val="00B17576"/>
    <w:rsid w:val="00B17C09"/>
    <w:rsid w:val="00B204A0"/>
    <w:rsid w:val="00B20A30"/>
    <w:rsid w:val="00B219D8"/>
    <w:rsid w:val="00B2235A"/>
    <w:rsid w:val="00B225B9"/>
    <w:rsid w:val="00B263F0"/>
    <w:rsid w:val="00B267D6"/>
    <w:rsid w:val="00B268A0"/>
    <w:rsid w:val="00B271C9"/>
    <w:rsid w:val="00B27C88"/>
    <w:rsid w:val="00B27F95"/>
    <w:rsid w:val="00B3168B"/>
    <w:rsid w:val="00B320CA"/>
    <w:rsid w:val="00B3367F"/>
    <w:rsid w:val="00B34568"/>
    <w:rsid w:val="00B3470D"/>
    <w:rsid w:val="00B348C5"/>
    <w:rsid w:val="00B34E2F"/>
    <w:rsid w:val="00B36476"/>
    <w:rsid w:val="00B3697D"/>
    <w:rsid w:val="00B37B40"/>
    <w:rsid w:val="00B37C4C"/>
    <w:rsid w:val="00B41023"/>
    <w:rsid w:val="00B42AB5"/>
    <w:rsid w:val="00B44CEA"/>
    <w:rsid w:val="00B4500E"/>
    <w:rsid w:val="00B462EE"/>
    <w:rsid w:val="00B50F62"/>
    <w:rsid w:val="00B528A0"/>
    <w:rsid w:val="00B531B6"/>
    <w:rsid w:val="00B53C9A"/>
    <w:rsid w:val="00B55E57"/>
    <w:rsid w:val="00B57B3A"/>
    <w:rsid w:val="00B6044D"/>
    <w:rsid w:val="00B61060"/>
    <w:rsid w:val="00B61629"/>
    <w:rsid w:val="00B61BA3"/>
    <w:rsid w:val="00B61EDB"/>
    <w:rsid w:val="00B647BA"/>
    <w:rsid w:val="00B64A2A"/>
    <w:rsid w:val="00B6516D"/>
    <w:rsid w:val="00B653FA"/>
    <w:rsid w:val="00B657E0"/>
    <w:rsid w:val="00B65D92"/>
    <w:rsid w:val="00B65DD4"/>
    <w:rsid w:val="00B664DA"/>
    <w:rsid w:val="00B6693B"/>
    <w:rsid w:val="00B66DB6"/>
    <w:rsid w:val="00B6783D"/>
    <w:rsid w:val="00B67E07"/>
    <w:rsid w:val="00B7176B"/>
    <w:rsid w:val="00B719F6"/>
    <w:rsid w:val="00B71F8A"/>
    <w:rsid w:val="00B73011"/>
    <w:rsid w:val="00B74668"/>
    <w:rsid w:val="00B74887"/>
    <w:rsid w:val="00B74C3E"/>
    <w:rsid w:val="00B75287"/>
    <w:rsid w:val="00B7645E"/>
    <w:rsid w:val="00B7647A"/>
    <w:rsid w:val="00B76572"/>
    <w:rsid w:val="00B77A58"/>
    <w:rsid w:val="00B811DE"/>
    <w:rsid w:val="00B81AF7"/>
    <w:rsid w:val="00B825BF"/>
    <w:rsid w:val="00B82BE0"/>
    <w:rsid w:val="00B832F5"/>
    <w:rsid w:val="00B837EC"/>
    <w:rsid w:val="00B83A15"/>
    <w:rsid w:val="00B83E67"/>
    <w:rsid w:val="00B83FB9"/>
    <w:rsid w:val="00B84271"/>
    <w:rsid w:val="00B842CC"/>
    <w:rsid w:val="00B84998"/>
    <w:rsid w:val="00B8580F"/>
    <w:rsid w:val="00B8632C"/>
    <w:rsid w:val="00B86573"/>
    <w:rsid w:val="00B86920"/>
    <w:rsid w:val="00B87B0A"/>
    <w:rsid w:val="00B87B3F"/>
    <w:rsid w:val="00B90302"/>
    <w:rsid w:val="00B90698"/>
    <w:rsid w:val="00B913A9"/>
    <w:rsid w:val="00B91D17"/>
    <w:rsid w:val="00B93502"/>
    <w:rsid w:val="00B9649B"/>
    <w:rsid w:val="00B96EB7"/>
    <w:rsid w:val="00B96FE4"/>
    <w:rsid w:val="00BA0D7D"/>
    <w:rsid w:val="00BA18E2"/>
    <w:rsid w:val="00BA3642"/>
    <w:rsid w:val="00BA3A23"/>
    <w:rsid w:val="00BA3F58"/>
    <w:rsid w:val="00BA52A3"/>
    <w:rsid w:val="00BA5378"/>
    <w:rsid w:val="00BA53DC"/>
    <w:rsid w:val="00BA54D1"/>
    <w:rsid w:val="00BA55A2"/>
    <w:rsid w:val="00BA6E56"/>
    <w:rsid w:val="00BA73B3"/>
    <w:rsid w:val="00BB1A5D"/>
    <w:rsid w:val="00BB394F"/>
    <w:rsid w:val="00BB3AB2"/>
    <w:rsid w:val="00BB3C37"/>
    <w:rsid w:val="00BB3EE8"/>
    <w:rsid w:val="00BB41A6"/>
    <w:rsid w:val="00BB4D76"/>
    <w:rsid w:val="00BB4E17"/>
    <w:rsid w:val="00BB6A76"/>
    <w:rsid w:val="00BB71DA"/>
    <w:rsid w:val="00BB75F9"/>
    <w:rsid w:val="00BC16CE"/>
    <w:rsid w:val="00BC2854"/>
    <w:rsid w:val="00BC290C"/>
    <w:rsid w:val="00BC36FA"/>
    <w:rsid w:val="00BC53FB"/>
    <w:rsid w:val="00BC7F0F"/>
    <w:rsid w:val="00BD12B1"/>
    <w:rsid w:val="00BD15BF"/>
    <w:rsid w:val="00BD1D3C"/>
    <w:rsid w:val="00BD2479"/>
    <w:rsid w:val="00BD25A2"/>
    <w:rsid w:val="00BD27B3"/>
    <w:rsid w:val="00BD2E75"/>
    <w:rsid w:val="00BD5BED"/>
    <w:rsid w:val="00BD611E"/>
    <w:rsid w:val="00BD7B97"/>
    <w:rsid w:val="00BD7F57"/>
    <w:rsid w:val="00BE12C9"/>
    <w:rsid w:val="00BE13F0"/>
    <w:rsid w:val="00BE16C0"/>
    <w:rsid w:val="00BE19C1"/>
    <w:rsid w:val="00BE1AEE"/>
    <w:rsid w:val="00BE2CB1"/>
    <w:rsid w:val="00BE35D3"/>
    <w:rsid w:val="00BE3C9A"/>
    <w:rsid w:val="00BE3F3B"/>
    <w:rsid w:val="00BE4F53"/>
    <w:rsid w:val="00BE5119"/>
    <w:rsid w:val="00BE53AA"/>
    <w:rsid w:val="00BE6487"/>
    <w:rsid w:val="00BE7BE2"/>
    <w:rsid w:val="00BF0817"/>
    <w:rsid w:val="00BF31F7"/>
    <w:rsid w:val="00BF3416"/>
    <w:rsid w:val="00BF3852"/>
    <w:rsid w:val="00BF396F"/>
    <w:rsid w:val="00BF5F49"/>
    <w:rsid w:val="00BF6312"/>
    <w:rsid w:val="00BF63AB"/>
    <w:rsid w:val="00C0057A"/>
    <w:rsid w:val="00C017FD"/>
    <w:rsid w:val="00C02006"/>
    <w:rsid w:val="00C0390C"/>
    <w:rsid w:val="00C03E6A"/>
    <w:rsid w:val="00C049EA"/>
    <w:rsid w:val="00C0512F"/>
    <w:rsid w:val="00C052C9"/>
    <w:rsid w:val="00C052F0"/>
    <w:rsid w:val="00C064CE"/>
    <w:rsid w:val="00C06F0A"/>
    <w:rsid w:val="00C070C0"/>
    <w:rsid w:val="00C07A3A"/>
    <w:rsid w:val="00C1068C"/>
    <w:rsid w:val="00C11376"/>
    <w:rsid w:val="00C11B48"/>
    <w:rsid w:val="00C12EB3"/>
    <w:rsid w:val="00C1334D"/>
    <w:rsid w:val="00C13691"/>
    <w:rsid w:val="00C158F3"/>
    <w:rsid w:val="00C176A8"/>
    <w:rsid w:val="00C17B44"/>
    <w:rsid w:val="00C212BE"/>
    <w:rsid w:val="00C21A07"/>
    <w:rsid w:val="00C21D5B"/>
    <w:rsid w:val="00C23215"/>
    <w:rsid w:val="00C23217"/>
    <w:rsid w:val="00C25F3A"/>
    <w:rsid w:val="00C26D5C"/>
    <w:rsid w:val="00C26FF4"/>
    <w:rsid w:val="00C300C3"/>
    <w:rsid w:val="00C3037E"/>
    <w:rsid w:val="00C309E2"/>
    <w:rsid w:val="00C31F14"/>
    <w:rsid w:val="00C325A7"/>
    <w:rsid w:val="00C34825"/>
    <w:rsid w:val="00C3498A"/>
    <w:rsid w:val="00C34FCE"/>
    <w:rsid w:val="00C35CE0"/>
    <w:rsid w:val="00C37204"/>
    <w:rsid w:val="00C37D5D"/>
    <w:rsid w:val="00C4045B"/>
    <w:rsid w:val="00C409F7"/>
    <w:rsid w:val="00C40ABC"/>
    <w:rsid w:val="00C40D01"/>
    <w:rsid w:val="00C41161"/>
    <w:rsid w:val="00C4384D"/>
    <w:rsid w:val="00C438CA"/>
    <w:rsid w:val="00C453C5"/>
    <w:rsid w:val="00C46243"/>
    <w:rsid w:val="00C4672B"/>
    <w:rsid w:val="00C46AC3"/>
    <w:rsid w:val="00C46DDA"/>
    <w:rsid w:val="00C46F3F"/>
    <w:rsid w:val="00C510CC"/>
    <w:rsid w:val="00C519B4"/>
    <w:rsid w:val="00C51AB0"/>
    <w:rsid w:val="00C55090"/>
    <w:rsid w:val="00C5573A"/>
    <w:rsid w:val="00C56365"/>
    <w:rsid w:val="00C5691F"/>
    <w:rsid w:val="00C57D02"/>
    <w:rsid w:val="00C61D5D"/>
    <w:rsid w:val="00C626D7"/>
    <w:rsid w:val="00C6273B"/>
    <w:rsid w:val="00C62A3A"/>
    <w:rsid w:val="00C63B65"/>
    <w:rsid w:val="00C6438C"/>
    <w:rsid w:val="00C65468"/>
    <w:rsid w:val="00C66040"/>
    <w:rsid w:val="00C66DA6"/>
    <w:rsid w:val="00C67DC0"/>
    <w:rsid w:val="00C70246"/>
    <w:rsid w:val="00C71E37"/>
    <w:rsid w:val="00C72CD9"/>
    <w:rsid w:val="00C73582"/>
    <w:rsid w:val="00C736EE"/>
    <w:rsid w:val="00C75594"/>
    <w:rsid w:val="00C75A2A"/>
    <w:rsid w:val="00C75B36"/>
    <w:rsid w:val="00C76336"/>
    <w:rsid w:val="00C77444"/>
    <w:rsid w:val="00C77813"/>
    <w:rsid w:val="00C80222"/>
    <w:rsid w:val="00C80258"/>
    <w:rsid w:val="00C80E8F"/>
    <w:rsid w:val="00C82435"/>
    <w:rsid w:val="00C8370E"/>
    <w:rsid w:val="00C838FC"/>
    <w:rsid w:val="00C8462B"/>
    <w:rsid w:val="00C85DB1"/>
    <w:rsid w:val="00C868F9"/>
    <w:rsid w:val="00C86A2E"/>
    <w:rsid w:val="00C87F51"/>
    <w:rsid w:val="00C87F93"/>
    <w:rsid w:val="00C90D5D"/>
    <w:rsid w:val="00C92BBA"/>
    <w:rsid w:val="00C92D0B"/>
    <w:rsid w:val="00C93262"/>
    <w:rsid w:val="00C93809"/>
    <w:rsid w:val="00C93C75"/>
    <w:rsid w:val="00C95439"/>
    <w:rsid w:val="00C9567C"/>
    <w:rsid w:val="00C96E3B"/>
    <w:rsid w:val="00C97C55"/>
    <w:rsid w:val="00CA00F7"/>
    <w:rsid w:val="00CA0145"/>
    <w:rsid w:val="00CA0772"/>
    <w:rsid w:val="00CA10E4"/>
    <w:rsid w:val="00CA1781"/>
    <w:rsid w:val="00CA2A70"/>
    <w:rsid w:val="00CA32EA"/>
    <w:rsid w:val="00CA3769"/>
    <w:rsid w:val="00CA4DE1"/>
    <w:rsid w:val="00CA4E21"/>
    <w:rsid w:val="00CA56B0"/>
    <w:rsid w:val="00CA578E"/>
    <w:rsid w:val="00CA58A0"/>
    <w:rsid w:val="00CA672F"/>
    <w:rsid w:val="00CA7029"/>
    <w:rsid w:val="00CA7306"/>
    <w:rsid w:val="00CA7A39"/>
    <w:rsid w:val="00CA7D9E"/>
    <w:rsid w:val="00CB07C6"/>
    <w:rsid w:val="00CB20AF"/>
    <w:rsid w:val="00CB2311"/>
    <w:rsid w:val="00CB2868"/>
    <w:rsid w:val="00CB3682"/>
    <w:rsid w:val="00CB373C"/>
    <w:rsid w:val="00CB46D1"/>
    <w:rsid w:val="00CB49D1"/>
    <w:rsid w:val="00CB51BC"/>
    <w:rsid w:val="00CB7723"/>
    <w:rsid w:val="00CB7A9B"/>
    <w:rsid w:val="00CC023E"/>
    <w:rsid w:val="00CC07CE"/>
    <w:rsid w:val="00CC12C2"/>
    <w:rsid w:val="00CC1756"/>
    <w:rsid w:val="00CC1A97"/>
    <w:rsid w:val="00CC30A1"/>
    <w:rsid w:val="00CC30BA"/>
    <w:rsid w:val="00CC3899"/>
    <w:rsid w:val="00CC4054"/>
    <w:rsid w:val="00CC5C71"/>
    <w:rsid w:val="00CC7F2B"/>
    <w:rsid w:val="00CC7F30"/>
    <w:rsid w:val="00CD1625"/>
    <w:rsid w:val="00CD39B0"/>
    <w:rsid w:val="00CD48E1"/>
    <w:rsid w:val="00CD4CC9"/>
    <w:rsid w:val="00CD4E1C"/>
    <w:rsid w:val="00CD5FFE"/>
    <w:rsid w:val="00CD60F2"/>
    <w:rsid w:val="00CD638E"/>
    <w:rsid w:val="00CD6B50"/>
    <w:rsid w:val="00CE0A64"/>
    <w:rsid w:val="00CE0AB7"/>
    <w:rsid w:val="00CE17CF"/>
    <w:rsid w:val="00CE4F05"/>
    <w:rsid w:val="00CE60B1"/>
    <w:rsid w:val="00CE67D9"/>
    <w:rsid w:val="00CF002F"/>
    <w:rsid w:val="00CF1335"/>
    <w:rsid w:val="00CF15CE"/>
    <w:rsid w:val="00CF4086"/>
    <w:rsid w:val="00CF4868"/>
    <w:rsid w:val="00CF533F"/>
    <w:rsid w:val="00CF61C6"/>
    <w:rsid w:val="00CF6833"/>
    <w:rsid w:val="00CF695D"/>
    <w:rsid w:val="00D00847"/>
    <w:rsid w:val="00D00ED4"/>
    <w:rsid w:val="00D023D6"/>
    <w:rsid w:val="00D024CA"/>
    <w:rsid w:val="00D03F76"/>
    <w:rsid w:val="00D04974"/>
    <w:rsid w:val="00D04EB9"/>
    <w:rsid w:val="00D0615D"/>
    <w:rsid w:val="00D0698F"/>
    <w:rsid w:val="00D07617"/>
    <w:rsid w:val="00D102DB"/>
    <w:rsid w:val="00D10706"/>
    <w:rsid w:val="00D10995"/>
    <w:rsid w:val="00D10D6E"/>
    <w:rsid w:val="00D11303"/>
    <w:rsid w:val="00D11B1B"/>
    <w:rsid w:val="00D143AD"/>
    <w:rsid w:val="00D15DD1"/>
    <w:rsid w:val="00D16701"/>
    <w:rsid w:val="00D16795"/>
    <w:rsid w:val="00D17343"/>
    <w:rsid w:val="00D17CE3"/>
    <w:rsid w:val="00D17F97"/>
    <w:rsid w:val="00D2180C"/>
    <w:rsid w:val="00D218B5"/>
    <w:rsid w:val="00D2257B"/>
    <w:rsid w:val="00D231F8"/>
    <w:rsid w:val="00D24E28"/>
    <w:rsid w:val="00D25938"/>
    <w:rsid w:val="00D2695F"/>
    <w:rsid w:val="00D26EAB"/>
    <w:rsid w:val="00D2703B"/>
    <w:rsid w:val="00D31062"/>
    <w:rsid w:val="00D314CA"/>
    <w:rsid w:val="00D323CD"/>
    <w:rsid w:val="00D32E29"/>
    <w:rsid w:val="00D333EF"/>
    <w:rsid w:val="00D33774"/>
    <w:rsid w:val="00D33B57"/>
    <w:rsid w:val="00D3495F"/>
    <w:rsid w:val="00D36818"/>
    <w:rsid w:val="00D36AB6"/>
    <w:rsid w:val="00D37200"/>
    <w:rsid w:val="00D409D9"/>
    <w:rsid w:val="00D4125A"/>
    <w:rsid w:val="00D423CC"/>
    <w:rsid w:val="00D42550"/>
    <w:rsid w:val="00D426B6"/>
    <w:rsid w:val="00D42DF6"/>
    <w:rsid w:val="00D43063"/>
    <w:rsid w:val="00D44D7E"/>
    <w:rsid w:val="00D455F1"/>
    <w:rsid w:val="00D45AC8"/>
    <w:rsid w:val="00D46DE5"/>
    <w:rsid w:val="00D47933"/>
    <w:rsid w:val="00D502B2"/>
    <w:rsid w:val="00D515AD"/>
    <w:rsid w:val="00D51729"/>
    <w:rsid w:val="00D5376E"/>
    <w:rsid w:val="00D54BA7"/>
    <w:rsid w:val="00D55618"/>
    <w:rsid w:val="00D56855"/>
    <w:rsid w:val="00D5767D"/>
    <w:rsid w:val="00D576E4"/>
    <w:rsid w:val="00D57F27"/>
    <w:rsid w:val="00D60657"/>
    <w:rsid w:val="00D6073B"/>
    <w:rsid w:val="00D6075F"/>
    <w:rsid w:val="00D612AE"/>
    <w:rsid w:val="00D613AD"/>
    <w:rsid w:val="00D61AA9"/>
    <w:rsid w:val="00D628D1"/>
    <w:rsid w:val="00D62AA5"/>
    <w:rsid w:val="00D62BD8"/>
    <w:rsid w:val="00D62F23"/>
    <w:rsid w:val="00D640DD"/>
    <w:rsid w:val="00D6530C"/>
    <w:rsid w:val="00D66362"/>
    <w:rsid w:val="00D67F77"/>
    <w:rsid w:val="00D700D3"/>
    <w:rsid w:val="00D70760"/>
    <w:rsid w:val="00D71CFD"/>
    <w:rsid w:val="00D7239E"/>
    <w:rsid w:val="00D723D6"/>
    <w:rsid w:val="00D733DD"/>
    <w:rsid w:val="00D73409"/>
    <w:rsid w:val="00D74524"/>
    <w:rsid w:val="00D75D95"/>
    <w:rsid w:val="00D762EE"/>
    <w:rsid w:val="00D76851"/>
    <w:rsid w:val="00D76A49"/>
    <w:rsid w:val="00D806B2"/>
    <w:rsid w:val="00D8085D"/>
    <w:rsid w:val="00D812A3"/>
    <w:rsid w:val="00D819A8"/>
    <w:rsid w:val="00D823FE"/>
    <w:rsid w:val="00D82401"/>
    <w:rsid w:val="00D82B6D"/>
    <w:rsid w:val="00D832FF"/>
    <w:rsid w:val="00D83507"/>
    <w:rsid w:val="00D836FC"/>
    <w:rsid w:val="00D83B1A"/>
    <w:rsid w:val="00D83CD6"/>
    <w:rsid w:val="00D844F8"/>
    <w:rsid w:val="00D8474C"/>
    <w:rsid w:val="00D85810"/>
    <w:rsid w:val="00D85ADD"/>
    <w:rsid w:val="00D85E1C"/>
    <w:rsid w:val="00D86126"/>
    <w:rsid w:val="00D8638B"/>
    <w:rsid w:val="00D86796"/>
    <w:rsid w:val="00D86931"/>
    <w:rsid w:val="00D86E1C"/>
    <w:rsid w:val="00D877F7"/>
    <w:rsid w:val="00D9145F"/>
    <w:rsid w:val="00D9450F"/>
    <w:rsid w:val="00D94D36"/>
    <w:rsid w:val="00D95B13"/>
    <w:rsid w:val="00D95D00"/>
    <w:rsid w:val="00D972AA"/>
    <w:rsid w:val="00DA0430"/>
    <w:rsid w:val="00DA06D8"/>
    <w:rsid w:val="00DA0AB3"/>
    <w:rsid w:val="00DA1ACF"/>
    <w:rsid w:val="00DA2F65"/>
    <w:rsid w:val="00DA35AF"/>
    <w:rsid w:val="00DA3F90"/>
    <w:rsid w:val="00DA435F"/>
    <w:rsid w:val="00DA4FD8"/>
    <w:rsid w:val="00DA4FDD"/>
    <w:rsid w:val="00DA569C"/>
    <w:rsid w:val="00DA5ED0"/>
    <w:rsid w:val="00DA6759"/>
    <w:rsid w:val="00DB0E62"/>
    <w:rsid w:val="00DB1E92"/>
    <w:rsid w:val="00DB20E4"/>
    <w:rsid w:val="00DB2B10"/>
    <w:rsid w:val="00DB3247"/>
    <w:rsid w:val="00DB420E"/>
    <w:rsid w:val="00DC0539"/>
    <w:rsid w:val="00DC1C22"/>
    <w:rsid w:val="00DC1D0A"/>
    <w:rsid w:val="00DC2A22"/>
    <w:rsid w:val="00DC2CD4"/>
    <w:rsid w:val="00DC30F2"/>
    <w:rsid w:val="00DC3233"/>
    <w:rsid w:val="00DC3C94"/>
    <w:rsid w:val="00DC5145"/>
    <w:rsid w:val="00DC684B"/>
    <w:rsid w:val="00DC76FA"/>
    <w:rsid w:val="00DD0946"/>
    <w:rsid w:val="00DD0F30"/>
    <w:rsid w:val="00DD11F3"/>
    <w:rsid w:val="00DD4ED3"/>
    <w:rsid w:val="00DD642F"/>
    <w:rsid w:val="00DD7862"/>
    <w:rsid w:val="00DE02B3"/>
    <w:rsid w:val="00DE16A6"/>
    <w:rsid w:val="00DE1D8E"/>
    <w:rsid w:val="00DE2060"/>
    <w:rsid w:val="00DE26AC"/>
    <w:rsid w:val="00DE36E2"/>
    <w:rsid w:val="00DE393A"/>
    <w:rsid w:val="00DE3989"/>
    <w:rsid w:val="00DE444F"/>
    <w:rsid w:val="00DE4F72"/>
    <w:rsid w:val="00DE71DD"/>
    <w:rsid w:val="00DE79ED"/>
    <w:rsid w:val="00DE7CA5"/>
    <w:rsid w:val="00DF28EA"/>
    <w:rsid w:val="00DF2C9B"/>
    <w:rsid w:val="00DF3F46"/>
    <w:rsid w:val="00DF42F6"/>
    <w:rsid w:val="00DF59A1"/>
    <w:rsid w:val="00DF5E13"/>
    <w:rsid w:val="00DF66FE"/>
    <w:rsid w:val="00DF71EE"/>
    <w:rsid w:val="00E0002C"/>
    <w:rsid w:val="00E0049A"/>
    <w:rsid w:val="00E016BD"/>
    <w:rsid w:val="00E033A2"/>
    <w:rsid w:val="00E03831"/>
    <w:rsid w:val="00E0427F"/>
    <w:rsid w:val="00E05A6F"/>
    <w:rsid w:val="00E05ACB"/>
    <w:rsid w:val="00E05AD0"/>
    <w:rsid w:val="00E06900"/>
    <w:rsid w:val="00E07428"/>
    <w:rsid w:val="00E07450"/>
    <w:rsid w:val="00E07E70"/>
    <w:rsid w:val="00E105F2"/>
    <w:rsid w:val="00E10D31"/>
    <w:rsid w:val="00E11947"/>
    <w:rsid w:val="00E11C07"/>
    <w:rsid w:val="00E13F15"/>
    <w:rsid w:val="00E13F76"/>
    <w:rsid w:val="00E14612"/>
    <w:rsid w:val="00E15368"/>
    <w:rsid w:val="00E16696"/>
    <w:rsid w:val="00E16C32"/>
    <w:rsid w:val="00E16DF1"/>
    <w:rsid w:val="00E200B6"/>
    <w:rsid w:val="00E20582"/>
    <w:rsid w:val="00E208DF"/>
    <w:rsid w:val="00E21101"/>
    <w:rsid w:val="00E21767"/>
    <w:rsid w:val="00E224E7"/>
    <w:rsid w:val="00E23834"/>
    <w:rsid w:val="00E240E5"/>
    <w:rsid w:val="00E25AB5"/>
    <w:rsid w:val="00E26197"/>
    <w:rsid w:val="00E2621D"/>
    <w:rsid w:val="00E262A6"/>
    <w:rsid w:val="00E30296"/>
    <w:rsid w:val="00E30350"/>
    <w:rsid w:val="00E30666"/>
    <w:rsid w:val="00E31279"/>
    <w:rsid w:val="00E31FBC"/>
    <w:rsid w:val="00E334A6"/>
    <w:rsid w:val="00E343BC"/>
    <w:rsid w:val="00E34475"/>
    <w:rsid w:val="00E346AA"/>
    <w:rsid w:val="00E35512"/>
    <w:rsid w:val="00E36DF2"/>
    <w:rsid w:val="00E36F6B"/>
    <w:rsid w:val="00E401C0"/>
    <w:rsid w:val="00E40329"/>
    <w:rsid w:val="00E414C4"/>
    <w:rsid w:val="00E4314C"/>
    <w:rsid w:val="00E441D4"/>
    <w:rsid w:val="00E44525"/>
    <w:rsid w:val="00E446E0"/>
    <w:rsid w:val="00E44BF7"/>
    <w:rsid w:val="00E456FA"/>
    <w:rsid w:val="00E45E33"/>
    <w:rsid w:val="00E45F75"/>
    <w:rsid w:val="00E460E5"/>
    <w:rsid w:val="00E461F0"/>
    <w:rsid w:val="00E46CD3"/>
    <w:rsid w:val="00E5053B"/>
    <w:rsid w:val="00E518AB"/>
    <w:rsid w:val="00E5259A"/>
    <w:rsid w:val="00E52B28"/>
    <w:rsid w:val="00E52BDD"/>
    <w:rsid w:val="00E5302D"/>
    <w:rsid w:val="00E544D4"/>
    <w:rsid w:val="00E55B1C"/>
    <w:rsid w:val="00E55D29"/>
    <w:rsid w:val="00E5610F"/>
    <w:rsid w:val="00E579FE"/>
    <w:rsid w:val="00E62995"/>
    <w:rsid w:val="00E6309E"/>
    <w:rsid w:val="00E63D71"/>
    <w:rsid w:val="00E63FE1"/>
    <w:rsid w:val="00E64504"/>
    <w:rsid w:val="00E64702"/>
    <w:rsid w:val="00E654FB"/>
    <w:rsid w:val="00E655B5"/>
    <w:rsid w:val="00E65F07"/>
    <w:rsid w:val="00E65FE1"/>
    <w:rsid w:val="00E66706"/>
    <w:rsid w:val="00E67546"/>
    <w:rsid w:val="00E67B93"/>
    <w:rsid w:val="00E67BB1"/>
    <w:rsid w:val="00E71517"/>
    <w:rsid w:val="00E719F8"/>
    <w:rsid w:val="00E73710"/>
    <w:rsid w:val="00E738EE"/>
    <w:rsid w:val="00E74157"/>
    <w:rsid w:val="00E74901"/>
    <w:rsid w:val="00E75370"/>
    <w:rsid w:val="00E7541D"/>
    <w:rsid w:val="00E763A1"/>
    <w:rsid w:val="00E76997"/>
    <w:rsid w:val="00E76E6C"/>
    <w:rsid w:val="00E7734A"/>
    <w:rsid w:val="00E776A9"/>
    <w:rsid w:val="00E77720"/>
    <w:rsid w:val="00E807C8"/>
    <w:rsid w:val="00E81133"/>
    <w:rsid w:val="00E81DF3"/>
    <w:rsid w:val="00E827D5"/>
    <w:rsid w:val="00E83A2A"/>
    <w:rsid w:val="00E83F88"/>
    <w:rsid w:val="00E845EA"/>
    <w:rsid w:val="00E84DD5"/>
    <w:rsid w:val="00E84EA8"/>
    <w:rsid w:val="00E855A3"/>
    <w:rsid w:val="00E85B04"/>
    <w:rsid w:val="00E8619C"/>
    <w:rsid w:val="00E86258"/>
    <w:rsid w:val="00E8691D"/>
    <w:rsid w:val="00E86F6E"/>
    <w:rsid w:val="00E87CD0"/>
    <w:rsid w:val="00E92063"/>
    <w:rsid w:val="00E9459D"/>
    <w:rsid w:val="00E94CBE"/>
    <w:rsid w:val="00E9654C"/>
    <w:rsid w:val="00E975B1"/>
    <w:rsid w:val="00EA184B"/>
    <w:rsid w:val="00EA2138"/>
    <w:rsid w:val="00EA2508"/>
    <w:rsid w:val="00EA2DB5"/>
    <w:rsid w:val="00EA3731"/>
    <w:rsid w:val="00EA3C18"/>
    <w:rsid w:val="00EA43CB"/>
    <w:rsid w:val="00EA464B"/>
    <w:rsid w:val="00EA470D"/>
    <w:rsid w:val="00EA488A"/>
    <w:rsid w:val="00EA5615"/>
    <w:rsid w:val="00EA5CBE"/>
    <w:rsid w:val="00EB06A5"/>
    <w:rsid w:val="00EB19D4"/>
    <w:rsid w:val="00EB2E38"/>
    <w:rsid w:val="00EB67DD"/>
    <w:rsid w:val="00EB6E20"/>
    <w:rsid w:val="00EC0497"/>
    <w:rsid w:val="00EC09FD"/>
    <w:rsid w:val="00EC0A32"/>
    <w:rsid w:val="00EC1202"/>
    <w:rsid w:val="00EC1445"/>
    <w:rsid w:val="00EC15AC"/>
    <w:rsid w:val="00EC1D63"/>
    <w:rsid w:val="00EC20EF"/>
    <w:rsid w:val="00EC2492"/>
    <w:rsid w:val="00EC2EBF"/>
    <w:rsid w:val="00EC3B2E"/>
    <w:rsid w:val="00EC40C8"/>
    <w:rsid w:val="00EC5A7A"/>
    <w:rsid w:val="00EC5E71"/>
    <w:rsid w:val="00EC62C7"/>
    <w:rsid w:val="00EC6623"/>
    <w:rsid w:val="00EC6F7C"/>
    <w:rsid w:val="00EC7A3B"/>
    <w:rsid w:val="00ED0EE7"/>
    <w:rsid w:val="00ED112D"/>
    <w:rsid w:val="00ED18F9"/>
    <w:rsid w:val="00ED270C"/>
    <w:rsid w:val="00ED2E5C"/>
    <w:rsid w:val="00ED41CD"/>
    <w:rsid w:val="00ED5533"/>
    <w:rsid w:val="00ED77FC"/>
    <w:rsid w:val="00EE068E"/>
    <w:rsid w:val="00EE0A54"/>
    <w:rsid w:val="00EE0FEC"/>
    <w:rsid w:val="00EE1C91"/>
    <w:rsid w:val="00EE27AC"/>
    <w:rsid w:val="00EE3192"/>
    <w:rsid w:val="00EE3FAF"/>
    <w:rsid w:val="00EE48D4"/>
    <w:rsid w:val="00EE48ED"/>
    <w:rsid w:val="00EE4971"/>
    <w:rsid w:val="00EE5919"/>
    <w:rsid w:val="00EE6A42"/>
    <w:rsid w:val="00EE70D8"/>
    <w:rsid w:val="00EE7290"/>
    <w:rsid w:val="00EE76FC"/>
    <w:rsid w:val="00EF0286"/>
    <w:rsid w:val="00EF0FDD"/>
    <w:rsid w:val="00EF23EC"/>
    <w:rsid w:val="00EF491B"/>
    <w:rsid w:val="00EF5C33"/>
    <w:rsid w:val="00EF6AC2"/>
    <w:rsid w:val="00EF6DB3"/>
    <w:rsid w:val="00EF7372"/>
    <w:rsid w:val="00F0004D"/>
    <w:rsid w:val="00F0208F"/>
    <w:rsid w:val="00F025E3"/>
    <w:rsid w:val="00F02B7B"/>
    <w:rsid w:val="00F03367"/>
    <w:rsid w:val="00F03E43"/>
    <w:rsid w:val="00F0417A"/>
    <w:rsid w:val="00F054A2"/>
    <w:rsid w:val="00F05D4B"/>
    <w:rsid w:val="00F05EBF"/>
    <w:rsid w:val="00F05FD8"/>
    <w:rsid w:val="00F06552"/>
    <w:rsid w:val="00F07402"/>
    <w:rsid w:val="00F0741B"/>
    <w:rsid w:val="00F10129"/>
    <w:rsid w:val="00F103A7"/>
    <w:rsid w:val="00F12D43"/>
    <w:rsid w:val="00F12DB8"/>
    <w:rsid w:val="00F13233"/>
    <w:rsid w:val="00F14921"/>
    <w:rsid w:val="00F15479"/>
    <w:rsid w:val="00F158AB"/>
    <w:rsid w:val="00F159A8"/>
    <w:rsid w:val="00F163D8"/>
    <w:rsid w:val="00F16462"/>
    <w:rsid w:val="00F1696F"/>
    <w:rsid w:val="00F17E25"/>
    <w:rsid w:val="00F20FF3"/>
    <w:rsid w:val="00F2170D"/>
    <w:rsid w:val="00F21D29"/>
    <w:rsid w:val="00F226D9"/>
    <w:rsid w:val="00F23D40"/>
    <w:rsid w:val="00F2478F"/>
    <w:rsid w:val="00F24DD0"/>
    <w:rsid w:val="00F26030"/>
    <w:rsid w:val="00F27320"/>
    <w:rsid w:val="00F279BF"/>
    <w:rsid w:val="00F27DC4"/>
    <w:rsid w:val="00F31499"/>
    <w:rsid w:val="00F32515"/>
    <w:rsid w:val="00F333C7"/>
    <w:rsid w:val="00F3423C"/>
    <w:rsid w:val="00F348C6"/>
    <w:rsid w:val="00F348FD"/>
    <w:rsid w:val="00F35F11"/>
    <w:rsid w:val="00F37A68"/>
    <w:rsid w:val="00F41277"/>
    <w:rsid w:val="00F41D3C"/>
    <w:rsid w:val="00F42A21"/>
    <w:rsid w:val="00F43B52"/>
    <w:rsid w:val="00F44930"/>
    <w:rsid w:val="00F503A2"/>
    <w:rsid w:val="00F50BF4"/>
    <w:rsid w:val="00F55F1E"/>
    <w:rsid w:val="00F57189"/>
    <w:rsid w:val="00F572D2"/>
    <w:rsid w:val="00F57731"/>
    <w:rsid w:val="00F578B3"/>
    <w:rsid w:val="00F579B8"/>
    <w:rsid w:val="00F60817"/>
    <w:rsid w:val="00F60A8E"/>
    <w:rsid w:val="00F620F8"/>
    <w:rsid w:val="00F62F08"/>
    <w:rsid w:val="00F62F3F"/>
    <w:rsid w:val="00F634FD"/>
    <w:rsid w:val="00F63D72"/>
    <w:rsid w:val="00F64E2C"/>
    <w:rsid w:val="00F655A6"/>
    <w:rsid w:val="00F66500"/>
    <w:rsid w:val="00F668BE"/>
    <w:rsid w:val="00F66F80"/>
    <w:rsid w:val="00F67355"/>
    <w:rsid w:val="00F6741C"/>
    <w:rsid w:val="00F71C1F"/>
    <w:rsid w:val="00F73970"/>
    <w:rsid w:val="00F7504F"/>
    <w:rsid w:val="00F75D7B"/>
    <w:rsid w:val="00F762B0"/>
    <w:rsid w:val="00F80ABD"/>
    <w:rsid w:val="00F82FE5"/>
    <w:rsid w:val="00F84751"/>
    <w:rsid w:val="00F85E10"/>
    <w:rsid w:val="00F86551"/>
    <w:rsid w:val="00F8679D"/>
    <w:rsid w:val="00F86D82"/>
    <w:rsid w:val="00F872BC"/>
    <w:rsid w:val="00F87CFB"/>
    <w:rsid w:val="00F925A6"/>
    <w:rsid w:val="00F92E70"/>
    <w:rsid w:val="00F94456"/>
    <w:rsid w:val="00F94910"/>
    <w:rsid w:val="00F94DA5"/>
    <w:rsid w:val="00F94FB4"/>
    <w:rsid w:val="00F96A6F"/>
    <w:rsid w:val="00F96E86"/>
    <w:rsid w:val="00F97017"/>
    <w:rsid w:val="00F97EB8"/>
    <w:rsid w:val="00FA00F5"/>
    <w:rsid w:val="00FA01F4"/>
    <w:rsid w:val="00FA0F57"/>
    <w:rsid w:val="00FA0FA7"/>
    <w:rsid w:val="00FA1081"/>
    <w:rsid w:val="00FA3924"/>
    <w:rsid w:val="00FA43C2"/>
    <w:rsid w:val="00FA4DBE"/>
    <w:rsid w:val="00FA6064"/>
    <w:rsid w:val="00FA6616"/>
    <w:rsid w:val="00FA6C27"/>
    <w:rsid w:val="00FA700B"/>
    <w:rsid w:val="00FA7167"/>
    <w:rsid w:val="00FA7602"/>
    <w:rsid w:val="00FB0E92"/>
    <w:rsid w:val="00FB125C"/>
    <w:rsid w:val="00FB15F4"/>
    <w:rsid w:val="00FB1B07"/>
    <w:rsid w:val="00FB2281"/>
    <w:rsid w:val="00FB507A"/>
    <w:rsid w:val="00FB7CAD"/>
    <w:rsid w:val="00FC18CF"/>
    <w:rsid w:val="00FC1E17"/>
    <w:rsid w:val="00FC24E5"/>
    <w:rsid w:val="00FC3C89"/>
    <w:rsid w:val="00FC3EB4"/>
    <w:rsid w:val="00FC3F9A"/>
    <w:rsid w:val="00FC417A"/>
    <w:rsid w:val="00FC4293"/>
    <w:rsid w:val="00FC4AD8"/>
    <w:rsid w:val="00FC4EB6"/>
    <w:rsid w:val="00FC4F0E"/>
    <w:rsid w:val="00FC54FF"/>
    <w:rsid w:val="00FC622F"/>
    <w:rsid w:val="00FC6CD4"/>
    <w:rsid w:val="00FD1C02"/>
    <w:rsid w:val="00FD3CAA"/>
    <w:rsid w:val="00FD4292"/>
    <w:rsid w:val="00FD481A"/>
    <w:rsid w:val="00FD6EF8"/>
    <w:rsid w:val="00FD7E5A"/>
    <w:rsid w:val="00FE0F9B"/>
    <w:rsid w:val="00FE1E5F"/>
    <w:rsid w:val="00FE261B"/>
    <w:rsid w:val="00FE3BB2"/>
    <w:rsid w:val="00FE3C77"/>
    <w:rsid w:val="00FE4845"/>
    <w:rsid w:val="00FE519D"/>
    <w:rsid w:val="00FE55DE"/>
    <w:rsid w:val="00FE5E19"/>
    <w:rsid w:val="00FE6E77"/>
    <w:rsid w:val="00FE6F85"/>
    <w:rsid w:val="00FF05B9"/>
    <w:rsid w:val="00FF1A1B"/>
    <w:rsid w:val="00FF1AF3"/>
    <w:rsid w:val="00FF25D4"/>
    <w:rsid w:val="00FF2FA8"/>
    <w:rsid w:val="00FF4DEA"/>
    <w:rsid w:val="00FF7177"/>
    <w:rsid w:val="00FF7269"/>
    <w:rsid w:val="00FF79E5"/>
    <w:rsid w:val="00FF7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70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707C"/>
    <w:rPr>
      <w:sz w:val="20"/>
      <w:szCs w:val="20"/>
    </w:rPr>
  </w:style>
  <w:style w:type="character" w:styleId="Refdenotaalpie">
    <w:name w:val="footnote reference"/>
    <w:basedOn w:val="Fuentedeprrafopredeter"/>
    <w:uiPriority w:val="99"/>
    <w:semiHidden/>
    <w:unhideWhenUsed/>
    <w:rsid w:val="0053707C"/>
    <w:rPr>
      <w:vertAlign w:val="superscript"/>
    </w:rPr>
  </w:style>
  <w:style w:type="character" w:styleId="Hipervnculo">
    <w:name w:val="Hyperlink"/>
    <w:basedOn w:val="Fuentedeprrafopredeter"/>
    <w:uiPriority w:val="99"/>
    <w:unhideWhenUsed/>
    <w:rsid w:val="00880453"/>
    <w:rPr>
      <w:color w:val="0563C1" w:themeColor="hyperlink"/>
      <w:u w:val="single"/>
    </w:rPr>
  </w:style>
  <w:style w:type="paragraph" w:styleId="Encabezado">
    <w:name w:val="header"/>
    <w:basedOn w:val="Normal"/>
    <w:link w:val="EncabezadoCar"/>
    <w:uiPriority w:val="99"/>
    <w:unhideWhenUsed/>
    <w:rsid w:val="00DA435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A435F"/>
  </w:style>
  <w:style w:type="paragraph" w:styleId="Piedepgina">
    <w:name w:val="footer"/>
    <w:basedOn w:val="Normal"/>
    <w:link w:val="PiedepginaCar"/>
    <w:uiPriority w:val="99"/>
    <w:unhideWhenUsed/>
    <w:rsid w:val="00DA435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A435F"/>
  </w:style>
  <w:style w:type="paragraph" w:customStyle="1" w:styleId="Normal1">
    <w:name w:val="Normal1"/>
    <w:basedOn w:val="Normal"/>
    <w:rsid w:val="004854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2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E3E"/>
    <w:rPr>
      <w:rFonts w:ascii="Tahoma" w:hAnsi="Tahoma" w:cs="Tahoma"/>
      <w:sz w:val="16"/>
      <w:szCs w:val="16"/>
    </w:rPr>
  </w:style>
  <w:style w:type="paragraph" w:customStyle="1" w:styleId="titulo">
    <w:name w:val="titulo"/>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D844F8"/>
  </w:style>
  <w:style w:type="character" w:customStyle="1" w:styleId="separador">
    <w:name w:val="separador"/>
    <w:basedOn w:val="Fuentedeprrafopredeter"/>
    <w:rsid w:val="00D844F8"/>
  </w:style>
  <w:style w:type="character" w:customStyle="1" w:styleId="subtitulo">
    <w:name w:val="subtitulo"/>
    <w:basedOn w:val="Fuentedeprrafopredeter"/>
    <w:rsid w:val="00D844F8"/>
  </w:style>
  <w:style w:type="paragraph" w:customStyle="1" w:styleId="autores">
    <w:name w:val="autores"/>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D84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70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707C"/>
    <w:rPr>
      <w:sz w:val="20"/>
      <w:szCs w:val="20"/>
    </w:rPr>
  </w:style>
  <w:style w:type="character" w:styleId="Refdenotaalpie">
    <w:name w:val="footnote reference"/>
    <w:basedOn w:val="Fuentedeprrafopredeter"/>
    <w:uiPriority w:val="99"/>
    <w:semiHidden/>
    <w:unhideWhenUsed/>
    <w:rsid w:val="0053707C"/>
    <w:rPr>
      <w:vertAlign w:val="superscript"/>
    </w:rPr>
  </w:style>
  <w:style w:type="character" w:styleId="Hipervnculo">
    <w:name w:val="Hyperlink"/>
    <w:basedOn w:val="Fuentedeprrafopredeter"/>
    <w:uiPriority w:val="99"/>
    <w:unhideWhenUsed/>
    <w:rsid w:val="00880453"/>
    <w:rPr>
      <w:color w:val="0563C1" w:themeColor="hyperlink"/>
      <w:u w:val="single"/>
    </w:rPr>
  </w:style>
  <w:style w:type="paragraph" w:styleId="Encabezado">
    <w:name w:val="header"/>
    <w:basedOn w:val="Normal"/>
    <w:link w:val="EncabezadoCar"/>
    <w:uiPriority w:val="99"/>
    <w:unhideWhenUsed/>
    <w:rsid w:val="00DA435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A435F"/>
  </w:style>
  <w:style w:type="paragraph" w:styleId="Piedepgina">
    <w:name w:val="footer"/>
    <w:basedOn w:val="Normal"/>
    <w:link w:val="PiedepginaCar"/>
    <w:uiPriority w:val="99"/>
    <w:unhideWhenUsed/>
    <w:rsid w:val="00DA435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A435F"/>
  </w:style>
  <w:style w:type="paragraph" w:customStyle="1" w:styleId="Normal1">
    <w:name w:val="Normal1"/>
    <w:basedOn w:val="Normal"/>
    <w:rsid w:val="004854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2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E3E"/>
    <w:rPr>
      <w:rFonts w:ascii="Tahoma" w:hAnsi="Tahoma" w:cs="Tahoma"/>
      <w:sz w:val="16"/>
      <w:szCs w:val="16"/>
    </w:rPr>
  </w:style>
  <w:style w:type="paragraph" w:customStyle="1" w:styleId="titulo">
    <w:name w:val="titulo"/>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D844F8"/>
  </w:style>
  <w:style w:type="character" w:customStyle="1" w:styleId="separador">
    <w:name w:val="separador"/>
    <w:basedOn w:val="Fuentedeprrafopredeter"/>
    <w:rsid w:val="00D844F8"/>
  </w:style>
  <w:style w:type="character" w:customStyle="1" w:styleId="subtitulo">
    <w:name w:val="subtitulo"/>
    <w:basedOn w:val="Fuentedeprrafopredeter"/>
    <w:rsid w:val="00D844F8"/>
  </w:style>
  <w:style w:type="paragraph" w:customStyle="1" w:styleId="autores">
    <w:name w:val="autores"/>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D844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D8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9534">
      <w:bodyDiv w:val="1"/>
      <w:marLeft w:val="0"/>
      <w:marRight w:val="0"/>
      <w:marTop w:val="0"/>
      <w:marBottom w:val="0"/>
      <w:divBdr>
        <w:top w:val="none" w:sz="0" w:space="0" w:color="auto"/>
        <w:left w:val="none" w:sz="0" w:space="0" w:color="auto"/>
        <w:bottom w:val="none" w:sz="0" w:space="0" w:color="auto"/>
        <w:right w:val="none" w:sz="0" w:space="0" w:color="auto"/>
      </w:divBdr>
    </w:div>
    <w:div w:id="534970862">
      <w:bodyDiv w:val="1"/>
      <w:marLeft w:val="0"/>
      <w:marRight w:val="0"/>
      <w:marTop w:val="0"/>
      <w:marBottom w:val="0"/>
      <w:divBdr>
        <w:top w:val="none" w:sz="0" w:space="0" w:color="auto"/>
        <w:left w:val="none" w:sz="0" w:space="0" w:color="auto"/>
        <w:bottom w:val="none" w:sz="0" w:space="0" w:color="auto"/>
        <w:right w:val="none" w:sz="0" w:space="0" w:color="auto"/>
      </w:divBdr>
    </w:div>
    <w:div w:id="777796392">
      <w:bodyDiv w:val="1"/>
      <w:marLeft w:val="0"/>
      <w:marRight w:val="0"/>
      <w:marTop w:val="0"/>
      <w:marBottom w:val="0"/>
      <w:divBdr>
        <w:top w:val="none" w:sz="0" w:space="0" w:color="auto"/>
        <w:left w:val="none" w:sz="0" w:space="0" w:color="auto"/>
        <w:bottom w:val="none" w:sz="0" w:space="0" w:color="auto"/>
        <w:right w:val="none" w:sz="0" w:space="0" w:color="auto"/>
      </w:divBdr>
    </w:div>
    <w:div w:id="855120507">
      <w:bodyDiv w:val="1"/>
      <w:marLeft w:val="0"/>
      <w:marRight w:val="0"/>
      <w:marTop w:val="0"/>
      <w:marBottom w:val="0"/>
      <w:divBdr>
        <w:top w:val="none" w:sz="0" w:space="0" w:color="auto"/>
        <w:left w:val="none" w:sz="0" w:space="0" w:color="auto"/>
        <w:bottom w:val="none" w:sz="0" w:space="0" w:color="auto"/>
        <w:right w:val="none" w:sz="0" w:space="0" w:color="auto"/>
      </w:divBdr>
    </w:div>
    <w:div w:id="1098985434">
      <w:bodyDiv w:val="1"/>
      <w:marLeft w:val="0"/>
      <w:marRight w:val="0"/>
      <w:marTop w:val="0"/>
      <w:marBottom w:val="0"/>
      <w:divBdr>
        <w:top w:val="none" w:sz="0" w:space="0" w:color="auto"/>
        <w:left w:val="none" w:sz="0" w:space="0" w:color="auto"/>
        <w:bottom w:val="none" w:sz="0" w:space="0" w:color="auto"/>
        <w:right w:val="none" w:sz="0" w:space="0" w:color="auto"/>
      </w:divBdr>
    </w:div>
    <w:div w:id="1226061967">
      <w:bodyDiv w:val="1"/>
      <w:marLeft w:val="0"/>
      <w:marRight w:val="0"/>
      <w:marTop w:val="0"/>
      <w:marBottom w:val="0"/>
      <w:divBdr>
        <w:top w:val="none" w:sz="0" w:space="0" w:color="auto"/>
        <w:left w:val="none" w:sz="0" w:space="0" w:color="auto"/>
        <w:bottom w:val="none" w:sz="0" w:space="0" w:color="auto"/>
        <w:right w:val="none" w:sz="0" w:space="0" w:color="auto"/>
      </w:divBdr>
    </w:div>
    <w:div w:id="1238901953">
      <w:bodyDiv w:val="1"/>
      <w:marLeft w:val="0"/>
      <w:marRight w:val="0"/>
      <w:marTop w:val="0"/>
      <w:marBottom w:val="0"/>
      <w:divBdr>
        <w:top w:val="none" w:sz="0" w:space="0" w:color="auto"/>
        <w:left w:val="none" w:sz="0" w:space="0" w:color="auto"/>
        <w:bottom w:val="none" w:sz="0" w:space="0" w:color="auto"/>
        <w:right w:val="none" w:sz="0" w:space="0" w:color="auto"/>
      </w:divBdr>
    </w:div>
    <w:div w:id="1402750458">
      <w:bodyDiv w:val="1"/>
      <w:marLeft w:val="0"/>
      <w:marRight w:val="0"/>
      <w:marTop w:val="0"/>
      <w:marBottom w:val="0"/>
      <w:divBdr>
        <w:top w:val="none" w:sz="0" w:space="0" w:color="auto"/>
        <w:left w:val="none" w:sz="0" w:space="0" w:color="auto"/>
        <w:bottom w:val="none" w:sz="0" w:space="0" w:color="auto"/>
        <w:right w:val="none" w:sz="0" w:space="0" w:color="auto"/>
      </w:divBdr>
    </w:div>
    <w:div w:id="1573736741">
      <w:bodyDiv w:val="1"/>
      <w:marLeft w:val="0"/>
      <w:marRight w:val="0"/>
      <w:marTop w:val="0"/>
      <w:marBottom w:val="0"/>
      <w:divBdr>
        <w:top w:val="none" w:sz="0" w:space="0" w:color="auto"/>
        <w:left w:val="none" w:sz="0" w:space="0" w:color="auto"/>
        <w:bottom w:val="none" w:sz="0" w:space="0" w:color="auto"/>
        <w:right w:val="none" w:sz="0" w:space="0" w:color="auto"/>
      </w:divBdr>
    </w:div>
    <w:div w:id="18291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21397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alnet.unirioja.es/ejemplar/525216" TargetMode="External"/><Relationship Id="rId4" Type="http://schemas.openxmlformats.org/officeDocument/2006/relationships/settings" Target="settings.xml"/><Relationship Id="rId9" Type="http://schemas.openxmlformats.org/officeDocument/2006/relationships/hyperlink" Target="https://dialnet.unirioja.es/servlet/revista?codigo=11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clm.es/centro/cesco" TargetMode="External"/><Relationship Id="rId1" Type="http://schemas.openxmlformats.org/officeDocument/2006/relationships/hyperlink" Target="http://www.uclm.es.centros/ce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B19B-B43C-4EBC-8AD3-70B16856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39</Pages>
  <Words>14465</Words>
  <Characters>79558</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HP</cp:lastModifiedBy>
  <cp:revision>34</cp:revision>
  <cp:lastPrinted>2019-03-15T08:38:00Z</cp:lastPrinted>
  <dcterms:created xsi:type="dcterms:W3CDTF">2019-02-26T09:46:00Z</dcterms:created>
  <dcterms:modified xsi:type="dcterms:W3CDTF">2023-03-10T13:23:00Z</dcterms:modified>
</cp:coreProperties>
</file>