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402F6" w14:textId="77777777" w:rsidR="00A45787" w:rsidRDefault="00A45787" w:rsidP="000B489F">
      <w:pPr>
        <w:spacing w:after="0"/>
        <w:ind w:firstLine="0"/>
        <w:jc w:val="both"/>
        <w:rPr>
          <w:rFonts w:ascii="Times New Roman" w:hAnsi="Times New Roman" w:cs="Times New Roman"/>
          <w:sz w:val="28"/>
          <w:szCs w:val="28"/>
        </w:rPr>
      </w:pPr>
      <w:r w:rsidRPr="00A4637E">
        <w:rPr>
          <w:rFonts w:ascii="Times New Roman" w:hAnsi="Times New Roman" w:cs="Times New Roman"/>
          <w:sz w:val="28"/>
          <w:szCs w:val="28"/>
        </w:rPr>
        <w:t>LA ACUMULACIÓN SUBJETIVA  (LITISCONSORCIO VOLUNTARIO)</w:t>
      </w:r>
    </w:p>
    <w:p w14:paraId="5304E9CB" w14:textId="08981CD4" w:rsidR="00EB0772" w:rsidRDefault="00EB0772" w:rsidP="000B489F">
      <w:pPr>
        <w:spacing w:after="0"/>
        <w:ind w:firstLine="0"/>
        <w:jc w:val="both"/>
        <w:rPr>
          <w:rFonts w:ascii="Times New Roman" w:hAnsi="Times New Roman" w:cs="Times New Roman"/>
          <w:sz w:val="24"/>
          <w:szCs w:val="24"/>
        </w:rPr>
      </w:pPr>
      <w:r w:rsidRPr="00EB0772">
        <w:rPr>
          <w:rFonts w:ascii="Times New Roman" w:hAnsi="Times New Roman" w:cs="Times New Roman"/>
          <w:sz w:val="24"/>
          <w:szCs w:val="24"/>
        </w:rPr>
        <w:t xml:space="preserve">José Antonio Díaz </w:t>
      </w:r>
      <w:proofErr w:type="spellStart"/>
      <w:r w:rsidRPr="00EB0772">
        <w:rPr>
          <w:rFonts w:ascii="Times New Roman" w:hAnsi="Times New Roman" w:cs="Times New Roman"/>
          <w:sz w:val="24"/>
          <w:szCs w:val="24"/>
        </w:rPr>
        <w:t>Cabiale</w:t>
      </w:r>
      <w:proofErr w:type="spellEnd"/>
      <w:r w:rsidRPr="00EB0772">
        <w:rPr>
          <w:rFonts w:ascii="Times New Roman" w:hAnsi="Times New Roman" w:cs="Times New Roman"/>
          <w:sz w:val="24"/>
          <w:szCs w:val="24"/>
        </w:rPr>
        <w:t xml:space="preserve"> (</w:t>
      </w:r>
      <w:proofErr w:type="spellStart"/>
      <w:r w:rsidRPr="00EB0772">
        <w:rPr>
          <w:rFonts w:ascii="Times New Roman" w:hAnsi="Times New Roman" w:cs="Times New Roman"/>
          <w:sz w:val="24"/>
          <w:szCs w:val="24"/>
        </w:rPr>
        <w:t>prof.</w:t>
      </w:r>
      <w:proofErr w:type="spellEnd"/>
      <w:r w:rsidRPr="00EB0772">
        <w:rPr>
          <w:rFonts w:ascii="Times New Roman" w:hAnsi="Times New Roman" w:cs="Times New Roman"/>
          <w:sz w:val="24"/>
          <w:szCs w:val="24"/>
        </w:rPr>
        <w:t xml:space="preserve"> titular dcho. procesal)</w:t>
      </w:r>
    </w:p>
    <w:p w14:paraId="59715CF6" w14:textId="12962111" w:rsidR="00EB0772" w:rsidRPr="007D5710" w:rsidRDefault="007D5710" w:rsidP="000B489F">
      <w:pPr>
        <w:spacing w:after="0"/>
        <w:ind w:firstLine="0"/>
        <w:jc w:val="both"/>
        <w:rPr>
          <w:rFonts w:ascii="Times New Roman" w:hAnsi="Times New Roman" w:cs="Times New Roman"/>
          <w:i/>
          <w:sz w:val="24"/>
          <w:szCs w:val="24"/>
        </w:rPr>
      </w:pPr>
      <w:r>
        <w:rPr>
          <w:rFonts w:ascii="Times New Roman" w:hAnsi="Times New Roman" w:cs="Times New Roman"/>
          <w:sz w:val="24"/>
          <w:szCs w:val="24"/>
        </w:rPr>
        <w:t>“</w:t>
      </w:r>
      <w:r w:rsidRPr="007D5710">
        <w:rPr>
          <w:rFonts w:ascii="Times New Roman" w:hAnsi="Times New Roman" w:cs="Times New Roman"/>
          <w:sz w:val="24"/>
          <w:szCs w:val="24"/>
        </w:rPr>
        <w:t>Lo mu</w:t>
      </w:r>
      <w:r w:rsidR="00B60E0E">
        <w:rPr>
          <w:rFonts w:ascii="Times New Roman" w:hAnsi="Times New Roman" w:cs="Times New Roman"/>
          <w:sz w:val="24"/>
          <w:szCs w:val="24"/>
        </w:rPr>
        <w:t>cho o lo poco no se mide por una cifra, sino por la capacidad del que da y del que recibe”.</w:t>
      </w:r>
      <w:r w:rsidRPr="007D5710">
        <w:rPr>
          <w:rFonts w:ascii="Times New Roman" w:hAnsi="Times New Roman" w:cs="Times New Roman"/>
          <w:sz w:val="24"/>
          <w:szCs w:val="24"/>
        </w:rPr>
        <w:t xml:space="preserve"> Jenofonte</w:t>
      </w:r>
      <w:r>
        <w:rPr>
          <w:rFonts w:ascii="Times New Roman" w:hAnsi="Times New Roman" w:cs="Times New Roman"/>
          <w:i/>
          <w:sz w:val="24"/>
          <w:szCs w:val="24"/>
        </w:rPr>
        <w:t>. Anábasis (Lib. VII)</w:t>
      </w:r>
    </w:p>
    <w:p w14:paraId="7EB50C11" w14:textId="578EAE5D" w:rsidR="0007073C" w:rsidRPr="00021126" w:rsidRDefault="0007073C" w:rsidP="000B489F">
      <w:pPr>
        <w:spacing w:after="0"/>
        <w:ind w:firstLine="0"/>
        <w:jc w:val="both"/>
        <w:rPr>
          <w:rFonts w:ascii="Times New Roman" w:hAnsi="Times New Roman" w:cs="Times New Roman"/>
          <w:b/>
        </w:rPr>
      </w:pPr>
      <w:r w:rsidRPr="00021126">
        <w:rPr>
          <w:rFonts w:ascii="Times New Roman" w:hAnsi="Times New Roman" w:cs="Times New Roman"/>
        </w:rPr>
        <w:tab/>
      </w:r>
      <w:r w:rsidRPr="00021126">
        <w:rPr>
          <w:rFonts w:ascii="Times New Roman" w:hAnsi="Times New Roman" w:cs="Times New Roman"/>
          <w:b/>
        </w:rPr>
        <w:t>Resumen</w:t>
      </w:r>
    </w:p>
    <w:p w14:paraId="48DF0252" w14:textId="490B3E6F" w:rsidR="00021126" w:rsidRDefault="00E06E20" w:rsidP="000B489F">
      <w:pPr>
        <w:spacing w:after="0"/>
        <w:ind w:firstLine="0"/>
        <w:jc w:val="both"/>
        <w:rPr>
          <w:rFonts w:ascii="Times New Roman" w:hAnsi="Times New Roman" w:cs="Times New Roman"/>
        </w:rPr>
      </w:pPr>
      <w:r>
        <w:rPr>
          <w:rFonts w:ascii="Times New Roman" w:hAnsi="Times New Roman" w:cs="Times New Roman"/>
        </w:rPr>
        <w:t>S</w:t>
      </w:r>
      <w:r w:rsidR="0007073C" w:rsidRPr="00021126">
        <w:rPr>
          <w:rFonts w:ascii="Times New Roman" w:hAnsi="Times New Roman" w:cs="Times New Roman"/>
        </w:rPr>
        <w:t>e estudia la acumulación subjetiva de acciones o litisconsorcio voluntar</w:t>
      </w:r>
      <w:r>
        <w:rPr>
          <w:rFonts w:ascii="Times New Roman" w:hAnsi="Times New Roman" w:cs="Times New Roman"/>
        </w:rPr>
        <w:t>io en el proceso de declaración,</w:t>
      </w:r>
      <w:r w:rsidR="0007073C" w:rsidRPr="00021126">
        <w:rPr>
          <w:rFonts w:ascii="Times New Roman" w:hAnsi="Times New Roman" w:cs="Times New Roman"/>
        </w:rPr>
        <w:t xml:space="preserve"> analizan</w:t>
      </w:r>
      <w:r>
        <w:rPr>
          <w:rFonts w:ascii="Times New Roman" w:hAnsi="Times New Roman" w:cs="Times New Roman"/>
        </w:rPr>
        <w:t>do</w:t>
      </w:r>
      <w:r w:rsidR="0007073C" w:rsidRPr="00021126">
        <w:rPr>
          <w:rFonts w:ascii="Times New Roman" w:hAnsi="Times New Roman" w:cs="Times New Roman"/>
        </w:rPr>
        <w:t xml:space="preserve"> los distintos momentos procesales en que acontece así como las finalidades que cumple además de sus distintos presupuestos procedimentales y procesales. En especial se examinan estos últimos para determinar qué tipo de conexión se exige entre las acciones acumuladas y cuál es la interpretaci</w:t>
      </w:r>
      <w:r w:rsidR="00021126" w:rsidRPr="00021126">
        <w:rPr>
          <w:rFonts w:ascii="Times New Roman" w:hAnsi="Times New Roman" w:cs="Times New Roman"/>
        </w:rPr>
        <w:t>ón que hace de ellos</w:t>
      </w:r>
      <w:r w:rsidR="0007073C" w:rsidRPr="00021126">
        <w:rPr>
          <w:rFonts w:ascii="Times New Roman" w:hAnsi="Times New Roman" w:cs="Times New Roman"/>
        </w:rPr>
        <w:t xml:space="preserve"> la jurisprudencia.</w:t>
      </w:r>
      <w:r w:rsidR="00021126" w:rsidRPr="00021126">
        <w:rPr>
          <w:rFonts w:ascii="Times New Roman" w:hAnsi="Times New Roman" w:cs="Times New Roman"/>
        </w:rPr>
        <w:t xml:space="preserve"> Por último se aborda el tratamiento procesal de esta institución.</w:t>
      </w:r>
    </w:p>
    <w:p w14:paraId="78F3972C" w14:textId="77777777" w:rsidR="008B6064" w:rsidRDefault="008B6064" w:rsidP="008B6064">
      <w:pPr>
        <w:spacing w:after="0"/>
        <w:ind w:firstLine="708"/>
        <w:jc w:val="both"/>
        <w:rPr>
          <w:rFonts w:ascii="Times New Roman" w:hAnsi="Times New Roman" w:cs="Times New Roman"/>
          <w:b/>
          <w:lang w:val="en-GB"/>
        </w:rPr>
      </w:pPr>
      <w:r>
        <w:rPr>
          <w:rFonts w:ascii="Times New Roman" w:hAnsi="Times New Roman" w:cs="Times New Roman"/>
          <w:b/>
          <w:lang w:val="en-GB"/>
        </w:rPr>
        <w:t>Abstract</w:t>
      </w:r>
    </w:p>
    <w:p w14:paraId="52CEEA3E" w14:textId="7F49FF96" w:rsidR="008B6064" w:rsidRPr="00E70BF8" w:rsidRDefault="008B6064" w:rsidP="008B6064">
      <w:pPr>
        <w:spacing w:after="0"/>
        <w:ind w:firstLine="0"/>
        <w:jc w:val="both"/>
        <w:rPr>
          <w:rFonts w:ascii="Times New Roman" w:hAnsi="Times New Roman" w:cs="Times New Roman"/>
          <w:b/>
        </w:rPr>
      </w:pPr>
      <w:r>
        <w:rPr>
          <w:rFonts w:ascii="Times New Roman" w:hAnsi="Times New Roman" w:cs="Times New Roman"/>
          <w:lang w:val="en-GB"/>
        </w:rPr>
        <w:t>T</w:t>
      </w:r>
      <w:r w:rsidRPr="008B6064">
        <w:rPr>
          <w:rFonts w:ascii="Times New Roman" w:hAnsi="Times New Roman" w:cs="Times New Roman"/>
          <w:lang w:val="en-GB"/>
        </w:rPr>
        <w:t>his paper examines the consolidation of court actions or joint litigation in ordinar</w:t>
      </w:r>
      <w:r w:rsidR="00E70BF8">
        <w:rPr>
          <w:rFonts w:ascii="Times New Roman" w:hAnsi="Times New Roman" w:cs="Times New Roman"/>
          <w:lang w:val="en-GB"/>
        </w:rPr>
        <w:t>y civil proceedings and considers</w:t>
      </w:r>
      <w:bookmarkStart w:id="0" w:name="_GoBack"/>
      <w:bookmarkEnd w:id="0"/>
      <w:r w:rsidRPr="008B6064">
        <w:rPr>
          <w:rFonts w:ascii="Times New Roman" w:hAnsi="Times New Roman" w:cs="Times New Roman"/>
          <w:lang w:val="en-GB"/>
        </w:rPr>
        <w:t xml:space="preserve"> when it happens and its specific aims as well as the procedural requirements in the Spanish Civil Procedural Law. The author focuses mainly on the links between the legal actions required for the joint litigation and how the Spanish case law has clarified those law requirements. </w:t>
      </w:r>
      <w:proofErr w:type="spellStart"/>
      <w:r w:rsidRPr="00E70BF8">
        <w:rPr>
          <w:rFonts w:ascii="Times New Roman" w:hAnsi="Times New Roman" w:cs="Times New Roman"/>
        </w:rPr>
        <w:t>Finally</w:t>
      </w:r>
      <w:proofErr w:type="spellEnd"/>
      <w:r w:rsidRPr="00E70BF8">
        <w:rPr>
          <w:rFonts w:ascii="Times New Roman" w:hAnsi="Times New Roman" w:cs="Times New Roman"/>
        </w:rPr>
        <w:t xml:space="preserve"> </w:t>
      </w:r>
      <w:proofErr w:type="spellStart"/>
      <w:r w:rsidRPr="00E70BF8">
        <w:rPr>
          <w:rFonts w:ascii="Times New Roman" w:hAnsi="Times New Roman" w:cs="Times New Roman"/>
        </w:rPr>
        <w:t>the</w:t>
      </w:r>
      <w:proofErr w:type="spellEnd"/>
      <w:r w:rsidRPr="00E70BF8">
        <w:rPr>
          <w:rFonts w:ascii="Times New Roman" w:hAnsi="Times New Roman" w:cs="Times New Roman"/>
        </w:rPr>
        <w:t xml:space="preserve"> procedural </w:t>
      </w:r>
      <w:proofErr w:type="spellStart"/>
      <w:r w:rsidRPr="00E70BF8">
        <w:rPr>
          <w:rFonts w:ascii="Times New Roman" w:hAnsi="Times New Roman" w:cs="Times New Roman"/>
        </w:rPr>
        <w:t>handling</w:t>
      </w:r>
      <w:proofErr w:type="spellEnd"/>
      <w:r w:rsidRPr="00E70BF8">
        <w:rPr>
          <w:rFonts w:ascii="Times New Roman" w:hAnsi="Times New Roman" w:cs="Times New Roman"/>
        </w:rPr>
        <w:t xml:space="preserve"> of </w:t>
      </w:r>
      <w:proofErr w:type="spellStart"/>
      <w:r w:rsidRPr="00E70BF8">
        <w:rPr>
          <w:rFonts w:ascii="Times New Roman" w:hAnsi="Times New Roman" w:cs="Times New Roman"/>
        </w:rPr>
        <w:t>these</w:t>
      </w:r>
      <w:proofErr w:type="spellEnd"/>
      <w:r w:rsidRPr="00E70BF8">
        <w:rPr>
          <w:rFonts w:ascii="Times New Roman" w:hAnsi="Times New Roman" w:cs="Times New Roman"/>
        </w:rPr>
        <w:t xml:space="preserve"> </w:t>
      </w:r>
      <w:proofErr w:type="spellStart"/>
      <w:r w:rsidRPr="00E70BF8">
        <w:rPr>
          <w:rFonts w:ascii="Times New Roman" w:hAnsi="Times New Roman" w:cs="Times New Roman"/>
        </w:rPr>
        <w:t>questions</w:t>
      </w:r>
      <w:proofErr w:type="spellEnd"/>
      <w:r w:rsidRPr="00E70BF8">
        <w:rPr>
          <w:rFonts w:ascii="Times New Roman" w:hAnsi="Times New Roman" w:cs="Times New Roman"/>
        </w:rPr>
        <w:t xml:space="preserve"> </w:t>
      </w:r>
      <w:proofErr w:type="spellStart"/>
      <w:r w:rsidRPr="00E70BF8">
        <w:rPr>
          <w:rFonts w:ascii="Times New Roman" w:hAnsi="Times New Roman" w:cs="Times New Roman"/>
        </w:rPr>
        <w:t>is</w:t>
      </w:r>
      <w:proofErr w:type="spellEnd"/>
      <w:r w:rsidRPr="00E70BF8">
        <w:rPr>
          <w:rFonts w:ascii="Times New Roman" w:hAnsi="Times New Roman" w:cs="Times New Roman"/>
        </w:rPr>
        <w:t xml:space="preserve"> </w:t>
      </w:r>
      <w:proofErr w:type="spellStart"/>
      <w:r w:rsidRPr="00E70BF8">
        <w:rPr>
          <w:rFonts w:ascii="Times New Roman" w:hAnsi="Times New Roman" w:cs="Times New Roman"/>
        </w:rPr>
        <w:t>analysed</w:t>
      </w:r>
      <w:proofErr w:type="spellEnd"/>
      <w:r w:rsidRPr="00E70BF8">
        <w:rPr>
          <w:rFonts w:ascii="Times New Roman" w:hAnsi="Times New Roman" w:cs="Times New Roman"/>
        </w:rPr>
        <w:t>.</w:t>
      </w:r>
    </w:p>
    <w:p w14:paraId="3E5714D4" w14:textId="2F0B7F8F" w:rsidR="00021126" w:rsidRDefault="00021126" w:rsidP="008B6064">
      <w:pPr>
        <w:spacing w:after="0"/>
        <w:jc w:val="both"/>
        <w:rPr>
          <w:rFonts w:ascii="Times New Roman" w:hAnsi="Times New Roman" w:cs="Times New Roman"/>
        </w:rPr>
      </w:pPr>
      <w:r w:rsidRPr="00021126">
        <w:rPr>
          <w:rFonts w:ascii="Times New Roman" w:hAnsi="Times New Roman" w:cs="Times New Roman"/>
          <w:b/>
        </w:rPr>
        <w:t xml:space="preserve">Palabras clave: </w:t>
      </w:r>
      <w:r w:rsidR="008A1361">
        <w:rPr>
          <w:rFonts w:ascii="Times New Roman" w:hAnsi="Times New Roman" w:cs="Times New Roman"/>
        </w:rPr>
        <w:t xml:space="preserve">acumulación subjetiva, </w:t>
      </w:r>
      <w:r w:rsidRPr="00021126">
        <w:rPr>
          <w:rFonts w:ascii="Times New Roman" w:hAnsi="Times New Roman" w:cs="Times New Roman"/>
        </w:rPr>
        <w:t xml:space="preserve"> pluralidad de partes, litisconsorcio, litisconsorcio voluntario, </w:t>
      </w:r>
      <w:r w:rsidRPr="00021126">
        <w:rPr>
          <w:rFonts w:ascii="Times New Roman" w:hAnsi="Times New Roman" w:cs="Times New Roman"/>
          <w:i/>
        </w:rPr>
        <w:t xml:space="preserve">causa </w:t>
      </w:r>
      <w:proofErr w:type="spellStart"/>
      <w:r w:rsidRPr="00021126">
        <w:rPr>
          <w:rFonts w:ascii="Times New Roman" w:hAnsi="Times New Roman" w:cs="Times New Roman"/>
          <w:i/>
        </w:rPr>
        <w:t>petendi</w:t>
      </w:r>
      <w:proofErr w:type="spellEnd"/>
      <w:r w:rsidRPr="00021126">
        <w:rPr>
          <w:rFonts w:ascii="Times New Roman" w:hAnsi="Times New Roman" w:cs="Times New Roman"/>
        </w:rPr>
        <w:t>, título, causa, intervención, ampliación demanda, reconvención, acumulación procesos, economía procesal, pronunciamientos contradictorios</w:t>
      </w:r>
      <w:r>
        <w:rPr>
          <w:rFonts w:ascii="Times New Roman" w:hAnsi="Times New Roman" w:cs="Times New Roman"/>
        </w:rPr>
        <w:t>.</w:t>
      </w:r>
    </w:p>
    <w:p w14:paraId="6FE21F41" w14:textId="672961CB" w:rsidR="008B6064" w:rsidRPr="008B6064" w:rsidRDefault="008B6064" w:rsidP="008B6064">
      <w:pPr>
        <w:spacing w:after="0"/>
        <w:jc w:val="both"/>
        <w:rPr>
          <w:rFonts w:ascii="Times New Roman" w:hAnsi="Times New Roman" w:cs="Times New Roman"/>
          <w:lang w:val="en-GB"/>
        </w:rPr>
      </w:pPr>
      <w:r w:rsidRPr="008B6064">
        <w:rPr>
          <w:rFonts w:ascii="Times New Roman" w:hAnsi="Times New Roman" w:cs="Times New Roman"/>
          <w:b/>
          <w:lang w:val="en-GB"/>
        </w:rPr>
        <w:t xml:space="preserve">Key words: </w:t>
      </w:r>
      <w:r w:rsidRPr="008B6064">
        <w:rPr>
          <w:rFonts w:ascii="Times New Roman" w:hAnsi="Times New Roman" w:cs="Times New Roman"/>
          <w:lang w:val="en-GB"/>
        </w:rPr>
        <w:t xml:space="preserve">Consolidation of court actions, Joint litigation, necessary joinder litigation, voluntary joinder litigation, </w:t>
      </w:r>
      <w:proofErr w:type="spellStart"/>
      <w:r w:rsidRPr="008B6064">
        <w:rPr>
          <w:rFonts w:ascii="Times New Roman" w:hAnsi="Times New Roman" w:cs="Times New Roman"/>
          <w:i/>
          <w:lang w:val="en-GB"/>
        </w:rPr>
        <w:t>causa</w:t>
      </w:r>
      <w:proofErr w:type="spellEnd"/>
      <w:r w:rsidRPr="008B6064">
        <w:rPr>
          <w:rFonts w:ascii="Times New Roman" w:hAnsi="Times New Roman" w:cs="Times New Roman"/>
          <w:i/>
          <w:lang w:val="en-GB"/>
        </w:rPr>
        <w:t xml:space="preserve"> </w:t>
      </w:r>
      <w:proofErr w:type="spellStart"/>
      <w:r w:rsidRPr="008B6064">
        <w:rPr>
          <w:rFonts w:ascii="Times New Roman" w:hAnsi="Times New Roman" w:cs="Times New Roman"/>
          <w:i/>
          <w:lang w:val="en-GB"/>
        </w:rPr>
        <w:t>petendi</w:t>
      </w:r>
      <w:proofErr w:type="spellEnd"/>
      <w:r w:rsidRPr="008B6064">
        <w:rPr>
          <w:rFonts w:ascii="Times New Roman" w:hAnsi="Times New Roman" w:cs="Times New Roman"/>
          <w:lang w:val="en-GB"/>
        </w:rPr>
        <w:t>, cause of the action, third-party proceedings, amend the complaint, counterclaim,  grouping of judicial proceedings, procedural economy, conflicting judgements</w:t>
      </w:r>
      <w:r>
        <w:rPr>
          <w:rFonts w:ascii="Times New Roman" w:hAnsi="Times New Roman" w:cs="Times New Roman"/>
          <w:lang w:val="en-GB"/>
        </w:rPr>
        <w:t>.</w:t>
      </w:r>
    </w:p>
    <w:p w14:paraId="54DE712B" w14:textId="2DC6CD5A" w:rsidR="00C265BB" w:rsidRPr="008B6064" w:rsidRDefault="00A45787" w:rsidP="000B489F">
      <w:pPr>
        <w:spacing w:after="0"/>
        <w:ind w:firstLine="0"/>
        <w:jc w:val="both"/>
        <w:rPr>
          <w:rFonts w:ascii="Times New Roman" w:hAnsi="Times New Roman" w:cs="Times New Roman"/>
          <w:sz w:val="24"/>
          <w:szCs w:val="24"/>
          <w:lang w:val="en-GB"/>
        </w:rPr>
      </w:pPr>
      <w:r w:rsidRPr="008B6064">
        <w:rPr>
          <w:rFonts w:ascii="Times New Roman" w:hAnsi="Times New Roman" w:cs="Times New Roman"/>
          <w:sz w:val="24"/>
          <w:szCs w:val="24"/>
          <w:lang w:val="en-GB"/>
        </w:rPr>
        <w:tab/>
      </w:r>
    </w:p>
    <w:p w14:paraId="1869CF6C" w14:textId="0E5DDCB1" w:rsidR="0060038E" w:rsidRPr="00EC78ED" w:rsidRDefault="00A45787" w:rsidP="00EC78ED">
      <w:pPr>
        <w:pStyle w:val="Prrafodelista"/>
        <w:numPr>
          <w:ilvl w:val="0"/>
          <w:numId w:val="22"/>
        </w:numPr>
        <w:spacing w:after="0"/>
        <w:jc w:val="both"/>
        <w:rPr>
          <w:rFonts w:ascii="Times New Roman" w:hAnsi="Times New Roman" w:cs="Times New Roman"/>
          <w:sz w:val="24"/>
          <w:szCs w:val="24"/>
        </w:rPr>
      </w:pPr>
      <w:r w:rsidRPr="00EC78ED">
        <w:rPr>
          <w:rFonts w:ascii="Times New Roman" w:hAnsi="Times New Roman" w:cs="Times New Roman"/>
          <w:b/>
          <w:sz w:val="24"/>
          <w:szCs w:val="24"/>
        </w:rPr>
        <w:t>Concepto</w:t>
      </w:r>
    </w:p>
    <w:p w14:paraId="6ACED84A" w14:textId="5F544CEA" w:rsidR="00E35E06"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Es la posibilidad de que en un mismo proceso se ventilen varias acciones cuya legitimación (activa, pasiva o ambas</w:t>
      </w:r>
      <w:r w:rsidR="0066415C">
        <w:rPr>
          <w:rStyle w:val="Refdenotaalpie"/>
          <w:rFonts w:ascii="Times New Roman" w:hAnsi="Times New Roman" w:cs="Times New Roman"/>
          <w:sz w:val="24"/>
          <w:szCs w:val="24"/>
        </w:rPr>
        <w:footnoteReference w:id="1"/>
      </w:r>
      <w:r w:rsidR="0066415C">
        <w:rPr>
          <w:rFonts w:ascii="Times New Roman" w:hAnsi="Times New Roman" w:cs="Times New Roman"/>
          <w:sz w:val="24"/>
          <w:szCs w:val="24"/>
        </w:rPr>
        <w:t>) esté atribuida a distintos</w:t>
      </w:r>
      <w:r w:rsidRPr="00C12E06">
        <w:rPr>
          <w:rFonts w:ascii="Times New Roman" w:hAnsi="Times New Roman" w:cs="Times New Roman"/>
          <w:sz w:val="24"/>
          <w:szCs w:val="24"/>
        </w:rPr>
        <w:t xml:space="preserve"> sujetos. Por tanto también comporta una pluralidad de partes. Por eso esta institución ostenta una </w:t>
      </w:r>
      <w:proofErr w:type="gramStart"/>
      <w:r w:rsidRPr="00C12E06">
        <w:rPr>
          <w:rFonts w:ascii="Times New Roman" w:hAnsi="Times New Roman" w:cs="Times New Roman"/>
          <w:sz w:val="24"/>
          <w:szCs w:val="24"/>
        </w:rPr>
        <w:t>naturaleza</w:t>
      </w:r>
      <w:proofErr w:type="gramEnd"/>
      <w:r w:rsidRPr="00C12E06">
        <w:rPr>
          <w:rFonts w:ascii="Times New Roman" w:hAnsi="Times New Roman" w:cs="Times New Roman"/>
          <w:sz w:val="24"/>
          <w:szCs w:val="24"/>
        </w:rPr>
        <w:t xml:space="preserve"> dual y se la contempla desde una doble perspectiva: en la acumulación de objetos y en la pluralidad de partes. De ahí que el legislador la regule en ambas sedes: arts. 12 y 72 LEC. Así se la califica con más precisión como una acumulación objetivo-subjetiva contraponiéndose a la acumulación objetiva</w:t>
      </w:r>
      <w:r w:rsidRPr="00C12E06">
        <w:rPr>
          <w:rStyle w:val="Refdenotaalpie"/>
          <w:rFonts w:ascii="Times New Roman" w:hAnsi="Times New Roman" w:cs="Times New Roman"/>
          <w:sz w:val="24"/>
          <w:szCs w:val="24"/>
        </w:rPr>
        <w:footnoteReference w:id="2"/>
      </w:r>
      <w:r w:rsidRPr="00C12E06">
        <w:rPr>
          <w:rFonts w:ascii="Times New Roman" w:hAnsi="Times New Roman" w:cs="Times New Roman"/>
          <w:sz w:val="24"/>
          <w:szCs w:val="24"/>
        </w:rPr>
        <w:t xml:space="preserve"> que tiene lugar entre las mismas partes. </w:t>
      </w:r>
    </w:p>
    <w:p w14:paraId="1C4C7802" w14:textId="429477CD" w:rsidR="00E35E06" w:rsidRPr="00EC78ED" w:rsidRDefault="00A45787" w:rsidP="00EC78ED">
      <w:pPr>
        <w:pStyle w:val="Prrafodelista"/>
        <w:numPr>
          <w:ilvl w:val="0"/>
          <w:numId w:val="22"/>
        </w:numPr>
        <w:spacing w:after="0"/>
        <w:jc w:val="both"/>
        <w:rPr>
          <w:rFonts w:ascii="Times New Roman" w:hAnsi="Times New Roman" w:cs="Times New Roman"/>
          <w:b/>
          <w:sz w:val="24"/>
          <w:szCs w:val="24"/>
        </w:rPr>
      </w:pPr>
      <w:r w:rsidRPr="00EC78ED">
        <w:rPr>
          <w:rFonts w:ascii="Times New Roman" w:hAnsi="Times New Roman" w:cs="Times New Roman"/>
          <w:b/>
          <w:sz w:val="24"/>
          <w:szCs w:val="24"/>
        </w:rPr>
        <w:t>Cuándo y cómo acontece</w:t>
      </w:r>
    </w:p>
    <w:p w14:paraId="2B7E890B" w14:textId="325D6285" w:rsidR="00C265BB" w:rsidRDefault="008E4F6A"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La acumulación subjetiva se puede producir en los diferentes momentos</w:t>
      </w:r>
      <w:r w:rsidR="00267603">
        <w:rPr>
          <w:rFonts w:ascii="Times New Roman" w:hAnsi="Times New Roman" w:cs="Times New Roman"/>
          <w:sz w:val="24"/>
          <w:szCs w:val="24"/>
        </w:rPr>
        <w:t xml:space="preserve"> del proceso de declaración</w:t>
      </w:r>
      <w:r w:rsidRPr="00C12E06">
        <w:rPr>
          <w:rFonts w:ascii="Times New Roman" w:hAnsi="Times New Roman" w:cs="Times New Roman"/>
          <w:sz w:val="24"/>
          <w:szCs w:val="24"/>
        </w:rPr>
        <w:t xml:space="preserve"> en los que cabe la acumulación de objetos. Así </w:t>
      </w:r>
      <w:r w:rsidR="00A45787" w:rsidRPr="00C12E06">
        <w:rPr>
          <w:rFonts w:ascii="Times New Roman" w:hAnsi="Times New Roman" w:cs="Times New Roman"/>
          <w:sz w:val="24"/>
          <w:szCs w:val="24"/>
        </w:rPr>
        <w:t xml:space="preserve"> puede acontecer: I) Inicialmente, es decir en la demanda; II) De forma sobrevenida, </w:t>
      </w:r>
      <w:proofErr w:type="spellStart"/>
      <w:r w:rsidR="00A45787" w:rsidRPr="00C12E06">
        <w:rPr>
          <w:rFonts w:ascii="Times New Roman" w:hAnsi="Times New Roman" w:cs="Times New Roman"/>
          <w:sz w:val="24"/>
          <w:szCs w:val="24"/>
        </w:rPr>
        <w:t>ulteriomente</w:t>
      </w:r>
      <w:proofErr w:type="spellEnd"/>
      <w:r w:rsidR="00A45787" w:rsidRPr="00C12E06">
        <w:rPr>
          <w:rFonts w:ascii="Times New Roman" w:hAnsi="Times New Roman" w:cs="Times New Roman"/>
          <w:sz w:val="24"/>
          <w:szCs w:val="24"/>
        </w:rPr>
        <w:t xml:space="preserve">: 1- Bien porque en el mismo proceso se acumulen, </w:t>
      </w:r>
      <w:proofErr w:type="spellStart"/>
      <w:r w:rsidR="00A45787" w:rsidRPr="00C12E06">
        <w:rPr>
          <w:rFonts w:ascii="Times New Roman" w:hAnsi="Times New Roman" w:cs="Times New Roman"/>
          <w:sz w:val="24"/>
          <w:szCs w:val="24"/>
        </w:rPr>
        <w:t>sobrevenidamente</w:t>
      </w:r>
      <w:proofErr w:type="spellEnd"/>
      <w:r w:rsidR="00A45787" w:rsidRPr="00C12E06">
        <w:rPr>
          <w:rFonts w:ascii="Times New Roman" w:hAnsi="Times New Roman" w:cs="Times New Roman"/>
          <w:sz w:val="24"/>
          <w:szCs w:val="24"/>
        </w:rPr>
        <w:t>, más acciones: a) en la ampliación de la demanda,</w:t>
      </w:r>
      <w:r w:rsidR="00052A4B">
        <w:rPr>
          <w:rFonts w:ascii="Times New Roman" w:hAnsi="Times New Roman" w:cs="Times New Roman"/>
          <w:sz w:val="24"/>
          <w:szCs w:val="24"/>
        </w:rPr>
        <w:t xml:space="preserve"> art. 401 LEC,</w:t>
      </w:r>
      <w:r w:rsidR="00A45787" w:rsidRPr="00C12E06">
        <w:rPr>
          <w:rFonts w:ascii="Times New Roman" w:hAnsi="Times New Roman" w:cs="Times New Roman"/>
          <w:sz w:val="24"/>
          <w:szCs w:val="24"/>
        </w:rPr>
        <w:t xml:space="preserve"> b) en la reconvención,</w:t>
      </w:r>
      <w:r w:rsidR="0072437C" w:rsidRPr="00C12E06">
        <w:rPr>
          <w:rFonts w:ascii="Times New Roman" w:hAnsi="Times New Roman" w:cs="Times New Roman"/>
          <w:sz w:val="24"/>
          <w:szCs w:val="24"/>
        </w:rPr>
        <w:t xml:space="preserve"> art. 407 LEC</w:t>
      </w:r>
      <w:r w:rsidR="0072437C" w:rsidRPr="00C12E06">
        <w:rPr>
          <w:rStyle w:val="Refdenotaalpie"/>
          <w:rFonts w:ascii="Times New Roman" w:hAnsi="Times New Roman" w:cs="Times New Roman"/>
          <w:sz w:val="24"/>
          <w:szCs w:val="24"/>
        </w:rPr>
        <w:footnoteReference w:id="3"/>
      </w:r>
      <w:r w:rsidR="0072437C" w:rsidRPr="00C12E06">
        <w:rPr>
          <w:rFonts w:ascii="Times New Roman" w:hAnsi="Times New Roman" w:cs="Times New Roman"/>
          <w:sz w:val="24"/>
          <w:szCs w:val="24"/>
        </w:rPr>
        <w:t>,</w:t>
      </w:r>
      <w:r w:rsidR="00A45787" w:rsidRPr="00C12E06">
        <w:rPr>
          <w:rFonts w:ascii="Times New Roman" w:hAnsi="Times New Roman" w:cs="Times New Roman"/>
          <w:sz w:val="24"/>
          <w:szCs w:val="24"/>
        </w:rPr>
        <w:t xml:space="preserve"> c) en la </w:t>
      </w:r>
      <w:r w:rsidR="00A45787" w:rsidRPr="00C12E06">
        <w:rPr>
          <w:rFonts w:ascii="Times New Roman" w:hAnsi="Times New Roman" w:cs="Times New Roman"/>
          <w:sz w:val="24"/>
          <w:szCs w:val="24"/>
        </w:rPr>
        <w:lastRenderedPageBreak/>
        <w:t>intervención principal (aunque no esté contemplada en nuestro ordenamiento)</w:t>
      </w:r>
      <w:r w:rsidR="007D3FF7">
        <w:rPr>
          <w:rStyle w:val="Refdenotaalpie"/>
          <w:rFonts w:ascii="Times New Roman" w:hAnsi="Times New Roman" w:cs="Times New Roman"/>
          <w:sz w:val="24"/>
          <w:szCs w:val="24"/>
        </w:rPr>
        <w:footnoteReference w:id="4"/>
      </w:r>
      <w:r w:rsidR="00A45787" w:rsidRPr="00C12E06">
        <w:rPr>
          <w:rFonts w:ascii="Times New Roman" w:hAnsi="Times New Roman" w:cs="Times New Roman"/>
          <w:sz w:val="24"/>
          <w:szCs w:val="24"/>
        </w:rPr>
        <w:t>; 2-Bien porque acontezca la acumulación o reunión de procesos.</w:t>
      </w:r>
      <w:r w:rsidR="00655A36">
        <w:rPr>
          <w:rFonts w:ascii="Times New Roman" w:hAnsi="Times New Roman" w:cs="Times New Roman"/>
          <w:sz w:val="24"/>
          <w:szCs w:val="24"/>
        </w:rPr>
        <w:t xml:space="preserve"> T</w:t>
      </w:r>
      <w:r w:rsidR="00267603">
        <w:rPr>
          <w:rFonts w:ascii="Times New Roman" w:hAnsi="Times New Roman" w:cs="Times New Roman"/>
          <w:sz w:val="24"/>
          <w:szCs w:val="24"/>
        </w:rPr>
        <w:t>ambién es posible la acumulación subjetiva en el proceso de ejecución</w:t>
      </w:r>
      <w:r w:rsidR="00655A36">
        <w:rPr>
          <w:rFonts w:ascii="Times New Roman" w:hAnsi="Times New Roman" w:cs="Times New Roman"/>
          <w:sz w:val="24"/>
          <w:szCs w:val="24"/>
        </w:rPr>
        <w:t xml:space="preserve"> si se acumulan diferentes títulos</w:t>
      </w:r>
      <w:r w:rsidR="00E43DC2">
        <w:rPr>
          <w:rFonts w:ascii="Times New Roman" w:hAnsi="Times New Roman" w:cs="Times New Roman"/>
          <w:sz w:val="24"/>
          <w:szCs w:val="24"/>
        </w:rPr>
        <w:t xml:space="preserve">: 1) inicialmente </w:t>
      </w:r>
      <w:r w:rsidR="003851BC">
        <w:rPr>
          <w:rFonts w:ascii="Times New Roman" w:hAnsi="Times New Roman" w:cs="Times New Roman"/>
          <w:sz w:val="24"/>
          <w:szCs w:val="24"/>
        </w:rPr>
        <w:t xml:space="preserve">si provienen de un proceso de declaración, </w:t>
      </w:r>
      <w:proofErr w:type="spellStart"/>
      <w:r w:rsidR="003851BC">
        <w:rPr>
          <w:rFonts w:ascii="Times New Roman" w:hAnsi="Times New Roman" w:cs="Times New Roman"/>
          <w:i/>
          <w:sz w:val="24"/>
          <w:szCs w:val="24"/>
        </w:rPr>
        <w:t>e.g</w:t>
      </w:r>
      <w:proofErr w:type="spellEnd"/>
      <w:r w:rsidR="003851BC">
        <w:rPr>
          <w:rFonts w:ascii="Times New Roman" w:hAnsi="Times New Roman" w:cs="Times New Roman"/>
          <w:i/>
          <w:sz w:val="24"/>
          <w:szCs w:val="24"/>
        </w:rPr>
        <w:t>.</w:t>
      </w:r>
      <w:r w:rsidR="00BB5F74">
        <w:rPr>
          <w:rFonts w:ascii="Times New Roman" w:hAnsi="Times New Roman" w:cs="Times New Roman"/>
          <w:sz w:val="24"/>
          <w:szCs w:val="24"/>
        </w:rPr>
        <w:t xml:space="preserve"> deudores solidarios</w:t>
      </w:r>
      <w:r w:rsidR="00655A36">
        <w:rPr>
          <w:rFonts w:ascii="Times New Roman" w:hAnsi="Times New Roman" w:cs="Times New Roman"/>
          <w:sz w:val="24"/>
          <w:szCs w:val="24"/>
        </w:rPr>
        <w:t xml:space="preserve"> condenados, art</w:t>
      </w:r>
      <w:r w:rsidR="00BB5F74">
        <w:rPr>
          <w:rFonts w:ascii="Times New Roman" w:hAnsi="Times New Roman" w:cs="Times New Roman"/>
          <w:sz w:val="24"/>
          <w:szCs w:val="24"/>
        </w:rPr>
        <w:t>. 541</w:t>
      </w:r>
      <w:r w:rsidR="00655A36">
        <w:rPr>
          <w:rFonts w:ascii="Times New Roman" w:hAnsi="Times New Roman" w:cs="Times New Roman"/>
          <w:sz w:val="24"/>
          <w:szCs w:val="24"/>
        </w:rPr>
        <w:t>.1 LEC</w:t>
      </w:r>
      <w:r w:rsidR="003851BC">
        <w:rPr>
          <w:rFonts w:ascii="Times New Roman" w:hAnsi="Times New Roman" w:cs="Times New Roman"/>
          <w:sz w:val="24"/>
          <w:szCs w:val="24"/>
        </w:rPr>
        <w:t xml:space="preserve"> o consumidores y usuarios, art. 221 LEC</w:t>
      </w:r>
      <w:r w:rsidR="007177F9">
        <w:rPr>
          <w:rFonts w:ascii="Times New Roman" w:hAnsi="Times New Roman" w:cs="Times New Roman"/>
          <w:sz w:val="24"/>
          <w:szCs w:val="24"/>
        </w:rPr>
        <w:t>, así como otros supuestos de solidaridad, arts. 538.2.2º, 542.2, 543.1, 544 LEC</w:t>
      </w:r>
      <w:r w:rsidR="009439E3">
        <w:rPr>
          <w:rStyle w:val="Refdenotaalpie"/>
          <w:rFonts w:ascii="Times New Roman" w:hAnsi="Times New Roman" w:cs="Times New Roman"/>
          <w:sz w:val="24"/>
          <w:szCs w:val="24"/>
        </w:rPr>
        <w:footnoteReference w:id="5"/>
      </w:r>
      <w:r w:rsidR="00655A36">
        <w:rPr>
          <w:rFonts w:ascii="Times New Roman" w:hAnsi="Times New Roman" w:cs="Times New Roman"/>
          <w:sz w:val="24"/>
          <w:szCs w:val="24"/>
        </w:rPr>
        <w:t>;</w:t>
      </w:r>
      <w:r w:rsidR="00BB5F74">
        <w:rPr>
          <w:rFonts w:ascii="Times New Roman" w:hAnsi="Times New Roman" w:cs="Times New Roman"/>
          <w:sz w:val="24"/>
          <w:szCs w:val="24"/>
        </w:rPr>
        <w:t xml:space="preserve"> 2)</w:t>
      </w:r>
      <w:r w:rsidR="00267603">
        <w:rPr>
          <w:rFonts w:ascii="Times New Roman" w:hAnsi="Times New Roman" w:cs="Times New Roman"/>
          <w:sz w:val="24"/>
          <w:szCs w:val="24"/>
        </w:rPr>
        <w:t xml:space="preserve"> mediante la acumulación de procesos, siempre que de esa manera se facilite el cobro de los ejecutantes, art. </w:t>
      </w:r>
      <w:r w:rsidR="00FC1D3D">
        <w:rPr>
          <w:rFonts w:ascii="Times New Roman" w:hAnsi="Times New Roman" w:cs="Times New Roman"/>
          <w:sz w:val="24"/>
          <w:szCs w:val="24"/>
        </w:rPr>
        <w:t>555</w:t>
      </w:r>
      <w:r w:rsidR="00E43DC2">
        <w:rPr>
          <w:rFonts w:ascii="Times New Roman" w:hAnsi="Times New Roman" w:cs="Times New Roman"/>
          <w:sz w:val="24"/>
          <w:szCs w:val="24"/>
        </w:rPr>
        <w:t>.2</w:t>
      </w:r>
      <w:r w:rsidR="00267603">
        <w:rPr>
          <w:rFonts w:ascii="Times New Roman" w:hAnsi="Times New Roman" w:cs="Times New Roman"/>
          <w:sz w:val="24"/>
          <w:szCs w:val="24"/>
        </w:rPr>
        <w:t xml:space="preserve"> LEC</w:t>
      </w:r>
      <w:r w:rsidR="00FC1D3D">
        <w:rPr>
          <w:rStyle w:val="Refdenotaalpie"/>
          <w:rFonts w:ascii="Times New Roman" w:hAnsi="Times New Roman" w:cs="Times New Roman"/>
          <w:sz w:val="24"/>
          <w:szCs w:val="24"/>
        </w:rPr>
        <w:footnoteReference w:id="6"/>
      </w:r>
      <w:r w:rsidR="00267603">
        <w:rPr>
          <w:rFonts w:ascii="Times New Roman" w:hAnsi="Times New Roman" w:cs="Times New Roman"/>
          <w:sz w:val="24"/>
          <w:szCs w:val="24"/>
        </w:rPr>
        <w:t>.</w:t>
      </w:r>
      <w:r w:rsidR="00052A4B">
        <w:rPr>
          <w:rFonts w:ascii="Times New Roman" w:hAnsi="Times New Roman" w:cs="Times New Roman"/>
          <w:sz w:val="24"/>
          <w:szCs w:val="24"/>
        </w:rPr>
        <w:t xml:space="preserve"> En este trabajo nos centramos en el proceso de declaración.</w:t>
      </w:r>
    </w:p>
    <w:p w14:paraId="4A55C8EB" w14:textId="62AB0246" w:rsidR="00A45787" w:rsidRPr="00C12E06" w:rsidRDefault="008E4F6A"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Pero al tratarse además de una pluralidad de partes, </w:t>
      </w:r>
      <w:r w:rsidR="00A45787" w:rsidRPr="00C12E06">
        <w:rPr>
          <w:rFonts w:ascii="Times New Roman" w:hAnsi="Times New Roman" w:cs="Times New Roman"/>
          <w:sz w:val="24"/>
          <w:szCs w:val="24"/>
        </w:rPr>
        <w:t xml:space="preserve">habría que añadir, ahora desde </w:t>
      </w:r>
      <w:r w:rsidRPr="00C12E06">
        <w:rPr>
          <w:rFonts w:ascii="Times New Roman" w:hAnsi="Times New Roman" w:cs="Times New Roman"/>
          <w:sz w:val="24"/>
          <w:szCs w:val="24"/>
        </w:rPr>
        <w:t>esa</w:t>
      </w:r>
      <w:r w:rsidR="00A45787" w:rsidRPr="00C12E06">
        <w:rPr>
          <w:rFonts w:ascii="Times New Roman" w:hAnsi="Times New Roman" w:cs="Times New Roman"/>
          <w:sz w:val="24"/>
          <w:szCs w:val="24"/>
        </w:rPr>
        <w:t xml:space="preserve"> perspectiva, el litisconsorcio, la posibilidad de que la intervención de un tercero también la ocasione. Eso es lo que sucede en el caso de la intervención principal y también sería factible, aunque no sea lo habitual (por eso solo la primera es reputada como un supuesto de acumulación sobrevenida por inserción), a través de una intervención adhesiva litisconsorcial. Y es que en ciertas ocasiones esta clase de intervención serviría más para singularizar o añadir un nuevo objeto que para sumarse al que existía entre las partes (sin tener que accionar tanto frente a demandante como a demandado como acontece en la intervención principal por cuanto la pretensión no es incompatible con la de las parte</w:t>
      </w:r>
      <w:r w:rsidR="00823931">
        <w:rPr>
          <w:rFonts w:ascii="Times New Roman" w:hAnsi="Times New Roman" w:cs="Times New Roman"/>
          <w:sz w:val="24"/>
          <w:szCs w:val="24"/>
        </w:rPr>
        <w:t>s originarias). Es lo que acontece</w:t>
      </w:r>
      <w:r w:rsidR="00A45787" w:rsidRPr="00C12E06">
        <w:rPr>
          <w:rFonts w:ascii="Times New Roman" w:hAnsi="Times New Roman" w:cs="Times New Roman"/>
          <w:sz w:val="24"/>
          <w:szCs w:val="24"/>
        </w:rPr>
        <w:t xml:space="preserve"> si al proceso entablado por la asociación de consumidores o el grupo se suma el consumidor individual</w:t>
      </w:r>
      <w:r w:rsidR="00A45787" w:rsidRPr="00C12E06">
        <w:rPr>
          <w:rStyle w:val="Refdenotaalpie"/>
          <w:rFonts w:ascii="Times New Roman" w:hAnsi="Times New Roman" w:cs="Times New Roman"/>
          <w:sz w:val="24"/>
          <w:szCs w:val="24"/>
        </w:rPr>
        <w:footnoteReference w:id="7"/>
      </w:r>
      <w:r w:rsidR="00A45787" w:rsidRPr="00C12E06">
        <w:rPr>
          <w:rFonts w:ascii="Times New Roman" w:hAnsi="Times New Roman" w:cs="Times New Roman"/>
          <w:sz w:val="24"/>
          <w:szCs w:val="24"/>
        </w:rPr>
        <w:t>, arts. 13.1 y 15 LEC, o bien si a resultas de la intervención provocada del demandado, art. 14 LEC, el actor también dirige su demanda</w:t>
      </w:r>
      <w:r w:rsidR="008D3711" w:rsidRPr="00C12E06">
        <w:rPr>
          <w:rStyle w:val="Refdenotaalpie"/>
          <w:rFonts w:ascii="Times New Roman" w:hAnsi="Times New Roman" w:cs="Times New Roman"/>
          <w:sz w:val="24"/>
          <w:szCs w:val="24"/>
        </w:rPr>
        <w:footnoteReference w:id="8"/>
      </w:r>
      <w:r w:rsidR="00A45787" w:rsidRPr="00C12E06">
        <w:rPr>
          <w:rFonts w:ascii="Times New Roman" w:hAnsi="Times New Roman" w:cs="Times New Roman"/>
          <w:sz w:val="24"/>
          <w:szCs w:val="24"/>
        </w:rPr>
        <w:t xml:space="preserve"> contra</w:t>
      </w:r>
      <w:r w:rsidR="0094030C">
        <w:rPr>
          <w:rFonts w:ascii="Times New Roman" w:hAnsi="Times New Roman" w:cs="Times New Roman"/>
          <w:sz w:val="24"/>
          <w:szCs w:val="24"/>
        </w:rPr>
        <w:t xml:space="preserve"> el tercero, DA 7ª</w:t>
      </w:r>
      <w:r w:rsidR="00A45787" w:rsidRPr="00C12E06">
        <w:rPr>
          <w:rFonts w:ascii="Times New Roman" w:hAnsi="Times New Roman" w:cs="Times New Roman"/>
          <w:sz w:val="24"/>
          <w:szCs w:val="24"/>
        </w:rPr>
        <w:t xml:space="preserve"> LOE o art. 1084 </w:t>
      </w:r>
      <w:proofErr w:type="spellStart"/>
      <w:r w:rsidR="00A45787" w:rsidRPr="00C12E06">
        <w:rPr>
          <w:rFonts w:ascii="Times New Roman" w:hAnsi="Times New Roman" w:cs="Times New Roman"/>
          <w:sz w:val="24"/>
          <w:szCs w:val="24"/>
        </w:rPr>
        <w:t>Cc</w:t>
      </w:r>
      <w:proofErr w:type="spellEnd"/>
      <w:r w:rsidR="00A45787" w:rsidRPr="00C12E06">
        <w:rPr>
          <w:rFonts w:ascii="Times New Roman" w:hAnsi="Times New Roman" w:cs="Times New Roman"/>
          <w:sz w:val="24"/>
          <w:szCs w:val="24"/>
        </w:rPr>
        <w:t xml:space="preserve"> (llamamiento a los coherederos)</w:t>
      </w:r>
      <w:r w:rsidR="00A45787" w:rsidRPr="00C12E06">
        <w:rPr>
          <w:rStyle w:val="Refdenotaalpie"/>
          <w:rFonts w:ascii="Times New Roman" w:hAnsi="Times New Roman" w:cs="Times New Roman"/>
          <w:sz w:val="24"/>
          <w:szCs w:val="24"/>
        </w:rPr>
        <w:footnoteReference w:id="9"/>
      </w:r>
      <w:r w:rsidR="00A45787" w:rsidRPr="00C12E06">
        <w:rPr>
          <w:rFonts w:ascii="Times New Roman" w:hAnsi="Times New Roman" w:cs="Times New Roman"/>
          <w:sz w:val="24"/>
          <w:szCs w:val="24"/>
        </w:rPr>
        <w:t xml:space="preserve">. Y acontece igualmente si al pleito incoado por el acreedor en el que </w:t>
      </w:r>
      <w:r w:rsidR="00A45787" w:rsidRPr="00C12E06">
        <w:rPr>
          <w:rFonts w:ascii="Times New Roman" w:hAnsi="Times New Roman" w:cs="Times New Roman"/>
          <w:sz w:val="24"/>
          <w:szCs w:val="24"/>
        </w:rPr>
        <w:lastRenderedPageBreak/>
        <w:t xml:space="preserve">ejerce la acción </w:t>
      </w:r>
      <w:proofErr w:type="spellStart"/>
      <w:r w:rsidR="00A45787" w:rsidRPr="00C12E06">
        <w:rPr>
          <w:rFonts w:ascii="Times New Roman" w:hAnsi="Times New Roman" w:cs="Times New Roman"/>
          <w:sz w:val="24"/>
          <w:szCs w:val="24"/>
        </w:rPr>
        <w:t>subrogatoria</w:t>
      </w:r>
      <w:proofErr w:type="spellEnd"/>
      <w:r w:rsidR="00A45787" w:rsidRPr="00C12E06">
        <w:rPr>
          <w:rFonts w:ascii="Times New Roman" w:hAnsi="Times New Roman" w:cs="Times New Roman"/>
          <w:sz w:val="24"/>
          <w:szCs w:val="24"/>
        </w:rPr>
        <w:t xml:space="preserve"> se añade su deudor</w:t>
      </w:r>
      <w:r w:rsidR="00A45787" w:rsidRPr="00C12E06">
        <w:rPr>
          <w:rStyle w:val="Refdenotaalpie"/>
          <w:rFonts w:ascii="Times New Roman" w:hAnsi="Times New Roman" w:cs="Times New Roman"/>
          <w:sz w:val="24"/>
          <w:szCs w:val="24"/>
        </w:rPr>
        <w:footnoteReference w:id="10"/>
      </w:r>
      <w:r w:rsidR="00A45787" w:rsidRPr="00C12E06">
        <w:rPr>
          <w:rFonts w:ascii="Times New Roman" w:hAnsi="Times New Roman" w:cs="Times New Roman"/>
          <w:sz w:val="24"/>
          <w:szCs w:val="24"/>
        </w:rPr>
        <w:t>, o bien si al proceso entablado por unos socios para impugnar un acuerdo societario, art. 206.1 LSC, se sumaran otros a los que se consintiera aducir otro motivo distinto de anulación</w:t>
      </w:r>
      <w:r w:rsidR="00A45787" w:rsidRPr="00C12E06">
        <w:rPr>
          <w:rStyle w:val="Refdenotaalpie"/>
          <w:rFonts w:ascii="Times New Roman" w:hAnsi="Times New Roman" w:cs="Times New Roman"/>
          <w:sz w:val="24"/>
          <w:szCs w:val="24"/>
        </w:rPr>
        <w:footnoteReference w:id="11"/>
      </w:r>
      <w:r w:rsidR="00A45787" w:rsidRPr="00C12E06">
        <w:rPr>
          <w:rFonts w:ascii="Times New Roman" w:hAnsi="Times New Roman" w:cs="Times New Roman"/>
          <w:sz w:val="24"/>
          <w:szCs w:val="24"/>
        </w:rPr>
        <w:t xml:space="preserve">. </w:t>
      </w:r>
    </w:p>
    <w:p w14:paraId="7FAD60E8" w14:textId="4017A1AC" w:rsidR="00E35E06" w:rsidRDefault="008E4F6A"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w:t>
      </w:r>
      <w:r w:rsidR="00791B2C" w:rsidRPr="00C12E06">
        <w:rPr>
          <w:rFonts w:ascii="Times New Roman" w:hAnsi="Times New Roman" w:cs="Times New Roman"/>
          <w:sz w:val="24"/>
          <w:szCs w:val="24"/>
        </w:rPr>
        <w:t>mpleamos indistintamente los términos</w:t>
      </w:r>
      <w:r w:rsidR="00A45787" w:rsidRPr="00C12E06">
        <w:rPr>
          <w:rFonts w:ascii="Times New Roman" w:hAnsi="Times New Roman" w:cs="Times New Roman"/>
          <w:sz w:val="24"/>
          <w:szCs w:val="24"/>
        </w:rPr>
        <w:t xml:space="preserve"> litisconsorcio </w:t>
      </w:r>
      <w:r w:rsidR="00791B2C" w:rsidRPr="00C12E06">
        <w:rPr>
          <w:rFonts w:ascii="Times New Roman" w:hAnsi="Times New Roman" w:cs="Times New Roman"/>
          <w:sz w:val="24"/>
          <w:szCs w:val="24"/>
        </w:rPr>
        <w:t>o</w:t>
      </w:r>
      <w:r w:rsidR="00FC4692" w:rsidRPr="00C12E06">
        <w:rPr>
          <w:rFonts w:ascii="Times New Roman" w:hAnsi="Times New Roman" w:cs="Times New Roman"/>
          <w:sz w:val="24"/>
          <w:szCs w:val="24"/>
        </w:rPr>
        <w:t xml:space="preserve"> pluralidad de partes a sabiendas</w:t>
      </w:r>
      <w:r w:rsidR="00A45787" w:rsidRPr="00C12E06">
        <w:rPr>
          <w:rFonts w:ascii="Times New Roman" w:hAnsi="Times New Roman" w:cs="Times New Roman"/>
          <w:sz w:val="24"/>
          <w:szCs w:val="24"/>
        </w:rPr>
        <w:t xml:space="preserve"> de que no se trata de una cuestión pacífica pues en ocasiones se presenta al litisconsorcio y a la intervención</w:t>
      </w:r>
      <w:r w:rsidR="00791B2C" w:rsidRPr="00C12E06">
        <w:rPr>
          <w:rFonts w:ascii="Times New Roman" w:hAnsi="Times New Roman" w:cs="Times New Roman"/>
          <w:sz w:val="24"/>
          <w:szCs w:val="24"/>
        </w:rPr>
        <w:t xml:space="preserve"> (de terceros)</w:t>
      </w:r>
      <w:r w:rsidR="00A45787" w:rsidRPr="00C12E06">
        <w:rPr>
          <w:rFonts w:ascii="Times New Roman" w:hAnsi="Times New Roman" w:cs="Times New Roman"/>
          <w:sz w:val="24"/>
          <w:szCs w:val="24"/>
        </w:rPr>
        <w:t xml:space="preserve"> como diferentes manifestaciones de la pluralidad de partes, lo que comporta problemas irresolubles en el plano dogmático</w:t>
      </w:r>
      <w:r w:rsidR="00A45787" w:rsidRPr="00C12E06">
        <w:rPr>
          <w:rStyle w:val="Refdenotaalpie"/>
          <w:rFonts w:ascii="Times New Roman" w:hAnsi="Times New Roman" w:cs="Times New Roman"/>
          <w:sz w:val="24"/>
          <w:szCs w:val="24"/>
        </w:rPr>
        <w:footnoteReference w:id="12"/>
      </w:r>
      <w:r w:rsidR="00A45787" w:rsidRPr="00C12E06">
        <w:rPr>
          <w:rFonts w:ascii="Times New Roman" w:hAnsi="Times New Roman" w:cs="Times New Roman"/>
          <w:sz w:val="24"/>
          <w:szCs w:val="24"/>
        </w:rPr>
        <w:t xml:space="preserve">. </w:t>
      </w:r>
      <w:r w:rsidR="00A45787" w:rsidRPr="00C12E06">
        <w:rPr>
          <w:rFonts w:ascii="Times New Roman" w:hAnsi="Times New Roman" w:cs="Times New Roman"/>
          <w:sz w:val="24"/>
          <w:szCs w:val="24"/>
        </w:rPr>
        <w:lastRenderedPageBreak/>
        <w:t>Además cuando hablamos de acumulación subjetiva la equiparamos a litisconsorcio voluntario por las razones que explicamos a pie de página aunque no sea del todo e</w:t>
      </w:r>
      <w:r w:rsidR="0094030C">
        <w:rPr>
          <w:rFonts w:ascii="Times New Roman" w:hAnsi="Times New Roman" w:cs="Times New Roman"/>
          <w:sz w:val="24"/>
          <w:szCs w:val="24"/>
        </w:rPr>
        <w:t>xacto y a pesar de que, según ciertos autores</w:t>
      </w:r>
      <w:r w:rsidR="00720544" w:rsidRPr="00C12E06">
        <w:rPr>
          <w:rFonts w:ascii="Times New Roman" w:hAnsi="Times New Roman" w:cs="Times New Roman"/>
          <w:sz w:val="24"/>
          <w:szCs w:val="24"/>
        </w:rPr>
        <w:t xml:space="preserve">, </w:t>
      </w:r>
      <w:r w:rsidR="00A45787" w:rsidRPr="00C12E06">
        <w:rPr>
          <w:rFonts w:ascii="Times New Roman" w:hAnsi="Times New Roman" w:cs="Times New Roman"/>
          <w:sz w:val="24"/>
          <w:szCs w:val="24"/>
        </w:rPr>
        <w:t>el litisconsorcio voluntario queda reservado para la acumulación subjetiva inicial, provocando la orfandad nominal de aquellas otras acumulaciones subjetivas sobrevenidas diferentes a la intervención principal</w:t>
      </w:r>
      <w:r w:rsidR="00A45787" w:rsidRPr="00C12E06">
        <w:rPr>
          <w:rStyle w:val="Refdenotaalpie"/>
          <w:rFonts w:ascii="Times New Roman" w:hAnsi="Times New Roman" w:cs="Times New Roman"/>
          <w:sz w:val="24"/>
          <w:szCs w:val="24"/>
        </w:rPr>
        <w:footnoteReference w:id="13"/>
      </w:r>
      <w:r w:rsidR="00A45787" w:rsidRPr="00C12E06">
        <w:rPr>
          <w:rFonts w:ascii="Times New Roman" w:hAnsi="Times New Roman" w:cs="Times New Roman"/>
          <w:sz w:val="24"/>
          <w:szCs w:val="24"/>
        </w:rPr>
        <w:t>. En cualquier caso, no cabe duda de que la denominación más exacta del fenómeno examinado y sobre el que no existe discusión alguna es el de acumulación subjetiva.</w:t>
      </w:r>
    </w:p>
    <w:p w14:paraId="396BA2FC" w14:textId="6937A273" w:rsidR="00E35E06" w:rsidRPr="00032C6B" w:rsidRDefault="00BE226B" w:rsidP="00EC78ED">
      <w:pPr>
        <w:pStyle w:val="Prrafodelista"/>
        <w:numPr>
          <w:ilvl w:val="0"/>
          <w:numId w:val="22"/>
        </w:numPr>
        <w:spacing w:after="0"/>
        <w:ind w:firstLine="0"/>
        <w:jc w:val="both"/>
        <w:rPr>
          <w:rFonts w:ascii="Times New Roman" w:hAnsi="Times New Roman" w:cs="Times New Roman"/>
          <w:sz w:val="24"/>
          <w:szCs w:val="24"/>
        </w:rPr>
      </w:pPr>
      <w:r w:rsidRPr="00032C6B">
        <w:rPr>
          <w:rFonts w:ascii="Times New Roman" w:hAnsi="Times New Roman" w:cs="Times New Roman"/>
          <w:sz w:val="24"/>
          <w:szCs w:val="24"/>
        </w:rPr>
        <w:t xml:space="preserve"> </w:t>
      </w:r>
      <w:r w:rsidRPr="00032C6B">
        <w:rPr>
          <w:rFonts w:ascii="Times New Roman" w:hAnsi="Times New Roman" w:cs="Times New Roman"/>
          <w:b/>
          <w:sz w:val="24"/>
          <w:szCs w:val="24"/>
        </w:rPr>
        <w:t xml:space="preserve"> </w:t>
      </w:r>
      <w:r w:rsidR="00A45787" w:rsidRPr="00032C6B">
        <w:rPr>
          <w:rFonts w:ascii="Times New Roman" w:hAnsi="Times New Roman" w:cs="Times New Roman"/>
          <w:b/>
          <w:sz w:val="24"/>
          <w:szCs w:val="24"/>
        </w:rPr>
        <w:t>Finalidad</w:t>
      </w:r>
    </w:p>
    <w:p w14:paraId="42A03923" w14:textId="18A982DE"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¿Por qué se consiente complicar el proceso acumulando objetos cuya titularidad está atribuida a diferentes sujetos? Existen tres motivos ampliamente reconocidos doctrinal y jurisprudencialmente: 1) economía procesal</w:t>
      </w:r>
      <w:r w:rsidR="005C05D7">
        <w:rPr>
          <w:rFonts w:ascii="Times New Roman" w:hAnsi="Times New Roman" w:cs="Times New Roman"/>
          <w:sz w:val="24"/>
          <w:szCs w:val="24"/>
        </w:rPr>
        <w:t xml:space="preserve">, </w:t>
      </w:r>
      <w:r w:rsidRPr="00C12E06">
        <w:rPr>
          <w:rFonts w:ascii="Times New Roman" w:hAnsi="Times New Roman" w:cs="Times New Roman"/>
          <w:sz w:val="24"/>
          <w:szCs w:val="24"/>
        </w:rPr>
        <w:t>se aprovecha un mismo proceso para ventilar diferentes cuestiones que conciernen a las partes;</w:t>
      </w:r>
      <w:r w:rsidR="006429C0">
        <w:rPr>
          <w:rFonts w:ascii="Times New Roman" w:hAnsi="Times New Roman" w:cs="Times New Roman"/>
          <w:sz w:val="24"/>
          <w:szCs w:val="24"/>
        </w:rPr>
        <w:t xml:space="preserve"> 2) favorecer los intereses de e</w:t>
      </w:r>
      <w:r w:rsidRPr="00C12E06">
        <w:rPr>
          <w:rFonts w:ascii="Times New Roman" w:hAnsi="Times New Roman" w:cs="Times New Roman"/>
          <w:sz w:val="24"/>
          <w:szCs w:val="24"/>
        </w:rPr>
        <w:t xml:space="preserve">stas evitándoles tener que incoar diferentes procesos (que se anuda, débilmente, -no forma parte de su contenido esencial sino que resulta de una interpretación </w:t>
      </w:r>
      <w:r w:rsidRPr="00C12E06">
        <w:rPr>
          <w:rFonts w:ascii="Times New Roman" w:hAnsi="Times New Roman" w:cs="Times New Roman"/>
          <w:i/>
          <w:sz w:val="24"/>
          <w:szCs w:val="24"/>
        </w:rPr>
        <w:t xml:space="preserve">pro </w:t>
      </w:r>
      <w:proofErr w:type="spellStart"/>
      <w:r w:rsidRPr="00C12E06">
        <w:rPr>
          <w:rFonts w:ascii="Times New Roman" w:hAnsi="Times New Roman" w:cs="Times New Roman"/>
          <w:i/>
          <w:sz w:val="24"/>
          <w:szCs w:val="24"/>
        </w:rPr>
        <w:t>actione</w:t>
      </w:r>
      <w:proofErr w:type="spellEnd"/>
      <w:r w:rsidRPr="00C12E06">
        <w:rPr>
          <w:rFonts w:ascii="Times New Roman" w:hAnsi="Times New Roman" w:cs="Times New Roman"/>
          <w:i/>
          <w:sz w:val="24"/>
          <w:szCs w:val="24"/>
        </w:rPr>
        <w:t xml:space="preserve"> </w:t>
      </w:r>
      <w:r w:rsidRPr="00C12E06">
        <w:rPr>
          <w:rFonts w:ascii="Times New Roman" w:hAnsi="Times New Roman" w:cs="Times New Roman"/>
          <w:sz w:val="24"/>
          <w:szCs w:val="24"/>
        </w:rPr>
        <w:t>de la misma- a la tutela judicial efectiva, art. 24.1 CE, y 3) eludir pronunciamientos contradictorios y auspiciar de esta manera la seguridad jurídica. Las dos primeras finalidades son las caras opuestas de la misma moneda: desde el punto de vista subjetivo, el Estado y las partes, resulta conveniente la acumulación.</w:t>
      </w:r>
    </w:p>
    <w:p w14:paraId="770BA569" w14:textId="65A21634" w:rsidR="00E35E06" w:rsidRDefault="00A45787" w:rsidP="000B489F">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En cualquier caso conviene precisar que, como se va a comprobar, la intensidad con la que juegan estos valores en las diferentes clases de acumulación subjetiva es muy distinta: no es lo mismo un litisconsorcio voluntario en el que existe una acumulación de acciones eventual o subsidiaria o bien accesoria a una principal que otro fundado en</w:t>
      </w:r>
      <w:r w:rsidR="006429C0">
        <w:rPr>
          <w:rFonts w:ascii="Times New Roman" w:hAnsi="Times New Roman" w:cs="Times New Roman"/>
          <w:sz w:val="24"/>
          <w:szCs w:val="24"/>
        </w:rPr>
        <w:t xml:space="preserve"> una identidad fáctica estricta, </w:t>
      </w:r>
      <w:proofErr w:type="spellStart"/>
      <w:r w:rsidR="006429C0">
        <w:rPr>
          <w:rFonts w:ascii="Times New Roman" w:hAnsi="Times New Roman" w:cs="Times New Roman"/>
          <w:i/>
          <w:sz w:val="24"/>
          <w:szCs w:val="24"/>
        </w:rPr>
        <w:t>e.g</w:t>
      </w:r>
      <w:proofErr w:type="spellEnd"/>
      <w:r w:rsidR="006429C0">
        <w:rPr>
          <w:rFonts w:ascii="Times New Roman" w:hAnsi="Times New Roman" w:cs="Times New Roman"/>
          <w:i/>
          <w:sz w:val="24"/>
          <w:szCs w:val="24"/>
        </w:rPr>
        <w:t>.,</w:t>
      </w:r>
      <w:r w:rsidRPr="00C12E06">
        <w:rPr>
          <w:rFonts w:ascii="Times New Roman" w:hAnsi="Times New Roman" w:cs="Times New Roman"/>
          <w:sz w:val="24"/>
          <w:szCs w:val="24"/>
        </w:rPr>
        <w:t xml:space="preserve"> los daños irrogados por un accidente.</w:t>
      </w:r>
      <w:r w:rsidR="00655A36">
        <w:rPr>
          <w:rFonts w:ascii="Times New Roman" w:hAnsi="Times New Roman" w:cs="Times New Roman"/>
          <w:sz w:val="24"/>
          <w:szCs w:val="24"/>
        </w:rPr>
        <w:t xml:space="preserve"> </w:t>
      </w:r>
    </w:p>
    <w:p w14:paraId="14D591DA" w14:textId="00A15A8A" w:rsidR="00E35E06" w:rsidRPr="00032C6B" w:rsidRDefault="00A45787" w:rsidP="00EC78ED">
      <w:pPr>
        <w:pStyle w:val="Prrafodelista"/>
        <w:numPr>
          <w:ilvl w:val="0"/>
          <w:numId w:val="22"/>
        </w:numPr>
        <w:spacing w:after="0"/>
        <w:ind w:firstLine="0"/>
        <w:jc w:val="both"/>
        <w:rPr>
          <w:rFonts w:ascii="Times New Roman" w:hAnsi="Times New Roman" w:cs="Times New Roman"/>
          <w:sz w:val="24"/>
          <w:szCs w:val="24"/>
        </w:rPr>
      </w:pPr>
      <w:r w:rsidRPr="00032C6B">
        <w:rPr>
          <w:rFonts w:ascii="Times New Roman" w:hAnsi="Times New Roman" w:cs="Times New Roman"/>
          <w:b/>
          <w:sz w:val="24"/>
          <w:szCs w:val="24"/>
        </w:rPr>
        <w:t xml:space="preserve">Presupuestos </w:t>
      </w:r>
    </w:p>
    <w:p w14:paraId="18FBD0A0" w14:textId="77777777"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Los requisitos para acordar la acumulación subjetiva pueden ser procedimentales o procesales. Nos centraremos en los segundos por cuanto configuran la esencia de aquella.</w:t>
      </w:r>
    </w:p>
    <w:p w14:paraId="0F7F598D" w14:textId="77777777" w:rsidR="00A45787" w:rsidRPr="00A4637E" w:rsidRDefault="00A45787" w:rsidP="000B489F">
      <w:pPr>
        <w:numPr>
          <w:ilvl w:val="0"/>
          <w:numId w:val="2"/>
        </w:numPr>
        <w:spacing w:after="0"/>
        <w:ind w:left="0" w:firstLine="0"/>
        <w:jc w:val="both"/>
        <w:rPr>
          <w:rFonts w:ascii="Times New Roman" w:hAnsi="Times New Roman" w:cs="Times New Roman"/>
          <w:b/>
          <w:sz w:val="24"/>
          <w:szCs w:val="24"/>
        </w:rPr>
      </w:pPr>
      <w:r w:rsidRPr="00A4637E">
        <w:rPr>
          <w:rFonts w:ascii="Times New Roman" w:hAnsi="Times New Roman" w:cs="Times New Roman"/>
          <w:b/>
          <w:sz w:val="24"/>
          <w:szCs w:val="24"/>
        </w:rPr>
        <w:lastRenderedPageBreak/>
        <w:t>Procedimentales</w:t>
      </w:r>
    </w:p>
    <w:p w14:paraId="239B3E61" w14:textId="5B8F79C8"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Como toda acumulación de acciones está sometida a unos requisitos básicos que no suponen peculiaridades decisivas respecto de la acumulación objetiva, art. 73 LEC: </w:t>
      </w:r>
    </w:p>
    <w:p w14:paraId="15B4E602" w14:textId="0288CA4D" w:rsidR="00A45787" w:rsidRPr="00C12E06" w:rsidRDefault="00A4637E" w:rsidP="00560C4E">
      <w:pPr>
        <w:spacing w:after="0"/>
        <w:jc w:val="both"/>
        <w:rPr>
          <w:rFonts w:ascii="Times New Roman" w:hAnsi="Times New Roman" w:cs="Times New Roman"/>
          <w:sz w:val="24"/>
          <w:szCs w:val="24"/>
        </w:rPr>
      </w:pPr>
      <w:r>
        <w:rPr>
          <w:rFonts w:ascii="Times New Roman" w:hAnsi="Times New Roman" w:cs="Times New Roman"/>
          <w:sz w:val="24"/>
          <w:szCs w:val="24"/>
        </w:rPr>
        <w:t>1.</w:t>
      </w:r>
      <w:r w:rsidR="00A45787" w:rsidRPr="00C12E06">
        <w:rPr>
          <w:rFonts w:ascii="Times New Roman" w:hAnsi="Times New Roman" w:cs="Times New Roman"/>
          <w:sz w:val="24"/>
          <w:szCs w:val="24"/>
        </w:rPr>
        <w:t xml:space="preserve"> </w:t>
      </w:r>
      <w:r>
        <w:rPr>
          <w:rFonts w:ascii="Times New Roman" w:hAnsi="Times New Roman" w:cs="Times New Roman"/>
          <w:sz w:val="24"/>
          <w:szCs w:val="24"/>
        </w:rPr>
        <w:t>Jurisdicción y competencia del tribunal</w:t>
      </w:r>
    </w:p>
    <w:p w14:paraId="57E89B3D" w14:textId="77777777"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Los tribunales españoles en el caso de pluralidad de demandados (y acumulación de acciones) ostentan competencia judicial internacional si alguno de ellos tiene su domicilio en España, art. 22.ter LOPJ. Precepto que es una transposición de lo previsto en el ámbito de la UE en el art. 8.1 del </w:t>
      </w:r>
      <w:proofErr w:type="spellStart"/>
      <w:r w:rsidRPr="00C12E06">
        <w:rPr>
          <w:rFonts w:ascii="Times New Roman" w:hAnsi="Times New Roman" w:cs="Times New Roman"/>
          <w:sz w:val="24"/>
          <w:szCs w:val="24"/>
        </w:rPr>
        <w:t>Rgto</w:t>
      </w:r>
      <w:proofErr w:type="spellEnd"/>
      <w:r w:rsidRPr="00C12E06">
        <w:rPr>
          <w:rFonts w:ascii="Times New Roman" w:hAnsi="Times New Roman" w:cs="Times New Roman"/>
          <w:sz w:val="24"/>
          <w:szCs w:val="24"/>
        </w:rPr>
        <w:t>. (UE) 1215/2012.</w:t>
      </w:r>
    </w:p>
    <w:p w14:paraId="11985C10" w14:textId="74BBA963" w:rsidR="00A45787"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En cuanto a la jurisdicción por razón del objeto y en lo que se refiere a la exigencia de responsabilidad civil extracontractual hay que recordar que si se reclama responsabilidad patrimonial a la Admón</w:t>
      </w:r>
      <w:r w:rsidR="00EC3217" w:rsidRPr="00C12E06">
        <w:rPr>
          <w:rFonts w:ascii="Times New Roman" w:hAnsi="Times New Roman" w:cs="Times New Roman"/>
          <w:sz w:val="24"/>
          <w:szCs w:val="24"/>
        </w:rPr>
        <w:t>.</w:t>
      </w:r>
      <w:r w:rsidRPr="00C12E06">
        <w:rPr>
          <w:rFonts w:ascii="Times New Roman" w:hAnsi="Times New Roman" w:cs="Times New Roman"/>
          <w:sz w:val="24"/>
          <w:szCs w:val="24"/>
        </w:rPr>
        <w:t xml:space="preserve"> y al particular que ha concurrido en la producción del daño o a la aseguradora habrá que acudir al orden c-a, arts. 9.4 LOPJ y  2.e) LJCA.</w:t>
      </w:r>
    </w:p>
    <w:p w14:paraId="34041F9E" w14:textId="3DBC1598" w:rsidR="00656796" w:rsidRPr="00C12E06" w:rsidRDefault="00656796"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El hecho de q</w:t>
      </w:r>
      <w:r w:rsidR="002638A0">
        <w:rPr>
          <w:rFonts w:ascii="Times New Roman" w:hAnsi="Times New Roman" w:cs="Times New Roman"/>
          <w:sz w:val="24"/>
          <w:szCs w:val="24"/>
        </w:rPr>
        <w:t>ue exista un convenio arbitral o mediación</w:t>
      </w:r>
      <w:r>
        <w:rPr>
          <w:rFonts w:ascii="Times New Roman" w:hAnsi="Times New Roman" w:cs="Times New Roman"/>
          <w:sz w:val="24"/>
          <w:szCs w:val="24"/>
        </w:rPr>
        <w:t xml:space="preserve"> respecto de </w:t>
      </w:r>
      <w:r w:rsidR="00645F07">
        <w:rPr>
          <w:rFonts w:ascii="Times New Roman" w:hAnsi="Times New Roman" w:cs="Times New Roman"/>
          <w:sz w:val="24"/>
          <w:szCs w:val="24"/>
        </w:rPr>
        <w:t>uno</w:t>
      </w:r>
      <w:r>
        <w:rPr>
          <w:rFonts w:ascii="Times New Roman" w:hAnsi="Times New Roman" w:cs="Times New Roman"/>
          <w:sz w:val="24"/>
          <w:szCs w:val="24"/>
        </w:rPr>
        <w:t xml:space="preserve"> de los objetos, y así se plantee a través de la declinatoria, </w:t>
      </w:r>
      <w:r w:rsidR="002638A0">
        <w:rPr>
          <w:rFonts w:ascii="Times New Roman" w:hAnsi="Times New Roman" w:cs="Times New Roman"/>
          <w:sz w:val="24"/>
          <w:szCs w:val="24"/>
        </w:rPr>
        <w:t xml:space="preserve">art. 63.1 LEC, </w:t>
      </w:r>
      <w:r>
        <w:rPr>
          <w:rFonts w:ascii="Times New Roman" w:hAnsi="Times New Roman" w:cs="Times New Roman"/>
          <w:sz w:val="24"/>
          <w:szCs w:val="24"/>
        </w:rPr>
        <w:t xml:space="preserve">no impide la continuación del proceso respecto de los restantes salvo que exista un vínculo de interdependencia o </w:t>
      </w:r>
      <w:proofErr w:type="spellStart"/>
      <w:r>
        <w:rPr>
          <w:rFonts w:ascii="Times New Roman" w:hAnsi="Times New Roman" w:cs="Times New Roman"/>
          <w:sz w:val="24"/>
          <w:szCs w:val="24"/>
        </w:rPr>
        <w:t>prejudicialidad</w:t>
      </w:r>
      <w:proofErr w:type="spellEnd"/>
      <w:r>
        <w:rPr>
          <w:rFonts w:ascii="Times New Roman" w:hAnsi="Times New Roman" w:cs="Times New Roman"/>
          <w:sz w:val="24"/>
          <w:szCs w:val="24"/>
        </w:rPr>
        <w:t xml:space="preserve"> entre ellas (acumulación accesoria y </w:t>
      </w:r>
      <w:r w:rsidR="002638A0">
        <w:rPr>
          <w:rFonts w:ascii="Times New Roman" w:hAnsi="Times New Roman" w:cs="Times New Roman"/>
          <w:sz w:val="24"/>
          <w:szCs w:val="24"/>
        </w:rPr>
        <w:t xml:space="preserve">eventual o </w:t>
      </w:r>
      <w:r>
        <w:rPr>
          <w:rFonts w:ascii="Times New Roman" w:hAnsi="Times New Roman" w:cs="Times New Roman"/>
          <w:sz w:val="24"/>
          <w:szCs w:val="24"/>
        </w:rPr>
        <w:t xml:space="preserve">subsidiaria). </w:t>
      </w:r>
    </w:p>
    <w:p w14:paraId="1545E91A" w14:textId="6A3477CB" w:rsidR="007858D9" w:rsidRPr="00C265BB" w:rsidRDefault="00A45787" w:rsidP="00560C4E">
      <w:pPr>
        <w:spacing w:after="0"/>
        <w:ind w:firstLine="0"/>
        <w:jc w:val="both"/>
        <w:rPr>
          <w:rFonts w:ascii="Times New Roman" w:hAnsi="Times New Roman" w:cs="Times New Roman"/>
          <w:sz w:val="24"/>
          <w:szCs w:val="24"/>
        </w:rPr>
      </w:pPr>
      <w:r w:rsidRPr="00C265BB">
        <w:rPr>
          <w:rFonts w:ascii="Times New Roman" w:hAnsi="Times New Roman" w:cs="Times New Roman"/>
          <w:sz w:val="24"/>
          <w:szCs w:val="24"/>
        </w:rPr>
        <w:t>En lo que atañe a la competencia objetiva</w:t>
      </w:r>
      <w:r w:rsidR="00DF159C">
        <w:rPr>
          <w:rFonts w:ascii="Times New Roman" w:hAnsi="Times New Roman" w:cs="Times New Roman"/>
          <w:sz w:val="24"/>
          <w:szCs w:val="24"/>
        </w:rPr>
        <w:t xml:space="preserve"> desde la creación de los Juzgados de lo mercantil</w:t>
      </w:r>
      <w:r w:rsidRPr="00C265BB">
        <w:rPr>
          <w:rFonts w:ascii="Times New Roman" w:hAnsi="Times New Roman" w:cs="Times New Roman"/>
          <w:sz w:val="24"/>
          <w:szCs w:val="24"/>
        </w:rPr>
        <w:t xml:space="preserve"> han existido problemas </w:t>
      </w:r>
      <w:r w:rsidR="00DF159C">
        <w:rPr>
          <w:rFonts w:ascii="Times New Roman" w:hAnsi="Times New Roman" w:cs="Times New Roman"/>
          <w:sz w:val="24"/>
          <w:szCs w:val="24"/>
        </w:rPr>
        <w:t xml:space="preserve">si alguna de las acciones está atribuida a ellos. Así </w:t>
      </w:r>
      <w:r w:rsidRPr="00C265BB">
        <w:rPr>
          <w:rFonts w:ascii="Times New Roman" w:hAnsi="Times New Roman" w:cs="Times New Roman"/>
          <w:sz w:val="24"/>
          <w:szCs w:val="24"/>
        </w:rPr>
        <w:t>en cuanto a la competencia objetiva en la acumulación de acciones frente a la socied</w:t>
      </w:r>
      <w:r w:rsidR="00DF159C">
        <w:rPr>
          <w:rFonts w:ascii="Times New Roman" w:hAnsi="Times New Roman" w:cs="Times New Roman"/>
          <w:sz w:val="24"/>
          <w:szCs w:val="24"/>
        </w:rPr>
        <w:t>ad, reclamación de cantidades (</w:t>
      </w:r>
      <w:proofErr w:type="spellStart"/>
      <w:r w:rsidR="00DF159C">
        <w:rPr>
          <w:rFonts w:ascii="Times New Roman" w:hAnsi="Times New Roman" w:cs="Times New Roman"/>
          <w:sz w:val="24"/>
          <w:szCs w:val="24"/>
        </w:rPr>
        <w:t>Jdo</w:t>
      </w:r>
      <w:proofErr w:type="spellEnd"/>
      <w:r w:rsidR="00DF159C">
        <w:rPr>
          <w:rFonts w:ascii="Times New Roman" w:hAnsi="Times New Roman" w:cs="Times New Roman"/>
          <w:sz w:val="24"/>
          <w:szCs w:val="24"/>
        </w:rPr>
        <w:t>.</w:t>
      </w:r>
      <w:r w:rsidR="002638A0">
        <w:rPr>
          <w:rFonts w:ascii="Times New Roman" w:hAnsi="Times New Roman" w:cs="Times New Roman"/>
          <w:sz w:val="24"/>
          <w:szCs w:val="24"/>
        </w:rPr>
        <w:t xml:space="preserve"> 1ª I</w:t>
      </w:r>
      <w:r w:rsidRPr="00C265BB">
        <w:rPr>
          <w:rFonts w:ascii="Times New Roman" w:hAnsi="Times New Roman" w:cs="Times New Roman"/>
          <w:sz w:val="24"/>
          <w:szCs w:val="24"/>
        </w:rPr>
        <w:t>nstancia) y</w:t>
      </w:r>
      <w:r w:rsidR="00DF159C">
        <w:rPr>
          <w:rFonts w:ascii="Times New Roman" w:hAnsi="Times New Roman" w:cs="Times New Roman"/>
          <w:sz w:val="24"/>
          <w:szCs w:val="24"/>
        </w:rPr>
        <w:t xml:space="preserve"> frente a los administradores (</w:t>
      </w:r>
      <w:proofErr w:type="spellStart"/>
      <w:r w:rsidR="00DF159C">
        <w:rPr>
          <w:rFonts w:ascii="Times New Roman" w:hAnsi="Times New Roman" w:cs="Times New Roman"/>
          <w:sz w:val="24"/>
          <w:szCs w:val="24"/>
        </w:rPr>
        <w:t>Jdo</w:t>
      </w:r>
      <w:proofErr w:type="spellEnd"/>
      <w:r w:rsidR="00DF159C">
        <w:rPr>
          <w:rFonts w:ascii="Times New Roman" w:hAnsi="Times New Roman" w:cs="Times New Roman"/>
          <w:sz w:val="24"/>
          <w:szCs w:val="24"/>
        </w:rPr>
        <w:t>.</w:t>
      </w:r>
      <w:r w:rsidR="002638A0">
        <w:rPr>
          <w:rFonts w:ascii="Times New Roman" w:hAnsi="Times New Roman" w:cs="Times New Roman"/>
          <w:sz w:val="24"/>
          <w:szCs w:val="24"/>
        </w:rPr>
        <w:t xml:space="preserve"> Mercantil) </w:t>
      </w:r>
      <w:r w:rsidRPr="00C265BB">
        <w:rPr>
          <w:rFonts w:ascii="Times New Roman" w:hAnsi="Times New Roman" w:cs="Times New Roman"/>
          <w:sz w:val="24"/>
          <w:szCs w:val="24"/>
        </w:rPr>
        <w:t xml:space="preserve">se han resuelto en favor del segundo en virtud de la especialidad del art. </w:t>
      </w:r>
      <w:r w:rsidR="00DF159C">
        <w:rPr>
          <w:rFonts w:ascii="Times New Roman" w:hAnsi="Times New Roman" w:cs="Times New Roman"/>
          <w:sz w:val="24"/>
          <w:szCs w:val="24"/>
        </w:rPr>
        <w:t>83 ter.2.a) LOPJ. E</w:t>
      </w:r>
      <w:r w:rsidRPr="00C265BB">
        <w:rPr>
          <w:rFonts w:ascii="Times New Roman" w:hAnsi="Times New Roman" w:cs="Times New Roman"/>
          <w:sz w:val="24"/>
          <w:szCs w:val="24"/>
        </w:rPr>
        <w:t>l deseo de favorecer a los justiciables y la economía procesal ha forzado la interpretación de la ley</w:t>
      </w:r>
      <w:r w:rsidRPr="00C12E06">
        <w:rPr>
          <w:vertAlign w:val="superscript"/>
        </w:rPr>
        <w:footnoteReference w:id="14"/>
      </w:r>
      <w:r w:rsidRPr="00C265BB">
        <w:rPr>
          <w:rFonts w:ascii="Times New Roman" w:hAnsi="Times New Roman" w:cs="Times New Roman"/>
          <w:sz w:val="24"/>
          <w:szCs w:val="24"/>
        </w:rPr>
        <w:t xml:space="preserve"> por lo que se requeriría una previsión legislativa expresa</w:t>
      </w:r>
      <w:r w:rsidR="002638A0">
        <w:rPr>
          <w:rFonts w:ascii="Times New Roman" w:hAnsi="Times New Roman" w:cs="Times New Roman"/>
          <w:sz w:val="24"/>
          <w:szCs w:val="24"/>
        </w:rPr>
        <w:t>, art. 117.3 CE,</w:t>
      </w:r>
      <w:r w:rsidRPr="00C265BB">
        <w:rPr>
          <w:rFonts w:ascii="Times New Roman" w:hAnsi="Times New Roman" w:cs="Times New Roman"/>
          <w:sz w:val="24"/>
          <w:szCs w:val="24"/>
        </w:rPr>
        <w:t xml:space="preserve"> para delimitar la competencia objetiva en casos de conexión como el que consideramos.</w:t>
      </w:r>
    </w:p>
    <w:p w14:paraId="1D1090AE" w14:textId="62BF60C7" w:rsidR="00A45787" w:rsidRDefault="00D04689"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E</w:t>
      </w:r>
      <w:r w:rsidR="007858D9" w:rsidRPr="00C12E06">
        <w:rPr>
          <w:rFonts w:ascii="Times New Roman" w:hAnsi="Times New Roman" w:cs="Times New Roman"/>
          <w:sz w:val="24"/>
          <w:szCs w:val="24"/>
        </w:rPr>
        <w:t xml:space="preserve">s de destacar que en los supuestos de acumulación subjetiva </w:t>
      </w:r>
      <w:r w:rsidR="00311DE3" w:rsidRPr="00C12E06">
        <w:rPr>
          <w:rFonts w:ascii="Times New Roman" w:hAnsi="Times New Roman" w:cs="Times New Roman"/>
          <w:sz w:val="24"/>
          <w:szCs w:val="24"/>
        </w:rPr>
        <w:t xml:space="preserve">si uno de los litisconsortes pasivos (como puede suceder, por ejemplo, con la </w:t>
      </w:r>
      <w:r w:rsidR="007858D9" w:rsidRPr="00C12E06">
        <w:rPr>
          <w:rFonts w:ascii="Times New Roman" w:hAnsi="Times New Roman" w:cs="Times New Roman"/>
          <w:sz w:val="24"/>
          <w:szCs w:val="24"/>
        </w:rPr>
        <w:t>solidaridad</w:t>
      </w:r>
      <w:r w:rsidR="00311DE3" w:rsidRPr="00C12E06">
        <w:rPr>
          <w:rFonts w:ascii="Times New Roman" w:hAnsi="Times New Roman" w:cs="Times New Roman"/>
          <w:sz w:val="24"/>
          <w:szCs w:val="24"/>
        </w:rPr>
        <w:t>)</w:t>
      </w:r>
      <w:r w:rsidR="007858D9" w:rsidRPr="00C12E06">
        <w:rPr>
          <w:rFonts w:ascii="Times New Roman" w:hAnsi="Times New Roman" w:cs="Times New Roman"/>
          <w:sz w:val="24"/>
          <w:szCs w:val="24"/>
        </w:rPr>
        <w:t xml:space="preserve"> se encuent</w:t>
      </w:r>
      <w:r w:rsidR="00311DE3" w:rsidRPr="00C12E06">
        <w:rPr>
          <w:rFonts w:ascii="Times New Roman" w:hAnsi="Times New Roman" w:cs="Times New Roman"/>
          <w:sz w:val="24"/>
          <w:szCs w:val="24"/>
        </w:rPr>
        <w:t xml:space="preserve">ra en situación de concurso no cabría que el </w:t>
      </w:r>
      <w:r w:rsidR="007858D9" w:rsidRPr="00C12E06">
        <w:rPr>
          <w:rFonts w:ascii="Times New Roman" w:hAnsi="Times New Roman" w:cs="Times New Roman"/>
          <w:sz w:val="24"/>
          <w:szCs w:val="24"/>
        </w:rPr>
        <w:t>Juez de Primera Instancia</w:t>
      </w:r>
      <w:r w:rsidR="00311DE3" w:rsidRPr="00C12E06">
        <w:rPr>
          <w:rFonts w:ascii="Times New Roman" w:hAnsi="Times New Roman" w:cs="Times New Roman"/>
          <w:sz w:val="24"/>
          <w:szCs w:val="24"/>
        </w:rPr>
        <w:t xml:space="preserve"> conociera de la pretensión contra </w:t>
      </w:r>
      <w:proofErr w:type="spellStart"/>
      <w:r w:rsidR="00311DE3" w:rsidRPr="00C12E06">
        <w:rPr>
          <w:rFonts w:ascii="Times New Roman" w:hAnsi="Times New Roman" w:cs="Times New Roman"/>
          <w:sz w:val="24"/>
          <w:szCs w:val="24"/>
        </w:rPr>
        <w:t>el</w:t>
      </w:r>
      <w:proofErr w:type="spellEnd"/>
      <w:r w:rsidR="00311DE3" w:rsidRPr="00C12E06">
        <w:rPr>
          <w:rFonts w:ascii="Times New Roman" w:hAnsi="Times New Roman" w:cs="Times New Roman"/>
          <w:sz w:val="24"/>
          <w:szCs w:val="24"/>
        </w:rPr>
        <w:t xml:space="preserve">, </w:t>
      </w:r>
      <w:r w:rsidR="006451E9" w:rsidRPr="00C12E06">
        <w:rPr>
          <w:rFonts w:ascii="Times New Roman" w:hAnsi="Times New Roman" w:cs="Times New Roman"/>
          <w:sz w:val="24"/>
          <w:szCs w:val="24"/>
        </w:rPr>
        <w:t>arts. 86 ter 1.1ª, 8 y 50.1 L</w:t>
      </w:r>
      <w:r w:rsidR="00D733BB" w:rsidRPr="00C12E06">
        <w:rPr>
          <w:rFonts w:ascii="Times New Roman" w:hAnsi="Times New Roman" w:cs="Times New Roman"/>
          <w:sz w:val="24"/>
          <w:szCs w:val="24"/>
        </w:rPr>
        <w:t xml:space="preserve">C, </w:t>
      </w:r>
      <w:r w:rsidR="00311DE3" w:rsidRPr="00C12E06">
        <w:rPr>
          <w:rFonts w:ascii="Times New Roman" w:hAnsi="Times New Roman" w:cs="Times New Roman"/>
          <w:sz w:val="24"/>
          <w:szCs w:val="24"/>
        </w:rPr>
        <w:t>por lo que</w:t>
      </w:r>
      <w:r w:rsidR="007858D9" w:rsidRPr="00C12E06">
        <w:rPr>
          <w:rFonts w:ascii="Times New Roman" w:hAnsi="Times New Roman" w:cs="Times New Roman"/>
          <w:sz w:val="24"/>
          <w:szCs w:val="24"/>
        </w:rPr>
        <w:t xml:space="preserve"> continuaría el proceso </w:t>
      </w:r>
      <w:r w:rsidR="00311DE3" w:rsidRPr="00C12E06">
        <w:rPr>
          <w:rFonts w:ascii="Times New Roman" w:hAnsi="Times New Roman" w:cs="Times New Roman"/>
          <w:sz w:val="24"/>
          <w:szCs w:val="24"/>
        </w:rPr>
        <w:t xml:space="preserve">exclusivamente </w:t>
      </w:r>
      <w:r w:rsidR="007858D9" w:rsidRPr="00C12E06">
        <w:rPr>
          <w:rFonts w:ascii="Times New Roman" w:hAnsi="Times New Roman" w:cs="Times New Roman"/>
          <w:sz w:val="24"/>
          <w:szCs w:val="24"/>
        </w:rPr>
        <w:t>frente a l</w:t>
      </w:r>
      <w:r w:rsidR="005731AA" w:rsidRPr="00C12E06">
        <w:rPr>
          <w:rFonts w:ascii="Times New Roman" w:hAnsi="Times New Roman" w:cs="Times New Roman"/>
          <w:sz w:val="24"/>
          <w:szCs w:val="24"/>
        </w:rPr>
        <w:t>os restantes</w:t>
      </w:r>
      <w:r w:rsidR="00D733BB" w:rsidRPr="00C12E06">
        <w:rPr>
          <w:rStyle w:val="Refdenotaalpie"/>
          <w:rFonts w:ascii="Times New Roman" w:hAnsi="Times New Roman" w:cs="Times New Roman"/>
          <w:sz w:val="24"/>
          <w:szCs w:val="24"/>
        </w:rPr>
        <w:footnoteReference w:id="15"/>
      </w:r>
      <w:r w:rsidR="007858D9" w:rsidRPr="00C12E06">
        <w:rPr>
          <w:rFonts w:ascii="Times New Roman" w:hAnsi="Times New Roman" w:cs="Times New Roman"/>
          <w:sz w:val="24"/>
          <w:szCs w:val="24"/>
        </w:rPr>
        <w:t>.</w:t>
      </w:r>
      <w:r w:rsidR="00311DE3" w:rsidRPr="00C12E06">
        <w:rPr>
          <w:rFonts w:ascii="Times New Roman" w:hAnsi="Times New Roman" w:cs="Times New Roman"/>
          <w:sz w:val="24"/>
          <w:szCs w:val="24"/>
        </w:rPr>
        <w:t xml:space="preserve"> </w:t>
      </w:r>
      <w:r w:rsidR="00DF159C">
        <w:rPr>
          <w:rFonts w:ascii="Times New Roman" w:hAnsi="Times New Roman" w:cs="Times New Roman"/>
          <w:sz w:val="24"/>
          <w:szCs w:val="24"/>
        </w:rPr>
        <w:t>Sin embargo,</w:t>
      </w:r>
      <w:r w:rsidR="00311DE3" w:rsidRPr="00C12E06">
        <w:rPr>
          <w:rFonts w:ascii="Times New Roman" w:hAnsi="Times New Roman" w:cs="Times New Roman"/>
          <w:sz w:val="24"/>
          <w:szCs w:val="24"/>
        </w:rPr>
        <w:t xml:space="preserve"> aunque se haya excluido la acción contra el concursado ha acontecido la </w:t>
      </w:r>
      <w:proofErr w:type="spellStart"/>
      <w:r w:rsidR="00311DE3" w:rsidRPr="00C12E06">
        <w:rPr>
          <w:rFonts w:ascii="Times New Roman" w:hAnsi="Times New Roman" w:cs="Times New Roman"/>
          <w:sz w:val="24"/>
          <w:szCs w:val="24"/>
        </w:rPr>
        <w:t>litisdenunciación</w:t>
      </w:r>
      <w:proofErr w:type="spellEnd"/>
      <w:r w:rsidR="00311DE3" w:rsidRPr="00C12E06">
        <w:rPr>
          <w:rFonts w:ascii="Times New Roman" w:hAnsi="Times New Roman" w:cs="Times New Roman"/>
          <w:sz w:val="24"/>
          <w:szCs w:val="24"/>
        </w:rPr>
        <w:t xml:space="preserve"> del proceso de suerte que aquel podría permanecer en </w:t>
      </w:r>
      <w:r w:rsidR="00311DE3" w:rsidRPr="00C12E06">
        <w:rPr>
          <w:rFonts w:ascii="Times New Roman" w:hAnsi="Times New Roman" w:cs="Times New Roman"/>
          <w:sz w:val="24"/>
          <w:szCs w:val="24"/>
        </w:rPr>
        <w:lastRenderedPageBreak/>
        <w:t xml:space="preserve">el pleito en la condición de interviniente adhesivo simple de manera que se extendería </w:t>
      </w:r>
      <w:r w:rsidR="00CC3E4D" w:rsidRPr="00C12E06">
        <w:rPr>
          <w:rFonts w:ascii="Times New Roman" w:hAnsi="Times New Roman" w:cs="Times New Roman"/>
          <w:sz w:val="24"/>
          <w:szCs w:val="24"/>
        </w:rPr>
        <w:t xml:space="preserve">frente a </w:t>
      </w:r>
      <w:proofErr w:type="spellStart"/>
      <w:r w:rsidR="00CC3E4D" w:rsidRPr="00C12E06">
        <w:rPr>
          <w:rFonts w:ascii="Times New Roman" w:hAnsi="Times New Roman" w:cs="Times New Roman"/>
          <w:sz w:val="24"/>
          <w:szCs w:val="24"/>
        </w:rPr>
        <w:t>el</w:t>
      </w:r>
      <w:proofErr w:type="spellEnd"/>
      <w:r w:rsidR="00CC3E4D" w:rsidRPr="00C12E06">
        <w:rPr>
          <w:rFonts w:ascii="Times New Roman" w:hAnsi="Times New Roman" w:cs="Times New Roman"/>
          <w:sz w:val="24"/>
          <w:szCs w:val="24"/>
        </w:rPr>
        <w:t xml:space="preserve"> </w:t>
      </w:r>
      <w:r w:rsidR="00311DE3" w:rsidRPr="00C12E06">
        <w:rPr>
          <w:rFonts w:ascii="Times New Roman" w:hAnsi="Times New Roman" w:cs="Times New Roman"/>
          <w:sz w:val="24"/>
          <w:szCs w:val="24"/>
        </w:rPr>
        <w:t>la eficacia material y procesal del fallo</w:t>
      </w:r>
      <w:r w:rsidR="000A44EE">
        <w:rPr>
          <w:rFonts w:ascii="Times New Roman" w:hAnsi="Times New Roman" w:cs="Times New Roman"/>
          <w:sz w:val="24"/>
          <w:szCs w:val="24"/>
        </w:rPr>
        <w:t xml:space="preserve"> con diferente valor según su conducta y la de la parte originaria</w:t>
      </w:r>
      <w:r w:rsidR="00311DE3" w:rsidRPr="00C12E06">
        <w:rPr>
          <w:rFonts w:ascii="Times New Roman" w:hAnsi="Times New Roman" w:cs="Times New Roman"/>
          <w:sz w:val="24"/>
          <w:szCs w:val="24"/>
        </w:rPr>
        <w:t>.</w:t>
      </w:r>
      <w:r w:rsidR="00853FA6" w:rsidRPr="00C12E06">
        <w:rPr>
          <w:rFonts w:ascii="Times New Roman" w:hAnsi="Times New Roman" w:cs="Times New Roman"/>
          <w:sz w:val="24"/>
          <w:szCs w:val="24"/>
        </w:rPr>
        <w:t xml:space="preserve"> </w:t>
      </w:r>
    </w:p>
    <w:p w14:paraId="2293D521" w14:textId="7FF029BE" w:rsidR="00DF159C" w:rsidRPr="00C12E06" w:rsidRDefault="00B61391"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Si </w:t>
      </w:r>
      <w:r w:rsidR="00DF159C">
        <w:rPr>
          <w:rFonts w:ascii="Times New Roman" w:hAnsi="Times New Roman" w:cs="Times New Roman"/>
          <w:sz w:val="24"/>
          <w:szCs w:val="24"/>
        </w:rPr>
        <w:t>algún Juzgado</w:t>
      </w:r>
      <w:r>
        <w:rPr>
          <w:rFonts w:ascii="Times New Roman" w:hAnsi="Times New Roman" w:cs="Times New Roman"/>
          <w:sz w:val="24"/>
          <w:szCs w:val="24"/>
        </w:rPr>
        <w:t xml:space="preserve"> está especializado</w:t>
      </w:r>
      <w:r w:rsidR="00DF159C">
        <w:rPr>
          <w:rFonts w:ascii="Times New Roman" w:hAnsi="Times New Roman" w:cs="Times New Roman"/>
          <w:sz w:val="24"/>
          <w:szCs w:val="24"/>
        </w:rPr>
        <w:t>, art</w:t>
      </w:r>
      <w:r w:rsidR="00A67771">
        <w:rPr>
          <w:rFonts w:ascii="Times New Roman" w:hAnsi="Times New Roman" w:cs="Times New Roman"/>
          <w:sz w:val="24"/>
          <w:szCs w:val="24"/>
        </w:rPr>
        <w:t>s</w:t>
      </w:r>
      <w:r w:rsidR="00DF159C">
        <w:rPr>
          <w:rFonts w:ascii="Times New Roman" w:hAnsi="Times New Roman" w:cs="Times New Roman"/>
          <w:sz w:val="24"/>
          <w:szCs w:val="24"/>
        </w:rPr>
        <w:t>. 98</w:t>
      </w:r>
      <w:r>
        <w:rPr>
          <w:rFonts w:ascii="Times New Roman" w:hAnsi="Times New Roman" w:cs="Times New Roman"/>
          <w:sz w:val="24"/>
          <w:szCs w:val="24"/>
        </w:rPr>
        <w:t xml:space="preserve"> LOPJ y 46 LEC, no cabe acumular ante ellos acciones que excedan de la especialización ni pretender ante los restantes acumular objetos atribuidos a aquellos. También habrá que estar a la modificación de las normas de reparto (no se trata de competencia objetiva sino del derecho al juez ordinario predeterminado por la ley, art. 24.2 CE) art. </w:t>
      </w:r>
      <w:r w:rsidR="00A67771">
        <w:rPr>
          <w:rFonts w:ascii="Times New Roman" w:hAnsi="Times New Roman" w:cs="Times New Roman"/>
          <w:sz w:val="24"/>
          <w:szCs w:val="24"/>
        </w:rPr>
        <w:t>167.2</w:t>
      </w:r>
      <w:r w:rsidR="00DF159C">
        <w:rPr>
          <w:rFonts w:ascii="Times New Roman" w:hAnsi="Times New Roman" w:cs="Times New Roman"/>
          <w:sz w:val="24"/>
          <w:szCs w:val="24"/>
        </w:rPr>
        <w:t xml:space="preserve"> LOPJ</w:t>
      </w:r>
      <w:r>
        <w:rPr>
          <w:rFonts w:ascii="Times New Roman" w:hAnsi="Times New Roman" w:cs="Times New Roman"/>
          <w:sz w:val="24"/>
          <w:szCs w:val="24"/>
        </w:rPr>
        <w:t>, para constatar cuál es el alcance de las mismas a efectos de poder acumular.</w:t>
      </w:r>
      <w:r w:rsidR="00A67771">
        <w:rPr>
          <w:rFonts w:ascii="Times New Roman" w:hAnsi="Times New Roman" w:cs="Times New Roman"/>
          <w:sz w:val="24"/>
          <w:szCs w:val="24"/>
        </w:rPr>
        <w:t xml:space="preserve"> </w:t>
      </w:r>
    </w:p>
    <w:p w14:paraId="1F8B25E6" w14:textId="197B0208" w:rsidR="00A45787" w:rsidRPr="00C12E06" w:rsidRDefault="009E5B15"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E</w:t>
      </w:r>
      <w:r w:rsidR="00A45787" w:rsidRPr="00C12E06">
        <w:rPr>
          <w:rFonts w:ascii="Times New Roman" w:hAnsi="Times New Roman" w:cs="Times New Roman"/>
          <w:sz w:val="24"/>
          <w:szCs w:val="24"/>
        </w:rPr>
        <w:t>n la compe</w:t>
      </w:r>
      <w:r w:rsidR="000A44EE">
        <w:rPr>
          <w:rFonts w:ascii="Times New Roman" w:hAnsi="Times New Roman" w:cs="Times New Roman"/>
          <w:sz w:val="24"/>
          <w:szCs w:val="24"/>
        </w:rPr>
        <w:t>tencia territorial</w:t>
      </w:r>
      <w:r w:rsidR="00A45787" w:rsidRPr="00C12E06">
        <w:rPr>
          <w:rFonts w:ascii="Times New Roman" w:hAnsi="Times New Roman" w:cs="Times New Roman"/>
          <w:sz w:val="24"/>
          <w:szCs w:val="24"/>
        </w:rPr>
        <w:t xml:space="preserve"> el art. 53</w:t>
      </w:r>
      <w:r w:rsidR="00C20D85">
        <w:rPr>
          <w:rFonts w:ascii="Times New Roman" w:hAnsi="Times New Roman" w:cs="Times New Roman"/>
          <w:sz w:val="24"/>
          <w:szCs w:val="24"/>
        </w:rPr>
        <w:t>.1</w:t>
      </w:r>
      <w:r w:rsidR="00A45787" w:rsidRPr="00C12E06">
        <w:rPr>
          <w:rFonts w:ascii="Times New Roman" w:hAnsi="Times New Roman" w:cs="Times New Roman"/>
          <w:sz w:val="24"/>
          <w:szCs w:val="24"/>
        </w:rPr>
        <w:t xml:space="preserve"> LEC estipula que en el caso de que acontezca una acumulación de una acción principal y otras accesorias</w:t>
      </w:r>
      <w:r w:rsidR="000A44EE">
        <w:rPr>
          <w:rFonts w:ascii="Times New Roman" w:hAnsi="Times New Roman" w:cs="Times New Roman"/>
          <w:sz w:val="24"/>
          <w:szCs w:val="24"/>
        </w:rPr>
        <w:t xml:space="preserve"> o sucesivas</w:t>
      </w:r>
      <w:r w:rsidR="00A45787" w:rsidRPr="00C12E06">
        <w:rPr>
          <w:rFonts w:ascii="Times New Roman" w:hAnsi="Times New Roman" w:cs="Times New Roman"/>
          <w:sz w:val="24"/>
          <w:szCs w:val="24"/>
        </w:rPr>
        <w:t xml:space="preserve">, </w:t>
      </w:r>
      <w:r>
        <w:rPr>
          <w:rFonts w:ascii="Times New Roman" w:hAnsi="Times New Roman" w:cs="Times New Roman"/>
          <w:sz w:val="24"/>
          <w:szCs w:val="24"/>
        </w:rPr>
        <w:t xml:space="preserve">lo que también es posible en la acumulación subjetiva </w:t>
      </w:r>
      <w:r w:rsidR="00A45787" w:rsidRPr="00C12E06">
        <w:rPr>
          <w:rFonts w:ascii="Times New Roman" w:hAnsi="Times New Roman" w:cs="Times New Roman"/>
          <w:i/>
          <w:sz w:val="24"/>
          <w:szCs w:val="24"/>
        </w:rPr>
        <w:t>infra,</w:t>
      </w:r>
      <w:r w:rsidR="00A45787" w:rsidRPr="00C12E06">
        <w:rPr>
          <w:rFonts w:ascii="Times New Roman" w:hAnsi="Times New Roman" w:cs="Times New Roman"/>
          <w:sz w:val="24"/>
          <w:szCs w:val="24"/>
        </w:rPr>
        <w:t xml:space="preserve"> la competencia recae en quien deba conocer de la primera, mientras que si se trata de acciones principales y hay pluralidad de demandados</w:t>
      </w:r>
      <w:r w:rsidR="000A44EE">
        <w:rPr>
          <w:rFonts w:ascii="Times New Roman" w:hAnsi="Times New Roman" w:cs="Times New Roman"/>
          <w:sz w:val="24"/>
          <w:szCs w:val="24"/>
        </w:rPr>
        <w:t xml:space="preserve">, </w:t>
      </w:r>
      <w:r w:rsidR="00A45787" w:rsidRPr="00C12E06">
        <w:rPr>
          <w:rFonts w:ascii="Times New Roman" w:hAnsi="Times New Roman" w:cs="Times New Roman"/>
          <w:sz w:val="24"/>
          <w:szCs w:val="24"/>
        </w:rPr>
        <w:t>el demandante puede elegir el tribunal (de entre  los que tienen competencia territorial)</w:t>
      </w:r>
      <w:r w:rsidR="00C20D85">
        <w:rPr>
          <w:rFonts w:ascii="Times New Roman" w:hAnsi="Times New Roman" w:cs="Times New Roman"/>
          <w:sz w:val="24"/>
          <w:szCs w:val="24"/>
        </w:rPr>
        <w:t>, art. 53.2 LEC</w:t>
      </w:r>
      <w:r w:rsidR="00A45787" w:rsidRPr="00C12E06">
        <w:rPr>
          <w:rFonts w:ascii="Times New Roman" w:hAnsi="Times New Roman" w:cs="Times New Roman"/>
          <w:sz w:val="24"/>
          <w:szCs w:val="24"/>
        </w:rPr>
        <w:t>.</w:t>
      </w:r>
      <w:r w:rsidR="00C20D85">
        <w:rPr>
          <w:rFonts w:ascii="Times New Roman" w:hAnsi="Times New Roman" w:cs="Times New Roman"/>
          <w:sz w:val="24"/>
          <w:szCs w:val="24"/>
        </w:rPr>
        <w:t xml:space="preserve"> </w:t>
      </w:r>
    </w:p>
    <w:p w14:paraId="3839B55B" w14:textId="146D2183" w:rsidR="00A45787" w:rsidRPr="00C12E06" w:rsidRDefault="00A4637E" w:rsidP="00560C4E">
      <w:pPr>
        <w:spacing w:after="0"/>
        <w:jc w:val="both"/>
        <w:rPr>
          <w:rFonts w:ascii="Times New Roman" w:hAnsi="Times New Roman" w:cs="Times New Roman"/>
          <w:sz w:val="24"/>
          <w:szCs w:val="24"/>
        </w:rPr>
      </w:pPr>
      <w:r>
        <w:rPr>
          <w:rFonts w:ascii="Times New Roman" w:hAnsi="Times New Roman" w:cs="Times New Roman"/>
          <w:sz w:val="24"/>
          <w:szCs w:val="24"/>
        </w:rPr>
        <w:t>2.</w:t>
      </w:r>
      <w:r w:rsidR="00A45787" w:rsidRPr="00C12E06">
        <w:rPr>
          <w:rFonts w:ascii="Times New Roman" w:hAnsi="Times New Roman" w:cs="Times New Roman"/>
          <w:sz w:val="24"/>
          <w:szCs w:val="24"/>
        </w:rPr>
        <w:t xml:space="preserve"> Que el cauce procedimental permita la acumulación</w:t>
      </w:r>
    </w:p>
    <w:p w14:paraId="18EF44DE" w14:textId="5EAC65FA" w:rsidR="00A45787" w:rsidRPr="00C12E06" w:rsidRDefault="00E945E9"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Los problemas se plantean a la hora </w:t>
      </w:r>
      <w:r w:rsidR="00A45787" w:rsidRPr="00C12E06">
        <w:rPr>
          <w:rFonts w:ascii="Times New Roman" w:hAnsi="Times New Roman" w:cs="Times New Roman"/>
          <w:sz w:val="24"/>
          <w:szCs w:val="24"/>
        </w:rPr>
        <w:t>del cálculo de la cuantía que puede ser decisiva para el tipo del procedimiento</w:t>
      </w:r>
      <w:r w:rsidR="00B95CE7" w:rsidRPr="00C12E06">
        <w:rPr>
          <w:rFonts w:ascii="Times New Roman" w:hAnsi="Times New Roman" w:cs="Times New Roman"/>
          <w:sz w:val="24"/>
          <w:szCs w:val="24"/>
        </w:rPr>
        <w:t xml:space="preserve"> y la posibilidad de recurrir</w:t>
      </w:r>
      <w:r w:rsidR="001D7E99" w:rsidRPr="00C12E06">
        <w:rPr>
          <w:rFonts w:ascii="Times New Roman" w:hAnsi="Times New Roman" w:cs="Times New Roman"/>
          <w:sz w:val="24"/>
          <w:szCs w:val="24"/>
        </w:rPr>
        <w:t xml:space="preserve"> en apelación y casación</w:t>
      </w:r>
      <w:r w:rsidRPr="00C12E06">
        <w:rPr>
          <w:rFonts w:ascii="Times New Roman" w:hAnsi="Times New Roman" w:cs="Times New Roman"/>
          <w:sz w:val="24"/>
          <w:szCs w:val="24"/>
        </w:rPr>
        <w:t>.</w:t>
      </w:r>
      <w:r w:rsidR="00A45787" w:rsidRPr="00C12E06">
        <w:rPr>
          <w:rFonts w:ascii="Times New Roman" w:hAnsi="Times New Roman" w:cs="Times New Roman"/>
          <w:sz w:val="24"/>
          <w:szCs w:val="24"/>
        </w:rPr>
        <w:t xml:space="preserve"> </w:t>
      </w:r>
      <w:r w:rsidRPr="00C12E06">
        <w:rPr>
          <w:rFonts w:ascii="Times New Roman" w:hAnsi="Times New Roman" w:cs="Times New Roman"/>
          <w:sz w:val="24"/>
          <w:szCs w:val="24"/>
        </w:rPr>
        <w:t>E</w:t>
      </w:r>
      <w:r w:rsidR="00A45787" w:rsidRPr="00C12E06">
        <w:rPr>
          <w:rFonts w:ascii="Times New Roman" w:hAnsi="Times New Roman" w:cs="Times New Roman"/>
          <w:sz w:val="24"/>
          <w:szCs w:val="24"/>
        </w:rPr>
        <w:t xml:space="preserve">l art. 252.7ª LEC estipula que en la acumulación subjetiva se estará a las reglas generales de ese precepto y </w:t>
      </w:r>
      <w:r w:rsidRPr="00C12E06">
        <w:rPr>
          <w:rFonts w:ascii="Times New Roman" w:hAnsi="Times New Roman" w:cs="Times New Roman"/>
          <w:sz w:val="24"/>
          <w:szCs w:val="24"/>
        </w:rPr>
        <w:t xml:space="preserve">en la primera de </w:t>
      </w:r>
      <w:r w:rsidR="007738D2" w:rsidRPr="00C12E06">
        <w:rPr>
          <w:rFonts w:ascii="Times New Roman" w:hAnsi="Times New Roman" w:cs="Times New Roman"/>
          <w:sz w:val="24"/>
          <w:szCs w:val="24"/>
        </w:rPr>
        <w:t xml:space="preserve">ellas, art. 252.1ª LEC, se indica que suman </w:t>
      </w:r>
      <w:r w:rsidRPr="00C12E06">
        <w:rPr>
          <w:rFonts w:ascii="Times New Roman" w:hAnsi="Times New Roman" w:cs="Times New Roman"/>
          <w:sz w:val="24"/>
          <w:szCs w:val="24"/>
        </w:rPr>
        <w:t>las acciones principales que pro</w:t>
      </w:r>
      <w:r w:rsidR="003931B1" w:rsidRPr="00C12E06">
        <w:rPr>
          <w:rFonts w:ascii="Times New Roman" w:hAnsi="Times New Roman" w:cs="Times New Roman"/>
          <w:sz w:val="24"/>
          <w:szCs w:val="24"/>
        </w:rPr>
        <w:t>veng</w:t>
      </w:r>
      <w:r w:rsidR="005731AA" w:rsidRPr="00C12E06">
        <w:rPr>
          <w:rFonts w:ascii="Times New Roman" w:hAnsi="Times New Roman" w:cs="Times New Roman"/>
          <w:sz w:val="24"/>
          <w:szCs w:val="24"/>
        </w:rPr>
        <w:t>an de un mismo título. ¿Se adicionan</w:t>
      </w:r>
      <w:r w:rsidR="003931B1" w:rsidRPr="00C12E06">
        <w:rPr>
          <w:rFonts w:ascii="Times New Roman" w:hAnsi="Times New Roman" w:cs="Times New Roman"/>
          <w:sz w:val="24"/>
          <w:szCs w:val="24"/>
        </w:rPr>
        <w:t xml:space="preserve"> las cuantías de las acciones acumuladas o se está a la de mayor valor? Lo cierto es que la jurisprudencia del TS en sede </w:t>
      </w:r>
      <w:proofErr w:type="spellStart"/>
      <w:r w:rsidR="003931B1" w:rsidRPr="00C12E06">
        <w:rPr>
          <w:rFonts w:ascii="Times New Roman" w:hAnsi="Times New Roman" w:cs="Times New Roman"/>
          <w:sz w:val="24"/>
          <w:szCs w:val="24"/>
        </w:rPr>
        <w:t>casacional</w:t>
      </w:r>
      <w:proofErr w:type="spellEnd"/>
      <w:r w:rsidR="003931B1" w:rsidRPr="00C12E06">
        <w:rPr>
          <w:rFonts w:ascii="Times New Roman" w:hAnsi="Times New Roman" w:cs="Times New Roman"/>
          <w:sz w:val="24"/>
          <w:szCs w:val="24"/>
        </w:rPr>
        <w:t xml:space="preserve"> tiende mayoritariamente a una interpretación restrictiva: si no se trata de un mismo tí</w:t>
      </w:r>
      <w:r w:rsidR="002638A0">
        <w:rPr>
          <w:rFonts w:ascii="Times New Roman" w:hAnsi="Times New Roman" w:cs="Times New Roman"/>
          <w:sz w:val="24"/>
          <w:szCs w:val="24"/>
        </w:rPr>
        <w:t xml:space="preserve">tulo habrá que estar a la </w:t>
      </w:r>
      <w:r w:rsidR="003931B1" w:rsidRPr="00C12E06">
        <w:rPr>
          <w:rFonts w:ascii="Times New Roman" w:hAnsi="Times New Roman" w:cs="Times New Roman"/>
          <w:sz w:val="24"/>
          <w:szCs w:val="24"/>
        </w:rPr>
        <w:t xml:space="preserve">de </w:t>
      </w:r>
      <w:r w:rsidR="005731AA" w:rsidRPr="00C12E06">
        <w:rPr>
          <w:rFonts w:ascii="Times New Roman" w:hAnsi="Times New Roman" w:cs="Times New Roman"/>
          <w:sz w:val="24"/>
          <w:szCs w:val="24"/>
        </w:rPr>
        <w:t>cuantía más alta</w:t>
      </w:r>
      <w:r w:rsidR="007B6C74" w:rsidRPr="00C12E06">
        <w:rPr>
          <w:rStyle w:val="Refdenotaalpie"/>
          <w:rFonts w:ascii="Times New Roman" w:hAnsi="Times New Roman" w:cs="Times New Roman"/>
          <w:sz w:val="24"/>
          <w:szCs w:val="24"/>
        </w:rPr>
        <w:footnoteReference w:id="16"/>
      </w:r>
      <w:r w:rsidR="003931B1" w:rsidRPr="00C12E06">
        <w:rPr>
          <w:rFonts w:ascii="Times New Roman" w:hAnsi="Times New Roman" w:cs="Times New Roman"/>
          <w:sz w:val="24"/>
          <w:szCs w:val="24"/>
        </w:rPr>
        <w:t>. El prob</w:t>
      </w:r>
      <w:r w:rsidR="00AB2A5F" w:rsidRPr="00C12E06">
        <w:rPr>
          <w:rFonts w:ascii="Times New Roman" w:hAnsi="Times New Roman" w:cs="Times New Roman"/>
          <w:sz w:val="24"/>
          <w:szCs w:val="24"/>
        </w:rPr>
        <w:t>lema radica en</w:t>
      </w:r>
      <w:r w:rsidR="003931B1" w:rsidRPr="00C12E06">
        <w:rPr>
          <w:rFonts w:ascii="Times New Roman" w:hAnsi="Times New Roman" w:cs="Times New Roman"/>
          <w:sz w:val="24"/>
          <w:szCs w:val="24"/>
        </w:rPr>
        <w:t xml:space="preserve"> que se entiende que el título equivale a negocio jurídico de maner</w:t>
      </w:r>
      <w:r w:rsidR="00497B7F" w:rsidRPr="00C12E06">
        <w:rPr>
          <w:rFonts w:ascii="Times New Roman" w:hAnsi="Times New Roman" w:cs="Times New Roman"/>
          <w:sz w:val="24"/>
          <w:szCs w:val="24"/>
        </w:rPr>
        <w:t>a que en casi todos los casos</w:t>
      </w:r>
      <w:r w:rsidR="003931B1" w:rsidRPr="00C12E06">
        <w:rPr>
          <w:rFonts w:ascii="Times New Roman" w:hAnsi="Times New Roman" w:cs="Times New Roman"/>
          <w:sz w:val="24"/>
          <w:szCs w:val="24"/>
        </w:rPr>
        <w:t xml:space="preserve">, en sentido estricto, no estaríamos </w:t>
      </w:r>
      <w:r w:rsidR="00497B7F" w:rsidRPr="00C12E06">
        <w:rPr>
          <w:rFonts w:ascii="Times New Roman" w:hAnsi="Times New Roman" w:cs="Times New Roman"/>
          <w:sz w:val="24"/>
          <w:szCs w:val="24"/>
        </w:rPr>
        <w:t xml:space="preserve">jamás </w:t>
      </w:r>
      <w:r w:rsidR="003931B1" w:rsidRPr="00C12E06">
        <w:rPr>
          <w:rFonts w:ascii="Times New Roman" w:hAnsi="Times New Roman" w:cs="Times New Roman"/>
          <w:sz w:val="24"/>
          <w:szCs w:val="24"/>
        </w:rPr>
        <w:t xml:space="preserve">ante el mismo: </w:t>
      </w:r>
      <w:r w:rsidR="00497B7F" w:rsidRPr="00C12E06">
        <w:rPr>
          <w:rFonts w:ascii="Times New Roman" w:hAnsi="Times New Roman" w:cs="Times New Roman"/>
          <w:sz w:val="24"/>
          <w:szCs w:val="24"/>
        </w:rPr>
        <w:t>cada comprador, adquirente de un producto financiero, hipotecante… e incluso cada perjudicado por el daño o bien cada deudor solidario o mancomunado divisible, ostentaría un vínculo jurídico diferenciado. Opinamos, sin embargo, que la adecuada exégesis del precepto mencionado debe ser la contraria</w:t>
      </w:r>
      <w:r w:rsidR="002F457E">
        <w:rPr>
          <w:rStyle w:val="Refdenotaalpie"/>
          <w:rFonts w:ascii="Times New Roman" w:hAnsi="Times New Roman" w:cs="Times New Roman"/>
          <w:sz w:val="24"/>
          <w:szCs w:val="24"/>
        </w:rPr>
        <w:footnoteReference w:id="17"/>
      </w:r>
      <w:r w:rsidR="00497B7F" w:rsidRPr="00C12E06">
        <w:rPr>
          <w:rFonts w:ascii="Times New Roman" w:hAnsi="Times New Roman" w:cs="Times New Roman"/>
          <w:sz w:val="24"/>
          <w:szCs w:val="24"/>
        </w:rPr>
        <w:t xml:space="preserve">. No cabe una interpretación aislada del mismo sino que hay que realizar </w:t>
      </w:r>
      <w:r w:rsidRPr="00C12E06">
        <w:rPr>
          <w:rFonts w:ascii="Times New Roman" w:hAnsi="Times New Roman" w:cs="Times New Roman"/>
          <w:sz w:val="24"/>
          <w:szCs w:val="24"/>
        </w:rPr>
        <w:t>una in</w:t>
      </w:r>
      <w:r w:rsidR="00A4637E">
        <w:rPr>
          <w:rFonts w:ascii="Times New Roman" w:hAnsi="Times New Roman" w:cs="Times New Roman"/>
          <w:sz w:val="24"/>
          <w:szCs w:val="24"/>
        </w:rPr>
        <w:t>telección</w:t>
      </w:r>
      <w:r w:rsidRPr="00C12E06">
        <w:rPr>
          <w:rFonts w:ascii="Times New Roman" w:hAnsi="Times New Roman" w:cs="Times New Roman"/>
          <w:sz w:val="24"/>
          <w:szCs w:val="24"/>
        </w:rPr>
        <w:t xml:space="preserve"> sistemática </w:t>
      </w:r>
      <w:r w:rsidR="007738D2" w:rsidRPr="00C12E06">
        <w:rPr>
          <w:rFonts w:ascii="Times New Roman" w:hAnsi="Times New Roman" w:cs="Times New Roman"/>
          <w:sz w:val="24"/>
          <w:szCs w:val="24"/>
        </w:rPr>
        <w:t>y finalista de ese precepto en función de lo previsto en los arts. 12 y 72 (</w:t>
      </w:r>
      <w:r w:rsidR="00497B7F" w:rsidRPr="00C12E06">
        <w:rPr>
          <w:rFonts w:ascii="Times New Roman" w:hAnsi="Times New Roman" w:cs="Times New Roman"/>
          <w:sz w:val="24"/>
          <w:szCs w:val="24"/>
        </w:rPr>
        <w:t xml:space="preserve">existe </w:t>
      </w:r>
      <w:r w:rsidR="007738D2" w:rsidRPr="00C12E06">
        <w:rPr>
          <w:rFonts w:ascii="Times New Roman" w:hAnsi="Times New Roman" w:cs="Times New Roman"/>
          <w:sz w:val="24"/>
          <w:szCs w:val="24"/>
        </w:rPr>
        <w:t>la identidad del título o causa</w:t>
      </w:r>
      <w:r w:rsidR="006220E8" w:rsidRPr="00C12E06">
        <w:rPr>
          <w:rFonts w:ascii="Times New Roman" w:hAnsi="Times New Roman" w:cs="Times New Roman"/>
          <w:sz w:val="24"/>
          <w:szCs w:val="24"/>
        </w:rPr>
        <w:t xml:space="preserve"> existe</w:t>
      </w:r>
      <w:r w:rsidR="007738D2" w:rsidRPr="00C12E06">
        <w:rPr>
          <w:rFonts w:ascii="Times New Roman" w:hAnsi="Times New Roman" w:cs="Times New Roman"/>
          <w:sz w:val="24"/>
          <w:szCs w:val="24"/>
        </w:rPr>
        <w:t xml:space="preserve"> si se trata de los mismos hechos, </w:t>
      </w:r>
      <w:r w:rsidR="007738D2" w:rsidRPr="00C12E06">
        <w:rPr>
          <w:rFonts w:ascii="Times New Roman" w:hAnsi="Times New Roman" w:cs="Times New Roman"/>
          <w:i/>
          <w:sz w:val="24"/>
          <w:szCs w:val="24"/>
        </w:rPr>
        <w:t>infra</w:t>
      </w:r>
      <w:r w:rsidR="000C13FC" w:rsidRPr="00C12E06">
        <w:rPr>
          <w:rFonts w:ascii="Times New Roman" w:hAnsi="Times New Roman" w:cs="Times New Roman"/>
          <w:sz w:val="24"/>
          <w:szCs w:val="24"/>
        </w:rPr>
        <w:t>) y 437.4.1ª</w:t>
      </w:r>
      <w:r w:rsidR="007738D2" w:rsidRPr="00C12E06">
        <w:rPr>
          <w:rFonts w:ascii="Times New Roman" w:hAnsi="Times New Roman" w:cs="Times New Roman"/>
          <w:sz w:val="24"/>
          <w:szCs w:val="24"/>
        </w:rPr>
        <w:t xml:space="preserve"> LEC (cabe la acumulación </w:t>
      </w:r>
      <w:r w:rsidR="000C13FC" w:rsidRPr="00C12E06">
        <w:rPr>
          <w:rFonts w:ascii="Times New Roman" w:hAnsi="Times New Roman" w:cs="Times New Roman"/>
          <w:sz w:val="24"/>
          <w:szCs w:val="24"/>
        </w:rPr>
        <w:t xml:space="preserve">objetiva </w:t>
      </w:r>
      <w:r w:rsidR="007738D2" w:rsidRPr="00C12E06">
        <w:rPr>
          <w:rFonts w:ascii="Times New Roman" w:hAnsi="Times New Roman" w:cs="Times New Roman"/>
          <w:sz w:val="24"/>
          <w:szCs w:val="24"/>
        </w:rPr>
        <w:t>de acciones en el</w:t>
      </w:r>
      <w:r w:rsidR="002638A0">
        <w:rPr>
          <w:rFonts w:ascii="Times New Roman" w:hAnsi="Times New Roman" w:cs="Times New Roman"/>
          <w:sz w:val="24"/>
          <w:szCs w:val="24"/>
        </w:rPr>
        <w:t xml:space="preserve"> juicio</w:t>
      </w:r>
      <w:r w:rsidR="007738D2" w:rsidRPr="00C12E06">
        <w:rPr>
          <w:rFonts w:ascii="Times New Roman" w:hAnsi="Times New Roman" w:cs="Times New Roman"/>
          <w:sz w:val="24"/>
          <w:szCs w:val="24"/>
        </w:rPr>
        <w:t xml:space="preserve"> verbal si se trata de los mismos hechos</w:t>
      </w:r>
      <w:r w:rsidR="00B07BB0" w:rsidRPr="00C12E06">
        <w:rPr>
          <w:rFonts w:ascii="Times New Roman" w:hAnsi="Times New Roman" w:cs="Times New Roman"/>
          <w:sz w:val="24"/>
          <w:szCs w:val="24"/>
        </w:rPr>
        <w:t>, mientras que en el art. 71.2 LEC –acumulación objetiva- se utiliza el término título</w:t>
      </w:r>
      <w:r w:rsidR="007738D2" w:rsidRPr="00C12E06">
        <w:rPr>
          <w:rFonts w:ascii="Times New Roman" w:hAnsi="Times New Roman" w:cs="Times New Roman"/>
          <w:sz w:val="24"/>
          <w:szCs w:val="24"/>
        </w:rPr>
        <w:t>)</w:t>
      </w:r>
      <w:r w:rsidRPr="00C12E06">
        <w:rPr>
          <w:rFonts w:ascii="Times New Roman" w:hAnsi="Times New Roman" w:cs="Times New Roman"/>
          <w:sz w:val="24"/>
          <w:szCs w:val="24"/>
        </w:rPr>
        <w:t xml:space="preserve">. </w:t>
      </w:r>
      <w:r w:rsidR="00823931">
        <w:rPr>
          <w:rFonts w:ascii="Times New Roman" w:hAnsi="Times New Roman" w:cs="Times New Roman"/>
          <w:sz w:val="24"/>
          <w:szCs w:val="24"/>
        </w:rPr>
        <w:t xml:space="preserve">Como vamos a ver, </w:t>
      </w:r>
      <w:r w:rsidR="00823931">
        <w:rPr>
          <w:rFonts w:ascii="Times New Roman" w:hAnsi="Times New Roman" w:cs="Times New Roman"/>
          <w:i/>
          <w:sz w:val="24"/>
          <w:szCs w:val="24"/>
        </w:rPr>
        <w:t xml:space="preserve">infra¸ </w:t>
      </w:r>
      <w:r w:rsidR="00823931">
        <w:rPr>
          <w:rFonts w:ascii="Times New Roman" w:hAnsi="Times New Roman" w:cs="Times New Roman"/>
          <w:sz w:val="24"/>
          <w:szCs w:val="24"/>
        </w:rPr>
        <w:t xml:space="preserve">el legislador emplea indistintamente título o causa de pedir.  Por eso, </w:t>
      </w:r>
      <w:r w:rsidR="007738D2" w:rsidRPr="00C12E06">
        <w:rPr>
          <w:rFonts w:ascii="Times New Roman" w:hAnsi="Times New Roman" w:cs="Times New Roman"/>
          <w:sz w:val="24"/>
          <w:szCs w:val="24"/>
        </w:rPr>
        <w:t xml:space="preserve"> la </w:t>
      </w:r>
      <w:r w:rsidR="00823931">
        <w:rPr>
          <w:rFonts w:ascii="Times New Roman" w:hAnsi="Times New Roman" w:cs="Times New Roman"/>
          <w:sz w:val="24"/>
          <w:szCs w:val="24"/>
        </w:rPr>
        <w:t xml:space="preserve">exégesis adecuada del </w:t>
      </w:r>
      <w:r w:rsidR="005731AA" w:rsidRPr="00C12E06">
        <w:rPr>
          <w:rFonts w:ascii="Times New Roman" w:hAnsi="Times New Roman" w:cs="Times New Roman"/>
          <w:sz w:val="24"/>
          <w:szCs w:val="24"/>
        </w:rPr>
        <w:t>art. 252 LEC</w:t>
      </w:r>
      <w:r w:rsidR="007738D2" w:rsidRPr="00C12E06">
        <w:rPr>
          <w:rFonts w:ascii="Times New Roman" w:hAnsi="Times New Roman" w:cs="Times New Roman"/>
          <w:sz w:val="24"/>
          <w:szCs w:val="24"/>
        </w:rPr>
        <w:t xml:space="preserve"> sería la siguiente:</w:t>
      </w:r>
      <w:r w:rsidR="00A45787" w:rsidRPr="00C12E06">
        <w:rPr>
          <w:rFonts w:ascii="Times New Roman" w:hAnsi="Times New Roman" w:cs="Times New Roman"/>
          <w:sz w:val="24"/>
          <w:szCs w:val="24"/>
        </w:rPr>
        <w:t xml:space="preserve"> las acciones conexas (</w:t>
      </w:r>
      <w:r w:rsidR="00497B7F" w:rsidRPr="00C12E06">
        <w:rPr>
          <w:rFonts w:ascii="Times New Roman" w:hAnsi="Times New Roman" w:cs="Times New Roman"/>
          <w:sz w:val="24"/>
          <w:szCs w:val="24"/>
        </w:rPr>
        <w:t>bien por el título o la causa,</w:t>
      </w:r>
      <w:r w:rsidR="00823931">
        <w:rPr>
          <w:rFonts w:ascii="Times New Roman" w:hAnsi="Times New Roman" w:cs="Times New Roman"/>
          <w:sz w:val="24"/>
          <w:szCs w:val="24"/>
        </w:rPr>
        <w:t xml:space="preserve"> por los hechos o por vinculación</w:t>
      </w:r>
      <w:r w:rsidR="00D04689">
        <w:rPr>
          <w:rFonts w:ascii="Times New Roman" w:hAnsi="Times New Roman" w:cs="Times New Roman"/>
          <w:sz w:val="24"/>
          <w:szCs w:val="24"/>
        </w:rPr>
        <w:t xml:space="preserve"> jurídica,</w:t>
      </w:r>
      <w:r w:rsidR="00497B7F" w:rsidRPr="00C12E06">
        <w:rPr>
          <w:rFonts w:ascii="Times New Roman" w:hAnsi="Times New Roman" w:cs="Times New Roman"/>
          <w:sz w:val="24"/>
          <w:szCs w:val="24"/>
        </w:rPr>
        <w:t xml:space="preserve"> que</w:t>
      </w:r>
      <w:r w:rsidR="007738D2" w:rsidRPr="00C12E06">
        <w:rPr>
          <w:rFonts w:ascii="Times New Roman" w:hAnsi="Times New Roman" w:cs="Times New Roman"/>
          <w:sz w:val="24"/>
          <w:szCs w:val="24"/>
        </w:rPr>
        <w:t xml:space="preserve"> es el presupuesto de la acumulación subjetiva, </w:t>
      </w:r>
      <w:r w:rsidR="007738D2" w:rsidRPr="00C12E06">
        <w:rPr>
          <w:rFonts w:ascii="Times New Roman" w:hAnsi="Times New Roman" w:cs="Times New Roman"/>
          <w:i/>
          <w:sz w:val="24"/>
          <w:szCs w:val="24"/>
        </w:rPr>
        <w:t>infra</w:t>
      </w:r>
      <w:r w:rsidR="005731AA" w:rsidRPr="00C12E06">
        <w:rPr>
          <w:rFonts w:ascii="Times New Roman" w:hAnsi="Times New Roman" w:cs="Times New Roman"/>
          <w:i/>
          <w:sz w:val="24"/>
          <w:szCs w:val="24"/>
        </w:rPr>
        <w:t>,</w:t>
      </w:r>
      <w:r w:rsidR="000C13FC" w:rsidRPr="00C12E06">
        <w:rPr>
          <w:rFonts w:ascii="Times New Roman" w:hAnsi="Times New Roman" w:cs="Times New Roman"/>
          <w:sz w:val="24"/>
          <w:szCs w:val="24"/>
        </w:rPr>
        <w:t xml:space="preserve"> y por eso no se cuestiona en el juicio verbal que </w:t>
      </w:r>
      <w:r w:rsidR="00823931">
        <w:rPr>
          <w:rFonts w:ascii="Times New Roman" w:hAnsi="Times New Roman" w:cs="Times New Roman"/>
          <w:sz w:val="24"/>
          <w:szCs w:val="24"/>
        </w:rPr>
        <w:t>restringe</w:t>
      </w:r>
      <w:r w:rsidR="000C13FC" w:rsidRPr="00C12E06">
        <w:rPr>
          <w:rFonts w:ascii="Times New Roman" w:hAnsi="Times New Roman" w:cs="Times New Roman"/>
          <w:sz w:val="24"/>
          <w:szCs w:val="24"/>
        </w:rPr>
        <w:t xml:space="preserve"> solo la </w:t>
      </w:r>
      <w:r w:rsidR="000C13FC" w:rsidRPr="00C12E06">
        <w:rPr>
          <w:rFonts w:ascii="Times New Roman" w:hAnsi="Times New Roman" w:cs="Times New Roman"/>
          <w:sz w:val="24"/>
          <w:szCs w:val="24"/>
        </w:rPr>
        <w:lastRenderedPageBreak/>
        <w:t xml:space="preserve">objetiva, </w:t>
      </w:r>
      <w:r w:rsidR="000C13FC" w:rsidRPr="00C12E06">
        <w:rPr>
          <w:rFonts w:ascii="Times New Roman" w:hAnsi="Times New Roman" w:cs="Times New Roman"/>
          <w:i/>
          <w:sz w:val="24"/>
          <w:szCs w:val="24"/>
        </w:rPr>
        <w:t>supra</w:t>
      </w:r>
      <w:r w:rsidR="00A45787" w:rsidRPr="00C12E06">
        <w:rPr>
          <w:rFonts w:ascii="Times New Roman" w:hAnsi="Times New Roman" w:cs="Times New Roman"/>
          <w:sz w:val="24"/>
          <w:szCs w:val="24"/>
        </w:rPr>
        <w:t xml:space="preserve">), </w:t>
      </w:r>
      <w:r w:rsidR="00BD7617" w:rsidRPr="00C12E06">
        <w:rPr>
          <w:rFonts w:ascii="Times New Roman" w:hAnsi="Times New Roman" w:cs="Times New Roman"/>
          <w:sz w:val="24"/>
          <w:szCs w:val="24"/>
        </w:rPr>
        <w:t>se suman</w:t>
      </w:r>
      <w:r w:rsidR="00BD7617" w:rsidRPr="00C12E06">
        <w:rPr>
          <w:rFonts w:ascii="Times New Roman" w:hAnsi="Times New Roman" w:cs="Times New Roman"/>
          <w:sz w:val="24"/>
          <w:szCs w:val="24"/>
          <w:vertAlign w:val="superscript"/>
        </w:rPr>
        <w:footnoteReference w:id="18"/>
      </w:r>
      <w:r w:rsidR="00A45787" w:rsidRPr="00C12E06">
        <w:rPr>
          <w:rFonts w:ascii="Times New Roman" w:hAnsi="Times New Roman" w:cs="Times New Roman"/>
          <w:sz w:val="24"/>
          <w:szCs w:val="24"/>
        </w:rPr>
        <w:t>salvo que se tra</w:t>
      </w:r>
      <w:r w:rsidR="00BD7617" w:rsidRPr="00C12E06">
        <w:rPr>
          <w:rFonts w:ascii="Times New Roman" w:hAnsi="Times New Roman" w:cs="Times New Roman"/>
          <w:sz w:val="24"/>
          <w:szCs w:val="24"/>
        </w:rPr>
        <w:t>te de una acumulación eventual o bien</w:t>
      </w:r>
      <w:r w:rsidR="00A45787" w:rsidRPr="00C12E06">
        <w:rPr>
          <w:rFonts w:ascii="Times New Roman" w:hAnsi="Times New Roman" w:cs="Times New Roman"/>
          <w:sz w:val="24"/>
          <w:szCs w:val="24"/>
        </w:rPr>
        <w:t xml:space="preserve"> que el interés legítimo del actor se satisfaga con el cumplimiento de una de ellas (solidaridad o responsabilidad principal y subsidiaria)</w:t>
      </w:r>
      <w:r w:rsidR="00A45787" w:rsidRPr="00C12E06">
        <w:rPr>
          <w:rFonts w:ascii="Times New Roman" w:hAnsi="Times New Roman" w:cs="Times New Roman"/>
          <w:sz w:val="24"/>
          <w:szCs w:val="24"/>
          <w:vertAlign w:val="superscript"/>
        </w:rPr>
        <w:footnoteReference w:id="19"/>
      </w:r>
      <w:r w:rsidR="00A45787" w:rsidRPr="00C12E06">
        <w:rPr>
          <w:rFonts w:ascii="Times New Roman" w:hAnsi="Times New Roman" w:cs="Times New Roman"/>
          <w:sz w:val="24"/>
          <w:szCs w:val="24"/>
        </w:rPr>
        <w:t>. Una regla que también se aplica a la ampliación de la demanda, art. 252.8ª LEC, pero no a la reconvención ni a la acumulación de procesos (autos), art. 252.5ª LEC.</w:t>
      </w:r>
      <w:r w:rsidR="001C40E7" w:rsidRPr="00C12E06">
        <w:rPr>
          <w:rFonts w:ascii="Times New Roman" w:hAnsi="Times New Roman" w:cs="Times New Roman"/>
          <w:sz w:val="24"/>
          <w:szCs w:val="24"/>
        </w:rPr>
        <w:t xml:space="preserve"> </w:t>
      </w:r>
      <w:r w:rsidR="00EE791F" w:rsidRPr="00C12E06">
        <w:rPr>
          <w:rFonts w:ascii="Times New Roman" w:hAnsi="Times New Roman" w:cs="Times New Roman"/>
          <w:sz w:val="24"/>
          <w:szCs w:val="24"/>
        </w:rPr>
        <w:t>Los argumentos que refuerzan nuestra opción sería</w:t>
      </w:r>
      <w:r w:rsidR="005731AA" w:rsidRPr="00C12E06">
        <w:rPr>
          <w:rFonts w:ascii="Times New Roman" w:hAnsi="Times New Roman" w:cs="Times New Roman"/>
          <w:sz w:val="24"/>
          <w:szCs w:val="24"/>
        </w:rPr>
        <w:t>n</w:t>
      </w:r>
      <w:r w:rsidR="00EE791F" w:rsidRPr="00C12E06">
        <w:rPr>
          <w:rFonts w:ascii="Times New Roman" w:hAnsi="Times New Roman" w:cs="Times New Roman"/>
          <w:sz w:val="24"/>
          <w:szCs w:val="24"/>
        </w:rPr>
        <w:t xml:space="preserve">: </w:t>
      </w:r>
      <w:r w:rsidR="002952B1" w:rsidRPr="00C12E06">
        <w:rPr>
          <w:rFonts w:ascii="Times New Roman" w:hAnsi="Times New Roman" w:cs="Times New Roman"/>
          <w:sz w:val="24"/>
          <w:szCs w:val="24"/>
        </w:rPr>
        <w:t>primero</w:t>
      </w:r>
      <w:r w:rsidR="00AB2A5F" w:rsidRPr="00C12E06">
        <w:rPr>
          <w:rFonts w:ascii="Times New Roman" w:hAnsi="Times New Roman" w:cs="Times New Roman"/>
          <w:sz w:val="24"/>
          <w:szCs w:val="24"/>
        </w:rPr>
        <w:t xml:space="preserve"> </w:t>
      </w:r>
      <w:r w:rsidR="00BD7617" w:rsidRPr="00C12E06">
        <w:rPr>
          <w:rFonts w:ascii="Times New Roman" w:hAnsi="Times New Roman" w:cs="Times New Roman"/>
          <w:sz w:val="24"/>
          <w:szCs w:val="24"/>
        </w:rPr>
        <w:t>que</w:t>
      </w:r>
      <w:r w:rsidR="005317C8">
        <w:rPr>
          <w:rFonts w:ascii="Times New Roman" w:hAnsi="Times New Roman" w:cs="Times New Roman"/>
          <w:sz w:val="24"/>
          <w:szCs w:val="24"/>
        </w:rPr>
        <w:t>, como se ha indicado,</w:t>
      </w:r>
      <w:r w:rsidR="00BD7617" w:rsidRPr="00C12E06">
        <w:rPr>
          <w:rFonts w:ascii="Times New Roman" w:hAnsi="Times New Roman" w:cs="Times New Roman"/>
          <w:sz w:val="24"/>
          <w:szCs w:val="24"/>
        </w:rPr>
        <w:t xml:space="preserve"> el término “título” </w:t>
      </w:r>
      <w:r w:rsidR="005317C8">
        <w:rPr>
          <w:rFonts w:ascii="Times New Roman" w:hAnsi="Times New Roman" w:cs="Times New Roman"/>
          <w:sz w:val="24"/>
          <w:szCs w:val="24"/>
        </w:rPr>
        <w:t>es sinónimo al de “</w:t>
      </w:r>
      <w:r w:rsidR="00AB2A5F" w:rsidRPr="00C12E06">
        <w:rPr>
          <w:rFonts w:ascii="Times New Roman" w:hAnsi="Times New Roman" w:cs="Times New Roman"/>
          <w:sz w:val="24"/>
          <w:szCs w:val="24"/>
        </w:rPr>
        <w:t>causa de pedir”  por lo que no puede reducirse a la categoría de negocio jurídico</w:t>
      </w:r>
      <w:r w:rsidR="00414D01" w:rsidRPr="00C12E06">
        <w:rPr>
          <w:rFonts w:ascii="Times New Roman" w:hAnsi="Times New Roman" w:cs="Times New Roman"/>
          <w:sz w:val="24"/>
          <w:szCs w:val="24"/>
        </w:rPr>
        <w:t xml:space="preserve">, como </w:t>
      </w:r>
      <w:r w:rsidR="005731AA" w:rsidRPr="00C12E06">
        <w:rPr>
          <w:rFonts w:ascii="Times New Roman" w:hAnsi="Times New Roman" w:cs="Times New Roman"/>
          <w:sz w:val="24"/>
          <w:szCs w:val="24"/>
        </w:rPr>
        <w:t>admite</w:t>
      </w:r>
      <w:r w:rsidR="00414D01" w:rsidRPr="00C12E06">
        <w:rPr>
          <w:rFonts w:ascii="Times New Roman" w:hAnsi="Times New Roman" w:cs="Times New Roman"/>
          <w:sz w:val="24"/>
          <w:szCs w:val="24"/>
        </w:rPr>
        <w:t xml:space="preserve"> en ocasiones el propio TS</w:t>
      </w:r>
      <w:r w:rsidR="00414D01" w:rsidRPr="00C12E06">
        <w:rPr>
          <w:rStyle w:val="Refdenotaalpie"/>
          <w:rFonts w:ascii="Times New Roman" w:hAnsi="Times New Roman" w:cs="Times New Roman"/>
          <w:sz w:val="24"/>
          <w:szCs w:val="24"/>
        </w:rPr>
        <w:footnoteReference w:id="20"/>
      </w:r>
      <w:r w:rsidR="00AB2A5F" w:rsidRPr="00C12E06">
        <w:rPr>
          <w:rFonts w:ascii="Times New Roman" w:hAnsi="Times New Roman" w:cs="Times New Roman"/>
          <w:sz w:val="24"/>
          <w:szCs w:val="24"/>
        </w:rPr>
        <w:t>; segundo</w:t>
      </w:r>
      <w:r w:rsidR="002952B1" w:rsidRPr="00C12E06">
        <w:rPr>
          <w:rFonts w:ascii="Times New Roman" w:hAnsi="Times New Roman" w:cs="Times New Roman"/>
          <w:sz w:val="24"/>
          <w:szCs w:val="24"/>
        </w:rPr>
        <w:t xml:space="preserve"> porque </w:t>
      </w:r>
      <w:r w:rsidR="00EE791F" w:rsidRPr="00C12E06">
        <w:rPr>
          <w:rFonts w:ascii="Times New Roman" w:hAnsi="Times New Roman" w:cs="Times New Roman"/>
          <w:sz w:val="24"/>
          <w:szCs w:val="24"/>
        </w:rPr>
        <w:t xml:space="preserve">carece de sentido reconocer la identidad del título o causa (en realidad, </w:t>
      </w:r>
      <w:r w:rsidR="00EE791F" w:rsidRPr="00C12E06">
        <w:rPr>
          <w:rFonts w:ascii="Times New Roman" w:hAnsi="Times New Roman" w:cs="Times New Roman"/>
          <w:i/>
          <w:sz w:val="24"/>
          <w:szCs w:val="24"/>
        </w:rPr>
        <w:t>infra,</w:t>
      </w:r>
      <w:r w:rsidR="00EE791F" w:rsidRPr="00C12E06">
        <w:rPr>
          <w:rFonts w:ascii="Times New Roman" w:hAnsi="Times New Roman" w:cs="Times New Roman"/>
          <w:sz w:val="24"/>
          <w:szCs w:val="24"/>
        </w:rPr>
        <w:t xml:space="preserve"> </w:t>
      </w:r>
      <w:r w:rsidR="00AB2A5F" w:rsidRPr="00C12E06">
        <w:rPr>
          <w:rFonts w:ascii="Times New Roman" w:hAnsi="Times New Roman" w:cs="Times New Roman"/>
          <w:sz w:val="24"/>
          <w:szCs w:val="24"/>
        </w:rPr>
        <w:t xml:space="preserve">en sentido estricto </w:t>
      </w:r>
      <w:r w:rsidR="00EE791F" w:rsidRPr="00C12E06">
        <w:rPr>
          <w:rFonts w:ascii="Times New Roman" w:hAnsi="Times New Roman" w:cs="Times New Roman"/>
          <w:sz w:val="24"/>
          <w:szCs w:val="24"/>
        </w:rPr>
        <w:t xml:space="preserve">es casi imposible la identidad y lo que existe es la conexión) </w:t>
      </w:r>
      <w:r w:rsidR="005731AA" w:rsidRPr="00C12E06">
        <w:rPr>
          <w:rFonts w:ascii="Times New Roman" w:hAnsi="Times New Roman" w:cs="Times New Roman"/>
          <w:sz w:val="24"/>
          <w:szCs w:val="24"/>
        </w:rPr>
        <w:t xml:space="preserve">y </w:t>
      </w:r>
      <w:r w:rsidR="00EE791F" w:rsidRPr="00C12E06">
        <w:rPr>
          <w:rFonts w:ascii="Times New Roman" w:hAnsi="Times New Roman" w:cs="Times New Roman"/>
          <w:sz w:val="24"/>
          <w:szCs w:val="24"/>
        </w:rPr>
        <w:t>consentir la acumulación, arts. 12 y 72 LEC, para</w:t>
      </w:r>
      <w:r w:rsidR="00B07BB0" w:rsidRPr="00C12E06">
        <w:rPr>
          <w:rFonts w:ascii="Times New Roman" w:hAnsi="Times New Roman" w:cs="Times New Roman"/>
          <w:sz w:val="24"/>
          <w:szCs w:val="24"/>
        </w:rPr>
        <w:t xml:space="preserve"> inmediatamente</w:t>
      </w:r>
      <w:r w:rsidR="00EE791F" w:rsidRPr="00C12E06">
        <w:rPr>
          <w:rFonts w:ascii="Times New Roman" w:hAnsi="Times New Roman" w:cs="Times New Roman"/>
          <w:sz w:val="24"/>
          <w:szCs w:val="24"/>
        </w:rPr>
        <w:t xml:space="preserve"> a continuación negarla a efectos del cálculo de la cuantía</w:t>
      </w:r>
      <w:r w:rsidR="00AB2A5F" w:rsidRPr="00C12E06">
        <w:rPr>
          <w:rFonts w:ascii="Times New Roman" w:hAnsi="Times New Roman" w:cs="Times New Roman"/>
          <w:sz w:val="24"/>
          <w:szCs w:val="24"/>
        </w:rPr>
        <w:t>, art. 252.1ª LEC;</w:t>
      </w:r>
      <w:r w:rsidR="002952B1" w:rsidRPr="00C12E06">
        <w:rPr>
          <w:rFonts w:ascii="Times New Roman" w:hAnsi="Times New Roman" w:cs="Times New Roman"/>
          <w:sz w:val="24"/>
          <w:szCs w:val="24"/>
        </w:rPr>
        <w:t xml:space="preserve"> </w:t>
      </w:r>
      <w:r w:rsidR="005731AA" w:rsidRPr="00C12E06">
        <w:rPr>
          <w:rFonts w:ascii="Times New Roman" w:hAnsi="Times New Roman" w:cs="Times New Roman"/>
          <w:sz w:val="24"/>
          <w:szCs w:val="24"/>
        </w:rPr>
        <w:t>tercero</w:t>
      </w:r>
      <w:r w:rsidR="002952B1" w:rsidRPr="00C12E06">
        <w:rPr>
          <w:rFonts w:ascii="Times New Roman" w:hAnsi="Times New Roman" w:cs="Times New Roman"/>
          <w:sz w:val="24"/>
          <w:szCs w:val="24"/>
        </w:rPr>
        <w:t xml:space="preserve"> porque la interpretación contraría conduciría al absurdo en muchos supuestos, imaginemos que las acciones de los distintos contratantes de un producto financiero frente a la entidad bancaria…, no alcanzan los dos mil euros cada una, ello </w:t>
      </w:r>
      <w:r w:rsidR="005731AA" w:rsidRPr="00C12E06">
        <w:rPr>
          <w:rFonts w:ascii="Times New Roman" w:hAnsi="Times New Roman" w:cs="Times New Roman"/>
          <w:sz w:val="24"/>
          <w:szCs w:val="24"/>
        </w:rPr>
        <w:t>comportaría que habría que, al no sumarse la cuantía, acudir</w:t>
      </w:r>
      <w:r w:rsidR="002952B1" w:rsidRPr="00C12E06">
        <w:rPr>
          <w:rFonts w:ascii="Times New Roman" w:hAnsi="Times New Roman" w:cs="Times New Roman"/>
          <w:sz w:val="24"/>
          <w:szCs w:val="24"/>
        </w:rPr>
        <w:t xml:space="preserve"> al juicio verbal y no haría falta la postulación, pudiendo utilizarse un formulario</w:t>
      </w:r>
      <w:r w:rsidR="008C7FD8" w:rsidRPr="00C12E06">
        <w:rPr>
          <w:rFonts w:ascii="Times New Roman" w:hAnsi="Times New Roman" w:cs="Times New Roman"/>
          <w:sz w:val="24"/>
          <w:szCs w:val="24"/>
        </w:rPr>
        <w:t xml:space="preserve"> para formular la pre</w:t>
      </w:r>
      <w:r w:rsidR="00AB2A5F" w:rsidRPr="00C12E06">
        <w:rPr>
          <w:rFonts w:ascii="Times New Roman" w:hAnsi="Times New Roman" w:cs="Times New Roman"/>
          <w:sz w:val="24"/>
          <w:szCs w:val="24"/>
        </w:rPr>
        <w:t>tensión y</w:t>
      </w:r>
      <w:r w:rsidR="008C7FD8" w:rsidRPr="00C12E06">
        <w:rPr>
          <w:rFonts w:ascii="Times New Roman" w:hAnsi="Times New Roman" w:cs="Times New Roman"/>
          <w:sz w:val="24"/>
          <w:szCs w:val="24"/>
        </w:rPr>
        <w:t xml:space="preserve"> no cabría la apelación</w:t>
      </w:r>
      <w:r w:rsidR="00657C0B">
        <w:rPr>
          <w:rFonts w:ascii="Times New Roman" w:hAnsi="Times New Roman" w:cs="Times New Roman"/>
          <w:sz w:val="24"/>
          <w:szCs w:val="24"/>
        </w:rPr>
        <w:t xml:space="preserve">, arts. 23.2.1º, 31.2.1º, 437.2, </w:t>
      </w:r>
      <w:r w:rsidR="0097098F">
        <w:rPr>
          <w:rFonts w:ascii="Times New Roman" w:hAnsi="Times New Roman" w:cs="Times New Roman"/>
          <w:sz w:val="24"/>
          <w:szCs w:val="24"/>
        </w:rPr>
        <w:t>455.1 LEC</w:t>
      </w:r>
      <w:r w:rsidR="00BD7617" w:rsidRPr="00C12E06">
        <w:rPr>
          <w:rFonts w:ascii="Times New Roman" w:hAnsi="Times New Roman" w:cs="Times New Roman"/>
          <w:sz w:val="24"/>
          <w:szCs w:val="24"/>
        </w:rPr>
        <w:t>; cuarto</w:t>
      </w:r>
      <w:r w:rsidR="008C7FD8" w:rsidRPr="00C12E06">
        <w:rPr>
          <w:rFonts w:ascii="Times New Roman" w:hAnsi="Times New Roman" w:cs="Times New Roman"/>
          <w:sz w:val="24"/>
          <w:szCs w:val="24"/>
        </w:rPr>
        <w:t xml:space="preserve"> porque la interpretación por la que apostamos parece la más sensata conforme a lo que es el espíritu de la LEC: no cabe sumar la cuantía de lo inconexo de manera que se acuda artificialmente al juicio ordinario mediante la suma de ac</w:t>
      </w:r>
      <w:r w:rsidR="00397175" w:rsidRPr="00C12E06">
        <w:rPr>
          <w:rFonts w:ascii="Times New Roman" w:hAnsi="Times New Roman" w:cs="Times New Roman"/>
          <w:sz w:val="24"/>
          <w:szCs w:val="24"/>
        </w:rPr>
        <w:t>ciones principales</w:t>
      </w:r>
      <w:r w:rsidR="001D7E99" w:rsidRPr="00C12E06">
        <w:rPr>
          <w:rFonts w:ascii="Times New Roman" w:hAnsi="Times New Roman" w:cs="Times New Roman"/>
          <w:sz w:val="24"/>
          <w:szCs w:val="24"/>
        </w:rPr>
        <w:t xml:space="preserve"> independientes y compatibles</w:t>
      </w:r>
      <w:r w:rsidR="008C7FD8" w:rsidRPr="00C12E06">
        <w:rPr>
          <w:rFonts w:ascii="Times New Roman" w:hAnsi="Times New Roman" w:cs="Times New Roman"/>
          <w:sz w:val="24"/>
          <w:szCs w:val="24"/>
        </w:rPr>
        <w:t xml:space="preserve"> (una acumulación o</w:t>
      </w:r>
      <w:r w:rsidR="00085926">
        <w:rPr>
          <w:rFonts w:ascii="Times New Roman" w:hAnsi="Times New Roman" w:cs="Times New Roman"/>
          <w:sz w:val="24"/>
          <w:szCs w:val="24"/>
        </w:rPr>
        <w:t>bjetiva de acciones principales</w:t>
      </w:r>
      <w:r w:rsidR="001A245D">
        <w:rPr>
          <w:rFonts w:ascii="Times New Roman" w:hAnsi="Times New Roman" w:cs="Times New Roman"/>
          <w:sz w:val="24"/>
          <w:szCs w:val="24"/>
        </w:rPr>
        <w:t>,</w:t>
      </w:r>
      <w:r w:rsidR="008C7FD8" w:rsidRPr="00C12E06">
        <w:rPr>
          <w:rFonts w:ascii="Times New Roman" w:hAnsi="Times New Roman" w:cs="Times New Roman"/>
          <w:sz w:val="24"/>
          <w:szCs w:val="24"/>
        </w:rPr>
        <w:t xml:space="preserve"> es decir todo lo que el actor pueda hacer valer frente al demandado</w:t>
      </w:r>
      <w:r w:rsidR="00B07BB0" w:rsidRPr="00C12E06">
        <w:rPr>
          <w:rFonts w:ascii="Times New Roman" w:hAnsi="Times New Roman" w:cs="Times New Roman"/>
          <w:sz w:val="24"/>
          <w:szCs w:val="24"/>
        </w:rPr>
        <w:t>, art. 71.2 LEC</w:t>
      </w:r>
      <w:r w:rsidR="008C7FD8" w:rsidRPr="00C12E06">
        <w:rPr>
          <w:rFonts w:ascii="Times New Roman" w:hAnsi="Times New Roman" w:cs="Times New Roman"/>
          <w:sz w:val="24"/>
          <w:szCs w:val="24"/>
        </w:rPr>
        <w:t>)</w:t>
      </w:r>
      <w:r w:rsidR="00BD7617" w:rsidRPr="00C12E06">
        <w:rPr>
          <w:rFonts w:ascii="Times New Roman" w:hAnsi="Times New Roman" w:cs="Times New Roman"/>
          <w:sz w:val="24"/>
          <w:szCs w:val="24"/>
        </w:rPr>
        <w:t>; quinto</w:t>
      </w:r>
      <w:r w:rsidR="008C7FD8" w:rsidRPr="00C12E06">
        <w:rPr>
          <w:rFonts w:ascii="Times New Roman" w:hAnsi="Times New Roman" w:cs="Times New Roman"/>
          <w:sz w:val="24"/>
          <w:szCs w:val="24"/>
        </w:rPr>
        <w:t xml:space="preserve">, </w:t>
      </w:r>
      <w:r w:rsidR="00B07BB0" w:rsidRPr="00C12E06">
        <w:rPr>
          <w:rFonts w:ascii="Times New Roman" w:hAnsi="Times New Roman" w:cs="Times New Roman"/>
          <w:sz w:val="24"/>
          <w:szCs w:val="24"/>
        </w:rPr>
        <w:t>la exégesis del</w:t>
      </w:r>
      <w:r w:rsidR="00BD7617" w:rsidRPr="00C12E06">
        <w:rPr>
          <w:rFonts w:ascii="Times New Roman" w:hAnsi="Times New Roman" w:cs="Times New Roman"/>
          <w:sz w:val="24"/>
          <w:szCs w:val="24"/>
        </w:rPr>
        <w:t xml:space="preserve"> TS se realiza en sede </w:t>
      </w:r>
      <w:proofErr w:type="spellStart"/>
      <w:r w:rsidR="00BD7617" w:rsidRPr="00C12E06">
        <w:rPr>
          <w:rFonts w:ascii="Times New Roman" w:hAnsi="Times New Roman" w:cs="Times New Roman"/>
          <w:sz w:val="24"/>
          <w:szCs w:val="24"/>
        </w:rPr>
        <w:t>c</w:t>
      </w:r>
      <w:r w:rsidR="00B07BB0" w:rsidRPr="00C12E06">
        <w:rPr>
          <w:rFonts w:ascii="Times New Roman" w:hAnsi="Times New Roman" w:cs="Times New Roman"/>
          <w:sz w:val="24"/>
          <w:szCs w:val="24"/>
        </w:rPr>
        <w:t>asacional</w:t>
      </w:r>
      <w:proofErr w:type="spellEnd"/>
      <w:r w:rsidR="00B07BB0" w:rsidRPr="00C12E06">
        <w:rPr>
          <w:rFonts w:ascii="Times New Roman" w:hAnsi="Times New Roman" w:cs="Times New Roman"/>
          <w:sz w:val="24"/>
          <w:szCs w:val="24"/>
        </w:rPr>
        <w:t xml:space="preserve"> y tiene como objetivo</w:t>
      </w:r>
      <w:r w:rsidR="00BD7617" w:rsidRPr="00C12E06">
        <w:rPr>
          <w:rFonts w:ascii="Times New Roman" w:hAnsi="Times New Roman" w:cs="Times New Roman"/>
          <w:sz w:val="24"/>
          <w:szCs w:val="24"/>
        </w:rPr>
        <w:t xml:space="preserve"> reducir el ámbito de las resoluciones que acceden a ese recurso extraordinario (y al extraordinario por infracción procesal) minimizando en lo posible la </w:t>
      </w:r>
      <w:proofErr w:type="spellStart"/>
      <w:r w:rsidR="008C7FD8" w:rsidRPr="00C12E06">
        <w:rPr>
          <w:rFonts w:ascii="Times New Roman" w:hAnsi="Times New Roman" w:cs="Times New Roman"/>
          <w:i/>
          <w:sz w:val="24"/>
          <w:szCs w:val="24"/>
        </w:rPr>
        <w:t>summa</w:t>
      </w:r>
      <w:proofErr w:type="spellEnd"/>
      <w:r w:rsidR="008C7FD8" w:rsidRPr="00C12E06">
        <w:rPr>
          <w:rFonts w:ascii="Times New Roman" w:hAnsi="Times New Roman" w:cs="Times New Roman"/>
          <w:i/>
          <w:sz w:val="24"/>
          <w:szCs w:val="24"/>
        </w:rPr>
        <w:t xml:space="preserve"> </w:t>
      </w:r>
      <w:proofErr w:type="spellStart"/>
      <w:r w:rsidR="008C7FD8" w:rsidRPr="00C12E06">
        <w:rPr>
          <w:rFonts w:ascii="Times New Roman" w:hAnsi="Times New Roman" w:cs="Times New Roman"/>
          <w:i/>
          <w:sz w:val="24"/>
          <w:szCs w:val="24"/>
        </w:rPr>
        <w:t>gravaminis</w:t>
      </w:r>
      <w:proofErr w:type="spellEnd"/>
      <w:r w:rsidR="008C7FD8" w:rsidRPr="00C12E06">
        <w:rPr>
          <w:rFonts w:ascii="Times New Roman" w:hAnsi="Times New Roman" w:cs="Times New Roman"/>
          <w:sz w:val="24"/>
          <w:szCs w:val="24"/>
        </w:rPr>
        <w:t xml:space="preserve"> </w:t>
      </w:r>
      <w:r w:rsidR="00BD7617" w:rsidRPr="00C12E06">
        <w:rPr>
          <w:rFonts w:ascii="Times New Roman" w:hAnsi="Times New Roman" w:cs="Times New Roman"/>
          <w:sz w:val="24"/>
          <w:szCs w:val="24"/>
        </w:rPr>
        <w:t>en cada caso. Si esa es la finalidad, lo lógico es estipular una regla específica en dicha sede a efectos de la cuantificación del pleito y evitar interp</w:t>
      </w:r>
      <w:r w:rsidR="005317C8">
        <w:rPr>
          <w:rFonts w:ascii="Times New Roman" w:hAnsi="Times New Roman" w:cs="Times New Roman"/>
          <w:sz w:val="24"/>
          <w:szCs w:val="24"/>
        </w:rPr>
        <w:t>retaciones que acaban por destruir</w:t>
      </w:r>
      <w:r w:rsidR="00BD7617" w:rsidRPr="00C12E06">
        <w:rPr>
          <w:rFonts w:ascii="Times New Roman" w:hAnsi="Times New Roman" w:cs="Times New Roman"/>
          <w:sz w:val="24"/>
          <w:szCs w:val="24"/>
        </w:rPr>
        <w:t xml:space="preserve"> la lógica del sistema</w:t>
      </w:r>
      <w:r w:rsidR="005317C8">
        <w:rPr>
          <w:rFonts w:ascii="Times New Roman" w:hAnsi="Times New Roman" w:cs="Times New Roman"/>
          <w:sz w:val="24"/>
          <w:szCs w:val="24"/>
        </w:rPr>
        <w:t>.</w:t>
      </w:r>
      <w:r w:rsidR="007858D9" w:rsidRPr="00C12E06">
        <w:rPr>
          <w:rFonts w:ascii="Times New Roman" w:hAnsi="Times New Roman" w:cs="Times New Roman"/>
          <w:sz w:val="24"/>
          <w:szCs w:val="24"/>
        </w:rPr>
        <w:t xml:space="preserve"> </w:t>
      </w:r>
    </w:p>
    <w:p w14:paraId="2E31C633" w14:textId="77777777" w:rsidR="00A45787"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Además cabe acumular al juicio ordinario la acción que por razón de la cuantía debería tramitarse por el juicio verbal por cuanto no existe pérdida de derechos procesales, arts. 73.1.1º y 77.1 LEC.</w:t>
      </w:r>
    </w:p>
    <w:p w14:paraId="1D5BE5A5" w14:textId="6DDD03AC" w:rsidR="004253DA" w:rsidRPr="00C12E06" w:rsidRDefault="004253DA"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Por otra parte, existe jurisprudencia</w:t>
      </w:r>
      <w:r w:rsidR="0048376E">
        <w:rPr>
          <w:rFonts w:ascii="Times New Roman" w:hAnsi="Times New Roman" w:cs="Times New Roman"/>
          <w:sz w:val="24"/>
          <w:szCs w:val="24"/>
        </w:rPr>
        <w:t xml:space="preserve"> mayoritaria</w:t>
      </w:r>
      <w:r>
        <w:rPr>
          <w:rFonts w:ascii="Times New Roman" w:hAnsi="Times New Roman" w:cs="Times New Roman"/>
          <w:sz w:val="24"/>
          <w:szCs w:val="24"/>
        </w:rPr>
        <w:t xml:space="preserve"> que consiente la acumulación subjetiva en el proceso monitorio a pesar de que los deudores pudieran tener un diferente domicilio (compatibilizando </w:t>
      </w:r>
      <w:r w:rsidR="005317C8">
        <w:rPr>
          <w:rFonts w:ascii="Times New Roman" w:hAnsi="Times New Roman" w:cs="Times New Roman"/>
          <w:sz w:val="24"/>
          <w:szCs w:val="24"/>
        </w:rPr>
        <w:t xml:space="preserve">así </w:t>
      </w:r>
      <w:r>
        <w:rPr>
          <w:rFonts w:ascii="Times New Roman" w:hAnsi="Times New Roman" w:cs="Times New Roman"/>
          <w:sz w:val="24"/>
          <w:szCs w:val="24"/>
        </w:rPr>
        <w:t>el</w:t>
      </w:r>
      <w:r w:rsidR="0048376E">
        <w:rPr>
          <w:rFonts w:ascii="Times New Roman" w:hAnsi="Times New Roman" w:cs="Times New Roman"/>
          <w:sz w:val="24"/>
          <w:szCs w:val="24"/>
        </w:rPr>
        <w:t xml:space="preserve"> fuero imperativo contenido en el</w:t>
      </w:r>
      <w:r>
        <w:rPr>
          <w:rFonts w:ascii="Times New Roman" w:hAnsi="Times New Roman" w:cs="Times New Roman"/>
          <w:sz w:val="24"/>
          <w:szCs w:val="24"/>
        </w:rPr>
        <w:t xml:space="preserve"> art. 813</w:t>
      </w:r>
      <w:r w:rsidR="00C20D85">
        <w:rPr>
          <w:rFonts w:ascii="Times New Roman" w:hAnsi="Times New Roman" w:cs="Times New Roman"/>
          <w:sz w:val="24"/>
          <w:szCs w:val="24"/>
        </w:rPr>
        <w:t xml:space="preserve"> LEC </w:t>
      </w:r>
      <w:r>
        <w:rPr>
          <w:rFonts w:ascii="Times New Roman" w:hAnsi="Times New Roman" w:cs="Times New Roman"/>
          <w:sz w:val="24"/>
          <w:szCs w:val="24"/>
        </w:rPr>
        <w:t>con el</w:t>
      </w:r>
      <w:r w:rsidR="001F7455">
        <w:rPr>
          <w:rFonts w:ascii="Times New Roman" w:hAnsi="Times New Roman" w:cs="Times New Roman"/>
          <w:sz w:val="24"/>
          <w:szCs w:val="24"/>
        </w:rPr>
        <w:t xml:space="preserve"> previsto en el art.</w:t>
      </w:r>
      <w:r>
        <w:rPr>
          <w:rFonts w:ascii="Times New Roman" w:hAnsi="Times New Roman" w:cs="Times New Roman"/>
          <w:sz w:val="24"/>
          <w:szCs w:val="24"/>
        </w:rPr>
        <w:t xml:space="preserve"> 53</w:t>
      </w:r>
      <w:r w:rsidR="001F7455">
        <w:rPr>
          <w:rFonts w:ascii="Times New Roman" w:hAnsi="Times New Roman" w:cs="Times New Roman"/>
          <w:sz w:val="24"/>
          <w:szCs w:val="24"/>
        </w:rPr>
        <w:t>.2</w:t>
      </w:r>
      <w:r>
        <w:rPr>
          <w:rFonts w:ascii="Times New Roman" w:hAnsi="Times New Roman" w:cs="Times New Roman"/>
          <w:sz w:val="24"/>
          <w:szCs w:val="24"/>
        </w:rPr>
        <w:t xml:space="preserve"> LEC)</w:t>
      </w:r>
      <w:r>
        <w:rPr>
          <w:rStyle w:val="Refdenotaalpie"/>
          <w:rFonts w:ascii="Times New Roman" w:hAnsi="Times New Roman" w:cs="Times New Roman"/>
          <w:sz w:val="24"/>
          <w:szCs w:val="24"/>
        </w:rPr>
        <w:footnoteReference w:id="21"/>
      </w:r>
      <w:r>
        <w:rPr>
          <w:rFonts w:ascii="Times New Roman" w:hAnsi="Times New Roman" w:cs="Times New Roman"/>
          <w:sz w:val="24"/>
          <w:szCs w:val="24"/>
        </w:rPr>
        <w:t>.</w:t>
      </w:r>
    </w:p>
    <w:p w14:paraId="468D6C4B" w14:textId="50A98BF6" w:rsidR="00A45787" w:rsidRDefault="00A45787" w:rsidP="000B489F">
      <w:pPr>
        <w:pStyle w:val="Prrafodelista"/>
        <w:numPr>
          <w:ilvl w:val="0"/>
          <w:numId w:val="16"/>
        </w:numPr>
        <w:spacing w:after="0"/>
        <w:jc w:val="both"/>
        <w:rPr>
          <w:rFonts w:ascii="Times New Roman" w:hAnsi="Times New Roman" w:cs="Times New Roman"/>
          <w:sz w:val="24"/>
          <w:szCs w:val="24"/>
        </w:rPr>
      </w:pPr>
      <w:r w:rsidRPr="00A4637E">
        <w:rPr>
          <w:rFonts w:ascii="Times New Roman" w:hAnsi="Times New Roman" w:cs="Times New Roman"/>
          <w:sz w:val="24"/>
          <w:szCs w:val="24"/>
        </w:rPr>
        <w:lastRenderedPageBreak/>
        <w:t>Que no esté prohibida la acumulación expresamente en ese supuesto</w:t>
      </w:r>
    </w:p>
    <w:p w14:paraId="2584E9D7" w14:textId="28A29150" w:rsidR="00E35E06" w:rsidRPr="00E35E06" w:rsidRDefault="00A45787" w:rsidP="006E170E">
      <w:pPr>
        <w:pStyle w:val="Prrafodelista"/>
        <w:numPr>
          <w:ilvl w:val="0"/>
          <w:numId w:val="2"/>
        </w:numPr>
        <w:spacing w:after="0"/>
        <w:ind w:firstLine="0"/>
        <w:jc w:val="both"/>
        <w:rPr>
          <w:rFonts w:ascii="Times New Roman" w:hAnsi="Times New Roman" w:cs="Times New Roman"/>
          <w:sz w:val="24"/>
          <w:szCs w:val="24"/>
        </w:rPr>
      </w:pPr>
      <w:r w:rsidRPr="00E35E06">
        <w:rPr>
          <w:rFonts w:ascii="Times New Roman" w:hAnsi="Times New Roman" w:cs="Times New Roman"/>
          <w:b/>
          <w:sz w:val="24"/>
          <w:szCs w:val="24"/>
        </w:rPr>
        <w:t>Procesales</w:t>
      </w:r>
    </w:p>
    <w:p w14:paraId="65BB9EC9" w14:textId="77777777"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Lo que de verdad singulariza a la acumulación subjetiva o litisconsorcio voluntario es el vínculo o conexión entre las acciones que consiente dicha institución. ¿Cuál es el grado de interrelación que debe exigirse para “complicar” el proceso? Es un presupuesto procesal que requiere un examen del objeto litigioso, de la relación jurídica material en liza, respecto de cada acción afirmada y resulta ser la cuestión más compleja y problemática. </w:t>
      </w:r>
    </w:p>
    <w:p w14:paraId="69C7793B" w14:textId="62D1E2C2"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La LEC exige para la acumulación subjetiva, arts. 12 y 72, la identidad o conexión  del título o causa de pedir</w:t>
      </w:r>
      <w:r w:rsidR="00A21B60">
        <w:rPr>
          <w:rStyle w:val="Refdenotaalpie"/>
          <w:rFonts w:ascii="Times New Roman" w:hAnsi="Times New Roman" w:cs="Times New Roman"/>
          <w:sz w:val="24"/>
          <w:szCs w:val="24"/>
        </w:rPr>
        <w:footnoteReference w:id="22"/>
      </w:r>
      <w:r w:rsidRPr="00C12E06">
        <w:rPr>
          <w:rFonts w:ascii="Times New Roman" w:hAnsi="Times New Roman" w:cs="Times New Roman"/>
          <w:sz w:val="24"/>
          <w:szCs w:val="24"/>
        </w:rPr>
        <w:t>. Y a continuación añade,  art. 72 LEC, que ello acontece cuando “las acciones se funden en los mismos hechos”, (generalizando así la previsión del art. 127.1 LAU de 1964</w:t>
      </w:r>
      <w:r w:rsidRPr="00C12E06">
        <w:rPr>
          <w:rFonts w:ascii="Times New Roman" w:hAnsi="Times New Roman" w:cs="Times New Roman"/>
          <w:sz w:val="24"/>
          <w:szCs w:val="24"/>
          <w:vertAlign w:val="superscript"/>
        </w:rPr>
        <w:footnoteReference w:id="23"/>
      </w:r>
      <w:r w:rsidRPr="00C12E06">
        <w:rPr>
          <w:rFonts w:ascii="Times New Roman" w:hAnsi="Times New Roman" w:cs="Times New Roman"/>
          <w:sz w:val="24"/>
          <w:szCs w:val="24"/>
        </w:rPr>
        <w:t>).</w:t>
      </w:r>
      <w:r w:rsidR="0051572B" w:rsidRPr="00C12E06">
        <w:rPr>
          <w:rFonts w:ascii="Times New Roman" w:hAnsi="Times New Roman" w:cs="Times New Roman"/>
          <w:sz w:val="24"/>
          <w:szCs w:val="24"/>
        </w:rPr>
        <w:t xml:space="preserve"> </w:t>
      </w:r>
    </w:p>
    <w:p w14:paraId="2482C213" w14:textId="479A8A84" w:rsidR="00A45787" w:rsidRPr="00C12E06" w:rsidRDefault="00CE2C92"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La LEC, consiguientemente, incorpora</w:t>
      </w:r>
      <w:r w:rsidR="00A45787" w:rsidRPr="00C12E06">
        <w:rPr>
          <w:rFonts w:ascii="Times New Roman" w:hAnsi="Times New Roman" w:cs="Times New Roman"/>
          <w:sz w:val="24"/>
          <w:szCs w:val="24"/>
        </w:rPr>
        <w:t xml:space="preserve"> dos novedades respecto a las previsiones de la </w:t>
      </w:r>
      <w:proofErr w:type="spellStart"/>
      <w:r w:rsidR="00A45787" w:rsidRPr="00C12E06">
        <w:rPr>
          <w:rFonts w:ascii="Times New Roman" w:hAnsi="Times New Roman" w:cs="Times New Roman"/>
          <w:sz w:val="24"/>
          <w:szCs w:val="24"/>
        </w:rPr>
        <w:t>Lec</w:t>
      </w:r>
      <w:proofErr w:type="spellEnd"/>
      <w:r w:rsidR="00A45787" w:rsidRPr="00C12E06">
        <w:rPr>
          <w:rFonts w:ascii="Times New Roman" w:hAnsi="Times New Roman" w:cs="Times New Roman"/>
          <w:sz w:val="24"/>
          <w:szCs w:val="24"/>
        </w:rPr>
        <w:t xml:space="preserve"> de 1881 que exigía la identidad del título o causa: a) consiente también la conexión de los mismos; b) explicita que aquello sucede cuando se trata de los mismos hechos. Al respecto conviene precisar:</w:t>
      </w:r>
    </w:p>
    <w:p w14:paraId="00858A4E" w14:textId="4FE75C62" w:rsidR="0051572B" w:rsidRPr="00C12E06" w:rsidRDefault="0051572B" w:rsidP="000B489F">
      <w:pPr>
        <w:pStyle w:val="Prrafodelista"/>
        <w:numPr>
          <w:ilvl w:val="0"/>
          <w:numId w:val="1"/>
        </w:numPr>
        <w:spacing w:after="0"/>
        <w:ind w:left="0"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El legislador, siguiendo la tradición, emplea indistintamente los términos título o causa (de pedir) no solamente en esta sede sino también, </w:t>
      </w:r>
      <w:r w:rsidRPr="00C12E06">
        <w:rPr>
          <w:rFonts w:ascii="Times New Roman" w:hAnsi="Times New Roman" w:cs="Times New Roman"/>
          <w:i/>
          <w:sz w:val="24"/>
          <w:szCs w:val="24"/>
        </w:rPr>
        <w:t>supra</w:t>
      </w:r>
      <w:r w:rsidRPr="00C12E06">
        <w:rPr>
          <w:rFonts w:ascii="Times New Roman" w:hAnsi="Times New Roman" w:cs="Times New Roman"/>
          <w:sz w:val="24"/>
          <w:szCs w:val="24"/>
        </w:rPr>
        <w:t xml:space="preserve">, </w:t>
      </w:r>
      <w:r w:rsidR="009A216D" w:rsidRPr="00C12E06">
        <w:rPr>
          <w:rFonts w:ascii="Times New Roman" w:hAnsi="Times New Roman" w:cs="Times New Roman"/>
          <w:sz w:val="24"/>
          <w:szCs w:val="24"/>
        </w:rPr>
        <w:t xml:space="preserve">en la acumulación objetiva, </w:t>
      </w:r>
      <w:r w:rsidRPr="00C12E06">
        <w:rPr>
          <w:rFonts w:ascii="Times New Roman" w:hAnsi="Times New Roman" w:cs="Times New Roman"/>
          <w:sz w:val="24"/>
          <w:szCs w:val="24"/>
        </w:rPr>
        <w:t>a efectos</w:t>
      </w:r>
      <w:r w:rsidR="009A216D" w:rsidRPr="00C12E06">
        <w:rPr>
          <w:rFonts w:ascii="Times New Roman" w:hAnsi="Times New Roman" w:cs="Times New Roman"/>
          <w:sz w:val="24"/>
          <w:szCs w:val="24"/>
        </w:rPr>
        <w:t xml:space="preserve"> de calcular la cuantía y</w:t>
      </w:r>
      <w:r w:rsidRPr="00C12E06">
        <w:rPr>
          <w:rFonts w:ascii="Times New Roman" w:hAnsi="Times New Roman" w:cs="Times New Roman"/>
          <w:sz w:val="24"/>
          <w:szCs w:val="24"/>
        </w:rPr>
        <w:t xml:space="preserve"> en el juicio verbal</w:t>
      </w:r>
      <w:r w:rsidR="009A216D" w:rsidRPr="00C12E06">
        <w:rPr>
          <w:rFonts w:ascii="Times New Roman" w:hAnsi="Times New Roman" w:cs="Times New Roman"/>
          <w:sz w:val="24"/>
          <w:szCs w:val="24"/>
        </w:rPr>
        <w:t xml:space="preserve">. </w:t>
      </w:r>
      <w:r w:rsidRPr="00C12E06">
        <w:rPr>
          <w:rFonts w:ascii="Times New Roman" w:hAnsi="Times New Roman" w:cs="Times New Roman"/>
          <w:sz w:val="24"/>
          <w:szCs w:val="24"/>
        </w:rPr>
        <w:t xml:space="preserve">Lo que acaba de generar más confusión si cabe cuando se trata de distinguir el contenido de cada uno, sin reparar que en la actualidad, </w:t>
      </w:r>
      <w:r w:rsidRPr="00C12E06">
        <w:rPr>
          <w:rFonts w:ascii="Times New Roman" w:hAnsi="Times New Roman" w:cs="Times New Roman"/>
          <w:i/>
          <w:sz w:val="24"/>
          <w:szCs w:val="24"/>
        </w:rPr>
        <w:t>infra</w:t>
      </w:r>
      <w:r w:rsidRPr="00C12E06">
        <w:rPr>
          <w:rFonts w:ascii="Times New Roman" w:hAnsi="Times New Roman" w:cs="Times New Roman"/>
          <w:sz w:val="24"/>
          <w:szCs w:val="24"/>
        </w:rPr>
        <w:t>, lo adecuado es utilizar el término causa de pedir que engloba tanto el relato fáctico</w:t>
      </w:r>
      <w:r w:rsidR="005317C8">
        <w:rPr>
          <w:rFonts w:ascii="Times New Roman" w:hAnsi="Times New Roman" w:cs="Times New Roman"/>
          <w:sz w:val="24"/>
          <w:szCs w:val="24"/>
        </w:rPr>
        <w:t xml:space="preserve"> principal</w:t>
      </w:r>
      <w:r w:rsidRPr="00C12E06">
        <w:rPr>
          <w:rFonts w:ascii="Times New Roman" w:hAnsi="Times New Roman" w:cs="Times New Roman"/>
          <w:sz w:val="24"/>
          <w:szCs w:val="24"/>
        </w:rPr>
        <w:t xml:space="preserve"> como la perspectiva jurídica.</w:t>
      </w:r>
    </w:p>
    <w:p w14:paraId="475C0D1F" w14:textId="1C103B5D" w:rsidR="00A45787" w:rsidRPr="00C12E06" w:rsidRDefault="00A45787" w:rsidP="000B489F">
      <w:pPr>
        <w:numPr>
          <w:ilvl w:val="0"/>
          <w:numId w:val="1"/>
        </w:numPr>
        <w:spacing w:after="0"/>
        <w:ind w:left="0" w:firstLine="0"/>
        <w:jc w:val="both"/>
        <w:rPr>
          <w:rFonts w:ascii="Times New Roman" w:hAnsi="Times New Roman" w:cs="Times New Roman"/>
          <w:sz w:val="24"/>
          <w:szCs w:val="24"/>
        </w:rPr>
      </w:pPr>
      <w:r w:rsidRPr="00C12E06">
        <w:rPr>
          <w:rFonts w:ascii="Times New Roman" w:hAnsi="Times New Roman" w:cs="Times New Roman"/>
          <w:sz w:val="24"/>
          <w:szCs w:val="24"/>
        </w:rPr>
        <w:t>Las innovaciones son más formales que de fondo porque, como se va a comprobar, la jurisprudencia consentía también la</w:t>
      </w:r>
      <w:r w:rsidR="009A216D" w:rsidRPr="00C12E06">
        <w:rPr>
          <w:rFonts w:ascii="Times New Roman" w:hAnsi="Times New Roman" w:cs="Times New Roman"/>
          <w:sz w:val="24"/>
          <w:szCs w:val="24"/>
        </w:rPr>
        <w:t xml:space="preserve"> acumulación por</w:t>
      </w:r>
      <w:r w:rsidRPr="00C12E06">
        <w:rPr>
          <w:rFonts w:ascii="Times New Roman" w:hAnsi="Times New Roman" w:cs="Times New Roman"/>
          <w:sz w:val="24"/>
          <w:szCs w:val="24"/>
        </w:rPr>
        <w:t xml:space="preserve"> conexión y además ya había realzado la importancia de los hechos.</w:t>
      </w:r>
    </w:p>
    <w:p w14:paraId="31703D46" w14:textId="77777777" w:rsidR="00A45787" w:rsidRPr="00C12E06" w:rsidRDefault="00A45787" w:rsidP="000B489F">
      <w:pPr>
        <w:numPr>
          <w:ilvl w:val="0"/>
          <w:numId w:val="1"/>
        </w:numPr>
        <w:spacing w:after="0"/>
        <w:ind w:left="0" w:firstLine="0"/>
        <w:jc w:val="both"/>
        <w:rPr>
          <w:rFonts w:ascii="Times New Roman" w:hAnsi="Times New Roman" w:cs="Times New Roman"/>
          <w:sz w:val="24"/>
          <w:szCs w:val="24"/>
        </w:rPr>
      </w:pPr>
      <w:r w:rsidRPr="00C12E06">
        <w:rPr>
          <w:rFonts w:ascii="Times New Roman" w:hAnsi="Times New Roman" w:cs="Times New Roman"/>
          <w:sz w:val="24"/>
          <w:szCs w:val="24"/>
        </w:rPr>
        <w:t>Centrar, aparentemente, la conexión en la identidad de los hechos en modo alguno supone apostar por la teoría de la sustanciación a la hora de identificar el objeto del proceso.  Aquí se trata únicamente de delimitar el grado de vinculación exigible entre las acciones ejercitadas</w:t>
      </w:r>
      <w:r w:rsidRPr="00C12E06">
        <w:rPr>
          <w:rFonts w:ascii="Times New Roman" w:hAnsi="Times New Roman" w:cs="Times New Roman"/>
          <w:sz w:val="24"/>
          <w:szCs w:val="24"/>
          <w:vertAlign w:val="superscript"/>
        </w:rPr>
        <w:footnoteReference w:id="24"/>
      </w:r>
      <w:r w:rsidRPr="00C12E06">
        <w:rPr>
          <w:rFonts w:ascii="Times New Roman" w:hAnsi="Times New Roman" w:cs="Times New Roman"/>
          <w:sz w:val="24"/>
          <w:szCs w:val="24"/>
        </w:rPr>
        <w:t xml:space="preserve">. </w:t>
      </w:r>
    </w:p>
    <w:p w14:paraId="42B2430F" w14:textId="364A523D" w:rsidR="0024519B" w:rsidRPr="00C12E06" w:rsidRDefault="00A45787" w:rsidP="00560C4E">
      <w:pPr>
        <w:spacing w:after="0"/>
        <w:ind w:firstLine="0"/>
        <w:jc w:val="both"/>
        <w:rPr>
          <w:rFonts w:ascii="Times New Roman" w:eastAsia="Times New Roman" w:hAnsi="Times New Roman" w:cs="Times New Roman"/>
          <w:sz w:val="24"/>
          <w:szCs w:val="24"/>
          <w:lang w:eastAsia="es-ES"/>
        </w:rPr>
      </w:pPr>
      <w:r w:rsidRPr="00C12E06">
        <w:rPr>
          <w:rFonts w:ascii="Times New Roman" w:hAnsi="Times New Roman" w:cs="Times New Roman"/>
          <w:sz w:val="24"/>
          <w:szCs w:val="24"/>
        </w:rPr>
        <w:lastRenderedPageBreak/>
        <w:t>Por otra parte tampoco es cierto que la conexión o identidad del título o causa de pedir únicamente acontezca si existe una identidad en los hechos. La jurisprudencia (y también la doctr</w:t>
      </w:r>
      <w:r w:rsidR="009A216D" w:rsidRPr="00C12E06">
        <w:rPr>
          <w:rFonts w:ascii="Times New Roman" w:hAnsi="Times New Roman" w:cs="Times New Roman"/>
          <w:sz w:val="24"/>
          <w:szCs w:val="24"/>
        </w:rPr>
        <w:t>ina), ha admitido la conexión</w:t>
      </w:r>
      <w:r w:rsidRPr="00C12E06">
        <w:rPr>
          <w:rFonts w:ascii="Times New Roman" w:hAnsi="Times New Roman" w:cs="Times New Roman"/>
          <w:sz w:val="24"/>
          <w:szCs w:val="24"/>
        </w:rPr>
        <w:t xml:space="preserve"> tanto fáctica como jurídica. A este respecto la jurisprudencia suele hacer la clásica, aunque inexacta, diferenciación entre título, negocio jurídico, y causa, hechos</w:t>
      </w:r>
      <w:r w:rsidRPr="00C12E06">
        <w:rPr>
          <w:rFonts w:ascii="Times New Roman" w:hAnsi="Times New Roman" w:cs="Times New Roman"/>
          <w:sz w:val="24"/>
          <w:szCs w:val="24"/>
          <w:vertAlign w:val="superscript"/>
        </w:rPr>
        <w:footnoteReference w:id="25"/>
      </w:r>
      <w:r w:rsidRPr="00C12E06">
        <w:rPr>
          <w:rFonts w:ascii="Times New Roman" w:hAnsi="Times New Roman" w:cs="Times New Roman"/>
          <w:sz w:val="24"/>
          <w:szCs w:val="24"/>
        </w:rPr>
        <w:t>.</w:t>
      </w:r>
      <w:r w:rsidR="00FC4692" w:rsidRPr="00C12E06">
        <w:rPr>
          <w:rFonts w:ascii="Times New Roman" w:hAnsi="Times New Roman" w:cs="Times New Roman"/>
          <w:sz w:val="24"/>
          <w:szCs w:val="24"/>
        </w:rPr>
        <w:t xml:space="preserve"> </w:t>
      </w:r>
      <w:r w:rsidR="0024519B" w:rsidRPr="00C12E06">
        <w:rPr>
          <w:rFonts w:ascii="Times New Roman" w:hAnsi="Times New Roman" w:cs="Times New Roman"/>
          <w:sz w:val="24"/>
          <w:szCs w:val="24"/>
        </w:rPr>
        <w:t>Es más, es que la jurisprudencia ha acabado por reconocer la primacía del vínculo o conexión jurídica</w:t>
      </w:r>
      <w:r w:rsidR="0024519B" w:rsidRPr="00C12E06">
        <w:rPr>
          <w:rFonts w:ascii="Times New Roman" w:eastAsia="Times New Roman" w:hAnsi="Times New Roman" w:cs="Times New Roman"/>
          <w:sz w:val="24"/>
          <w:szCs w:val="24"/>
          <w:lang w:eastAsia="es-ES"/>
        </w:rPr>
        <w:t xml:space="preserve"> (SSTS 5-3-56,7-2-97, 3-10-00 y 10-7-01)”</w:t>
      </w:r>
      <w:r w:rsidR="002B23F9" w:rsidRPr="00C12E06">
        <w:rPr>
          <w:rStyle w:val="Refdenotaalpie"/>
          <w:rFonts w:ascii="Times New Roman" w:eastAsia="Times New Roman" w:hAnsi="Times New Roman" w:cs="Times New Roman"/>
          <w:sz w:val="24"/>
          <w:szCs w:val="24"/>
          <w:lang w:eastAsia="es-ES"/>
        </w:rPr>
        <w:footnoteReference w:id="26"/>
      </w:r>
      <w:r w:rsidR="0024519B" w:rsidRPr="00C12E06">
        <w:rPr>
          <w:rFonts w:ascii="Times New Roman" w:eastAsia="Times New Roman" w:hAnsi="Times New Roman" w:cs="Times New Roman"/>
          <w:sz w:val="24"/>
          <w:szCs w:val="24"/>
          <w:lang w:eastAsia="es-ES"/>
        </w:rPr>
        <w:t xml:space="preserve">. Por eso, </w:t>
      </w:r>
      <w:r w:rsidR="0024519B" w:rsidRPr="00C12E06">
        <w:rPr>
          <w:rFonts w:ascii="Times New Roman" w:eastAsia="Times New Roman" w:hAnsi="Times New Roman" w:cs="Times New Roman"/>
          <w:i/>
          <w:sz w:val="24"/>
          <w:szCs w:val="24"/>
          <w:lang w:eastAsia="es-ES"/>
        </w:rPr>
        <w:t>infra</w:t>
      </w:r>
      <w:r w:rsidR="0024519B" w:rsidRPr="00C12E06">
        <w:rPr>
          <w:rFonts w:ascii="Times New Roman" w:eastAsia="Times New Roman" w:hAnsi="Times New Roman" w:cs="Times New Roman"/>
          <w:sz w:val="24"/>
          <w:szCs w:val="24"/>
          <w:lang w:eastAsia="es-ES"/>
        </w:rPr>
        <w:t>, la conexión jurídica es mucho más rica y variada, y por ende habitual, que la fundada en la identidad fáctica estricta.</w:t>
      </w:r>
    </w:p>
    <w:p w14:paraId="16BC55BF" w14:textId="5C41C9F2" w:rsidR="00A45787" w:rsidRPr="00C12E06" w:rsidRDefault="00A45787" w:rsidP="000B489F">
      <w:pPr>
        <w:numPr>
          <w:ilvl w:val="0"/>
          <w:numId w:val="1"/>
        </w:numPr>
        <w:spacing w:after="0"/>
        <w:ind w:left="0" w:firstLine="0"/>
        <w:jc w:val="both"/>
        <w:rPr>
          <w:rFonts w:ascii="Times New Roman" w:hAnsi="Times New Roman" w:cs="Times New Roman"/>
          <w:sz w:val="24"/>
          <w:szCs w:val="24"/>
        </w:rPr>
      </w:pPr>
      <w:r w:rsidRPr="00C12E06">
        <w:rPr>
          <w:rFonts w:ascii="Times New Roman" w:hAnsi="Times New Roman" w:cs="Times New Roman"/>
          <w:sz w:val="24"/>
          <w:szCs w:val="24"/>
        </w:rPr>
        <w:t>El vínculo más común será la conexión del título o causa porque la identidad de la misma es rarísima: únicamente si se tratase d</w:t>
      </w:r>
      <w:r w:rsidR="00740C3F">
        <w:rPr>
          <w:rFonts w:ascii="Times New Roman" w:hAnsi="Times New Roman" w:cs="Times New Roman"/>
          <w:sz w:val="24"/>
          <w:szCs w:val="24"/>
        </w:rPr>
        <w:t>e los mismos hechos y e igual</w:t>
      </w:r>
      <w:r w:rsidRPr="00C12E06">
        <w:rPr>
          <w:rFonts w:ascii="Times New Roman" w:hAnsi="Times New Roman" w:cs="Times New Roman"/>
          <w:sz w:val="24"/>
          <w:szCs w:val="24"/>
        </w:rPr>
        <w:t xml:space="preserve"> perspectiva o fundamentación jurídica existiría, en sentido estricto, la misma causa de pedir, (</w:t>
      </w:r>
      <w:proofErr w:type="spellStart"/>
      <w:r w:rsidRPr="00C20D85">
        <w:rPr>
          <w:rFonts w:ascii="Times New Roman" w:hAnsi="Times New Roman" w:cs="Times New Roman"/>
          <w:i/>
          <w:sz w:val="24"/>
          <w:szCs w:val="24"/>
        </w:rPr>
        <w:t>e.g</w:t>
      </w:r>
      <w:proofErr w:type="spellEnd"/>
      <w:r w:rsidRPr="00C12E06">
        <w:rPr>
          <w:rFonts w:ascii="Times New Roman" w:hAnsi="Times New Roman" w:cs="Times New Roman"/>
          <w:sz w:val="24"/>
          <w:szCs w:val="24"/>
        </w:rPr>
        <w:t xml:space="preserve">. </w:t>
      </w:r>
      <w:r w:rsidR="006E7669" w:rsidRPr="00C12E06">
        <w:rPr>
          <w:rFonts w:ascii="Times New Roman" w:hAnsi="Times New Roman" w:cs="Times New Roman"/>
          <w:sz w:val="24"/>
          <w:szCs w:val="24"/>
        </w:rPr>
        <w:t>si los socios y un tercero</w:t>
      </w:r>
      <w:r w:rsidR="00720544" w:rsidRPr="00C12E06">
        <w:rPr>
          <w:rFonts w:ascii="Times New Roman" w:hAnsi="Times New Roman" w:cs="Times New Roman"/>
          <w:sz w:val="24"/>
          <w:szCs w:val="24"/>
        </w:rPr>
        <w:t xml:space="preserve"> impugnan el acuerdo societario por el mismo motivo</w:t>
      </w:r>
      <w:r w:rsidRPr="00C12E06">
        <w:rPr>
          <w:rFonts w:ascii="Times New Roman" w:hAnsi="Times New Roman" w:cs="Times New Roman"/>
          <w:sz w:val="24"/>
          <w:szCs w:val="24"/>
        </w:rPr>
        <w:t>).</w:t>
      </w:r>
      <w:r w:rsidR="00555773" w:rsidRPr="00C12E06">
        <w:rPr>
          <w:rFonts w:ascii="Times New Roman" w:hAnsi="Times New Roman" w:cs="Times New Roman"/>
          <w:sz w:val="24"/>
          <w:szCs w:val="24"/>
        </w:rPr>
        <w:t xml:space="preserve"> Porque un análisis más profundo revela que </w:t>
      </w:r>
      <w:r w:rsidR="007B6C74" w:rsidRPr="00C12E06">
        <w:rPr>
          <w:rFonts w:ascii="Times New Roman" w:hAnsi="Times New Roman" w:cs="Times New Roman"/>
          <w:sz w:val="24"/>
          <w:szCs w:val="24"/>
        </w:rPr>
        <w:t>en otras hipótesis</w:t>
      </w:r>
      <w:r w:rsidR="00555773" w:rsidRPr="00C12E06">
        <w:rPr>
          <w:rFonts w:ascii="Times New Roman" w:hAnsi="Times New Roman" w:cs="Times New Roman"/>
          <w:sz w:val="24"/>
          <w:szCs w:val="24"/>
        </w:rPr>
        <w:t xml:space="preserve"> no concurre la identidad de la causa de pedir a pesar de que, </w:t>
      </w:r>
      <w:r w:rsidR="00555773" w:rsidRPr="00C12E06">
        <w:rPr>
          <w:rFonts w:ascii="Times New Roman" w:hAnsi="Times New Roman" w:cs="Times New Roman"/>
          <w:i/>
          <w:sz w:val="24"/>
          <w:szCs w:val="24"/>
        </w:rPr>
        <w:t xml:space="preserve">prima facie, </w:t>
      </w:r>
      <w:r w:rsidR="00555773" w:rsidRPr="00C12E06">
        <w:rPr>
          <w:rFonts w:ascii="Times New Roman" w:hAnsi="Times New Roman" w:cs="Times New Roman"/>
          <w:sz w:val="24"/>
          <w:szCs w:val="24"/>
        </w:rPr>
        <w:t xml:space="preserve">parezca lo contrario: </w:t>
      </w:r>
      <w:proofErr w:type="spellStart"/>
      <w:r w:rsidR="00555773" w:rsidRPr="00C12E06">
        <w:rPr>
          <w:rFonts w:ascii="Times New Roman" w:hAnsi="Times New Roman" w:cs="Times New Roman"/>
          <w:i/>
          <w:sz w:val="24"/>
          <w:szCs w:val="24"/>
        </w:rPr>
        <w:t>e.g</w:t>
      </w:r>
      <w:proofErr w:type="spellEnd"/>
      <w:r w:rsidR="00555773" w:rsidRPr="00C12E06">
        <w:rPr>
          <w:rFonts w:ascii="Times New Roman" w:hAnsi="Times New Roman" w:cs="Times New Roman"/>
          <w:i/>
          <w:sz w:val="24"/>
          <w:szCs w:val="24"/>
        </w:rPr>
        <w:t xml:space="preserve">., </w:t>
      </w:r>
      <w:r w:rsidR="00555773" w:rsidRPr="00C12E06">
        <w:rPr>
          <w:rFonts w:ascii="Times New Roman" w:hAnsi="Times New Roman" w:cs="Times New Roman"/>
          <w:sz w:val="24"/>
          <w:szCs w:val="24"/>
        </w:rPr>
        <w:t>cuando cada uno de los ocupantes de un vehículo reclama la indemnización de los daños padecidos al otro conductor y</w:t>
      </w:r>
      <w:r w:rsidR="00DC7235">
        <w:rPr>
          <w:rFonts w:ascii="Times New Roman" w:hAnsi="Times New Roman" w:cs="Times New Roman"/>
          <w:sz w:val="24"/>
          <w:szCs w:val="24"/>
        </w:rPr>
        <w:t xml:space="preserve"> a</w:t>
      </w:r>
      <w:r w:rsidR="00555773" w:rsidRPr="00C12E06">
        <w:rPr>
          <w:rFonts w:ascii="Times New Roman" w:hAnsi="Times New Roman" w:cs="Times New Roman"/>
          <w:sz w:val="24"/>
          <w:szCs w:val="24"/>
        </w:rPr>
        <w:t xml:space="preserve"> la compañía de seguros, parece que los hechos</w:t>
      </w:r>
      <w:r w:rsidR="006E7669" w:rsidRPr="00C12E06">
        <w:rPr>
          <w:rFonts w:ascii="Times New Roman" w:hAnsi="Times New Roman" w:cs="Times New Roman"/>
          <w:sz w:val="24"/>
          <w:szCs w:val="24"/>
        </w:rPr>
        <w:t xml:space="preserve"> (los que originan los daños)</w:t>
      </w:r>
      <w:r w:rsidR="00555773" w:rsidRPr="00C12E06">
        <w:rPr>
          <w:rFonts w:ascii="Times New Roman" w:hAnsi="Times New Roman" w:cs="Times New Roman"/>
          <w:sz w:val="24"/>
          <w:szCs w:val="24"/>
        </w:rPr>
        <w:t xml:space="preserve"> y la fundamentación</w:t>
      </w:r>
      <w:r w:rsidR="006E7669" w:rsidRPr="00C12E06">
        <w:rPr>
          <w:rFonts w:ascii="Times New Roman" w:hAnsi="Times New Roman" w:cs="Times New Roman"/>
          <w:sz w:val="24"/>
          <w:szCs w:val="24"/>
        </w:rPr>
        <w:t xml:space="preserve"> (responsabilidad extracontractual y la acción directa art. 76 LCS) </w:t>
      </w:r>
      <w:r w:rsidR="00555773" w:rsidRPr="00C12E06">
        <w:rPr>
          <w:rFonts w:ascii="Times New Roman" w:hAnsi="Times New Roman" w:cs="Times New Roman"/>
          <w:sz w:val="24"/>
          <w:szCs w:val="24"/>
        </w:rPr>
        <w:t xml:space="preserve">es la misma y sin embargo también integran la causa de pedir las lesiones padecidas por cada uno (modificando el relato fáctico en casa caso). </w:t>
      </w:r>
    </w:p>
    <w:p w14:paraId="52324219" w14:textId="5FAD5CFF" w:rsidR="00A45787" w:rsidRPr="00C12E06" w:rsidRDefault="00A45787" w:rsidP="000B489F">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En definitiva, las previsiones de la LEC respecto a la acumulación subjetiva son más acert</w:t>
      </w:r>
      <w:r w:rsidR="00DC7235">
        <w:rPr>
          <w:rFonts w:ascii="Times New Roman" w:hAnsi="Times New Roman" w:cs="Times New Roman"/>
          <w:sz w:val="24"/>
          <w:szCs w:val="24"/>
        </w:rPr>
        <w:t>adas en cuanto a su doble ubicación</w:t>
      </w:r>
      <w:r w:rsidRPr="00C12E06">
        <w:rPr>
          <w:rFonts w:ascii="Times New Roman" w:hAnsi="Times New Roman" w:cs="Times New Roman"/>
          <w:sz w:val="24"/>
          <w:szCs w:val="24"/>
        </w:rPr>
        <w:t xml:space="preserve">  pero en cuanto a su esencia se limitan a trasladar los criterios jurisprudenciales imperantes con el error añadido de centrar exclusivamente el vínculo en los hechos lo que obliga al intérprete a seguir forzando el tenor literal de la ley y consentir la conexión jurídica</w:t>
      </w:r>
      <w:r w:rsidR="00451F8B" w:rsidRPr="00C12E06">
        <w:rPr>
          <w:rFonts w:ascii="Times New Roman" w:hAnsi="Times New Roman" w:cs="Times New Roman"/>
          <w:sz w:val="24"/>
          <w:szCs w:val="24"/>
        </w:rPr>
        <w:t xml:space="preserve"> que es además la más habitual</w:t>
      </w:r>
      <w:r w:rsidRPr="00C12E06">
        <w:rPr>
          <w:rFonts w:ascii="Times New Roman" w:hAnsi="Times New Roman" w:cs="Times New Roman"/>
          <w:sz w:val="24"/>
          <w:szCs w:val="24"/>
        </w:rPr>
        <w:t xml:space="preserve">. </w:t>
      </w:r>
    </w:p>
    <w:p w14:paraId="6D1E9E62" w14:textId="53B65C2D" w:rsidR="00A45787" w:rsidRPr="00C12E06" w:rsidRDefault="00A45787"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La conclusión sería que el legislador, a pesar de la terminología empleada, lo que exige es una indudable conexión entre las acciones ejercitadas y ello se da en dos hipótesis: 1) si se fundan en los mismos hechos </w:t>
      </w:r>
      <w:r w:rsidR="002869E8">
        <w:rPr>
          <w:rFonts w:ascii="Times New Roman" w:hAnsi="Times New Roman" w:cs="Times New Roman"/>
          <w:sz w:val="24"/>
          <w:szCs w:val="24"/>
        </w:rPr>
        <w:t xml:space="preserve">en sentido estricto </w:t>
      </w:r>
      <w:r w:rsidR="00E00B77">
        <w:rPr>
          <w:rFonts w:ascii="Times New Roman" w:hAnsi="Times New Roman" w:cs="Times New Roman"/>
          <w:sz w:val="24"/>
          <w:szCs w:val="24"/>
        </w:rPr>
        <w:t xml:space="preserve">(aun cuando, </w:t>
      </w:r>
      <w:r w:rsidR="00E00B77">
        <w:rPr>
          <w:rFonts w:ascii="Times New Roman" w:hAnsi="Times New Roman" w:cs="Times New Roman"/>
          <w:i/>
          <w:sz w:val="24"/>
          <w:szCs w:val="24"/>
        </w:rPr>
        <w:t>infra</w:t>
      </w:r>
      <w:r w:rsidRPr="00C12E06">
        <w:rPr>
          <w:rFonts w:ascii="Times New Roman" w:hAnsi="Times New Roman" w:cs="Times New Roman"/>
          <w:sz w:val="24"/>
          <w:szCs w:val="24"/>
        </w:rPr>
        <w:t xml:space="preserve">, la perspectiva jurídica </w:t>
      </w:r>
      <w:r w:rsidR="00E00B77">
        <w:rPr>
          <w:rFonts w:ascii="Times New Roman" w:hAnsi="Times New Roman" w:cs="Times New Roman"/>
          <w:sz w:val="24"/>
          <w:szCs w:val="24"/>
        </w:rPr>
        <w:t>sea</w:t>
      </w:r>
      <w:r w:rsidRPr="00C12E06">
        <w:rPr>
          <w:rFonts w:ascii="Times New Roman" w:hAnsi="Times New Roman" w:cs="Times New Roman"/>
          <w:sz w:val="24"/>
          <w:szCs w:val="24"/>
        </w:rPr>
        <w:t xml:space="preserve"> diferente); 2) si se trata de h</w:t>
      </w:r>
      <w:r w:rsidR="00720544" w:rsidRPr="00C12E06">
        <w:rPr>
          <w:rFonts w:ascii="Times New Roman" w:hAnsi="Times New Roman" w:cs="Times New Roman"/>
          <w:sz w:val="24"/>
          <w:szCs w:val="24"/>
        </w:rPr>
        <w:t>echos</w:t>
      </w:r>
      <w:r w:rsidR="00545996">
        <w:rPr>
          <w:rFonts w:ascii="Times New Roman" w:hAnsi="Times New Roman" w:cs="Times New Roman"/>
          <w:sz w:val="24"/>
          <w:szCs w:val="24"/>
        </w:rPr>
        <w:t xml:space="preserve">, casi siempre </w:t>
      </w:r>
      <w:r w:rsidR="006E7669" w:rsidRPr="00C12E06">
        <w:rPr>
          <w:rFonts w:ascii="Times New Roman" w:hAnsi="Times New Roman" w:cs="Times New Roman"/>
          <w:sz w:val="24"/>
          <w:szCs w:val="24"/>
        </w:rPr>
        <w:t>distintos,</w:t>
      </w:r>
      <w:r w:rsidR="00720544" w:rsidRPr="00C12E06">
        <w:rPr>
          <w:rFonts w:ascii="Times New Roman" w:hAnsi="Times New Roman" w:cs="Times New Roman"/>
          <w:sz w:val="24"/>
          <w:szCs w:val="24"/>
        </w:rPr>
        <w:t xml:space="preserve"> especialmente conectados </w:t>
      </w:r>
      <w:r w:rsidR="00545996">
        <w:rPr>
          <w:rFonts w:ascii="Times New Roman" w:hAnsi="Times New Roman" w:cs="Times New Roman"/>
          <w:sz w:val="24"/>
          <w:szCs w:val="24"/>
        </w:rPr>
        <w:t>desde una perspectiva jurídica.</w:t>
      </w:r>
      <w:r w:rsidRPr="00C12E06">
        <w:rPr>
          <w:rFonts w:ascii="Times New Roman" w:hAnsi="Times New Roman" w:cs="Times New Roman"/>
          <w:sz w:val="24"/>
          <w:szCs w:val="24"/>
        </w:rPr>
        <w:t xml:space="preserve"> </w:t>
      </w:r>
    </w:p>
    <w:p w14:paraId="2A3575E9" w14:textId="0EC9C34C" w:rsidR="007B6C74" w:rsidRDefault="007B6C74"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Por todo ello, hay que entender que el legislador </w:t>
      </w:r>
      <w:r w:rsidR="000C6782" w:rsidRPr="000C6782">
        <w:rPr>
          <w:rFonts w:ascii="Times New Roman" w:hAnsi="Times New Roman" w:cs="Times New Roman"/>
          <w:sz w:val="24"/>
          <w:szCs w:val="24"/>
        </w:rPr>
        <w:t>utiliza</w:t>
      </w:r>
      <w:r w:rsidRPr="00C12E06">
        <w:rPr>
          <w:rFonts w:ascii="Times New Roman" w:hAnsi="Times New Roman" w:cs="Times New Roman"/>
          <w:sz w:val="24"/>
          <w:szCs w:val="24"/>
        </w:rPr>
        <w:t xml:space="preserve"> indistintamente los términos título o causa (pedir)</w:t>
      </w:r>
      <w:r w:rsidR="006F0BCC">
        <w:rPr>
          <w:rStyle w:val="Refdenotaalpie"/>
          <w:rFonts w:ascii="Times New Roman" w:hAnsi="Times New Roman" w:cs="Times New Roman"/>
          <w:sz w:val="24"/>
          <w:szCs w:val="24"/>
        </w:rPr>
        <w:footnoteReference w:id="27"/>
      </w:r>
      <w:r w:rsidRPr="00C12E06">
        <w:rPr>
          <w:rFonts w:ascii="Times New Roman" w:hAnsi="Times New Roman" w:cs="Times New Roman"/>
          <w:sz w:val="24"/>
          <w:szCs w:val="24"/>
        </w:rPr>
        <w:t xml:space="preserve">, no solo en sede de acumulación subjetiva o litisconsorcio </w:t>
      </w:r>
      <w:r w:rsidRPr="00C12E06">
        <w:rPr>
          <w:rFonts w:ascii="Times New Roman" w:hAnsi="Times New Roman" w:cs="Times New Roman"/>
          <w:sz w:val="24"/>
          <w:szCs w:val="24"/>
        </w:rPr>
        <w:lastRenderedPageBreak/>
        <w:t>voluntario sino también</w:t>
      </w:r>
      <w:r w:rsidR="009C2090">
        <w:rPr>
          <w:rFonts w:ascii="Times New Roman" w:hAnsi="Times New Roman" w:cs="Times New Roman"/>
          <w:sz w:val="24"/>
          <w:szCs w:val="24"/>
        </w:rPr>
        <w:t xml:space="preserve">, </w:t>
      </w:r>
      <w:r w:rsidR="009C2090">
        <w:rPr>
          <w:rFonts w:ascii="Times New Roman" w:hAnsi="Times New Roman" w:cs="Times New Roman"/>
          <w:i/>
          <w:sz w:val="24"/>
          <w:szCs w:val="24"/>
        </w:rPr>
        <w:t xml:space="preserve">supra, </w:t>
      </w:r>
      <w:r w:rsidRPr="00C12E06">
        <w:rPr>
          <w:rFonts w:ascii="Times New Roman" w:hAnsi="Times New Roman" w:cs="Times New Roman"/>
          <w:sz w:val="24"/>
          <w:szCs w:val="24"/>
        </w:rPr>
        <w:t>a efectos del cálculo de la cuantía del pleito, art. 252.1ª y también en el caso del juicio verbal (donde se habla de identidad de los hechos)</w:t>
      </w:r>
      <w:r w:rsidR="009A216D" w:rsidRPr="00C12E06">
        <w:rPr>
          <w:rFonts w:ascii="Times New Roman" w:hAnsi="Times New Roman" w:cs="Times New Roman"/>
          <w:sz w:val="24"/>
          <w:szCs w:val="24"/>
        </w:rPr>
        <w:t xml:space="preserve"> e incluso en la acumulación objetiva</w:t>
      </w:r>
      <w:r w:rsidR="0022385E" w:rsidRPr="00C12E06">
        <w:rPr>
          <w:rFonts w:ascii="Times New Roman" w:hAnsi="Times New Roman" w:cs="Times New Roman"/>
          <w:sz w:val="24"/>
          <w:szCs w:val="24"/>
        </w:rPr>
        <w:t>. Y</w:t>
      </w:r>
      <w:r w:rsidRPr="00C12E06">
        <w:rPr>
          <w:rFonts w:ascii="Times New Roman" w:hAnsi="Times New Roman" w:cs="Times New Roman"/>
          <w:sz w:val="24"/>
          <w:szCs w:val="24"/>
        </w:rPr>
        <w:t xml:space="preserve"> como la causa de pedir, </w:t>
      </w:r>
      <w:r w:rsidR="0022385E" w:rsidRPr="00C12E06">
        <w:rPr>
          <w:rFonts w:ascii="Times New Roman" w:hAnsi="Times New Roman" w:cs="Times New Roman"/>
          <w:sz w:val="24"/>
          <w:szCs w:val="24"/>
        </w:rPr>
        <w:t xml:space="preserve">según </w:t>
      </w:r>
      <w:r w:rsidRPr="00C12E06">
        <w:rPr>
          <w:rFonts w:ascii="Times New Roman" w:hAnsi="Times New Roman" w:cs="Times New Roman"/>
          <w:sz w:val="24"/>
          <w:szCs w:val="24"/>
        </w:rPr>
        <w:t>se explica a pie de página, además de englobar a los hechos principales también incluye la fundamentación o perspectiva jurídica, la conexión exigida</w:t>
      </w:r>
      <w:r w:rsidR="0022385E" w:rsidRPr="00C12E06">
        <w:rPr>
          <w:rFonts w:ascii="Times New Roman" w:hAnsi="Times New Roman" w:cs="Times New Roman"/>
          <w:sz w:val="24"/>
          <w:szCs w:val="24"/>
        </w:rPr>
        <w:t xml:space="preserve"> entre las acciones</w:t>
      </w:r>
      <w:r w:rsidR="00B42E96" w:rsidRPr="00C12E06">
        <w:rPr>
          <w:rFonts w:ascii="Times New Roman" w:hAnsi="Times New Roman" w:cs="Times New Roman"/>
          <w:sz w:val="24"/>
          <w:szCs w:val="24"/>
        </w:rPr>
        <w:t xml:space="preserve"> para acumular</w:t>
      </w:r>
      <w:r w:rsidRPr="00C12E06">
        <w:rPr>
          <w:rFonts w:ascii="Times New Roman" w:hAnsi="Times New Roman" w:cs="Times New Roman"/>
          <w:sz w:val="24"/>
          <w:szCs w:val="24"/>
        </w:rPr>
        <w:t xml:space="preserve"> </w:t>
      </w:r>
      <w:r w:rsidR="0022385E" w:rsidRPr="00C12E06">
        <w:rPr>
          <w:rFonts w:ascii="Times New Roman" w:hAnsi="Times New Roman" w:cs="Times New Roman"/>
          <w:sz w:val="24"/>
          <w:szCs w:val="24"/>
        </w:rPr>
        <w:t>se puede fundar en los dos ámbitos</w:t>
      </w:r>
      <w:r w:rsidR="00740C3F">
        <w:rPr>
          <w:rStyle w:val="Refdenotaalpie"/>
          <w:rFonts w:ascii="Times New Roman" w:hAnsi="Times New Roman" w:cs="Times New Roman"/>
          <w:sz w:val="24"/>
          <w:szCs w:val="24"/>
        </w:rPr>
        <w:footnoteReference w:id="28"/>
      </w:r>
      <w:r w:rsidR="0022385E" w:rsidRPr="00C12E06">
        <w:rPr>
          <w:rFonts w:ascii="Times New Roman" w:hAnsi="Times New Roman" w:cs="Times New Roman"/>
          <w:sz w:val="24"/>
          <w:szCs w:val="24"/>
        </w:rPr>
        <w:t xml:space="preserve">. </w:t>
      </w:r>
      <w:r w:rsidR="002869E8">
        <w:rPr>
          <w:rFonts w:ascii="Times New Roman" w:hAnsi="Times New Roman" w:cs="Times New Roman"/>
          <w:sz w:val="24"/>
          <w:szCs w:val="24"/>
        </w:rPr>
        <w:t>Así, la opción del legislador en la LEC de integrar en la causa de pedir tanto los hechos como la fundamentación jurídica permite que a través de ese concepto se supere la artificiosa distinción entre título (negocio) y causa (hechos).</w:t>
      </w:r>
    </w:p>
    <w:p w14:paraId="6FDF7EDC" w14:textId="4F57E2F5" w:rsidR="00E35E06" w:rsidRDefault="00560C4E" w:rsidP="00560C4E">
      <w:pPr>
        <w:spacing w:after="0"/>
        <w:ind w:firstLine="0"/>
        <w:jc w:val="both"/>
        <w:rPr>
          <w:rFonts w:ascii="Times New Roman" w:hAnsi="Times New Roman" w:cs="Times New Roman"/>
          <w:sz w:val="24"/>
          <w:szCs w:val="24"/>
        </w:rPr>
      </w:pPr>
      <w:r>
        <w:rPr>
          <w:rFonts w:ascii="Times New Roman" w:hAnsi="Times New Roman" w:cs="Times New Roman"/>
          <w:sz w:val="24"/>
          <w:szCs w:val="24"/>
        </w:rPr>
        <w:t>Consiguientemente</w:t>
      </w:r>
      <w:r w:rsidR="00740C3F">
        <w:rPr>
          <w:rFonts w:ascii="Times New Roman" w:hAnsi="Times New Roman" w:cs="Times New Roman"/>
          <w:sz w:val="24"/>
          <w:szCs w:val="24"/>
        </w:rPr>
        <w:t>, y tras analizar los supuestos que se dan en la práctica, frente a la distinción tradicional entre conexión propia e impropia formulada por la doctrina</w:t>
      </w:r>
      <w:r w:rsidR="00A43D43">
        <w:rPr>
          <w:rStyle w:val="Refdenotaalpie"/>
          <w:rFonts w:ascii="Times New Roman" w:hAnsi="Times New Roman" w:cs="Times New Roman"/>
          <w:sz w:val="24"/>
          <w:szCs w:val="24"/>
        </w:rPr>
        <w:footnoteReference w:id="29"/>
      </w:r>
      <w:r w:rsidR="00740C3F">
        <w:rPr>
          <w:rFonts w:ascii="Times New Roman" w:hAnsi="Times New Roman" w:cs="Times New Roman"/>
          <w:sz w:val="24"/>
          <w:szCs w:val="24"/>
        </w:rPr>
        <w:t>, prefer</w:t>
      </w:r>
      <w:r w:rsidR="00A43D43">
        <w:rPr>
          <w:rFonts w:ascii="Times New Roman" w:hAnsi="Times New Roman" w:cs="Times New Roman"/>
          <w:sz w:val="24"/>
          <w:szCs w:val="24"/>
        </w:rPr>
        <w:t>imos diferenciar entr</w:t>
      </w:r>
      <w:r w:rsidR="00BE226B">
        <w:rPr>
          <w:rFonts w:ascii="Times New Roman" w:hAnsi="Times New Roman" w:cs="Times New Roman"/>
          <w:sz w:val="24"/>
          <w:szCs w:val="24"/>
        </w:rPr>
        <w:t>e la conexión que existe anclada</w:t>
      </w:r>
      <w:r w:rsidR="00A43D43">
        <w:rPr>
          <w:rFonts w:ascii="Times New Roman" w:hAnsi="Times New Roman" w:cs="Times New Roman"/>
          <w:sz w:val="24"/>
          <w:szCs w:val="24"/>
        </w:rPr>
        <w:t xml:space="preserve"> en la identidad</w:t>
      </w:r>
      <w:r w:rsidR="00D81967">
        <w:rPr>
          <w:rFonts w:ascii="Times New Roman" w:hAnsi="Times New Roman" w:cs="Times New Roman"/>
          <w:sz w:val="24"/>
          <w:szCs w:val="24"/>
        </w:rPr>
        <w:t xml:space="preserve"> estricta</w:t>
      </w:r>
      <w:r w:rsidR="00A43D43">
        <w:rPr>
          <w:rFonts w:ascii="Times New Roman" w:hAnsi="Times New Roman" w:cs="Times New Roman"/>
          <w:sz w:val="24"/>
          <w:szCs w:val="24"/>
        </w:rPr>
        <w:t xml:space="preserve"> de los hechos y la que se centra en el vínculo jurídico de las acciones acumu</w:t>
      </w:r>
      <w:r w:rsidR="00EC78ED">
        <w:rPr>
          <w:rFonts w:ascii="Times New Roman" w:hAnsi="Times New Roman" w:cs="Times New Roman"/>
          <w:sz w:val="24"/>
          <w:szCs w:val="24"/>
        </w:rPr>
        <w:t>l</w:t>
      </w:r>
      <w:r w:rsidR="00A43D43">
        <w:rPr>
          <w:rFonts w:ascii="Times New Roman" w:hAnsi="Times New Roman" w:cs="Times New Roman"/>
          <w:sz w:val="24"/>
          <w:szCs w:val="24"/>
        </w:rPr>
        <w:t>adas.</w:t>
      </w:r>
    </w:p>
    <w:p w14:paraId="6C12BA60" w14:textId="5A7EBA7D" w:rsidR="00E35E06" w:rsidRPr="00EC78ED" w:rsidRDefault="00B37E81" w:rsidP="00EC78ED">
      <w:pPr>
        <w:pStyle w:val="Prrafodelista"/>
        <w:numPr>
          <w:ilvl w:val="0"/>
          <w:numId w:val="22"/>
        </w:numPr>
        <w:spacing w:after="0"/>
        <w:jc w:val="both"/>
        <w:rPr>
          <w:rFonts w:ascii="Times New Roman" w:hAnsi="Times New Roman" w:cs="Times New Roman"/>
          <w:sz w:val="24"/>
          <w:szCs w:val="24"/>
        </w:rPr>
      </w:pPr>
      <w:r w:rsidRPr="00EC78ED">
        <w:rPr>
          <w:rFonts w:ascii="Times New Roman" w:hAnsi="Times New Roman" w:cs="Times New Roman"/>
          <w:b/>
          <w:sz w:val="24"/>
          <w:szCs w:val="24"/>
        </w:rPr>
        <w:t>El estatus procesal de los litisconsortes</w:t>
      </w:r>
    </w:p>
    <w:p w14:paraId="37776D85" w14:textId="561673F5" w:rsidR="00B37E81" w:rsidRPr="00C12E06" w:rsidRDefault="00B37E81"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Por tratarse de una acumulación de acciones, una pluralidad de objetos, cuya legitimación corresponde a los diferentes sujetos se suele simplificar el análisis de las facultades procesales y materiales de los litisconsortes afirmando</w:t>
      </w:r>
      <w:r w:rsidR="00D81967">
        <w:rPr>
          <w:rFonts w:ascii="Times New Roman" w:hAnsi="Times New Roman" w:cs="Times New Roman"/>
          <w:sz w:val="24"/>
          <w:szCs w:val="24"/>
        </w:rPr>
        <w:t xml:space="preserve"> que  cada uno</w:t>
      </w:r>
      <w:r w:rsidRPr="00C12E06">
        <w:rPr>
          <w:rFonts w:ascii="Times New Roman" w:hAnsi="Times New Roman" w:cs="Times New Roman"/>
          <w:sz w:val="24"/>
          <w:szCs w:val="24"/>
        </w:rPr>
        <w:t xml:space="preserve"> puede llevar a cabo los actos de disposición que estime oportunos respecto </w:t>
      </w:r>
      <w:r w:rsidR="00C20D85">
        <w:rPr>
          <w:rFonts w:ascii="Times New Roman" w:hAnsi="Times New Roman" w:cs="Times New Roman"/>
          <w:sz w:val="24"/>
          <w:szCs w:val="24"/>
        </w:rPr>
        <w:t xml:space="preserve">del objeto o del proceso </w:t>
      </w:r>
      <w:r w:rsidRPr="00C12E06">
        <w:rPr>
          <w:rFonts w:ascii="Times New Roman" w:hAnsi="Times New Roman" w:cs="Times New Roman"/>
          <w:sz w:val="24"/>
          <w:szCs w:val="24"/>
        </w:rPr>
        <w:t>en lo que atañe a la acción cuya titularidad ostenta. Además depende de cada una de las partes la facultad de impugnar las resoluciones interlocutorias o definitiv</w:t>
      </w:r>
      <w:r w:rsidR="009D5199">
        <w:rPr>
          <w:rFonts w:ascii="Times New Roman" w:hAnsi="Times New Roman" w:cs="Times New Roman"/>
          <w:sz w:val="24"/>
          <w:szCs w:val="24"/>
        </w:rPr>
        <w:t>as que le irroguen un perjuicio y el cómputo de los plazos se hace de forma individualizada salvo que se ostente una misma representación.</w:t>
      </w:r>
      <w:r w:rsidRPr="00C12E06">
        <w:rPr>
          <w:rFonts w:ascii="Times New Roman" w:hAnsi="Times New Roman" w:cs="Times New Roman"/>
          <w:sz w:val="24"/>
          <w:szCs w:val="24"/>
        </w:rPr>
        <w:t xml:space="preserve"> </w:t>
      </w:r>
      <w:r w:rsidR="006E17D7" w:rsidRPr="00C12E06">
        <w:rPr>
          <w:rFonts w:ascii="Times New Roman" w:hAnsi="Times New Roman" w:cs="Times New Roman"/>
          <w:sz w:val="24"/>
          <w:szCs w:val="24"/>
        </w:rPr>
        <w:t>En definitiva, cada objeto debatido</w:t>
      </w:r>
      <w:r w:rsidR="00C20D85">
        <w:rPr>
          <w:rFonts w:ascii="Times New Roman" w:hAnsi="Times New Roman" w:cs="Times New Roman"/>
          <w:sz w:val="24"/>
          <w:szCs w:val="24"/>
        </w:rPr>
        <w:t xml:space="preserve"> recibiría</w:t>
      </w:r>
      <w:r w:rsidR="006E17D7" w:rsidRPr="00C12E06">
        <w:rPr>
          <w:rFonts w:ascii="Times New Roman" w:hAnsi="Times New Roman" w:cs="Times New Roman"/>
          <w:sz w:val="24"/>
          <w:szCs w:val="24"/>
        </w:rPr>
        <w:t xml:space="preserve"> un tratamiento procesal diferente en función de la conducta desp</w:t>
      </w:r>
      <w:r w:rsidR="00D81967">
        <w:rPr>
          <w:rFonts w:ascii="Times New Roman" w:hAnsi="Times New Roman" w:cs="Times New Roman"/>
          <w:sz w:val="24"/>
          <w:szCs w:val="24"/>
        </w:rPr>
        <w:t>legada por quien afirma</w:t>
      </w:r>
      <w:r w:rsidR="006E17D7" w:rsidRPr="00C12E06">
        <w:rPr>
          <w:rFonts w:ascii="Times New Roman" w:hAnsi="Times New Roman" w:cs="Times New Roman"/>
          <w:sz w:val="24"/>
          <w:szCs w:val="24"/>
        </w:rPr>
        <w:t xml:space="preserve"> la legitimación del mismo</w:t>
      </w:r>
      <w:r w:rsidR="000E0AA8" w:rsidRPr="00C12E06">
        <w:rPr>
          <w:rStyle w:val="Refdenotaalpie"/>
          <w:rFonts w:ascii="Times New Roman" w:hAnsi="Times New Roman" w:cs="Times New Roman"/>
          <w:sz w:val="24"/>
          <w:szCs w:val="24"/>
        </w:rPr>
        <w:footnoteReference w:id="30"/>
      </w:r>
      <w:r w:rsidR="006E17D7" w:rsidRPr="00C12E06">
        <w:rPr>
          <w:rFonts w:ascii="Times New Roman" w:hAnsi="Times New Roman" w:cs="Times New Roman"/>
          <w:sz w:val="24"/>
          <w:szCs w:val="24"/>
        </w:rPr>
        <w:t>. Solo debería ex</w:t>
      </w:r>
      <w:r w:rsidR="00D81967">
        <w:rPr>
          <w:rFonts w:ascii="Times New Roman" w:hAnsi="Times New Roman" w:cs="Times New Roman"/>
          <w:sz w:val="24"/>
          <w:szCs w:val="24"/>
        </w:rPr>
        <w:t xml:space="preserve">istir un tratamiento unitario en aquello en que existe una </w:t>
      </w:r>
      <w:proofErr w:type="spellStart"/>
      <w:r w:rsidR="00D81967">
        <w:rPr>
          <w:rFonts w:ascii="Times New Roman" w:hAnsi="Times New Roman" w:cs="Times New Roman"/>
          <w:sz w:val="24"/>
          <w:szCs w:val="24"/>
        </w:rPr>
        <w:t>inescindibilidad</w:t>
      </w:r>
      <w:proofErr w:type="spellEnd"/>
      <w:r w:rsidR="00D81967">
        <w:rPr>
          <w:rFonts w:ascii="Times New Roman" w:hAnsi="Times New Roman" w:cs="Times New Roman"/>
          <w:sz w:val="24"/>
          <w:szCs w:val="24"/>
        </w:rPr>
        <w:t xml:space="preserve"> consustancial cuyo tratamiento diferenciado comprometería</w:t>
      </w:r>
      <w:r w:rsidR="006E17D7" w:rsidRPr="00C12E06">
        <w:rPr>
          <w:rFonts w:ascii="Times New Roman" w:hAnsi="Times New Roman" w:cs="Times New Roman"/>
          <w:sz w:val="24"/>
          <w:szCs w:val="24"/>
        </w:rPr>
        <w:t xml:space="preserve"> la</w:t>
      </w:r>
      <w:r w:rsidR="00D81967">
        <w:rPr>
          <w:rFonts w:ascii="Times New Roman" w:hAnsi="Times New Roman" w:cs="Times New Roman"/>
          <w:sz w:val="24"/>
          <w:szCs w:val="24"/>
        </w:rPr>
        <w:t xml:space="preserve"> proscripción de la arbitrariedad, </w:t>
      </w:r>
      <w:r w:rsidR="006E17D7" w:rsidRPr="00C12E06">
        <w:rPr>
          <w:rFonts w:ascii="Times New Roman" w:hAnsi="Times New Roman" w:cs="Times New Roman"/>
          <w:sz w:val="24"/>
          <w:szCs w:val="24"/>
        </w:rPr>
        <w:t xml:space="preserve"> la lógica interna del fallo y </w:t>
      </w:r>
      <w:r w:rsidR="00D81967">
        <w:rPr>
          <w:rFonts w:ascii="Times New Roman" w:hAnsi="Times New Roman" w:cs="Times New Roman"/>
          <w:sz w:val="24"/>
          <w:szCs w:val="24"/>
        </w:rPr>
        <w:t xml:space="preserve">la </w:t>
      </w:r>
      <w:r w:rsidR="006E17D7" w:rsidRPr="00C12E06">
        <w:rPr>
          <w:rFonts w:ascii="Times New Roman" w:hAnsi="Times New Roman" w:cs="Times New Roman"/>
          <w:sz w:val="24"/>
          <w:szCs w:val="24"/>
        </w:rPr>
        <w:t>igualdad en la aplicación de la ley, arts. 9.3, 14 y 24.1 CE.</w:t>
      </w:r>
      <w:r w:rsidR="00E469E8" w:rsidRPr="00C12E06">
        <w:rPr>
          <w:rFonts w:ascii="Times New Roman" w:hAnsi="Times New Roman" w:cs="Times New Roman"/>
          <w:sz w:val="24"/>
          <w:szCs w:val="24"/>
        </w:rPr>
        <w:t xml:space="preserve"> </w:t>
      </w:r>
      <w:r w:rsidRPr="00C12E06">
        <w:rPr>
          <w:rFonts w:ascii="Times New Roman" w:hAnsi="Times New Roman" w:cs="Times New Roman"/>
          <w:sz w:val="24"/>
          <w:szCs w:val="24"/>
        </w:rPr>
        <w:t>Por otra parte, al tratarse de objetos diferentes no existiría eficacia extensiva de la sentencia dictada en el recurso salvo en el caso de la solidaridad</w:t>
      </w:r>
      <w:r w:rsidR="0032655E">
        <w:rPr>
          <w:rFonts w:ascii="Times New Roman" w:hAnsi="Times New Roman" w:cs="Times New Roman"/>
          <w:sz w:val="24"/>
          <w:szCs w:val="24"/>
        </w:rPr>
        <w:t xml:space="preserve"> (siempre que no se trate de causas subjetivas singulares)</w:t>
      </w:r>
      <w:r w:rsidR="0032655E">
        <w:rPr>
          <w:rStyle w:val="Refdenotaalpie"/>
          <w:rFonts w:ascii="Times New Roman" w:hAnsi="Times New Roman" w:cs="Times New Roman"/>
          <w:sz w:val="24"/>
          <w:szCs w:val="24"/>
        </w:rPr>
        <w:footnoteReference w:id="31"/>
      </w:r>
      <w:r w:rsidRPr="00C12E06">
        <w:rPr>
          <w:rFonts w:ascii="Times New Roman" w:hAnsi="Times New Roman" w:cs="Times New Roman"/>
          <w:sz w:val="24"/>
          <w:szCs w:val="24"/>
        </w:rPr>
        <w:t>.</w:t>
      </w:r>
    </w:p>
    <w:p w14:paraId="7BB1491A" w14:textId="3FD33F7D" w:rsidR="00B37E81" w:rsidRDefault="00B37E81" w:rsidP="000B489F">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Si bien estas son las reglas generales aplicables a todas las acumulaciones subjetivas </w:t>
      </w:r>
      <w:r w:rsidR="007953CD" w:rsidRPr="00C12E06">
        <w:rPr>
          <w:rFonts w:ascii="Times New Roman" w:hAnsi="Times New Roman" w:cs="Times New Roman"/>
          <w:sz w:val="24"/>
          <w:szCs w:val="24"/>
        </w:rPr>
        <w:t>el hecho de diferenciar entre las diversas modalidades de la misma, al margen de la utilidad pedagógica, permite distinguir según que en algunas de ellas prevalezca un interés u otro: eludir pronunciamientos contradictorios o la economía procesal (en su doble verti</w:t>
      </w:r>
      <w:r w:rsidR="006A4958">
        <w:rPr>
          <w:rFonts w:ascii="Times New Roman" w:hAnsi="Times New Roman" w:cs="Times New Roman"/>
          <w:sz w:val="24"/>
          <w:szCs w:val="24"/>
        </w:rPr>
        <w:t>ente subjetiva). D</w:t>
      </w:r>
      <w:r w:rsidR="007953CD" w:rsidRPr="00C12E06">
        <w:rPr>
          <w:rFonts w:ascii="Times New Roman" w:hAnsi="Times New Roman" w:cs="Times New Roman"/>
          <w:sz w:val="24"/>
          <w:szCs w:val="24"/>
        </w:rPr>
        <w:t>e esta manera nos replanteamos el tratamiento procesal</w:t>
      </w:r>
      <w:r w:rsidR="006A4958">
        <w:rPr>
          <w:rFonts w:ascii="Times New Roman" w:hAnsi="Times New Roman" w:cs="Times New Roman"/>
          <w:sz w:val="24"/>
          <w:szCs w:val="24"/>
        </w:rPr>
        <w:t xml:space="preserve"> de </w:t>
      </w:r>
      <w:r w:rsidR="006A4958">
        <w:rPr>
          <w:rFonts w:ascii="Times New Roman" w:hAnsi="Times New Roman" w:cs="Times New Roman"/>
          <w:sz w:val="24"/>
          <w:szCs w:val="24"/>
        </w:rPr>
        <w:lastRenderedPageBreak/>
        <w:t>los elementos fácticos comunes</w:t>
      </w:r>
      <w:r w:rsidR="007953CD" w:rsidRPr="00C12E06">
        <w:rPr>
          <w:rFonts w:ascii="Times New Roman" w:hAnsi="Times New Roman" w:cs="Times New Roman"/>
          <w:sz w:val="24"/>
          <w:szCs w:val="24"/>
        </w:rPr>
        <w:t xml:space="preserve"> </w:t>
      </w:r>
      <w:r w:rsidR="006A4958">
        <w:rPr>
          <w:rFonts w:ascii="Times New Roman" w:hAnsi="Times New Roman" w:cs="Times New Roman"/>
          <w:sz w:val="24"/>
          <w:szCs w:val="24"/>
        </w:rPr>
        <w:t xml:space="preserve">en toda acumulación y además el </w:t>
      </w:r>
      <w:r w:rsidR="007953CD" w:rsidRPr="00C12E06">
        <w:rPr>
          <w:rFonts w:ascii="Times New Roman" w:hAnsi="Times New Roman" w:cs="Times New Roman"/>
          <w:sz w:val="24"/>
          <w:szCs w:val="24"/>
        </w:rPr>
        <w:t>de la eficacia extensiva del fallo en los recursos cuando la razón principal de</w:t>
      </w:r>
      <w:r w:rsidR="006A4958">
        <w:rPr>
          <w:rFonts w:ascii="Times New Roman" w:hAnsi="Times New Roman" w:cs="Times New Roman"/>
          <w:sz w:val="24"/>
          <w:szCs w:val="24"/>
        </w:rPr>
        <w:t>l litisconsorcio voluntario</w:t>
      </w:r>
      <w:r w:rsidR="007953CD" w:rsidRPr="00C12E06">
        <w:rPr>
          <w:rFonts w:ascii="Times New Roman" w:hAnsi="Times New Roman" w:cs="Times New Roman"/>
          <w:sz w:val="24"/>
          <w:szCs w:val="24"/>
        </w:rPr>
        <w:t xml:space="preserve"> estriba en reforzar la seguridad jurídica al enjuiciar conjuntamente los mismos hechos o bien idéntico dilema jurídico.</w:t>
      </w:r>
    </w:p>
    <w:p w14:paraId="25C8A214" w14:textId="79AAB867" w:rsidR="00E35E06" w:rsidRDefault="00A4637E" w:rsidP="00EC78ED">
      <w:pPr>
        <w:spacing w:after="0"/>
        <w:ind w:firstLine="0"/>
        <w:jc w:val="both"/>
        <w:rPr>
          <w:rFonts w:ascii="Times New Roman" w:hAnsi="Times New Roman" w:cs="Times New Roman"/>
          <w:b/>
          <w:sz w:val="24"/>
          <w:szCs w:val="24"/>
        </w:rPr>
      </w:pPr>
      <w:r>
        <w:rPr>
          <w:rFonts w:ascii="Times New Roman" w:hAnsi="Times New Roman" w:cs="Times New Roman"/>
          <w:sz w:val="24"/>
          <w:szCs w:val="24"/>
        </w:rPr>
        <w:t>Procedemos a examinar por separado las dos conexiones que ocasionan la acumulación subjetiva</w:t>
      </w:r>
      <w:r w:rsidR="00A43D43">
        <w:rPr>
          <w:rFonts w:ascii="Times New Roman" w:hAnsi="Times New Roman" w:cs="Times New Roman"/>
          <w:sz w:val="24"/>
          <w:szCs w:val="24"/>
        </w:rPr>
        <w:t xml:space="preserve"> según que predomine la vinculación fáctica o jurídica</w:t>
      </w:r>
      <w:r>
        <w:rPr>
          <w:rFonts w:ascii="Times New Roman" w:hAnsi="Times New Roman" w:cs="Times New Roman"/>
          <w:sz w:val="24"/>
          <w:szCs w:val="24"/>
        </w:rPr>
        <w:t>.</w:t>
      </w:r>
    </w:p>
    <w:p w14:paraId="1CFEA3D2" w14:textId="51E0B80A" w:rsidR="00E35E06" w:rsidRDefault="00BE226B" w:rsidP="00032C6B">
      <w:pPr>
        <w:spacing w:after="0"/>
        <w:ind w:firstLine="708"/>
        <w:jc w:val="both"/>
        <w:rPr>
          <w:rFonts w:ascii="Times New Roman" w:hAnsi="Times New Roman" w:cs="Times New Roman"/>
          <w:sz w:val="24"/>
          <w:szCs w:val="24"/>
        </w:rPr>
      </w:pPr>
      <w:r>
        <w:rPr>
          <w:rFonts w:ascii="Times New Roman" w:hAnsi="Times New Roman" w:cs="Times New Roman"/>
          <w:b/>
          <w:sz w:val="24"/>
          <w:szCs w:val="24"/>
        </w:rPr>
        <w:t>VI</w:t>
      </w:r>
      <w:r w:rsidR="00A4637E" w:rsidRPr="00A4637E">
        <w:rPr>
          <w:rFonts w:ascii="Times New Roman" w:hAnsi="Times New Roman" w:cs="Times New Roman"/>
          <w:b/>
          <w:sz w:val="24"/>
          <w:szCs w:val="24"/>
        </w:rPr>
        <w:t xml:space="preserve">. </w:t>
      </w:r>
      <w:r w:rsidR="0057468D" w:rsidRPr="00A4637E">
        <w:rPr>
          <w:rFonts w:ascii="Times New Roman" w:hAnsi="Times New Roman" w:cs="Times New Roman"/>
          <w:b/>
          <w:sz w:val="24"/>
          <w:szCs w:val="24"/>
        </w:rPr>
        <w:t>La identidad fáctica de la causa de pedir en sentido estricto</w:t>
      </w:r>
      <w:r w:rsidR="008D3489" w:rsidRPr="00A4637E">
        <w:rPr>
          <w:rFonts w:ascii="Times New Roman" w:hAnsi="Times New Roman" w:cs="Times New Roman"/>
          <w:b/>
          <w:sz w:val="24"/>
          <w:szCs w:val="24"/>
        </w:rPr>
        <w:t xml:space="preserve">. La conexión por el </w:t>
      </w:r>
      <w:proofErr w:type="spellStart"/>
      <w:r w:rsidR="008D3489" w:rsidRPr="00A4637E">
        <w:rPr>
          <w:rFonts w:ascii="Times New Roman" w:hAnsi="Times New Roman" w:cs="Times New Roman"/>
          <w:b/>
          <w:i/>
          <w:sz w:val="24"/>
          <w:szCs w:val="24"/>
        </w:rPr>
        <w:t>factum</w:t>
      </w:r>
      <w:proofErr w:type="spellEnd"/>
    </w:p>
    <w:p w14:paraId="67619673" w14:textId="2849B68F" w:rsidR="0057468D" w:rsidRPr="00C12E06" w:rsidRDefault="00747EF8" w:rsidP="00E35E06">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Es la</w:t>
      </w:r>
      <w:r w:rsidR="0057468D" w:rsidRPr="00C12E06">
        <w:rPr>
          <w:rFonts w:ascii="Times New Roman" w:hAnsi="Times New Roman" w:cs="Times New Roman"/>
          <w:sz w:val="24"/>
          <w:szCs w:val="24"/>
        </w:rPr>
        <w:t xml:space="preserve"> hipótesis en las que se cumple indudablemente la premisa de enjuiciar los mismos hechos</w:t>
      </w:r>
      <w:r w:rsidR="0057468D" w:rsidRPr="00C12E06">
        <w:rPr>
          <w:rFonts w:ascii="Times New Roman" w:hAnsi="Times New Roman" w:cs="Times New Roman"/>
          <w:sz w:val="24"/>
          <w:szCs w:val="24"/>
          <w:vertAlign w:val="superscript"/>
        </w:rPr>
        <w:footnoteReference w:id="32"/>
      </w:r>
      <w:r w:rsidR="0057468D" w:rsidRPr="00C12E06">
        <w:rPr>
          <w:rFonts w:ascii="Times New Roman" w:hAnsi="Times New Roman" w:cs="Times New Roman"/>
          <w:sz w:val="24"/>
          <w:szCs w:val="24"/>
        </w:rPr>
        <w:t xml:space="preserve"> exigida por la ley. Consiste en un evento, un acontecimiento que según las leyes físicas espacio/tiempo puede reputarse como una unidad. Piénsese en el accidente de circulación; el retraso del vuelo o del tren; los afectados por ingerir un alimento en mal estado en una  celebración o los contagiados en un hospital privado</w:t>
      </w:r>
      <w:r w:rsidR="009C2090">
        <w:rPr>
          <w:rFonts w:ascii="Times New Roman" w:hAnsi="Times New Roman" w:cs="Times New Roman"/>
          <w:sz w:val="24"/>
          <w:szCs w:val="24"/>
        </w:rPr>
        <w:t xml:space="preserve"> por una bacteria a causa</w:t>
      </w:r>
      <w:r w:rsidR="0057468D" w:rsidRPr="00C12E06">
        <w:rPr>
          <w:rFonts w:ascii="Times New Roman" w:hAnsi="Times New Roman" w:cs="Times New Roman"/>
          <w:sz w:val="24"/>
          <w:szCs w:val="24"/>
        </w:rPr>
        <w:t xml:space="preserve"> </w:t>
      </w:r>
      <w:r w:rsidR="00C7723A">
        <w:rPr>
          <w:rFonts w:ascii="Times New Roman" w:hAnsi="Times New Roman" w:cs="Times New Roman"/>
          <w:sz w:val="24"/>
          <w:szCs w:val="24"/>
        </w:rPr>
        <w:t>d</w:t>
      </w:r>
      <w:r w:rsidR="0057468D" w:rsidRPr="00C12E06">
        <w:rPr>
          <w:rFonts w:ascii="Times New Roman" w:hAnsi="Times New Roman" w:cs="Times New Roman"/>
          <w:sz w:val="24"/>
          <w:szCs w:val="24"/>
        </w:rPr>
        <w:t xml:space="preserve">el deficiente mantenimiento del sistema de ventilación… Habitualmente nos moveremos en el ámbito de la responsabilidad extracontractual y en muchos casos se tratará de consumidores y usuarios (una responsabilidad </w:t>
      </w:r>
      <w:r w:rsidR="0057468D" w:rsidRPr="00C12E06">
        <w:rPr>
          <w:rFonts w:ascii="Times New Roman" w:hAnsi="Times New Roman" w:cs="Times New Roman"/>
          <w:i/>
          <w:sz w:val="24"/>
          <w:szCs w:val="24"/>
        </w:rPr>
        <w:t xml:space="preserve">ex </w:t>
      </w:r>
      <w:proofErr w:type="spellStart"/>
      <w:r w:rsidR="0057468D" w:rsidRPr="00C12E06">
        <w:rPr>
          <w:rFonts w:ascii="Times New Roman" w:hAnsi="Times New Roman" w:cs="Times New Roman"/>
          <w:i/>
          <w:sz w:val="24"/>
          <w:szCs w:val="24"/>
        </w:rPr>
        <w:t>lege</w:t>
      </w:r>
      <w:proofErr w:type="spellEnd"/>
      <w:r w:rsidR="0057468D" w:rsidRPr="00C12E06">
        <w:rPr>
          <w:rFonts w:ascii="Times New Roman" w:hAnsi="Times New Roman" w:cs="Times New Roman"/>
          <w:sz w:val="24"/>
          <w:szCs w:val="24"/>
        </w:rPr>
        <w:t xml:space="preserve">, compatible con la responsabilidad contractual o extracontractual, art. 128 LGDCU RDL 1/2007, en el caso de los productos defectuosos). Aunque también podría pensarse en el retraso del vuelo en el que se reclama en función de la responsabilidad del transportista estipulada en Convenios internacionales o </w:t>
      </w:r>
      <w:proofErr w:type="spellStart"/>
      <w:r w:rsidR="0057468D" w:rsidRPr="00C12E06">
        <w:rPr>
          <w:rFonts w:ascii="Times New Roman" w:hAnsi="Times New Roman" w:cs="Times New Roman"/>
          <w:sz w:val="24"/>
          <w:szCs w:val="24"/>
        </w:rPr>
        <w:t>Rgto</w:t>
      </w:r>
      <w:proofErr w:type="spellEnd"/>
      <w:r w:rsidR="0057468D" w:rsidRPr="00C12E06">
        <w:rPr>
          <w:rFonts w:ascii="Times New Roman" w:hAnsi="Times New Roman" w:cs="Times New Roman"/>
          <w:sz w:val="24"/>
          <w:szCs w:val="24"/>
        </w:rPr>
        <w:t xml:space="preserve">. CE 261/2004, anclada en el contrato de transporte. </w:t>
      </w:r>
    </w:p>
    <w:p w14:paraId="25D5B02A" w14:textId="28ABDCBB" w:rsidR="0057468D" w:rsidRPr="00C12E06" w:rsidRDefault="0057468D"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También podrían englobarse en este apartado algunos supuestos de responsabilidad contractual, ya se trate de solidaridad o de mancomunidad (obligación divisible), a</w:t>
      </w:r>
      <w:r w:rsidR="00B42E96" w:rsidRPr="00C12E06">
        <w:rPr>
          <w:rFonts w:ascii="Times New Roman" w:hAnsi="Times New Roman" w:cs="Times New Roman"/>
          <w:sz w:val="24"/>
          <w:szCs w:val="24"/>
        </w:rPr>
        <w:t xml:space="preserve">rts. 1137 y 1138 </w:t>
      </w:r>
      <w:proofErr w:type="spellStart"/>
      <w:r w:rsidR="00B42E96" w:rsidRPr="00C12E06">
        <w:rPr>
          <w:rFonts w:ascii="Times New Roman" w:hAnsi="Times New Roman" w:cs="Times New Roman"/>
          <w:sz w:val="24"/>
          <w:szCs w:val="24"/>
        </w:rPr>
        <w:t>Cc</w:t>
      </w:r>
      <w:proofErr w:type="spellEnd"/>
      <w:r w:rsidR="00B42E96" w:rsidRPr="00C12E06">
        <w:rPr>
          <w:rFonts w:ascii="Times New Roman" w:hAnsi="Times New Roman" w:cs="Times New Roman"/>
          <w:sz w:val="24"/>
          <w:szCs w:val="24"/>
        </w:rPr>
        <w:t xml:space="preserve">, como </w:t>
      </w:r>
      <w:r w:rsidRPr="00C12E06">
        <w:rPr>
          <w:rFonts w:ascii="Times New Roman" w:hAnsi="Times New Roman" w:cs="Times New Roman"/>
          <w:sz w:val="24"/>
          <w:szCs w:val="24"/>
        </w:rPr>
        <w:t>ser</w:t>
      </w:r>
      <w:r w:rsidR="00B42E96" w:rsidRPr="00C12E06">
        <w:rPr>
          <w:rFonts w:ascii="Times New Roman" w:hAnsi="Times New Roman" w:cs="Times New Roman"/>
          <w:sz w:val="24"/>
          <w:szCs w:val="24"/>
        </w:rPr>
        <w:t>ía</w:t>
      </w:r>
      <w:r w:rsidRPr="00C12E06">
        <w:rPr>
          <w:rFonts w:ascii="Times New Roman" w:hAnsi="Times New Roman" w:cs="Times New Roman"/>
          <w:sz w:val="24"/>
          <w:szCs w:val="24"/>
        </w:rPr>
        <w:t xml:space="preserve"> el préstamo concedido a varios sujetos sin especificar nada </w:t>
      </w:r>
      <w:r w:rsidR="004B6C5E" w:rsidRPr="00C12E06">
        <w:rPr>
          <w:rFonts w:ascii="Times New Roman" w:hAnsi="Times New Roman" w:cs="Times New Roman"/>
          <w:sz w:val="24"/>
          <w:szCs w:val="24"/>
        </w:rPr>
        <w:t>más y sin que se pueda deducir</w:t>
      </w:r>
      <w:r w:rsidRPr="00C12E06">
        <w:rPr>
          <w:rFonts w:ascii="Times New Roman" w:hAnsi="Times New Roman" w:cs="Times New Roman"/>
          <w:sz w:val="24"/>
          <w:szCs w:val="24"/>
        </w:rPr>
        <w:t xml:space="preserve"> que la intención de los contratantes fue la de crear la unidad en la obligaci</w:t>
      </w:r>
      <w:r w:rsidR="00B42E96" w:rsidRPr="00C12E06">
        <w:rPr>
          <w:rFonts w:ascii="Times New Roman" w:hAnsi="Times New Roman" w:cs="Times New Roman"/>
          <w:sz w:val="24"/>
          <w:szCs w:val="24"/>
        </w:rPr>
        <w:t xml:space="preserve">ón y la responsabilidad </w:t>
      </w:r>
      <w:r w:rsidRPr="00C12E06">
        <w:rPr>
          <w:rFonts w:ascii="Times New Roman" w:hAnsi="Times New Roman" w:cs="Times New Roman"/>
          <w:i/>
          <w:sz w:val="24"/>
          <w:szCs w:val="24"/>
        </w:rPr>
        <w:t xml:space="preserve">in </w:t>
      </w:r>
      <w:proofErr w:type="spellStart"/>
      <w:r w:rsidRPr="00C12E06">
        <w:rPr>
          <w:rFonts w:ascii="Times New Roman" w:hAnsi="Times New Roman" w:cs="Times New Roman"/>
          <w:i/>
          <w:sz w:val="24"/>
          <w:szCs w:val="24"/>
        </w:rPr>
        <w:t>solidum</w:t>
      </w:r>
      <w:proofErr w:type="spellEnd"/>
      <w:r w:rsidR="007953CD" w:rsidRPr="00C12E06">
        <w:rPr>
          <w:rFonts w:ascii="Times New Roman" w:hAnsi="Times New Roman" w:cs="Times New Roman"/>
          <w:sz w:val="24"/>
          <w:szCs w:val="24"/>
        </w:rPr>
        <w:t xml:space="preserve"> (solidaridad tácita)</w:t>
      </w:r>
      <w:r w:rsidR="007953CD" w:rsidRPr="00C12E06">
        <w:rPr>
          <w:rStyle w:val="Refdenotaalpie"/>
          <w:rFonts w:ascii="Times New Roman" w:hAnsi="Times New Roman" w:cs="Times New Roman"/>
          <w:sz w:val="24"/>
          <w:szCs w:val="24"/>
        </w:rPr>
        <w:footnoteReference w:id="33"/>
      </w:r>
      <w:r w:rsidRPr="00C12E06">
        <w:rPr>
          <w:rFonts w:ascii="Times New Roman" w:hAnsi="Times New Roman" w:cs="Times New Roman"/>
          <w:sz w:val="24"/>
          <w:szCs w:val="24"/>
        </w:rPr>
        <w:t xml:space="preserve">, o bien si sucede todo lo contrario. </w:t>
      </w:r>
      <w:r w:rsidR="009C2090">
        <w:rPr>
          <w:rFonts w:ascii="Times New Roman" w:hAnsi="Times New Roman" w:cs="Times New Roman"/>
          <w:sz w:val="24"/>
          <w:szCs w:val="24"/>
        </w:rPr>
        <w:t xml:space="preserve">Sin embargo, </w:t>
      </w:r>
      <w:r w:rsidR="009C2090">
        <w:rPr>
          <w:rFonts w:ascii="Times New Roman" w:hAnsi="Times New Roman" w:cs="Times New Roman"/>
          <w:i/>
          <w:sz w:val="24"/>
          <w:szCs w:val="24"/>
        </w:rPr>
        <w:t xml:space="preserve">infra, </w:t>
      </w:r>
      <w:r w:rsidR="009C2090">
        <w:rPr>
          <w:rFonts w:ascii="Times New Roman" w:hAnsi="Times New Roman" w:cs="Times New Roman"/>
          <w:sz w:val="24"/>
          <w:szCs w:val="24"/>
        </w:rPr>
        <w:t>como en estos supuestos prevalece a efectos de conexión la perspectiva jurídica se analizan en el siguiente apartado.</w:t>
      </w:r>
    </w:p>
    <w:p w14:paraId="11D414CD" w14:textId="13D3ABFF" w:rsidR="00747EF8" w:rsidRPr="00C12E06" w:rsidRDefault="00747EF8"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Si algo singulariza a esta categoría de la acumulación subjetiva son sus límites precisos</w:t>
      </w:r>
      <w:r w:rsidR="004B6C5E" w:rsidRPr="00C12E06">
        <w:rPr>
          <w:rFonts w:ascii="Times New Roman" w:hAnsi="Times New Roman" w:cs="Times New Roman"/>
          <w:sz w:val="24"/>
          <w:szCs w:val="24"/>
        </w:rPr>
        <w:t xml:space="preserve"> al fundarse</w:t>
      </w:r>
      <w:r w:rsidR="00451F8B" w:rsidRPr="00C12E06">
        <w:rPr>
          <w:rFonts w:ascii="Times New Roman" w:hAnsi="Times New Roman" w:cs="Times New Roman"/>
          <w:sz w:val="24"/>
          <w:szCs w:val="24"/>
        </w:rPr>
        <w:t xml:space="preserve"> en una realidad incontestable, </w:t>
      </w:r>
      <w:r w:rsidR="004B6C5E" w:rsidRPr="00C12E06">
        <w:rPr>
          <w:rFonts w:ascii="Times New Roman" w:hAnsi="Times New Roman" w:cs="Times New Roman"/>
          <w:sz w:val="24"/>
          <w:szCs w:val="24"/>
        </w:rPr>
        <w:t>los mismos hechos en sentido estricto</w:t>
      </w:r>
      <w:r w:rsidR="008D3489" w:rsidRPr="00C12E06">
        <w:rPr>
          <w:rFonts w:ascii="Times New Roman" w:hAnsi="Times New Roman" w:cs="Times New Roman"/>
          <w:sz w:val="24"/>
          <w:szCs w:val="24"/>
        </w:rPr>
        <w:t xml:space="preserve"> (aunque siempre existirá algún matiz divergente</w:t>
      </w:r>
      <w:r w:rsidR="008223A0">
        <w:rPr>
          <w:rFonts w:ascii="Times New Roman" w:hAnsi="Times New Roman" w:cs="Times New Roman"/>
          <w:sz w:val="24"/>
          <w:szCs w:val="24"/>
        </w:rPr>
        <w:t xml:space="preserve"> </w:t>
      </w:r>
      <w:r w:rsidR="008223A0">
        <w:rPr>
          <w:rFonts w:ascii="Times New Roman" w:hAnsi="Times New Roman" w:cs="Times New Roman"/>
          <w:i/>
          <w:sz w:val="24"/>
          <w:szCs w:val="24"/>
        </w:rPr>
        <w:t>supra</w:t>
      </w:r>
      <w:r w:rsidR="008D3489" w:rsidRPr="00C12E06">
        <w:rPr>
          <w:rFonts w:ascii="Times New Roman" w:hAnsi="Times New Roman" w:cs="Times New Roman"/>
          <w:sz w:val="24"/>
          <w:szCs w:val="24"/>
        </w:rPr>
        <w:t>)</w:t>
      </w:r>
      <w:r w:rsidR="004B6C5E" w:rsidRPr="00C12E06">
        <w:rPr>
          <w:rFonts w:ascii="Times New Roman" w:hAnsi="Times New Roman" w:cs="Times New Roman"/>
          <w:sz w:val="24"/>
          <w:szCs w:val="24"/>
        </w:rPr>
        <w:t xml:space="preserve">, </w:t>
      </w:r>
      <w:r w:rsidR="00451F8B" w:rsidRPr="00C12E06">
        <w:rPr>
          <w:rFonts w:ascii="Times New Roman" w:hAnsi="Times New Roman" w:cs="Times New Roman"/>
          <w:sz w:val="24"/>
          <w:szCs w:val="24"/>
        </w:rPr>
        <w:t xml:space="preserve">por lo que </w:t>
      </w:r>
      <w:r w:rsidR="004B6C5E" w:rsidRPr="00C12E06">
        <w:rPr>
          <w:rFonts w:ascii="Times New Roman" w:hAnsi="Times New Roman" w:cs="Times New Roman"/>
          <w:sz w:val="24"/>
          <w:szCs w:val="24"/>
        </w:rPr>
        <w:t xml:space="preserve">no puede haber duda de si concurre la misma. </w:t>
      </w:r>
    </w:p>
    <w:p w14:paraId="102EB246" w14:textId="6E0F3E9F" w:rsidR="0057468D" w:rsidRPr="00C12E06" w:rsidRDefault="008D3489"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Lo decisivo en estos supuestos</w:t>
      </w:r>
      <w:r w:rsidR="0057468D" w:rsidRPr="00C12E06">
        <w:rPr>
          <w:rFonts w:ascii="Times New Roman" w:hAnsi="Times New Roman" w:cs="Times New Roman"/>
          <w:sz w:val="24"/>
          <w:szCs w:val="24"/>
        </w:rPr>
        <w:t xml:space="preserve"> es el elemento fáctico para justificar un tratamiento unitario, la complicación del proceso mediante la acumulación de acciones. Y la razón es notoria: en estos casos es donde la finalidad de evitar pronunciamientos contradictorios alcanza mayor fuerza</w:t>
      </w:r>
      <w:r w:rsidR="0057468D" w:rsidRPr="00C12E06">
        <w:rPr>
          <w:rFonts w:ascii="Times New Roman" w:hAnsi="Times New Roman" w:cs="Times New Roman"/>
          <w:sz w:val="24"/>
          <w:szCs w:val="24"/>
          <w:vertAlign w:val="superscript"/>
        </w:rPr>
        <w:footnoteReference w:id="34"/>
      </w:r>
      <w:r w:rsidR="0057468D" w:rsidRPr="00C12E06">
        <w:rPr>
          <w:rFonts w:ascii="Times New Roman" w:hAnsi="Times New Roman" w:cs="Times New Roman"/>
          <w:sz w:val="24"/>
          <w:szCs w:val="24"/>
        </w:rPr>
        <w:t xml:space="preserve"> aunque también la economía procesal esté presente con menor intensidad. Se pretende eludir, para reforzar la seguridad jurídica en el plano de la percepción que tienen los ciudadanos de la Administración de justicia,</w:t>
      </w:r>
      <w:r w:rsidR="00A43D43">
        <w:rPr>
          <w:rFonts w:ascii="Times New Roman" w:hAnsi="Times New Roman" w:cs="Times New Roman"/>
          <w:sz w:val="24"/>
          <w:szCs w:val="24"/>
        </w:rPr>
        <w:t xml:space="preserve"> art. 9.3 CE,</w:t>
      </w:r>
      <w:r w:rsidR="0057468D" w:rsidRPr="00C12E06">
        <w:rPr>
          <w:rFonts w:ascii="Times New Roman" w:hAnsi="Times New Roman" w:cs="Times New Roman"/>
          <w:sz w:val="24"/>
          <w:szCs w:val="24"/>
        </w:rPr>
        <w:t xml:space="preserve"> que la existencia o forma de ser de unos mismos hechos pueda ser reputada de forma diferente por diversos tribunales.</w:t>
      </w:r>
    </w:p>
    <w:p w14:paraId="6A79EAF0" w14:textId="5140440D" w:rsidR="0057468D" w:rsidRPr="00C12E06" w:rsidRDefault="0057468D"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lastRenderedPageBreak/>
        <w:t>Puede decirse que dentro de la causa de pedir únicamente se atiende al elemento fáctico, prescindiendo de la perspectiva jurídica, para consentir el litisconsorcio. Y sin embargo es evidente que los hechos, un acontecimiento histórico (</w:t>
      </w:r>
      <w:proofErr w:type="spellStart"/>
      <w:r w:rsidRPr="00C12E06">
        <w:rPr>
          <w:rFonts w:ascii="Times New Roman" w:hAnsi="Times New Roman" w:cs="Times New Roman"/>
          <w:i/>
          <w:sz w:val="24"/>
          <w:szCs w:val="24"/>
        </w:rPr>
        <w:t>factum</w:t>
      </w:r>
      <w:proofErr w:type="spellEnd"/>
      <w:r w:rsidRPr="00C12E06">
        <w:rPr>
          <w:rFonts w:ascii="Times New Roman" w:hAnsi="Times New Roman" w:cs="Times New Roman"/>
          <w:sz w:val="24"/>
          <w:szCs w:val="24"/>
        </w:rPr>
        <w:t xml:space="preserve">), en el proceso no se contemplan únicamente bajo una perspectiva histórica, como resulta notorio al constatar  la insuficiencia de la teoría naturalista en el proceso penal a la hora de identificar el objeto. Por eso, cada litisconsorte deberá elegir la oportuna perspectiva jurídica para arropar el complejo fáctico común y completar la fundamentación de la tutela que solicita. Ello implica que sea posible, aunque no resulte habitual (normalmente, para reducir los gastos, se opta por una misma defensa legal), que cada uno de los litisconsortes adopte una perspectiva jurídica diferente, </w:t>
      </w:r>
      <w:proofErr w:type="spellStart"/>
      <w:r w:rsidRPr="00C12E06">
        <w:rPr>
          <w:rFonts w:ascii="Times New Roman" w:hAnsi="Times New Roman" w:cs="Times New Roman"/>
          <w:i/>
          <w:sz w:val="24"/>
          <w:szCs w:val="24"/>
        </w:rPr>
        <w:t>e.g</w:t>
      </w:r>
      <w:proofErr w:type="spellEnd"/>
      <w:r w:rsidRPr="00C12E06">
        <w:rPr>
          <w:rFonts w:ascii="Times New Roman" w:hAnsi="Times New Roman" w:cs="Times New Roman"/>
          <w:i/>
          <w:sz w:val="24"/>
          <w:szCs w:val="24"/>
        </w:rPr>
        <w:t>.</w:t>
      </w:r>
      <w:r w:rsidRPr="00C12E06">
        <w:rPr>
          <w:rFonts w:ascii="Times New Roman" w:hAnsi="Times New Roman" w:cs="Times New Roman"/>
          <w:sz w:val="24"/>
          <w:szCs w:val="24"/>
        </w:rPr>
        <w:t>, que la reparación de los daños irrogados se solicite en virtud de responsabilidad contractual, contrato de transporte, en lugar de responsabilidad extracontractual o que, a su vez, a</w:t>
      </w:r>
      <w:r w:rsidR="00B42E96" w:rsidRPr="00C12E06">
        <w:rPr>
          <w:rFonts w:ascii="Times New Roman" w:hAnsi="Times New Roman" w:cs="Times New Roman"/>
          <w:sz w:val="24"/>
          <w:szCs w:val="24"/>
        </w:rPr>
        <w:t>lguno de los litisconsortes suscite</w:t>
      </w:r>
      <w:r w:rsidRPr="00C12E06">
        <w:rPr>
          <w:rFonts w:ascii="Times New Roman" w:hAnsi="Times New Roman" w:cs="Times New Roman"/>
          <w:sz w:val="24"/>
          <w:szCs w:val="24"/>
        </w:rPr>
        <w:t xml:space="preserve"> otro litisconsorcio voluntario en la posición pasiva, reclamando la responsabilidad también al garante, por ejemplo, la compañía de seguros, o a un responsable subsidiario, un fiador, mientras que otro u otros litisconsortes únicamente accionen frente al autor material de la conducta.</w:t>
      </w:r>
    </w:p>
    <w:p w14:paraId="6236EC47" w14:textId="3EA1AB30" w:rsidR="0057468D" w:rsidRPr="00C12E06" w:rsidRDefault="0057468D"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Precisamente, por fundarse este litisconsorcio exclusivamente en el relato fáctico que integra la causa de pedir, lo decisivo es que en el fallo el tronco común sea compartido de la misma manera por todos los litisconsortes: la determinación de los hechos, su existencia, debe ser idéntica para todos los litigantes. Esto es, si efectivamente hubo un retraso imputable a la compañía; si la ingesta de los alimentos fue la causa de los daños, si las circunstancias que desencadenaron el accidente tuvieron lugar de una u otra manera… A partir de ahí, la suerte de cada acción ejercitada dependerá de la valoración de las circunstancias concretas alegadas y probadas, e incluso, aunque más improbablemente, de la perspectiva jurídica que cada uno haya esgrimido (por ejemplo, se puede desdeñar la responsabilidad contractual y estimar la extracontractual, aunque quepa utilizar la teoría de la unidad de la</w:t>
      </w:r>
      <w:r w:rsidR="00D953FA" w:rsidRPr="00C12E06">
        <w:rPr>
          <w:rFonts w:ascii="Times New Roman" w:hAnsi="Times New Roman" w:cs="Times New Roman"/>
          <w:sz w:val="24"/>
          <w:szCs w:val="24"/>
        </w:rPr>
        <w:t xml:space="preserve"> culpa o yuxtaposición de</w:t>
      </w:r>
      <w:r w:rsidRPr="00C12E06">
        <w:rPr>
          <w:rFonts w:ascii="Times New Roman" w:hAnsi="Times New Roman" w:cs="Times New Roman"/>
          <w:sz w:val="24"/>
          <w:szCs w:val="24"/>
        </w:rPr>
        <w:t xml:space="preserve"> responsabilidad</w:t>
      </w:r>
      <w:r w:rsidR="00D953FA" w:rsidRPr="00C12E06">
        <w:rPr>
          <w:rFonts w:ascii="Times New Roman" w:hAnsi="Times New Roman" w:cs="Times New Roman"/>
          <w:sz w:val="24"/>
          <w:szCs w:val="24"/>
        </w:rPr>
        <w:t>es</w:t>
      </w:r>
      <w:r w:rsidRPr="00C12E06">
        <w:rPr>
          <w:rFonts w:ascii="Times New Roman" w:hAnsi="Times New Roman" w:cs="Times New Roman"/>
          <w:sz w:val="24"/>
          <w:szCs w:val="24"/>
        </w:rPr>
        <w:t>). Por eso, el valor del fallo en otros procesos</w:t>
      </w:r>
      <w:r w:rsidR="00747EF8" w:rsidRPr="00C12E06">
        <w:rPr>
          <w:rFonts w:ascii="Times New Roman" w:hAnsi="Times New Roman" w:cs="Times New Roman"/>
          <w:sz w:val="24"/>
          <w:szCs w:val="24"/>
        </w:rPr>
        <w:t xml:space="preserve"> ulteriores que enjuicien los mismos hechos</w:t>
      </w:r>
      <w:r w:rsidRPr="00C12E06">
        <w:rPr>
          <w:rFonts w:ascii="Times New Roman" w:hAnsi="Times New Roman" w:cs="Times New Roman"/>
          <w:sz w:val="24"/>
          <w:szCs w:val="24"/>
        </w:rPr>
        <w:t xml:space="preserve"> se centra en el elemento fáctico. </w:t>
      </w:r>
    </w:p>
    <w:p w14:paraId="701339A1" w14:textId="2DD1A004" w:rsidR="0057468D" w:rsidRPr="00C12E06" w:rsidRDefault="00D953FA"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Los problemas arrecian</w:t>
      </w:r>
      <w:r w:rsidR="0057468D" w:rsidRPr="00C12E06">
        <w:rPr>
          <w:rFonts w:ascii="Times New Roman" w:hAnsi="Times New Roman" w:cs="Times New Roman"/>
          <w:sz w:val="24"/>
          <w:szCs w:val="24"/>
        </w:rPr>
        <w:t xml:space="preserve"> cuando es posible que a resultas de las conductas procesales de cada uno de los litisconsortes no se consiga el tratamiento unitario del complejo fáctico enjuiciado y surjan contradicciones: </w:t>
      </w:r>
      <w:proofErr w:type="spellStart"/>
      <w:r w:rsidR="0057468D" w:rsidRPr="00C12E06">
        <w:rPr>
          <w:rFonts w:ascii="Times New Roman" w:hAnsi="Times New Roman" w:cs="Times New Roman"/>
          <w:i/>
          <w:sz w:val="24"/>
          <w:szCs w:val="24"/>
        </w:rPr>
        <w:t>e.g</w:t>
      </w:r>
      <w:proofErr w:type="spellEnd"/>
      <w:r w:rsidR="0057468D" w:rsidRPr="00C12E06">
        <w:rPr>
          <w:rFonts w:ascii="Times New Roman" w:hAnsi="Times New Roman" w:cs="Times New Roman"/>
          <w:i/>
          <w:sz w:val="24"/>
          <w:szCs w:val="24"/>
        </w:rPr>
        <w:t>.</w:t>
      </w:r>
      <w:r w:rsidR="0057468D" w:rsidRPr="00C12E06">
        <w:rPr>
          <w:rFonts w:ascii="Times New Roman" w:hAnsi="Times New Roman" w:cs="Times New Roman"/>
          <w:sz w:val="24"/>
          <w:szCs w:val="24"/>
        </w:rPr>
        <w:t xml:space="preserve">: si ha existido la renuncia, allanamiento o la transacción </w:t>
      </w:r>
      <w:r w:rsidR="00DC7235">
        <w:rPr>
          <w:rFonts w:ascii="Times New Roman" w:hAnsi="Times New Roman" w:cs="Times New Roman"/>
          <w:sz w:val="24"/>
          <w:szCs w:val="24"/>
        </w:rPr>
        <w:t>de</w:t>
      </w:r>
      <w:r w:rsidR="0057468D" w:rsidRPr="00C12E06">
        <w:rPr>
          <w:rFonts w:ascii="Times New Roman" w:hAnsi="Times New Roman" w:cs="Times New Roman"/>
          <w:sz w:val="24"/>
          <w:szCs w:val="24"/>
        </w:rPr>
        <w:t xml:space="preserve"> alguno y en el fallo se determine que los hechos no han existido para los restantes, o si se ha producido una</w:t>
      </w:r>
      <w:r w:rsidR="00B376DF">
        <w:rPr>
          <w:rFonts w:ascii="Times New Roman" w:hAnsi="Times New Roman" w:cs="Times New Roman"/>
          <w:sz w:val="24"/>
          <w:szCs w:val="24"/>
        </w:rPr>
        <w:t xml:space="preserve"> admisión de los hechos </w:t>
      </w:r>
      <w:r w:rsidR="0057468D" w:rsidRPr="00C12E06">
        <w:rPr>
          <w:rFonts w:ascii="Times New Roman" w:hAnsi="Times New Roman" w:cs="Times New Roman"/>
          <w:sz w:val="24"/>
          <w:szCs w:val="24"/>
        </w:rPr>
        <w:t>de una parte y de la pru</w:t>
      </w:r>
      <w:r w:rsidR="00DC7235">
        <w:rPr>
          <w:rFonts w:ascii="Times New Roman" w:hAnsi="Times New Roman" w:cs="Times New Roman"/>
          <w:sz w:val="24"/>
          <w:szCs w:val="24"/>
        </w:rPr>
        <w:t>eba resulta lo contrario para las otra</w:t>
      </w:r>
      <w:r w:rsidR="0057468D" w:rsidRPr="00C12E06">
        <w:rPr>
          <w:rFonts w:ascii="Times New Roman" w:hAnsi="Times New Roman" w:cs="Times New Roman"/>
          <w:sz w:val="24"/>
          <w:szCs w:val="24"/>
        </w:rPr>
        <w:t>s o si el tribunal presume a raíz de la conducta de una de las partes que los hechos son de</w:t>
      </w:r>
      <w:r w:rsidR="008223A0">
        <w:rPr>
          <w:rFonts w:ascii="Times New Roman" w:hAnsi="Times New Roman" w:cs="Times New Roman"/>
          <w:sz w:val="24"/>
          <w:szCs w:val="24"/>
        </w:rPr>
        <w:t xml:space="preserve"> una manera mientras que para la</w:t>
      </w:r>
      <w:r w:rsidR="0057468D" w:rsidRPr="00C12E06">
        <w:rPr>
          <w:rFonts w:ascii="Times New Roman" w:hAnsi="Times New Roman" w:cs="Times New Roman"/>
          <w:sz w:val="24"/>
          <w:szCs w:val="24"/>
        </w:rPr>
        <w:t>s restantes resultan de otra, o bien si a través del recurso de un litisconsorte se llega en la segunda instancia a un pronunciamiento sobre los hechos que contradice la sentencia dictada en primera. A este respecto conviene precisar que la necesidad de seguridad jurídica y eludir los pronunciamientos contradictorios en el proceso civil,</w:t>
      </w:r>
      <w:r w:rsidRPr="00C12E06">
        <w:rPr>
          <w:rFonts w:ascii="Times New Roman" w:hAnsi="Times New Roman" w:cs="Times New Roman"/>
          <w:sz w:val="24"/>
          <w:szCs w:val="24"/>
        </w:rPr>
        <w:t xml:space="preserve"> art. 9.3 CE,</w:t>
      </w:r>
      <w:r w:rsidR="0057468D" w:rsidRPr="00C12E06">
        <w:rPr>
          <w:rFonts w:ascii="Times New Roman" w:hAnsi="Times New Roman" w:cs="Times New Roman"/>
          <w:sz w:val="24"/>
          <w:szCs w:val="24"/>
        </w:rPr>
        <w:t xml:space="preserve"> aun</w:t>
      </w:r>
      <w:r w:rsidRPr="00C12E06">
        <w:rPr>
          <w:rFonts w:ascii="Times New Roman" w:hAnsi="Times New Roman" w:cs="Times New Roman"/>
          <w:sz w:val="24"/>
          <w:szCs w:val="24"/>
        </w:rPr>
        <w:t>que pudiera</w:t>
      </w:r>
      <w:r w:rsidR="0057468D" w:rsidRPr="00C12E06">
        <w:rPr>
          <w:rFonts w:ascii="Times New Roman" w:hAnsi="Times New Roman" w:cs="Times New Roman"/>
          <w:sz w:val="24"/>
          <w:szCs w:val="24"/>
        </w:rPr>
        <w:t xml:space="preserve"> alcanza</w:t>
      </w:r>
      <w:r w:rsidRPr="00C12E06">
        <w:rPr>
          <w:rFonts w:ascii="Times New Roman" w:hAnsi="Times New Roman" w:cs="Times New Roman"/>
          <w:sz w:val="24"/>
          <w:szCs w:val="24"/>
        </w:rPr>
        <w:t>r</w:t>
      </w:r>
      <w:r w:rsidR="0057468D" w:rsidRPr="00C12E06">
        <w:rPr>
          <w:rFonts w:ascii="Times New Roman" w:hAnsi="Times New Roman" w:cs="Times New Roman"/>
          <w:sz w:val="24"/>
          <w:szCs w:val="24"/>
        </w:rPr>
        <w:t xml:space="preserve"> </w:t>
      </w:r>
      <w:r w:rsidRPr="00C12E06">
        <w:rPr>
          <w:rFonts w:ascii="Times New Roman" w:hAnsi="Times New Roman" w:cs="Times New Roman"/>
          <w:sz w:val="24"/>
          <w:szCs w:val="24"/>
        </w:rPr>
        <w:t xml:space="preserve">cierta </w:t>
      </w:r>
      <w:r w:rsidR="0057468D" w:rsidRPr="00C12E06">
        <w:rPr>
          <w:rFonts w:ascii="Times New Roman" w:hAnsi="Times New Roman" w:cs="Times New Roman"/>
          <w:sz w:val="24"/>
          <w:szCs w:val="24"/>
        </w:rPr>
        <w:t>trascendencia constitucional</w:t>
      </w:r>
      <w:r w:rsidR="00B52FDB" w:rsidRPr="00C12E06">
        <w:rPr>
          <w:rFonts w:ascii="Times New Roman" w:hAnsi="Times New Roman" w:cs="Times New Roman"/>
          <w:sz w:val="24"/>
          <w:szCs w:val="24"/>
        </w:rPr>
        <w:t xml:space="preserve"> en el marco del art. 24 CE</w:t>
      </w:r>
      <w:r w:rsidR="0057468D" w:rsidRPr="00C12E06">
        <w:rPr>
          <w:rFonts w:ascii="Times New Roman" w:hAnsi="Times New Roman" w:cs="Times New Roman"/>
          <w:sz w:val="24"/>
          <w:szCs w:val="24"/>
        </w:rPr>
        <w:t>,</w:t>
      </w:r>
      <w:r w:rsidR="00747EF8" w:rsidRPr="00C12E06">
        <w:rPr>
          <w:rFonts w:ascii="Times New Roman" w:hAnsi="Times New Roman" w:cs="Times New Roman"/>
          <w:sz w:val="24"/>
          <w:szCs w:val="24"/>
        </w:rPr>
        <w:t xml:space="preserve"> </w:t>
      </w:r>
      <w:r w:rsidR="0057468D" w:rsidRPr="00C12E06">
        <w:rPr>
          <w:rFonts w:ascii="Times New Roman" w:hAnsi="Times New Roman" w:cs="Times New Roman"/>
          <w:sz w:val="24"/>
          <w:szCs w:val="24"/>
        </w:rPr>
        <w:t xml:space="preserve">no lo hace con la intensidad con la que existe en el proceso penal en el que la acumulación es obligatoria, art. 17 </w:t>
      </w:r>
      <w:proofErr w:type="spellStart"/>
      <w:r w:rsidR="0057468D" w:rsidRPr="00C12E06">
        <w:rPr>
          <w:rFonts w:ascii="Times New Roman" w:hAnsi="Times New Roman" w:cs="Times New Roman"/>
          <w:sz w:val="24"/>
          <w:szCs w:val="24"/>
        </w:rPr>
        <w:t>LECrim</w:t>
      </w:r>
      <w:proofErr w:type="spellEnd"/>
      <w:r w:rsidR="0057468D" w:rsidRPr="00C12E06">
        <w:rPr>
          <w:rFonts w:ascii="Times New Roman" w:hAnsi="Times New Roman" w:cs="Times New Roman"/>
          <w:sz w:val="24"/>
          <w:szCs w:val="24"/>
        </w:rPr>
        <w:t xml:space="preserve">, </w:t>
      </w:r>
      <w:r w:rsidRPr="00C12E06">
        <w:rPr>
          <w:rFonts w:ascii="Times New Roman" w:hAnsi="Times New Roman" w:cs="Times New Roman"/>
          <w:sz w:val="24"/>
          <w:szCs w:val="24"/>
        </w:rPr>
        <w:t>se proscribe la conformidad de solo alguno de los acusados (salvo que se trate de personas jurídicas</w:t>
      </w:r>
      <w:r w:rsidR="0048335B">
        <w:rPr>
          <w:rFonts w:ascii="Times New Roman" w:hAnsi="Times New Roman" w:cs="Times New Roman"/>
          <w:sz w:val="24"/>
          <w:szCs w:val="24"/>
        </w:rPr>
        <w:t xml:space="preserve">, art. 787.8 </w:t>
      </w:r>
      <w:proofErr w:type="spellStart"/>
      <w:r w:rsidR="0048335B">
        <w:rPr>
          <w:rFonts w:ascii="Times New Roman" w:hAnsi="Times New Roman" w:cs="Times New Roman"/>
          <w:sz w:val="24"/>
          <w:szCs w:val="24"/>
        </w:rPr>
        <w:t>LECrim</w:t>
      </w:r>
      <w:proofErr w:type="spellEnd"/>
      <w:r w:rsidR="00B52FDB" w:rsidRPr="00C12E06">
        <w:rPr>
          <w:rFonts w:ascii="Times New Roman" w:hAnsi="Times New Roman" w:cs="Times New Roman"/>
          <w:sz w:val="24"/>
          <w:szCs w:val="24"/>
        </w:rPr>
        <w:t>)</w:t>
      </w:r>
      <w:r w:rsidRPr="00C12E06">
        <w:rPr>
          <w:rFonts w:ascii="Times New Roman" w:hAnsi="Times New Roman" w:cs="Times New Roman"/>
          <w:sz w:val="24"/>
          <w:szCs w:val="24"/>
        </w:rPr>
        <w:t xml:space="preserve"> </w:t>
      </w:r>
      <w:r w:rsidR="0057468D" w:rsidRPr="00C12E06">
        <w:rPr>
          <w:rFonts w:ascii="Times New Roman" w:hAnsi="Times New Roman" w:cs="Times New Roman"/>
          <w:sz w:val="24"/>
          <w:szCs w:val="24"/>
        </w:rPr>
        <w:t xml:space="preserve">y donde se impone la eficacia extensiva del fallo en los recursos, art. 903 bis </w:t>
      </w:r>
      <w:proofErr w:type="spellStart"/>
      <w:r w:rsidR="0057468D" w:rsidRPr="00C12E06">
        <w:rPr>
          <w:rFonts w:ascii="Times New Roman" w:hAnsi="Times New Roman" w:cs="Times New Roman"/>
          <w:sz w:val="24"/>
          <w:szCs w:val="24"/>
        </w:rPr>
        <w:t>LECrim</w:t>
      </w:r>
      <w:proofErr w:type="spellEnd"/>
      <w:r w:rsidR="0057468D" w:rsidRPr="00C12E06">
        <w:rPr>
          <w:rFonts w:ascii="Times New Roman" w:hAnsi="Times New Roman" w:cs="Times New Roman"/>
          <w:sz w:val="24"/>
          <w:szCs w:val="24"/>
        </w:rPr>
        <w:t xml:space="preserve">, por lo que sería factible que aconteciesen las contradicciones señaladas. </w:t>
      </w:r>
      <w:r w:rsidR="00770039" w:rsidRPr="00C12E06">
        <w:rPr>
          <w:rFonts w:ascii="Times New Roman" w:hAnsi="Times New Roman" w:cs="Times New Roman"/>
          <w:sz w:val="24"/>
          <w:szCs w:val="24"/>
        </w:rPr>
        <w:t>De la misma manera también cabría desdeñar la</w:t>
      </w:r>
      <w:r w:rsidR="00240E3A" w:rsidRPr="00C12E06">
        <w:rPr>
          <w:rFonts w:ascii="Times New Roman" w:hAnsi="Times New Roman" w:cs="Times New Roman"/>
          <w:sz w:val="24"/>
          <w:szCs w:val="24"/>
        </w:rPr>
        <w:t xml:space="preserve"> ruptura de la i</w:t>
      </w:r>
      <w:r w:rsidR="00770039" w:rsidRPr="00C12E06">
        <w:rPr>
          <w:rFonts w:ascii="Times New Roman" w:hAnsi="Times New Roman" w:cs="Times New Roman"/>
          <w:sz w:val="24"/>
          <w:szCs w:val="24"/>
        </w:rPr>
        <w:t xml:space="preserve">gualdad en la aplicación de la ley, art. 14 CE, dado que existen actos de disposición específicos en unos casos que justifican un tratamiento diferenciado para cada litisconsorte. Y tampoco entraría en escena la proscripción de la arbitrariedad y la ruptura de la lógica interna del fallo, art. 24.1 CE, por cuanto es la </w:t>
      </w:r>
      <w:r w:rsidR="00770039" w:rsidRPr="00C12E06">
        <w:rPr>
          <w:rFonts w:ascii="Times New Roman" w:hAnsi="Times New Roman" w:cs="Times New Roman"/>
          <w:sz w:val="24"/>
          <w:szCs w:val="24"/>
        </w:rPr>
        <w:lastRenderedPageBreak/>
        <w:t xml:space="preserve">voluntad de las partes y no la decisión del Tribunal la que habría configurado la forma de ser de ciertos pronunciamientos en el fallo o la terminación anormal del proceso en esos casos. </w:t>
      </w:r>
      <w:r w:rsidR="0057468D" w:rsidRPr="00C12E06">
        <w:rPr>
          <w:rFonts w:ascii="Times New Roman" w:hAnsi="Times New Roman" w:cs="Times New Roman"/>
          <w:sz w:val="24"/>
          <w:szCs w:val="24"/>
        </w:rPr>
        <w:t>Sin embargo, conviene matizar: 1) cuando se trata de actos de disposición en sentido estricto sobre el objeto (renuncia, allanamiento o transacción, o incluso un acuerdo de mediación</w:t>
      </w:r>
      <w:r w:rsidR="00240E3A" w:rsidRPr="00C12E06">
        <w:rPr>
          <w:rFonts w:ascii="Times New Roman" w:hAnsi="Times New Roman" w:cs="Times New Roman"/>
          <w:sz w:val="24"/>
          <w:szCs w:val="24"/>
        </w:rPr>
        <w:t xml:space="preserve"> así como la carencia sobrevenida del interés legítimo del actor por la satisfacción extraprocesal</w:t>
      </w:r>
      <w:r w:rsidR="0057468D" w:rsidRPr="00C12E06">
        <w:rPr>
          <w:rFonts w:ascii="Times New Roman" w:hAnsi="Times New Roman" w:cs="Times New Roman"/>
          <w:sz w:val="24"/>
          <w:szCs w:val="24"/>
        </w:rPr>
        <w:t>) no existe en puridad contradicción alguna puesto que esas formas de terminación anormal del proceso no comportan una declaración de hechos probados;</w:t>
      </w:r>
      <w:r w:rsidR="00B83BC9" w:rsidRPr="00C12E06">
        <w:rPr>
          <w:rFonts w:ascii="Times New Roman" w:hAnsi="Times New Roman" w:cs="Times New Roman"/>
          <w:sz w:val="24"/>
          <w:szCs w:val="24"/>
        </w:rPr>
        <w:t xml:space="preserve"> cuestión distinta es cómo habría de valorarse, si es el caso, el acto de disposición</w:t>
      </w:r>
      <w:r w:rsidR="00DC7235">
        <w:rPr>
          <w:rFonts w:ascii="Times New Roman" w:hAnsi="Times New Roman" w:cs="Times New Roman"/>
          <w:sz w:val="24"/>
          <w:szCs w:val="24"/>
        </w:rPr>
        <w:t>, la renuncia o el allanamiento,</w:t>
      </w:r>
      <w:r w:rsidR="00B83BC9" w:rsidRPr="00C12E06">
        <w:rPr>
          <w:rFonts w:ascii="Times New Roman" w:hAnsi="Times New Roman" w:cs="Times New Roman"/>
          <w:sz w:val="24"/>
          <w:szCs w:val="24"/>
        </w:rPr>
        <w:t xml:space="preserve"> </w:t>
      </w:r>
      <w:r w:rsidR="00500E39">
        <w:rPr>
          <w:rFonts w:ascii="Times New Roman" w:hAnsi="Times New Roman" w:cs="Times New Roman"/>
          <w:sz w:val="24"/>
          <w:szCs w:val="24"/>
        </w:rPr>
        <w:t>para los otros litisconsortes</w:t>
      </w:r>
      <w:r w:rsidR="00DC7235">
        <w:rPr>
          <w:rFonts w:ascii="Times New Roman" w:hAnsi="Times New Roman" w:cs="Times New Roman"/>
          <w:sz w:val="24"/>
          <w:szCs w:val="24"/>
        </w:rPr>
        <w:t>;</w:t>
      </w:r>
      <w:r w:rsidR="003B4894">
        <w:rPr>
          <w:rFonts w:ascii="Times New Roman" w:hAnsi="Times New Roman" w:cs="Times New Roman"/>
          <w:sz w:val="24"/>
          <w:szCs w:val="24"/>
        </w:rPr>
        <w:t xml:space="preserve"> a</w:t>
      </w:r>
      <w:r w:rsidR="00B83BC9" w:rsidRPr="00C12E06">
        <w:rPr>
          <w:rFonts w:ascii="Times New Roman" w:hAnsi="Times New Roman" w:cs="Times New Roman"/>
          <w:sz w:val="24"/>
          <w:szCs w:val="24"/>
        </w:rPr>
        <w:t xml:space="preserve">sí </w:t>
      </w:r>
      <w:r w:rsidR="00500E39">
        <w:rPr>
          <w:rFonts w:ascii="Times New Roman" w:hAnsi="Times New Roman" w:cs="Times New Roman"/>
          <w:sz w:val="24"/>
          <w:szCs w:val="24"/>
        </w:rPr>
        <w:t xml:space="preserve">entendemos </w:t>
      </w:r>
      <w:r w:rsidR="00B83BC9" w:rsidRPr="00C12E06">
        <w:rPr>
          <w:rFonts w:ascii="Times New Roman" w:hAnsi="Times New Roman" w:cs="Times New Roman"/>
          <w:sz w:val="24"/>
          <w:szCs w:val="24"/>
        </w:rPr>
        <w:t xml:space="preserve">que dicha conducta </w:t>
      </w:r>
      <w:r w:rsidR="003B4894">
        <w:rPr>
          <w:rFonts w:ascii="Times New Roman" w:hAnsi="Times New Roman" w:cs="Times New Roman"/>
          <w:sz w:val="24"/>
          <w:szCs w:val="24"/>
        </w:rPr>
        <w:t>consistiría en</w:t>
      </w:r>
      <w:r w:rsidR="00B83BC9" w:rsidRPr="00C12E06">
        <w:rPr>
          <w:rFonts w:ascii="Times New Roman" w:hAnsi="Times New Roman" w:cs="Times New Roman"/>
          <w:sz w:val="24"/>
          <w:szCs w:val="24"/>
        </w:rPr>
        <w:t xml:space="preserve"> un indicio</w:t>
      </w:r>
      <w:r w:rsidR="001B0AB2">
        <w:rPr>
          <w:rStyle w:val="Refdenotaalpie"/>
          <w:rFonts w:ascii="Times New Roman" w:hAnsi="Times New Roman" w:cs="Times New Roman"/>
          <w:sz w:val="24"/>
          <w:szCs w:val="24"/>
        </w:rPr>
        <w:footnoteReference w:id="35"/>
      </w:r>
      <w:r w:rsidR="00B83BC9" w:rsidRPr="00C12E06">
        <w:rPr>
          <w:rFonts w:ascii="Times New Roman" w:hAnsi="Times New Roman" w:cs="Times New Roman"/>
          <w:sz w:val="24"/>
          <w:szCs w:val="24"/>
        </w:rPr>
        <w:t xml:space="preserve">; </w:t>
      </w:r>
      <w:r w:rsidR="0057468D" w:rsidRPr="00C12E06">
        <w:rPr>
          <w:rFonts w:ascii="Times New Roman" w:hAnsi="Times New Roman" w:cs="Times New Roman"/>
          <w:sz w:val="24"/>
          <w:szCs w:val="24"/>
        </w:rPr>
        <w:t>2) en lo que atañe a la posibilidad de una admisión expresa de hechos,</w:t>
      </w:r>
      <w:r w:rsidR="000F3778">
        <w:rPr>
          <w:rFonts w:ascii="Times New Roman" w:hAnsi="Times New Roman" w:cs="Times New Roman"/>
          <w:sz w:val="24"/>
          <w:szCs w:val="24"/>
        </w:rPr>
        <w:t xml:space="preserve"> excluyéndolos de la prueba o bien la confesión de</w:t>
      </w:r>
      <w:r w:rsidR="0057468D" w:rsidRPr="00C12E06">
        <w:rPr>
          <w:rFonts w:ascii="Times New Roman" w:hAnsi="Times New Roman" w:cs="Times New Roman"/>
          <w:sz w:val="24"/>
          <w:szCs w:val="24"/>
        </w:rPr>
        <w:t xml:space="preserve"> </w:t>
      </w:r>
      <w:r w:rsidR="000F3778">
        <w:rPr>
          <w:rFonts w:ascii="Times New Roman" w:hAnsi="Times New Roman" w:cs="Times New Roman"/>
          <w:sz w:val="24"/>
          <w:szCs w:val="24"/>
        </w:rPr>
        <w:t xml:space="preserve">hechos </w:t>
      </w:r>
      <w:r w:rsidR="0057468D" w:rsidRPr="00C12E06">
        <w:rPr>
          <w:rFonts w:ascii="Times New Roman" w:hAnsi="Times New Roman" w:cs="Times New Roman"/>
          <w:sz w:val="24"/>
          <w:szCs w:val="24"/>
        </w:rPr>
        <w:t>person</w:t>
      </w:r>
      <w:r w:rsidR="000F3778">
        <w:rPr>
          <w:rFonts w:ascii="Times New Roman" w:hAnsi="Times New Roman" w:cs="Times New Roman"/>
          <w:sz w:val="24"/>
          <w:szCs w:val="24"/>
        </w:rPr>
        <w:t>ales y perjudiciales, respecto de</w:t>
      </w:r>
      <w:r w:rsidR="0057468D" w:rsidRPr="00C12E06">
        <w:rPr>
          <w:rFonts w:ascii="Times New Roman" w:hAnsi="Times New Roman" w:cs="Times New Roman"/>
          <w:sz w:val="24"/>
          <w:szCs w:val="24"/>
        </w:rPr>
        <w:t xml:space="preserve"> uno de los litisconsortes y no los restantes, </w:t>
      </w:r>
      <w:r w:rsidR="000F3778">
        <w:rPr>
          <w:rFonts w:ascii="Times New Roman" w:hAnsi="Times New Roman" w:cs="Times New Roman"/>
          <w:sz w:val="24"/>
          <w:szCs w:val="24"/>
        </w:rPr>
        <w:t>hay que entender que la fijación de los hechos probados comunes a los litisconsortes quedan excluidos de la posibilidad de disposición de alguno de ellos</w:t>
      </w:r>
      <w:r w:rsidR="001B0AB2">
        <w:rPr>
          <w:rFonts w:ascii="Times New Roman" w:hAnsi="Times New Roman" w:cs="Times New Roman"/>
          <w:sz w:val="24"/>
          <w:szCs w:val="24"/>
        </w:rPr>
        <w:t>, por lo que</w:t>
      </w:r>
      <w:r w:rsidR="000F3778">
        <w:rPr>
          <w:rFonts w:ascii="Times New Roman" w:hAnsi="Times New Roman" w:cs="Times New Roman"/>
          <w:sz w:val="24"/>
          <w:szCs w:val="24"/>
        </w:rPr>
        <w:t xml:space="preserve"> </w:t>
      </w:r>
      <w:proofErr w:type="spellStart"/>
      <w:r w:rsidR="000F3778">
        <w:rPr>
          <w:rFonts w:ascii="Times New Roman" w:hAnsi="Times New Roman" w:cs="Times New Roman"/>
          <w:sz w:val="24"/>
          <w:szCs w:val="24"/>
        </w:rPr>
        <w:t>que</w:t>
      </w:r>
      <w:proofErr w:type="spellEnd"/>
      <w:r w:rsidR="000F3778">
        <w:rPr>
          <w:rFonts w:ascii="Times New Roman" w:hAnsi="Times New Roman" w:cs="Times New Roman"/>
          <w:sz w:val="24"/>
          <w:szCs w:val="24"/>
        </w:rPr>
        <w:t xml:space="preserve"> habrá de estarse a la valoración conjunta de la prueba practicada </w:t>
      </w:r>
      <w:r w:rsidR="001B0AB2">
        <w:rPr>
          <w:rFonts w:ascii="Times New Roman" w:hAnsi="Times New Roman" w:cs="Times New Roman"/>
          <w:sz w:val="24"/>
          <w:szCs w:val="24"/>
        </w:rPr>
        <w:t>como se encarga de recalcar el art. 316.1 LEC</w:t>
      </w:r>
      <w:r w:rsidR="00B159DE">
        <w:rPr>
          <w:rStyle w:val="Refdenotaalpie"/>
          <w:rFonts w:ascii="Times New Roman" w:hAnsi="Times New Roman" w:cs="Times New Roman"/>
          <w:sz w:val="24"/>
          <w:szCs w:val="24"/>
        </w:rPr>
        <w:footnoteReference w:id="36"/>
      </w:r>
      <w:r w:rsidR="001B0AB2">
        <w:rPr>
          <w:rFonts w:ascii="Times New Roman" w:hAnsi="Times New Roman" w:cs="Times New Roman"/>
          <w:sz w:val="24"/>
          <w:szCs w:val="24"/>
        </w:rPr>
        <w:t>;</w:t>
      </w:r>
      <w:r w:rsidR="0057468D" w:rsidRPr="00C12E06">
        <w:rPr>
          <w:rFonts w:ascii="Times New Roman" w:hAnsi="Times New Roman" w:cs="Times New Roman"/>
          <w:sz w:val="24"/>
          <w:szCs w:val="24"/>
        </w:rPr>
        <w:t xml:space="preserve"> 3) lo mismo cabría decir respecto de las admisiones implícitas que resultarían de los arts. 304 y 307 LEC (incomparecencia y negativa a declarar, respuestas evasivas): el Juez no “podrá”  considerar reconocidos o probados esos hechos al resultar desvirtuados por la restante actividad probatoria;</w:t>
      </w:r>
      <w:r w:rsidR="00175115">
        <w:rPr>
          <w:rFonts w:ascii="Times New Roman" w:hAnsi="Times New Roman" w:cs="Times New Roman"/>
          <w:sz w:val="24"/>
          <w:szCs w:val="24"/>
        </w:rPr>
        <w:t xml:space="preserve"> estas</w:t>
      </w:r>
      <w:r w:rsidR="00BC143F">
        <w:rPr>
          <w:rFonts w:ascii="Times New Roman" w:hAnsi="Times New Roman" w:cs="Times New Roman"/>
          <w:sz w:val="24"/>
          <w:szCs w:val="24"/>
        </w:rPr>
        <w:t xml:space="preserve"> tres primeras cuestiones deben</w:t>
      </w:r>
      <w:r w:rsidR="00175115">
        <w:rPr>
          <w:rFonts w:ascii="Times New Roman" w:hAnsi="Times New Roman" w:cs="Times New Roman"/>
          <w:sz w:val="24"/>
          <w:szCs w:val="24"/>
        </w:rPr>
        <w:t xml:space="preserve"> aplicarse a los elementos fácticos comunes de todas las acumulaciones subjetivas;</w:t>
      </w:r>
      <w:r w:rsidR="0057468D" w:rsidRPr="00C12E06">
        <w:rPr>
          <w:rFonts w:ascii="Times New Roman" w:hAnsi="Times New Roman" w:cs="Times New Roman"/>
          <w:sz w:val="24"/>
          <w:szCs w:val="24"/>
        </w:rPr>
        <w:t xml:space="preserve"> 4) en lo que atañe a la eficacia extensiva del fallo en los recursos consideramos admisible cualquiera de las dos soluciones: negarla (salvo en la solidaridad) como se viene haciendo en la actualidad o por el contario provocarla para evitar pronunciamientos contradictorios, teniendo presente que l</w:t>
      </w:r>
      <w:r w:rsidR="001116AA" w:rsidRPr="00C12E06">
        <w:rPr>
          <w:rFonts w:ascii="Times New Roman" w:hAnsi="Times New Roman" w:cs="Times New Roman"/>
          <w:sz w:val="24"/>
          <w:szCs w:val="24"/>
        </w:rPr>
        <w:t>a</w:t>
      </w:r>
      <w:r w:rsidR="0057468D" w:rsidRPr="00C12E06">
        <w:rPr>
          <w:rFonts w:ascii="Times New Roman" w:hAnsi="Times New Roman" w:cs="Times New Roman"/>
          <w:sz w:val="24"/>
          <w:szCs w:val="24"/>
        </w:rPr>
        <w:t xml:space="preserve"> primer</w:t>
      </w:r>
      <w:r w:rsidR="001116AA" w:rsidRPr="00C12E06">
        <w:rPr>
          <w:rFonts w:ascii="Times New Roman" w:hAnsi="Times New Roman" w:cs="Times New Roman"/>
          <w:sz w:val="24"/>
          <w:szCs w:val="24"/>
        </w:rPr>
        <w:t>a opción</w:t>
      </w:r>
      <w:r w:rsidR="00B376DF">
        <w:rPr>
          <w:rFonts w:ascii="Times New Roman" w:hAnsi="Times New Roman" w:cs="Times New Roman"/>
          <w:sz w:val="24"/>
          <w:szCs w:val="24"/>
        </w:rPr>
        <w:t xml:space="preserve"> descansa en</w:t>
      </w:r>
      <w:r w:rsidR="0057468D" w:rsidRPr="00C12E06">
        <w:rPr>
          <w:rFonts w:ascii="Times New Roman" w:hAnsi="Times New Roman" w:cs="Times New Roman"/>
          <w:sz w:val="24"/>
          <w:szCs w:val="24"/>
        </w:rPr>
        <w:t xml:space="preserve"> la existencia de firmeza, cosa juzgada formal y material respecto</w:t>
      </w:r>
      <w:r w:rsidR="00B376DF">
        <w:rPr>
          <w:rFonts w:ascii="Times New Roman" w:hAnsi="Times New Roman" w:cs="Times New Roman"/>
          <w:sz w:val="24"/>
          <w:szCs w:val="24"/>
        </w:rPr>
        <w:t xml:space="preserve"> de quien no recurre que no</w:t>
      </w:r>
      <w:r w:rsidR="0057468D" w:rsidRPr="00C12E06">
        <w:rPr>
          <w:rFonts w:ascii="Times New Roman" w:hAnsi="Times New Roman" w:cs="Times New Roman"/>
          <w:sz w:val="24"/>
          <w:szCs w:val="24"/>
        </w:rPr>
        <w:t xml:space="preserve"> tiene por qué ser axiomática</w:t>
      </w:r>
      <w:r w:rsidR="0057468D" w:rsidRPr="00C12E06">
        <w:rPr>
          <w:rFonts w:ascii="Times New Roman" w:hAnsi="Times New Roman" w:cs="Times New Roman"/>
          <w:sz w:val="24"/>
          <w:szCs w:val="24"/>
          <w:vertAlign w:val="superscript"/>
        </w:rPr>
        <w:footnoteReference w:id="37"/>
      </w:r>
      <w:r w:rsidR="0057468D" w:rsidRPr="00C12E06">
        <w:rPr>
          <w:rFonts w:ascii="Times New Roman" w:hAnsi="Times New Roman" w:cs="Times New Roman"/>
          <w:sz w:val="24"/>
          <w:szCs w:val="24"/>
        </w:rPr>
        <w:t>.</w:t>
      </w:r>
      <w:r w:rsidR="00D10F45" w:rsidRPr="00C12E06">
        <w:rPr>
          <w:rFonts w:ascii="Times New Roman" w:hAnsi="Times New Roman" w:cs="Times New Roman"/>
          <w:sz w:val="24"/>
          <w:szCs w:val="24"/>
        </w:rPr>
        <w:t xml:space="preserve"> Sin embargo, dado que este tipo de litisconsorcio lo decisivo es el enjuiciamiento conjunto de unos mismos hechos para reforzar la seguridad jurídica</w:t>
      </w:r>
      <w:r w:rsidR="000F73F3">
        <w:rPr>
          <w:rFonts w:ascii="Times New Roman" w:hAnsi="Times New Roman" w:cs="Times New Roman"/>
          <w:sz w:val="24"/>
          <w:szCs w:val="24"/>
        </w:rPr>
        <w:t>,</w:t>
      </w:r>
      <w:r w:rsidR="00D10F45" w:rsidRPr="00C12E06">
        <w:rPr>
          <w:rFonts w:ascii="Times New Roman" w:hAnsi="Times New Roman" w:cs="Times New Roman"/>
          <w:sz w:val="24"/>
          <w:szCs w:val="24"/>
        </w:rPr>
        <w:t xml:space="preserve"> debería apostarse por la eficacia extensiva del fallo respecto del complejo fáctico.</w:t>
      </w:r>
    </w:p>
    <w:p w14:paraId="1DC0547D" w14:textId="25713ABC" w:rsidR="00E35E06" w:rsidRPr="00C12E06" w:rsidRDefault="00D10F45"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Conviene reparar</w:t>
      </w:r>
      <w:r w:rsidR="0057468D" w:rsidRPr="00C12E06">
        <w:rPr>
          <w:rFonts w:ascii="Times New Roman" w:hAnsi="Times New Roman" w:cs="Times New Roman"/>
          <w:sz w:val="24"/>
          <w:szCs w:val="24"/>
        </w:rPr>
        <w:t xml:space="preserve">, por último, que en estos supuestos en la práctica  no solo concurre la identidad fáctica sino que también lo habitual es la </w:t>
      </w:r>
      <w:r w:rsidR="000F73F3">
        <w:rPr>
          <w:rFonts w:ascii="Times New Roman" w:hAnsi="Times New Roman" w:cs="Times New Roman"/>
          <w:sz w:val="24"/>
          <w:szCs w:val="24"/>
        </w:rPr>
        <w:t>coincidencia</w:t>
      </w:r>
      <w:r w:rsidR="0057468D" w:rsidRPr="00C12E06">
        <w:rPr>
          <w:rFonts w:ascii="Times New Roman" w:hAnsi="Times New Roman" w:cs="Times New Roman"/>
          <w:sz w:val="24"/>
          <w:szCs w:val="24"/>
        </w:rPr>
        <w:t xml:space="preserve"> de la perspectiv</w:t>
      </w:r>
      <w:r w:rsidR="000F73F3">
        <w:rPr>
          <w:rFonts w:ascii="Times New Roman" w:hAnsi="Times New Roman" w:cs="Times New Roman"/>
          <w:sz w:val="24"/>
          <w:szCs w:val="24"/>
        </w:rPr>
        <w:t xml:space="preserve">a jurídica </w:t>
      </w:r>
      <w:r w:rsidR="0057468D" w:rsidRPr="00C12E06">
        <w:rPr>
          <w:rFonts w:ascii="Times New Roman" w:hAnsi="Times New Roman" w:cs="Times New Roman"/>
          <w:sz w:val="24"/>
          <w:szCs w:val="24"/>
        </w:rPr>
        <w:t xml:space="preserve"> por lo que </w:t>
      </w:r>
      <w:r w:rsidR="000F73F3">
        <w:rPr>
          <w:rFonts w:ascii="Times New Roman" w:hAnsi="Times New Roman" w:cs="Times New Roman"/>
          <w:sz w:val="24"/>
          <w:szCs w:val="24"/>
        </w:rPr>
        <w:t>en virtud</w:t>
      </w:r>
      <w:r w:rsidR="0057468D" w:rsidRPr="00C12E06">
        <w:rPr>
          <w:rFonts w:ascii="Times New Roman" w:hAnsi="Times New Roman" w:cs="Times New Roman"/>
          <w:sz w:val="24"/>
          <w:szCs w:val="24"/>
        </w:rPr>
        <w:t xml:space="preserve"> </w:t>
      </w:r>
      <w:r w:rsidR="00560B48" w:rsidRPr="00C12E06">
        <w:rPr>
          <w:rFonts w:ascii="Times New Roman" w:hAnsi="Times New Roman" w:cs="Times New Roman"/>
          <w:sz w:val="24"/>
          <w:szCs w:val="24"/>
        </w:rPr>
        <w:t xml:space="preserve">de </w:t>
      </w:r>
      <w:r w:rsidR="000F73F3">
        <w:rPr>
          <w:rFonts w:ascii="Times New Roman" w:hAnsi="Times New Roman" w:cs="Times New Roman"/>
          <w:sz w:val="24"/>
          <w:szCs w:val="24"/>
        </w:rPr>
        <w:t xml:space="preserve">los principios y derechos constitucionales señalados </w:t>
      </w:r>
      <w:r w:rsidR="000F73F3">
        <w:rPr>
          <w:rFonts w:ascii="Times New Roman" w:hAnsi="Times New Roman" w:cs="Times New Roman"/>
          <w:i/>
          <w:sz w:val="24"/>
          <w:szCs w:val="24"/>
        </w:rPr>
        <w:t>supra</w:t>
      </w:r>
      <w:r w:rsidR="00235D11" w:rsidRPr="00C12E06">
        <w:rPr>
          <w:rFonts w:ascii="Times New Roman" w:hAnsi="Times New Roman" w:cs="Times New Roman"/>
          <w:sz w:val="24"/>
          <w:szCs w:val="24"/>
        </w:rPr>
        <w:t xml:space="preserve"> </w:t>
      </w:r>
      <w:r w:rsidR="000F73F3">
        <w:rPr>
          <w:rFonts w:ascii="Times New Roman" w:hAnsi="Times New Roman" w:cs="Times New Roman"/>
          <w:sz w:val="24"/>
          <w:szCs w:val="24"/>
        </w:rPr>
        <w:t>si</w:t>
      </w:r>
      <w:r w:rsidR="00313607" w:rsidRPr="00C12E06">
        <w:rPr>
          <w:rFonts w:ascii="Times New Roman" w:hAnsi="Times New Roman" w:cs="Times New Roman"/>
          <w:sz w:val="24"/>
          <w:szCs w:val="24"/>
        </w:rPr>
        <w:t xml:space="preserve"> la</w:t>
      </w:r>
      <w:r w:rsidR="00560B48" w:rsidRPr="00C12E06">
        <w:rPr>
          <w:rFonts w:ascii="Times New Roman" w:hAnsi="Times New Roman" w:cs="Times New Roman"/>
          <w:sz w:val="24"/>
          <w:szCs w:val="24"/>
        </w:rPr>
        <w:t xml:space="preserve"> fundamentación jurídica</w:t>
      </w:r>
      <w:r w:rsidR="00313607" w:rsidRPr="00C12E06">
        <w:rPr>
          <w:rFonts w:ascii="Times New Roman" w:hAnsi="Times New Roman" w:cs="Times New Roman"/>
          <w:sz w:val="24"/>
          <w:szCs w:val="24"/>
        </w:rPr>
        <w:t xml:space="preserve"> de los litisconsortes</w:t>
      </w:r>
      <w:r w:rsidR="00560B48" w:rsidRPr="00C12E06">
        <w:rPr>
          <w:rFonts w:ascii="Times New Roman" w:hAnsi="Times New Roman" w:cs="Times New Roman"/>
          <w:sz w:val="24"/>
          <w:szCs w:val="24"/>
        </w:rPr>
        <w:t xml:space="preserve"> </w:t>
      </w:r>
      <w:r w:rsidR="00313607" w:rsidRPr="00C12E06">
        <w:rPr>
          <w:rFonts w:ascii="Times New Roman" w:hAnsi="Times New Roman" w:cs="Times New Roman"/>
          <w:sz w:val="24"/>
          <w:szCs w:val="24"/>
        </w:rPr>
        <w:t>es la misma también debe</w:t>
      </w:r>
      <w:r w:rsidR="00235D11" w:rsidRPr="00C12E06">
        <w:rPr>
          <w:rFonts w:ascii="Times New Roman" w:hAnsi="Times New Roman" w:cs="Times New Roman"/>
          <w:sz w:val="24"/>
          <w:szCs w:val="24"/>
        </w:rPr>
        <w:t xml:space="preserve"> compartir la suerte común</w:t>
      </w:r>
      <w:r w:rsidR="00560B48" w:rsidRPr="00C12E06">
        <w:rPr>
          <w:rFonts w:ascii="Times New Roman" w:hAnsi="Times New Roman" w:cs="Times New Roman"/>
          <w:sz w:val="24"/>
          <w:szCs w:val="24"/>
        </w:rPr>
        <w:t xml:space="preserve">, p. ej., la concurrencia de culpa o negligencia de quien sirve </w:t>
      </w:r>
      <w:r w:rsidR="00560B48" w:rsidRPr="00C12E06">
        <w:rPr>
          <w:rFonts w:ascii="Times New Roman" w:hAnsi="Times New Roman" w:cs="Times New Roman"/>
          <w:sz w:val="24"/>
          <w:szCs w:val="24"/>
        </w:rPr>
        <w:lastRenderedPageBreak/>
        <w:t>los alimentos en mal estado deberá ser para todos los litisconsortes de la misma manera..</w:t>
      </w:r>
      <w:r w:rsidR="00235D11" w:rsidRPr="00C12E06">
        <w:rPr>
          <w:rFonts w:ascii="Times New Roman" w:hAnsi="Times New Roman" w:cs="Times New Roman"/>
          <w:sz w:val="24"/>
          <w:szCs w:val="24"/>
        </w:rPr>
        <w:t>.</w:t>
      </w:r>
      <w:r w:rsidR="00313607" w:rsidRPr="00C12E06">
        <w:rPr>
          <w:rFonts w:ascii="Times New Roman" w:hAnsi="Times New Roman" w:cs="Times New Roman"/>
          <w:sz w:val="24"/>
          <w:szCs w:val="24"/>
        </w:rPr>
        <w:t xml:space="preserve"> Como se trata de la aplicación del derecho no caben actos de disposición sobre el mismo que vinculen al Tribunal</w:t>
      </w:r>
      <w:r w:rsidR="00E110D7" w:rsidRPr="00C12E06">
        <w:rPr>
          <w:rFonts w:ascii="Times New Roman" w:hAnsi="Times New Roman" w:cs="Times New Roman"/>
          <w:sz w:val="24"/>
          <w:szCs w:val="24"/>
        </w:rPr>
        <w:t xml:space="preserve"> (</w:t>
      </w:r>
      <w:r w:rsidR="00B417EF" w:rsidRPr="00C12E06">
        <w:rPr>
          <w:rFonts w:ascii="Times New Roman" w:hAnsi="Times New Roman" w:cs="Times New Roman"/>
          <w:sz w:val="24"/>
          <w:szCs w:val="24"/>
        </w:rPr>
        <w:t xml:space="preserve">dado que </w:t>
      </w:r>
      <w:r w:rsidR="000F73F3">
        <w:rPr>
          <w:rFonts w:ascii="Times New Roman" w:hAnsi="Times New Roman" w:cs="Times New Roman"/>
          <w:sz w:val="24"/>
          <w:szCs w:val="24"/>
        </w:rPr>
        <w:t>las partes no ostentan su</w:t>
      </w:r>
      <w:r w:rsidR="00E110D7" w:rsidRPr="00C12E06">
        <w:rPr>
          <w:rFonts w:ascii="Times New Roman" w:hAnsi="Times New Roman" w:cs="Times New Roman"/>
          <w:sz w:val="24"/>
          <w:szCs w:val="24"/>
        </w:rPr>
        <w:t xml:space="preserve"> titularidad</w:t>
      </w:r>
      <w:r w:rsidR="000F73F3">
        <w:rPr>
          <w:rFonts w:ascii="Times New Roman" w:hAnsi="Times New Roman" w:cs="Times New Roman"/>
          <w:sz w:val="24"/>
          <w:szCs w:val="24"/>
        </w:rPr>
        <w:t>,</w:t>
      </w:r>
      <w:r w:rsidR="00B417EF" w:rsidRPr="00C12E06">
        <w:rPr>
          <w:rFonts w:ascii="Times New Roman" w:hAnsi="Times New Roman" w:cs="Times New Roman"/>
          <w:sz w:val="24"/>
          <w:szCs w:val="24"/>
        </w:rPr>
        <w:t xml:space="preserve"> lo que propicia también el juego del</w:t>
      </w:r>
      <w:r w:rsidR="00E110D7" w:rsidRPr="00C12E06">
        <w:rPr>
          <w:rFonts w:ascii="Times New Roman" w:hAnsi="Times New Roman" w:cs="Times New Roman"/>
          <w:sz w:val="24"/>
          <w:szCs w:val="24"/>
        </w:rPr>
        <w:t xml:space="preserve"> </w:t>
      </w:r>
      <w:proofErr w:type="spellStart"/>
      <w:r w:rsidR="00E110D7" w:rsidRPr="00C12E06">
        <w:rPr>
          <w:rFonts w:ascii="Times New Roman" w:hAnsi="Times New Roman" w:cs="Times New Roman"/>
          <w:i/>
          <w:sz w:val="24"/>
          <w:szCs w:val="24"/>
        </w:rPr>
        <w:t>iura</w:t>
      </w:r>
      <w:proofErr w:type="spellEnd"/>
      <w:r w:rsidR="00E110D7" w:rsidRPr="00C12E06">
        <w:rPr>
          <w:rFonts w:ascii="Times New Roman" w:hAnsi="Times New Roman" w:cs="Times New Roman"/>
          <w:i/>
          <w:sz w:val="24"/>
          <w:szCs w:val="24"/>
        </w:rPr>
        <w:t xml:space="preserve"> </w:t>
      </w:r>
      <w:proofErr w:type="spellStart"/>
      <w:r w:rsidR="00E110D7" w:rsidRPr="00C12E06">
        <w:rPr>
          <w:rFonts w:ascii="Times New Roman" w:hAnsi="Times New Roman" w:cs="Times New Roman"/>
          <w:i/>
          <w:sz w:val="24"/>
          <w:szCs w:val="24"/>
        </w:rPr>
        <w:t>novit</w:t>
      </w:r>
      <w:proofErr w:type="spellEnd"/>
      <w:r w:rsidR="00E110D7" w:rsidRPr="00C12E06">
        <w:rPr>
          <w:rFonts w:ascii="Times New Roman" w:hAnsi="Times New Roman" w:cs="Times New Roman"/>
          <w:i/>
          <w:sz w:val="24"/>
          <w:szCs w:val="24"/>
        </w:rPr>
        <w:t xml:space="preserve"> curia</w:t>
      </w:r>
      <w:r w:rsidR="00B417EF" w:rsidRPr="00C12E06">
        <w:rPr>
          <w:rFonts w:ascii="Times New Roman" w:hAnsi="Times New Roman" w:cs="Times New Roman"/>
          <w:sz w:val="24"/>
          <w:szCs w:val="24"/>
        </w:rPr>
        <w:t>, art. 281.1 LEC</w:t>
      </w:r>
      <w:r w:rsidR="00E110D7" w:rsidRPr="00C12E06">
        <w:rPr>
          <w:rFonts w:ascii="Times New Roman" w:hAnsi="Times New Roman" w:cs="Times New Roman"/>
          <w:sz w:val="24"/>
          <w:szCs w:val="24"/>
        </w:rPr>
        <w:t>)</w:t>
      </w:r>
      <w:r w:rsidR="00313607" w:rsidRPr="00C12E06">
        <w:rPr>
          <w:rFonts w:ascii="Times New Roman" w:hAnsi="Times New Roman" w:cs="Times New Roman"/>
          <w:sz w:val="24"/>
          <w:szCs w:val="24"/>
        </w:rPr>
        <w:t>. Excepcionalmente existiría algún supuesto dudoso como el relativo a la existencia y alcance del derecho consuetudinario</w:t>
      </w:r>
      <w:r w:rsidR="00B417EF" w:rsidRPr="00C12E06">
        <w:rPr>
          <w:rFonts w:ascii="Times New Roman" w:hAnsi="Times New Roman" w:cs="Times New Roman"/>
          <w:sz w:val="24"/>
          <w:szCs w:val="24"/>
        </w:rPr>
        <w:t xml:space="preserve"> que no resulte contrario al orden público</w:t>
      </w:r>
      <w:r w:rsidR="00313607" w:rsidRPr="00C12E06">
        <w:rPr>
          <w:rFonts w:ascii="Times New Roman" w:hAnsi="Times New Roman" w:cs="Times New Roman"/>
          <w:sz w:val="24"/>
          <w:szCs w:val="24"/>
        </w:rPr>
        <w:t xml:space="preserve"> en el que la voluntad de las partes </w:t>
      </w:r>
      <w:r w:rsidR="00F24446" w:rsidRPr="00C12E06">
        <w:rPr>
          <w:rFonts w:ascii="Times New Roman" w:hAnsi="Times New Roman" w:cs="Times New Roman"/>
          <w:sz w:val="24"/>
          <w:szCs w:val="24"/>
        </w:rPr>
        <w:t>podría alcanzar</w:t>
      </w:r>
      <w:r w:rsidR="00313607" w:rsidRPr="00C12E06">
        <w:rPr>
          <w:rFonts w:ascii="Times New Roman" w:hAnsi="Times New Roman" w:cs="Times New Roman"/>
          <w:sz w:val="24"/>
          <w:szCs w:val="24"/>
        </w:rPr>
        <w:t xml:space="preserve"> carácter vinculante para el Tribunal</w:t>
      </w:r>
      <w:r w:rsidR="00F24446" w:rsidRPr="00C12E06">
        <w:rPr>
          <w:rFonts w:ascii="Times New Roman" w:hAnsi="Times New Roman" w:cs="Times New Roman"/>
          <w:sz w:val="24"/>
          <w:szCs w:val="24"/>
        </w:rPr>
        <w:t>, art. 281.2 LEC</w:t>
      </w:r>
      <w:r w:rsidR="00313607" w:rsidRPr="00C12E06">
        <w:rPr>
          <w:rFonts w:ascii="Times New Roman" w:hAnsi="Times New Roman" w:cs="Times New Roman"/>
          <w:sz w:val="24"/>
          <w:szCs w:val="24"/>
        </w:rPr>
        <w:t xml:space="preserve">. </w:t>
      </w:r>
      <w:r w:rsidR="00F24446" w:rsidRPr="00C12E06">
        <w:rPr>
          <w:rFonts w:ascii="Times New Roman" w:hAnsi="Times New Roman" w:cs="Times New Roman"/>
          <w:sz w:val="24"/>
          <w:szCs w:val="24"/>
        </w:rPr>
        <w:t>Sin embargo, ha de entenderse que, ante la ausencia del juego del principio dispositivo, todas las partes hab</w:t>
      </w:r>
      <w:r w:rsidR="00B417EF" w:rsidRPr="00C12E06">
        <w:rPr>
          <w:rFonts w:ascii="Times New Roman" w:hAnsi="Times New Roman" w:cs="Times New Roman"/>
          <w:sz w:val="24"/>
          <w:szCs w:val="24"/>
        </w:rPr>
        <w:t>rían de aceptar la existencia y contenido de la costumbre para que el Tribunal quedase sujeto a la misma.</w:t>
      </w:r>
      <w:r w:rsidR="009A229D" w:rsidRPr="00C12E06">
        <w:rPr>
          <w:rFonts w:ascii="Times New Roman" w:hAnsi="Times New Roman" w:cs="Times New Roman"/>
          <w:sz w:val="24"/>
          <w:szCs w:val="24"/>
        </w:rPr>
        <w:t xml:space="preserve"> En este caso, como </w:t>
      </w:r>
      <w:r w:rsidR="00EC3217" w:rsidRPr="00C12E06">
        <w:rPr>
          <w:rFonts w:ascii="Times New Roman" w:hAnsi="Times New Roman" w:cs="Times New Roman"/>
          <w:sz w:val="24"/>
          <w:szCs w:val="24"/>
        </w:rPr>
        <w:t>la perspectiva jurídica</w:t>
      </w:r>
      <w:r w:rsidR="009A229D" w:rsidRPr="00C12E06">
        <w:rPr>
          <w:rFonts w:ascii="Times New Roman" w:hAnsi="Times New Roman" w:cs="Times New Roman"/>
          <w:sz w:val="24"/>
          <w:szCs w:val="24"/>
        </w:rPr>
        <w:t xml:space="preserve"> no es el elemento esencial de la conexión nos parece acertado seguir manteniendo la inexistencia de la eficacia extensiva del fallo en los recursos</w:t>
      </w:r>
      <w:r w:rsidR="00EC3217" w:rsidRPr="00C12E06">
        <w:rPr>
          <w:rFonts w:ascii="Times New Roman" w:hAnsi="Times New Roman" w:cs="Times New Roman"/>
          <w:sz w:val="24"/>
          <w:szCs w:val="24"/>
        </w:rPr>
        <w:t xml:space="preserve"> respecto de aquella</w:t>
      </w:r>
      <w:r w:rsidR="009A229D" w:rsidRPr="00C12E06">
        <w:rPr>
          <w:rFonts w:ascii="Times New Roman" w:hAnsi="Times New Roman" w:cs="Times New Roman"/>
          <w:sz w:val="24"/>
          <w:szCs w:val="24"/>
        </w:rPr>
        <w:t>.</w:t>
      </w:r>
    </w:p>
    <w:p w14:paraId="7675F1C2" w14:textId="454DE37C" w:rsidR="00E35E06" w:rsidRPr="00EC78ED" w:rsidRDefault="00EC78ED" w:rsidP="00EC78ED">
      <w:pPr>
        <w:spacing w:after="0"/>
        <w:jc w:val="both"/>
        <w:rPr>
          <w:rFonts w:ascii="Times New Roman" w:hAnsi="Times New Roman" w:cs="Times New Roman"/>
          <w:sz w:val="24"/>
          <w:szCs w:val="24"/>
        </w:rPr>
      </w:pPr>
      <w:r>
        <w:rPr>
          <w:rFonts w:ascii="Times New Roman" w:hAnsi="Times New Roman" w:cs="Times New Roman"/>
          <w:b/>
          <w:sz w:val="24"/>
          <w:szCs w:val="24"/>
        </w:rPr>
        <w:t xml:space="preserve">VII. </w:t>
      </w:r>
      <w:r w:rsidR="00747EF8" w:rsidRPr="00EC78ED">
        <w:rPr>
          <w:rFonts w:ascii="Times New Roman" w:hAnsi="Times New Roman" w:cs="Times New Roman"/>
          <w:b/>
          <w:sz w:val="24"/>
          <w:szCs w:val="24"/>
        </w:rPr>
        <w:t>La conexión fáctica/jurídica de la causa de pedir</w:t>
      </w:r>
      <w:r w:rsidR="00E469E8" w:rsidRPr="00EC78ED">
        <w:rPr>
          <w:rFonts w:ascii="Times New Roman" w:hAnsi="Times New Roman" w:cs="Times New Roman"/>
          <w:b/>
          <w:sz w:val="24"/>
          <w:szCs w:val="24"/>
        </w:rPr>
        <w:t xml:space="preserve">. La conexión por el </w:t>
      </w:r>
      <w:proofErr w:type="spellStart"/>
      <w:r w:rsidR="00E469E8" w:rsidRPr="00EC78ED">
        <w:rPr>
          <w:rFonts w:ascii="Times New Roman" w:hAnsi="Times New Roman" w:cs="Times New Roman"/>
          <w:b/>
          <w:i/>
          <w:sz w:val="24"/>
          <w:szCs w:val="24"/>
        </w:rPr>
        <w:t>negotium</w:t>
      </w:r>
      <w:proofErr w:type="spellEnd"/>
      <w:r w:rsidR="00383164" w:rsidRPr="00A4637E">
        <w:rPr>
          <w:rStyle w:val="Refdenotaalpie"/>
          <w:rFonts w:ascii="Times New Roman" w:hAnsi="Times New Roman" w:cs="Times New Roman"/>
          <w:b/>
          <w:i/>
          <w:sz w:val="24"/>
          <w:szCs w:val="24"/>
        </w:rPr>
        <w:footnoteReference w:id="38"/>
      </w:r>
      <w:r w:rsidR="00E469E8" w:rsidRPr="00EC78ED">
        <w:rPr>
          <w:rFonts w:ascii="Times New Roman" w:hAnsi="Times New Roman" w:cs="Times New Roman"/>
          <w:b/>
          <w:sz w:val="24"/>
          <w:szCs w:val="24"/>
        </w:rPr>
        <w:t xml:space="preserve"> (</w:t>
      </w:r>
      <w:proofErr w:type="spellStart"/>
      <w:r w:rsidR="00E469E8" w:rsidRPr="00EC78ED">
        <w:rPr>
          <w:rFonts w:ascii="Times New Roman" w:hAnsi="Times New Roman" w:cs="Times New Roman"/>
          <w:b/>
          <w:i/>
          <w:sz w:val="24"/>
          <w:szCs w:val="24"/>
        </w:rPr>
        <w:t>nec-otium</w:t>
      </w:r>
      <w:proofErr w:type="spellEnd"/>
      <w:r w:rsidR="00E469E8" w:rsidRPr="00EC78ED">
        <w:rPr>
          <w:rFonts w:ascii="Times New Roman" w:hAnsi="Times New Roman" w:cs="Times New Roman"/>
          <w:b/>
          <w:sz w:val="24"/>
          <w:szCs w:val="24"/>
        </w:rPr>
        <w:t>)</w:t>
      </w:r>
    </w:p>
    <w:p w14:paraId="241FAB82" w14:textId="175ADC28" w:rsidR="004B6C5E" w:rsidRPr="00C12E06" w:rsidRDefault="00747EF8"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Los problemas se suscitan más allá de la identidad fáctica en sentido estricto: cuando no cabe hablar de un único acontecimiento, al romperse la unidad espacio/tiempo. Y sin embargo se trata de unas acciones con una evidente conexión más allá de una mera analogía u homogeneidad: cada uno de los propietarios que ha comprado un piso o una plaza de aparcamiento en un bloque a un mismo sujeto jurídico y se encuentra ante el mismo incumplimiento o </w:t>
      </w:r>
      <w:r w:rsidR="001116AA" w:rsidRPr="00C12E06">
        <w:rPr>
          <w:rFonts w:ascii="Times New Roman" w:hAnsi="Times New Roman" w:cs="Times New Roman"/>
          <w:sz w:val="24"/>
          <w:szCs w:val="24"/>
        </w:rPr>
        <w:t>padece</w:t>
      </w:r>
      <w:r w:rsidR="00B417EF" w:rsidRPr="00C12E06">
        <w:rPr>
          <w:rFonts w:ascii="Times New Roman" w:hAnsi="Times New Roman" w:cs="Times New Roman"/>
          <w:sz w:val="24"/>
          <w:szCs w:val="24"/>
        </w:rPr>
        <w:t xml:space="preserve"> </w:t>
      </w:r>
      <w:r w:rsidRPr="00C12E06">
        <w:rPr>
          <w:rFonts w:ascii="Times New Roman" w:hAnsi="Times New Roman" w:cs="Times New Roman"/>
          <w:sz w:val="24"/>
          <w:szCs w:val="24"/>
        </w:rPr>
        <w:t>vicio</w:t>
      </w:r>
      <w:r w:rsidR="00B417EF" w:rsidRPr="00C12E06">
        <w:rPr>
          <w:rFonts w:ascii="Times New Roman" w:hAnsi="Times New Roman" w:cs="Times New Roman"/>
          <w:sz w:val="24"/>
          <w:szCs w:val="24"/>
        </w:rPr>
        <w:t>s</w:t>
      </w:r>
      <w:r w:rsidRPr="00C12E06">
        <w:rPr>
          <w:rFonts w:ascii="Times New Roman" w:hAnsi="Times New Roman" w:cs="Times New Roman"/>
          <w:sz w:val="24"/>
          <w:szCs w:val="24"/>
        </w:rPr>
        <w:t xml:space="preserve"> o defecto</w:t>
      </w:r>
      <w:r w:rsidR="00B417EF" w:rsidRPr="00C12E06">
        <w:rPr>
          <w:rFonts w:ascii="Times New Roman" w:hAnsi="Times New Roman" w:cs="Times New Roman"/>
          <w:sz w:val="24"/>
          <w:szCs w:val="24"/>
        </w:rPr>
        <w:t>s</w:t>
      </w:r>
      <w:r w:rsidRPr="00C12E06">
        <w:rPr>
          <w:rFonts w:ascii="Times New Roman" w:hAnsi="Times New Roman" w:cs="Times New Roman"/>
          <w:sz w:val="24"/>
          <w:szCs w:val="24"/>
        </w:rPr>
        <w:t xml:space="preserve"> de la construcción, los diferentes hipotecantes respecto de la misma entidad bancaria que cuestionan la </w:t>
      </w:r>
      <w:r w:rsidR="005A6CAE" w:rsidRPr="00C12E06">
        <w:rPr>
          <w:rFonts w:ascii="Times New Roman" w:hAnsi="Times New Roman" w:cs="Times New Roman"/>
          <w:sz w:val="24"/>
          <w:szCs w:val="24"/>
        </w:rPr>
        <w:t>validez de una cláusula</w:t>
      </w:r>
      <w:r w:rsidRPr="00C12E06">
        <w:rPr>
          <w:rFonts w:ascii="Times New Roman" w:hAnsi="Times New Roman" w:cs="Times New Roman"/>
          <w:sz w:val="24"/>
          <w:szCs w:val="24"/>
        </w:rPr>
        <w:t>, los</w:t>
      </w:r>
      <w:r w:rsidR="00AA2B77" w:rsidRPr="00C12E06">
        <w:rPr>
          <w:rFonts w:ascii="Times New Roman" w:hAnsi="Times New Roman" w:cs="Times New Roman"/>
          <w:sz w:val="24"/>
          <w:szCs w:val="24"/>
        </w:rPr>
        <w:t xml:space="preserve"> diversos compradores de idéntico</w:t>
      </w:r>
      <w:r w:rsidRPr="00C12E06">
        <w:rPr>
          <w:rFonts w:ascii="Times New Roman" w:hAnsi="Times New Roman" w:cs="Times New Roman"/>
          <w:sz w:val="24"/>
          <w:szCs w:val="24"/>
        </w:rPr>
        <w:t xml:space="preserve"> produ</w:t>
      </w:r>
      <w:r w:rsidR="004B6C5E" w:rsidRPr="00C12E06">
        <w:rPr>
          <w:rFonts w:ascii="Times New Roman" w:hAnsi="Times New Roman" w:cs="Times New Roman"/>
          <w:sz w:val="24"/>
          <w:szCs w:val="24"/>
        </w:rPr>
        <w:t>cto que ha resultado defectuoso, o incluso cuando varios medios de comunicación publican a la vez la misma noticia que se reputa contraria al derecho al honor</w:t>
      </w:r>
      <w:r w:rsidR="009A229D" w:rsidRPr="00C12E06">
        <w:rPr>
          <w:rStyle w:val="Refdenotaalpie"/>
          <w:rFonts w:ascii="Times New Roman" w:hAnsi="Times New Roman" w:cs="Times New Roman"/>
          <w:sz w:val="24"/>
          <w:szCs w:val="24"/>
        </w:rPr>
        <w:footnoteReference w:id="39"/>
      </w:r>
      <w:r w:rsidR="004B6C5E" w:rsidRPr="00C12E06">
        <w:rPr>
          <w:rFonts w:ascii="Times New Roman" w:hAnsi="Times New Roman" w:cs="Times New Roman"/>
          <w:sz w:val="24"/>
          <w:szCs w:val="24"/>
        </w:rPr>
        <w:t>, o si primero se publica un libro y luego se amplía la información en una entrevista en los medios de comunicación</w:t>
      </w:r>
      <w:r w:rsidR="009A229D" w:rsidRPr="00C12E06">
        <w:rPr>
          <w:rStyle w:val="Refdenotaalpie"/>
          <w:rFonts w:ascii="Times New Roman" w:hAnsi="Times New Roman" w:cs="Times New Roman"/>
          <w:sz w:val="24"/>
          <w:szCs w:val="24"/>
        </w:rPr>
        <w:footnoteReference w:id="40"/>
      </w:r>
      <w:r w:rsidR="004B6C5E" w:rsidRPr="00C12E06">
        <w:rPr>
          <w:rFonts w:ascii="Times New Roman" w:hAnsi="Times New Roman" w:cs="Times New Roman"/>
          <w:sz w:val="24"/>
          <w:szCs w:val="24"/>
        </w:rPr>
        <w:t xml:space="preserve">…, o bien si se acumula una acción accesoria a otra principal o si existe una acumulación eventual (y la titularidad de cada una corresponde a sujetos diferentes), o si se reclama la responsabilidad solidaria a varios sujetos o la mancomunada divisible a diversos deudores… </w:t>
      </w:r>
    </w:p>
    <w:p w14:paraId="0B568E0C" w14:textId="68D84386" w:rsidR="009B209A" w:rsidRPr="00C12E06" w:rsidRDefault="00747EF8"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Ciertamente son los difusos límites del litisconsorcio voluntario y de la interpretación flexible</w:t>
      </w:r>
      <w:r w:rsidRPr="00C12E06">
        <w:rPr>
          <w:rFonts w:ascii="Times New Roman" w:hAnsi="Times New Roman" w:cs="Times New Roman"/>
          <w:sz w:val="24"/>
          <w:szCs w:val="24"/>
          <w:vertAlign w:val="superscript"/>
        </w:rPr>
        <w:footnoteReference w:id="41"/>
      </w:r>
      <w:r w:rsidR="00E469E8" w:rsidRPr="00C12E06">
        <w:rPr>
          <w:rFonts w:ascii="Times New Roman" w:hAnsi="Times New Roman" w:cs="Times New Roman"/>
          <w:sz w:val="24"/>
          <w:szCs w:val="24"/>
        </w:rPr>
        <w:t xml:space="preserve"> admitida por</w:t>
      </w:r>
      <w:r w:rsidRPr="00C12E06">
        <w:rPr>
          <w:rFonts w:ascii="Times New Roman" w:hAnsi="Times New Roman" w:cs="Times New Roman"/>
          <w:sz w:val="24"/>
          <w:szCs w:val="24"/>
        </w:rPr>
        <w:t xml:space="preserve"> la juris</w:t>
      </w:r>
      <w:r w:rsidR="003E369B">
        <w:rPr>
          <w:rFonts w:ascii="Times New Roman" w:hAnsi="Times New Roman" w:cs="Times New Roman"/>
          <w:sz w:val="24"/>
          <w:szCs w:val="24"/>
        </w:rPr>
        <w:t xml:space="preserve">prudencia. Como se ha señalado, esta modalidad de litisconsorcio no está contemplada expresamente (solo se atiende a la identidad fáctica) en la LEC a pesar de que tanto la doctrina como la jurisprudencia la han venido admitiendo tradicionalmente y de que en la práctica es la habitual. Su justificación </w:t>
      </w:r>
      <w:r w:rsidR="00475FA2" w:rsidRPr="00C12E06">
        <w:rPr>
          <w:rFonts w:ascii="Times New Roman" w:hAnsi="Times New Roman" w:cs="Times New Roman"/>
          <w:sz w:val="24"/>
          <w:szCs w:val="24"/>
        </w:rPr>
        <w:t>radica</w:t>
      </w:r>
      <w:r w:rsidR="009A229D" w:rsidRPr="00C12E06">
        <w:rPr>
          <w:rFonts w:ascii="Times New Roman" w:hAnsi="Times New Roman" w:cs="Times New Roman"/>
          <w:sz w:val="24"/>
          <w:szCs w:val="24"/>
        </w:rPr>
        <w:t xml:space="preserve"> habitualmente, aunque hay excepciones,</w:t>
      </w:r>
      <w:r w:rsidR="00475FA2" w:rsidRPr="00C12E06">
        <w:rPr>
          <w:rFonts w:ascii="Times New Roman" w:hAnsi="Times New Roman" w:cs="Times New Roman"/>
          <w:sz w:val="24"/>
          <w:szCs w:val="24"/>
        </w:rPr>
        <w:t xml:space="preserve"> en la economía procesal más que en eludir pronunciamientos contradictorios. </w:t>
      </w:r>
      <w:r w:rsidR="00CA37D3" w:rsidRPr="00C12E06">
        <w:rPr>
          <w:rFonts w:ascii="Times New Roman" w:hAnsi="Times New Roman" w:cs="Times New Roman"/>
          <w:sz w:val="24"/>
          <w:szCs w:val="24"/>
        </w:rPr>
        <w:t>Un fundamento que puede alcanzar, en el proceso civil, una mayor intensidad constitucional</w:t>
      </w:r>
      <w:r w:rsidR="009B209A" w:rsidRPr="00C12E06">
        <w:rPr>
          <w:rFonts w:ascii="Times New Roman" w:hAnsi="Times New Roman" w:cs="Times New Roman"/>
          <w:sz w:val="24"/>
          <w:szCs w:val="24"/>
        </w:rPr>
        <w:t xml:space="preserve"> para favorecer la tutela judicial </w:t>
      </w:r>
      <w:r w:rsidR="009B209A" w:rsidRPr="00C12E06">
        <w:rPr>
          <w:rFonts w:ascii="Times New Roman" w:hAnsi="Times New Roman" w:cs="Times New Roman"/>
          <w:sz w:val="24"/>
          <w:szCs w:val="24"/>
        </w:rPr>
        <w:lastRenderedPageBreak/>
        <w:t>efectiva, art. 24.1 CE</w:t>
      </w:r>
      <w:r w:rsidR="00961F51" w:rsidRPr="00C12E06">
        <w:rPr>
          <w:rFonts w:ascii="Times New Roman" w:hAnsi="Times New Roman" w:cs="Times New Roman"/>
          <w:sz w:val="24"/>
          <w:szCs w:val="24"/>
        </w:rPr>
        <w:t>, que la</w:t>
      </w:r>
      <w:r w:rsidR="00592761">
        <w:rPr>
          <w:rFonts w:ascii="Times New Roman" w:hAnsi="Times New Roman" w:cs="Times New Roman"/>
          <w:sz w:val="24"/>
          <w:szCs w:val="24"/>
        </w:rPr>
        <w:t xml:space="preserve"> de la acumulación anclada</w:t>
      </w:r>
      <w:r w:rsidR="00F03728" w:rsidRPr="00C12E06">
        <w:rPr>
          <w:rFonts w:ascii="Times New Roman" w:hAnsi="Times New Roman" w:cs="Times New Roman"/>
          <w:sz w:val="24"/>
          <w:szCs w:val="24"/>
        </w:rPr>
        <w:t xml:space="preserve"> en la</w:t>
      </w:r>
      <w:r w:rsidR="00961F51" w:rsidRPr="00C12E06">
        <w:rPr>
          <w:rFonts w:ascii="Times New Roman" w:hAnsi="Times New Roman" w:cs="Times New Roman"/>
          <w:sz w:val="24"/>
          <w:szCs w:val="24"/>
        </w:rPr>
        <w:t xml:space="preserve"> </w:t>
      </w:r>
      <w:r w:rsidR="00F03728" w:rsidRPr="00C12E06">
        <w:rPr>
          <w:rFonts w:ascii="Times New Roman" w:hAnsi="Times New Roman" w:cs="Times New Roman"/>
          <w:sz w:val="24"/>
          <w:szCs w:val="24"/>
        </w:rPr>
        <w:t>identidad fáctica</w:t>
      </w:r>
      <w:r w:rsidR="003E369B">
        <w:rPr>
          <w:rFonts w:ascii="Times New Roman" w:hAnsi="Times New Roman" w:cs="Times New Roman"/>
          <w:sz w:val="24"/>
          <w:szCs w:val="24"/>
        </w:rPr>
        <w:t>.</w:t>
      </w:r>
      <w:r w:rsidR="00633C9B" w:rsidRPr="00C12E06">
        <w:rPr>
          <w:rFonts w:ascii="Times New Roman" w:hAnsi="Times New Roman" w:cs="Times New Roman"/>
          <w:sz w:val="24"/>
          <w:szCs w:val="24"/>
        </w:rPr>
        <w:t xml:space="preserve"> </w:t>
      </w:r>
      <w:r w:rsidR="009B209A" w:rsidRPr="00C12E06">
        <w:rPr>
          <w:rFonts w:ascii="Times New Roman" w:hAnsi="Times New Roman" w:cs="Times New Roman"/>
          <w:sz w:val="24"/>
          <w:szCs w:val="24"/>
        </w:rPr>
        <w:t>De</w:t>
      </w:r>
      <w:r w:rsidR="009A229D" w:rsidRPr="00C12E06">
        <w:rPr>
          <w:rFonts w:ascii="Times New Roman" w:hAnsi="Times New Roman" w:cs="Times New Roman"/>
          <w:sz w:val="24"/>
          <w:szCs w:val="24"/>
        </w:rPr>
        <w:t xml:space="preserve"> hecho, en ciertas ocasiones, </w:t>
      </w:r>
      <w:proofErr w:type="spellStart"/>
      <w:r w:rsidR="009A229D" w:rsidRPr="00C12E06">
        <w:rPr>
          <w:rFonts w:ascii="Times New Roman" w:hAnsi="Times New Roman" w:cs="Times New Roman"/>
          <w:i/>
          <w:sz w:val="24"/>
          <w:szCs w:val="24"/>
        </w:rPr>
        <w:t>e.g</w:t>
      </w:r>
      <w:proofErr w:type="spellEnd"/>
      <w:r w:rsidR="009A229D" w:rsidRPr="00C12E06">
        <w:rPr>
          <w:rFonts w:ascii="Times New Roman" w:hAnsi="Times New Roman" w:cs="Times New Roman"/>
          <w:i/>
          <w:sz w:val="24"/>
          <w:szCs w:val="24"/>
        </w:rPr>
        <w:t xml:space="preserve">., </w:t>
      </w:r>
      <w:r w:rsidR="009A229D" w:rsidRPr="00C12E06">
        <w:rPr>
          <w:rFonts w:ascii="Times New Roman" w:hAnsi="Times New Roman" w:cs="Times New Roman"/>
          <w:sz w:val="24"/>
          <w:szCs w:val="24"/>
        </w:rPr>
        <w:t>obligaciones solidarias o</w:t>
      </w:r>
      <w:r w:rsidR="009B209A" w:rsidRPr="00C12E06">
        <w:rPr>
          <w:rFonts w:ascii="Times New Roman" w:hAnsi="Times New Roman" w:cs="Times New Roman"/>
          <w:sz w:val="24"/>
          <w:szCs w:val="24"/>
        </w:rPr>
        <w:t xml:space="preserve"> responsabilidad principal y subsidiaria, es el propio plano sustantivo el que parecería </w:t>
      </w:r>
      <w:r w:rsidR="00961F51" w:rsidRPr="00C12E06">
        <w:rPr>
          <w:rFonts w:ascii="Times New Roman" w:hAnsi="Times New Roman" w:cs="Times New Roman"/>
          <w:sz w:val="24"/>
          <w:szCs w:val="24"/>
        </w:rPr>
        <w:t>imponer, por la propia naturaleza o clase de vínculo jurídico concomitante, la</w:t>
      </w:r>
      <w:r w:rsidR="00560B48" w:rsidRPr="00C12E06">
        <w:rPr>
          <w:rFonts w:ascii="Times New Roman" w:hAnsi="Times New Roman" w:cs="Times New Roman"/>
          <w:sz w:val="24"/>
          <w:szCs w:val="24"/>
        </w:rPr>
        <w:t xml:space="preserve"> posibilidad de la</w:t>
      </w:r>
      <w:r w:rsidR="00961F51" w:rsidRPr="00C12E06">
        <w:rPr>
          <w:rFonts w:ascii="Times New Roman" w:hAnsi="Times New Roman" w:cs="Times New Roman"/>
          <w:sz w:val="24"/>
          <w:szCs w:val="24"/>
        </w:rPr>
        <w:t xml:space="preserve"> acumulación.</w:t>
      </w:r>
      <w:r w:rsidR="009B209A" w:rsidRPr="00C12E06">
        <w:rPr>
          <w:rFonts w:ascii="Times New Roman" w:hAnsi="Times New Roman" w:cs="Times New Roman"/>
          <w:sz w:val="24"/>
          <w:szCs w:val="24"/>
        </w:rPr>
        <w:t xml:space="preserve"> </w:t>
      </w:r>
      <w:r w:rsidR="00961F51" w:rsidRPr="00C12E06">
        <w:rPr>
          <w:rFonts w:ascii="Times New Roman" w:hAnsi="Times New Roman" w:cs="Times New Roman"/>
          <w:sz w:val="24"/>
          <w:szCs w:val="24"/>
        </w:rPr>
        <w:t>Como contrapartida, el problema es que la ausencia de unos límites precisos en esta clase de acumulación propicia una flexibilidad exacerba</w:t>
      </w:r>
      <w:r w:rsidR="00592761">
        <w:rPr>
          <w:rFonts w:ascii="Times New Roman" w:hAnsi="Times New Roman" w:cs="Times New Roman"/>
          <w:sz w:val="24"/>
          <w:szCs w:val="24"/>
        </w:rPr>
        <w:t>da y es consentida</w:t>
      </w:r>
      <w:r w:rsidR="00961F51" w:rsidRPr="00C12E06">
        <w:rPr>
          <w:rFonts w:ascii="Times New Roman" w:hAnsi="Times New Roman" w:cs="Times New Roman"/>
          <w:sz w:val="24"/>
          <w:szCs w:val="24"/>
        </w:rPr>
        <w:t xml:space="preserve"> en hipótesis dudosísimas dada la ausencia de </w:t>
      </w:r>
      <w:r w:rsidR="00592761">
        <w:rPr>
          <w:rFonts w:ascii="Times New Roman" w:hAnsi="Times New Roman" w:cs="Times New Roman"/>
          <w:sz w:val="24"/>
          <w:szCs w:val="24"/>
        </w:rPr>
        <w:t xml:space="preserve">una </w:t>
      </w:r>
      <w:r w:rsidR="00961F51" w:rsidRPr="00C12E06">
        <w:rPr>
          <w:rFonts w:ascii="Times New Roman" w:hAnsi="Times New Roman" w:cs="Times New Roman"/>
          <w:sz w:val="24"/>
          <w:szCs w:val="24"/>
        </w:rPr>
        <w:t xml:space="preserve">vinculación </w:t>
      </w:r>
      <w:r w:rsidR="00592761">
        <w:rPr>
          <w:rFonts w:ascii="Times New Roman" w:hAnsi="Times New Roman" w:cs="Times New Roman"/>
          <w:sz w:val="24"/>
          <w:szCs w:val="24"/>
        </w:rPr>
        <w:t xml:space="preserve">intensa </w:t>
      </w:r>
      <w:r w:rsidR="00961F51" w:rsidRPr="00C12E06">
        <w:rPr>
          <w:rFonts w:ascii="Times New Roman" w:hAnsi="Times New Roman" w:cs="Times New Roman"/>
          <w:sz w:val="24"/>
          <w:szCs w:val="24"/>
        </w:rPr>
        <w:t>entre las acciones ejercitadas</w:t>
      </w:r>
      <w:r w:rsidR="00592761">
        <w:rPr>
          <w:rFonts w:ascii="Times New Roman" w:hAnsi="Times New Roman" w:cs="Times New Roman"/>
          <w:sz w:val="24"/>
          <w:szCs w:val="24"/>
        </w:rPr>
        <w:t>.</w:t>
      </w:r>
      <w:r w:rsidR="00AA2B77" w:rsidRPr="00C12E06">
        <w:rPr>
          <w:rFonts w:ascii="Times New Roman" w:hAnsi="Times New Roman" w:cs="Times New Roman"/>
          <w:sz w:val="24"/>
          <w:szCs w:val="24"/>
        </w:rPr>
        <w:t xml:space="preserve"> </w:t>
      </w:r>
    </w:p>
    <w:p w14:paraId="52F2F7CE" w14:textId="18646CB5" w:rsidR="00747EF8" w:rsidRDefault="00747EF8"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¿Cuáles son los criterios para deslindar los supuestos de conexión, que sí permiten la acumulación, de la mera homogeneidad, que no la consiente?</w:t>
      </w:r>
      <w:r w:rsidR="0005165C">
        <w:rPr>
          <w:rFonts w:ascii="Times New Roman" w:hAnsi="Times New Roman" w:cs="Times New Roman"/>
          <w:sz w:val="24"/>
          <w:szCs w:val="24"/>
        </w:rPr>
        <w:t xml:space="preserve"> </w:t>
      </w:r>
      <w:r w:rsidR="00C7723A">
        <w:rPr>
          <w:rFonts w:ascii="Times New Roman" w:hAnsi="Times New Roman" w:cs="Times New Roman"/>
          <w:sz w:val="24"/>
          <w:szCs w:val="24"/>
        </w:rPr>
        <w:t>En estos casos</w:t>
      </w:r>
      <w:r w:rsidR="003E369B">
        <w:rPr>
          <w:rFonts w:ascii="Times New Roman" w:hAnsi="Times New Roman" w:cs="Times New Roman"/>
          <w:sz w:val="24"/>
          <w:szCs w:val="24"/>
        </w:rPr>
        <w:t xml:space="preserve"> e</w:t>
      </w:r>
      <w:r w:rsidR="00961F51" w:rsidRPr="00C12E06">
        <w:rPr>
          <w:rFonts w:ascii="Times New Roman" w:hAnsi="Times New Roman" w:cs="Times New Roman"/>
          <w:sz w:val="24"/>
          <w:szCs w:val="24"/>
        </w:rPr>
        <w:t>l centro de gravedad</w:t>
      </w:r>
      <w:r w:rsidR="003E369B">
        <w:rPr>
          <w:rFonts w:ascii="Times New Roman" w:hAnsi="Times New Roman" w:cs="Times New Roman"/>
          <w:sz w:val="24"/>
          <w:szCs w:val="24"/>
        </w:rPr>
        <w:t xml:space="preserve"> se desplaza</w:t>
      </w:r>
      <w:r w:rsidR="00961F51" w:rsidRPr="00C12E06">
        <w:rPr>
          <w:rFonts w:ascii="Times New Roman" w:hAnsi="Times New Roman" w:cs="Times New Roman"/>
          <w:sz w:val="24"/>
          <w:szCs w:val="24"/>
        </w:rPr>
        <w:t xml:space="preserve">, a efectos de la acumulación, </w:t>
      </w:r>
      <w:r w:rsidR="003E369B">
        <w:rPr>
          <w:rFonts w:ascii="Times New Roman" w:hAnsi="Times New Roman" w:cs="Times New Roman"/>
          <w:sz w:val="24"/>
          <w:szCs w:val="24"/>
        </w:rPr>
        <w:t>e</w:t>
      </w:r>
      <w:r w:rsidR="00961F51" w:rsidRPr="00C12E06">
        <w:rPr>
          <w:rFonts w:ascii="Times New Roman" w:hAnsi="Times New Roman" w:cs="Times New Roman"/>
          <w:sz w:val="24"/>
          <w:szCs w:val="24"/>
        </w:rPr>
        <w:t xml:space="preserve">n la causa de pedir de los hechos a la fundamentación jurídica (el título como se conoce impropiamente). </w:t>
      </w:r>
      <w:r w:rsidR="009A229D" w:rsidRPr="00C12E06">
        <w:rPr>
          <w:rFonts w:ascii="Times New Roman" w:hAnsi="Times New Roman" w:cs="Times New Roman"/>
          <w:sz w:val="24"/>
          <w:szCs w:val="24"/>
        </w:rPr>
        <w:t xml:space="preserve">Como ya se ha advertido </w:t>
      </w:r>
      <w:r w:rsidR="009A229D" w:rsidRPr="00C12E06">
        <w:rPr>
          <w:rFonts w:ascii="Times New Roman" w:hAnsi="Times New Roman" w:cs="Times New Roman"/>
          <w:i/>
          <w:sz w:val="24"/>
          <w:szCs w:val="24"/>
        </w:rPr>
        <w:t xml:space="preserve">supra </w:t>
      </w:r>
      <w:r w:rsidR="008E4985" w:rsidRPr="00C12E06">
        <w:rPr>
          <w:rFonts w:ascii="Times New Roman" w:hAnsi="Times New Roman" w:cs="Times New Roman"/>
          <w:sz w:val="24"/>
          <w:szCs w:val="24"/>
        </w:rPr>
        <w:t>resulta imposible o ilusorio exigir la identidad del vínculo jurídico, del título o negocio jurídico</w:t>
      </w:r>
      <w:r w:rsidR="009A229D" w:rsidRPr="00C12E06">
        <w:rPr>
          <w:rFonts w:ascii="Times New Roman" w:hAnsi="Times New Roman" w:cs="Times New Roman"/>
          <w:sz w:val="24"/>
          <w:szCs w:val="24"/>
        </w:rPr>
        <w:t xml:space="preserve"> sino que en todo caso concurrirá la conexión del mismo.</w:t>
      </w:r>
      <w:r w:rsidR="008E4985" w:rsidRPr="00C12E06">
        <w:rPr>
          <w:rFonts w:ascii="Times New Roman" w:hAnsi="Times New Roman" w:cs="Times New Roman"/>
          <w:sz w:val="24"/>
          <w:szCs w:val="24"/>
        </w:rPr>
        <w:t xml:space="preserve"> Se trata, en definitiva, de hipótesis muy variadas cuyo elemento común </w:t>
      </w:r>
      <w:r w:rsidR="00626358" w:rsidRPr="00C12E06">
        <w:rPr>
          <w:rFonts w:ascii="Times New Roman" w:hAnsi="Times New Roman" w:cs="Times New Roman"/>
          <w:sz w:val="24"/>
          <w:szCs w:val="24"/>
        </w:rPr>
        <w:t>e</w:t>
      </w:r>
      <w:r w:rsidR="008E4985" w:rsidRPr="00C12E06">
        <w:rPr>
          <w:rFonts w:ascii="Times New Roman" w:hAnsi="Times New Roman" w:cs="Times New Roman"/>
          <w:sz w:val="24"/>
          <w:szCs w:val="24"/>
        </w:rPr>
        <w:t>s</w:t>
      </w:r>
      <w:r w:rsidR="00626358" w:rsidRPr="00C12E06">
        <w:rPr>
          <w:rFonts w:ascii="Times New Roman" w:hAnsi="Times New Roman" w:cs="Times New Roman"/>
          <w:sz w:val="24"/>
          <w:szCs w:val="24"/>
        </w:rPr>
        <w:t xml:space="preserve"> que la persp</w:t>
      </w:r>
      <w:r w:rsidR="00592761">
        <w:rPr>
          <w:rFonts w:ascii="Times New Roman" w:hAnsi="Times New Roman" w:cs="Times New Roman"/>
          <w:sz w:val="24"/>
          <w:szCs w:val="24"/>
        </w:rPr>
        <w:t>ectiva jurídica</w:t>
      </w:r>
      <w:r w:rsidR="00626358" w:rsidRPr="00C12E06">
        <w:rPr>
          <w:rFonts w:ascii="Times New Roman" w:hAnsi="Times New Roman" w:cs="Times New Roman"/>
          <w:sz w:val="24"/>
          <w:szCs w:val="24"/>
        </w:rPr>
        <w:t xml:space="preserve"> </w:t>
      </w:r>
      <w:r w:rsidR="002F3B85" w:rsidRPr="00C12E06">
        <w:rPr>
          <w:rFonts w:ascii="Times New Roman" w:hAnsi="Times New Roman" w:cs="Times New Roman"/>
          <w:sz w:val="24"/>
          <w:szCs w:val="24"/>
        </w:rPr>
        <w:t>resulta decisiva para consentir la acumulación, pero que pueden diferenciarse en dos grupos. En el primero</w:t>
      </w:r>
      <w:r w:rsidR="00626358" w:rsidRPr="00C12E06">
        <w:rPr>
          <w:rFonts w:ascii="Times New Roman" w:hAnsi="Times New Roman" w:cs="Times New Roman"/>
          <w:sz w:val="24"/>
          <w:szCs w:val="24"/>
        </w:rPr>
        <w:t xml:space="preserve"> el elemento fáctico sigue teniendo una impo</w:t>
      </w:r>
      <w:r w:rsidR="003A4DA5" w:rsidRPr="00C12E06">
        <w:rPr>
          <w:rFonts w:ascii="Times New Roman" w:hAnsi="Times New Roman" w:cs="Times New Roman"/>
          <w:sz w:val="24"/>
          <w:szCs w:val="24"/>
        </w:rPr>
        <w:t xml:space="preserve">rtancia decisiva </w:t>
      </w:r>
      <w:r w:rsidR="00626358" w:rsidRPr="00C12E06">
        <w:rPr>
          <w:rFonts w:ascii="Times New Roman" w:hAnsi="Times New Roman" w:cs="Times New Roman"/>
          <w:sz w:val="24"/>
          <w:szCs w:val="24"/>
        </w:rPr>
        <w:t xml:space="preserve">mientras que en </w:t>
      </w:r>
      <w:r w:rsidR="002F3B85" w:rsidRPr="00C12E06">
        <w:rPr>
          <w:rFonts w:ascii="Times New Roman" w:hAnsi="Times New Roman" w:cs="Times New Roman"/>
          <w:sz w:val="24"/>
          <w:szCs w:val="24"/>
        </w:rPr>
        <w:t>el</w:t>
      </w:r>
      <w:r w:rsidR="00626358" w:rsidRPr="00C12E06">
        <w:rPr>
          <w:rFonts w:ascii="Times New Roman" w:hAnsi="Times New Roman" w:cs="Times New Roman"/>
          <w:sz w:val="24"/>
          <w:szCs w:val="24"/>
        </w:rPr>
        <w:t xml:space="preserve"> </w:t>
      </w:r>
      <w:r w:rsidR="002F3B85" w:rsidRPr="00C12E06">
        <w:rPr>
          <w:rFonts w:ascii="Times New Roman" w:hAnsi="Times New Roman" w:cs="Times New Roman"/>
          <w:sz w:val="24"/>
          <w:szCs w:val="24"/>
        </w:rPr>
        <w:t>segundo</w:t>
      </w:r>
      <w:r w:rsidRPr="00C12E06">
        <w:rPr>
          <w:rFonts w:ascii="Times New Roman" w:hAnsi="Times New Roman" w:cs="Times New Roman"/>
          <w:sz w:val="24"/>
          <w:szCs w:val="24"/>
        </w:rPr>
        <w:t xml:space="preserve"> </w:t>
      </w:r>
      <w:r w:rsidR="00560B48" w:rsidRPr="00C12E06">
        <w:rPr>
          <w:rFonts w:ascii="Times New Roman" w:hAnsi="Times New Roman" w:cs="Times New Roman"/>
          <w:sz w:val="24"/>
          <w:szCs w:val="24"/>
        </w:rPr>
        <w:t>se diluye</w:t>
      </w:r>
      <w:r w:rsidR="003A4DA5" w:rsidRPr="00C12E06">
        <w:rPr>
          <w:rFonts w:ascii="Times New Roman" w:hAnsi="Times New Roman" w:cs="Times New Roman"/>
          <w:sz w:val="24"/>
          <w:szCs w:val="24"/>
        </w:rPr>
        <w:t xml:space="preserve"> ese factor.</w:t>
      </w:r>
    </w:p>
    <w:p w14:paraId="4E196B82" w14:textId="0BC2C546" w:rsidR="00747EF8" w:rsidRPr="00A27A08" w:rsidRDefault="004F6593" w:rsidP="00560C4E">
      <w:pPr>
        <w:spacing w:after="0"/>
        <w:ind w:firstLine="708"/>
        <w:jc w:val="both"/>
        <w:rPr>
          <w:rFonts w:ascii="Times New Roman" w:hAnsi="Times New Roman" w:cs="Times New Roman"/>
          <w:b/>
          <w:sz w:val="24"/>
          <w:szCs w:val="24"/>
        </w:rPr>
      </w:pPr>
      <w:r w:rsidRPr="00A27A08">
        <w:rPr>
          <w:rFonts w:ascii="Times New Roman" w:hAnsi="Times New Roman" w:cs="Times New Roman"/>
          <w:b/>
          <w:sz w:val="24"/>
          <w:szCs w:val="24"/>
        </w:rPr>
        <w:t xml:space="preserve">A) </w:t>
      </w:r>
      <w:r w:rsidR="00541158">
        <w:rPr>
          <w:rFonts w:ascii="Times New Roman" w:hAnsi="Times New Roman" w:cs="Times New Roman"/>
          <w:b/>
          <w:sz w:val="24"/>
          <w:szCs w:val="24"/>
        </w:rPr>
        <w:t>L</w:t>
      </w:r>
      <w:r w:rsidR="00747EF8" w:rsidRPr="00A27A08">
        <w:rPr>
          <w:rFonts w:ascii="Times New Roman" w:hAnsi="Times New Roman" w:cs="Times New Roman"/>
          <w:b/>
          <w:sz w:val="24"/>
          <w:szCs w:val="24"/>
        </w:rPr>
        <w:t>a conexión de la causa d</w:t>
      </w:r>
      <w:r w:rsidR="00451F8B" w:rsidRPr="00A27A08">
        <w:rPr>
          <w:rFonts w:ascii="Times New Roman" w:hAnsi="Times New Roman" w:cs="Times New Roman"/>
          <w:b/>
          <w:sz w:val="24"/>
          <w:szCs w:val="24"/>
        </w:rPr>
        <w:t xml:space="preserve">e pedir sigue centrándose en </w:t>
      </w:r>
      <w:r w:rsidR="00541158">
        <w:rPr>
          <w:rFonts w:ascii="Times New Roman" w:hAnsi="Times New Roman" w:cs="Times New Roman"/>
          <w:b/>
          <w:sz w:val="24"/>
          <w:szCs w:val="24"/>
        </w:rPr>
        <w:t>e</w:t>
      </w:r>
      <w:r w:rsidR="00451F8B" w:rsidRPr="00A27A08">
        <w:rPr>
          <w:rFonts w:ascii="Times New Roman" w:hAnsi="Times New Roman" w:cs="Times New Roman"/>
          <w:b/>
          <w:sz w:val="24"/>
          <w:szCs w:val="24"/>
        </w:rPr>
        <w:t>l</w:t>
      </w:r>
      <w:r w:rsidR="00541158">
        <w:rPr>
          <w:rFonts w:ascii="Times New Roman" w:hAnsi="Times New Roman" w:cs="Times New Roman"/>
          <w:b/>
          <w:sz w:val="24"/>
          <w:szCs w:val="24"/>
        </w:rPr>
        <w:t xml:space="preserve"> complejo fáctico pero prevalece</w:t>
      </w:r>
      <w:r w:rsidR="00747EF8" w:rsidRPr="00A27A08">
        <w:rPr>
          <w:rFonts w:ascii="Times New Roman" w:hAnsi="Times New Roman" w:cs="Times New Roman"/>
          <w:b/>
          <w:sz w:val="24"/>
          <w:szCs w:val="24"/>
        </w:rPr>
        <w:t xml:space="preserve"> la trascendencia de la perspectiva jurídica </w:t>
      </w:r>
      <w:r w:rsidR="00541158">
        <w:rPr>
          <w:rFonts w:ascii="Times New Roman" w:hAnsi="Times New Roman" w:cs="Times New Roman"/>
          <w:b/>
          <w:sz w:val="24"/>
          <w:szCs w:val="24"/>
        </w:rPr>
        <w:t>planteada</w:t>
      </w:r>
    </w:p>
    <w:p w14:paraId="42747C06" w14:textId="55544FCE" w:rsidR="003A4DA5" w:rsidRDefault="00A165C4"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Cabe diferenciar dos supuestos a su vez: </w:t>
      </w:r>
    </w:p>
    <w:p w14:paraId="638CEFE9" w14:textId="73902151" w:rsidR="00A27A08" w:rsidRPr="00A27A08" w:rsidRDefault="00451F8B" w:rsidP="00560C4E">
      <w:pPr>
        <w:spacing w:after="0"/>
        <w:jc w:val="both"/>
        <w:rPr>
          <w:rFonts w:ascii="Times New Roman" w:hAnsi="Times New Roman" w:cs="Times New Roman"/>
          <w:b/>
          <w:sz w:val="24"/>
          <w:szCs w:val="24"/>
        </w:rPr>
      </w:pPr>
      <w:r w:rsidRPr="00A27A08">
        <w:rPr>
          <w:rFonts w:ascii="Times New Roman" w:hAnsi="Times New Roman" w:cs="Times New Roman"/>
          <w:b/>
          <w:sz w:val="24"/>
          <w:szCs w:val="24"/>
        </w:rPr>
        <w:t xml:space="preserve">A.1. </w:t>
      </w:r>
      <w:r w:rsidR="00541158">
        <w:rPr>
          <w:rFonts w:ascii="Times New Roman" w:hAnsi="Times New Roman" w:cs="Times New Roman"/>
          <w:b/>
          <w:sz w:val="24"/>
          <w:szCs w:val="24"/>
        </w:rPr>
        <w:t>Existencia de</w:t>
      </w:r>
      <w:r w:rsidR="00A27A08" w:rsidRPr="00A27A08">
        <w:rPr>
          <w:rFonts w:ascii="Times New Roman" w:hAnsi="Times New Roman" w:cs="Times New Roman"/>
          <w:b/>
          <w:sz w:val="24"/>
          <w:szCs w:val="24"/>
        </w:rPr>
        <w:t xml:space="preserve"> la identidad fáctica</w:t>
      </w:r>
    </w:p>
    <w:p w14:paraId="7408DD7E" w14:textId="5FAB1A9E" w:rsidR="00E35E06" w:rsidRPr="00C12E06" w:rsidRDefault="00A165C4"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En</w:t>
      </w:r>
      <w:r w:rsidR="00A4457D" w:rsidRPr="00C12E06">
        <w:rPr>
          <w:rFonts w:ascii="Times New Roman" w:hAnsi="Times New Roman" w:cs="Times New Roman"/>
          <w:sz w:val="24"/>
          <w:szCs w:val="24"/>
        </w:rPr>
        <w:t xml:space="preserve"> primer lugar,</w:t>
      </w:r>
      <w:r w:rsidRPr="00C12E06">
        <w:rPr>
          <w:rFonts w:ascii="Times New Roman" w:hAnsi="Times New Roman" w:cs="Times New Roman"/>
          <w:sz w:val="24"/>
          <w:szCs w:val="24"/>
        </w:rPr>
        <w:t xml:space="preserve"> </w:t>
      </w:r>
      <w:r w:rsidR="00560B48" w:rsidRPr="00C12E06">
        <w:rPr>
          <w:rFonts w:ascii="Times New Roman" w:hAnsi="Times New Roman" w:cs="Times New Roman"/>
          <w:sz w:val="24"/>
          <w:szCs w:val="24"/>
        </w:rPr>
        <w:t xml:space="preserve">en </w:t>
      </w:r>
      <w:r w:rsidRPr="00C12E06">
        <w:rPr>
          <w:rFonts w:ascii="Times New Roman" w:hAnsi="Times New Roman" w:cs="Times New Roman"/>
          <w:sz w:val="24"/>
          <w:szCs w:val="24"/>
        </w:rPr>
        <w:t>algunas hipótesis de obligaciones solidarias o mancomunadas di</w:t>
      </w:r>
      <w:r w:rsidR="00560B48" w:rsidRPr="00C12E06">
        <w:rPr>
          <w:rFonts w:ascii="Times New Roman" w:hAnsi="Times New Roman" w:cs="Times New Roman"/>
          <w:sz w:val="24"/>
          <w:szCs w:val="24"/>
        </w:rPr>
        <w:t>visibles en realidad se enjuician</w:t>
      </w:r>
      <w:r w:rsidR="00970711" w:rsidRPr="00C12E06">
        <w:rPr>
          <w:rFonts w:ascii="Times New Roman" w:hAnsi="Times New Roman" w:cs="Times New Roman"/>
          <w:sz w:val="24"/>
          <w:szCs w:val="24"/>
        </w:rPr>
        <w:t xml:space="preserve"> los mismos hechos, </w:t>
      </w:r>
      <w:r w:rsidRPr="00C12E06">
        <w:rPr>
          <w:rFonts w:ascii="Times New Roman" w:hAnsi="Times New Roman" w:cs="Times New Roman"/>
          <w:sz w:val="24"/>
          <w:szCs w:val="24"/>
        </w:rPr>
        <w:t>p. ej., varios compradores solidarios de un mismo bien</w:t>
      </w:r>
      <w:r w:rsidR="00BC360E">
        <w:rPr>
          <w:rFonts w:ascii="Times New Roman" w:hAnsi="Times New Roman" w:cs="Times New Roman"/>
          <w:sz w:val="24"/>
          <w:szCs w:val="24"/>
        </w:rPr>
        <w:t xml:space="preserve"> o deudores de esa índole</w:t>
      </w:r>
      <w:r w:rsidR="00BC360E">
        <w:rPr>
          <w:rStyle w:val="Refdenotaalpie"/>
          <w:rFonts w:ascii="Times New Roman" w:hAnsi="Times New Roman" w:cs="Times New Roman"/>
          <w:sz w:val="24"/>
          <w:szCs w:val="24"/>
        </w:rPr>
        <w:footnoteReference w:id="42"/>
      </w:r>
      <w:r w:rsidR="00BC360E">
        <w:rPr>
          <w:rFonts w:ascii="Times New Roman" w:hAnsi="Times New Roman" w:cs="Times New Roman"/>
          <w:sz w:val="24"/>
          <w:szCs w:val="24"/>
        </w:rPr>
        <w:t xml:space="preserve">, </w:t>
      </w:r>
      <w:r w:rsidR="00DC1C86">
        <w:rPr>
          <w:rFonts w:ascii="Times New Roman" w:hAnsi="Times New Roman" w:cs="Times New Roman"/>
          <w:sz w:val="24"/>
          <w:szCs w:val="24"/>
        </w:rPr>
        <w:t>la reclamación de daños de la construcción</w:t>
      </w:r>
      <w:r w:rsidR="00DC1C86">
        <w:rPr>
          <w:rStyle w:val="Refdenotaalpie"/>
          <w:rFonts w:ascii="Times New Roman" w:hAnsi="Times New Roman" w:cs="Times New Roman"/>
          <w:sz w:val="24"/>
          <w:szCs w:val="24"/>
        </w:rPr>
        <w:footnoteReference w:id="43"/>
      </w:r>
      <w:r w:rsidR="00DC1C86">
        <w:rPr>
          <w:rFonts w:ascii="Times New Roman" w:hAnsi="Times New Roman" w:cs="Times New Roman"/>
          <w:sz w:val="24"/>
          <w:szCs w:val="24"/>
        </w:rPr>
        <w:t>,</w:t>
      </w:r>
      <w:r w:rsidR="00444C98" w:rsidRPr="00C12E06">
        <w:rPr>
          <w:rFonts w:ascii="Times New Roman" w:hAnsi="Times New Roman" w:cs="Times New Roman"/>
          <w:sz w:val="24"/>
          <w:szCs w:val="24"/>
        </w:rPr>
        <w:t xml:space="preserve"> </w:t>
      </w:r>
      <w:r w:rsidR="005A6CAE" w:rsidRPr="00C12E06">
        <w:rPr>
          <w:rFonts w:ascii="Times New Roman" w:hAnsi="Times New Roman" w:cs="Times New Roman"/>
          <w:sz w:val="24"/>
          <w:szCs w:val="24"/>
        </w:rPr>
        <w:t xml:space="preserve"> la </w:t>
      </w:r>
      <w:r w:rsidR="00DC1C86">
        <w:rPr>
          <w:rFonts w:ascii="Times New Roman" w:hAnsi="Times New Roman" w:cs="Times New Roman"/>
          <w:sz w:val="24"/>
          <w:szCs w:val="24"/>
        </w:rPr>
        <w:t>exigencia</w:t>
      </w:r>
      <w:r w:rsidR="005A6CAE" w:rsidRPr="00C12E06">
        <w:rPr>
          <w:rFonts w:ascii="Times New Roman" w:hAnsi="Times New Roman" w:cs="Times New Roman"/>
          <w:sz w:val="24"/>
          <w:szCs w:val="24"/>
        </w:rPr>
        <w:t xml:space="preserve"> por el impago de las cuotas a favor de la comunidad al antiguo propietario y al nuevo adquirente, art. 9.1.e) LPH, o</w:t>
      </w:r>
      <w:r w:rsidR="00444C98" w:rsidRPr="00C12E06">
        <w:rPr>
          <w:rFonts w:ascii="Times New Roman" w:hAnsi="Times New Roman" w:cs="Times New Roman"/>
          <w:sz w:val="24"/>
          <w:szCs w:val="24"/>
        </w:rPr>
        <w:t xml:space="preserve"> si, por el contrario</w:t>
      </w:r>
      <w:r w:rsidR="002F3B85" w:rsidRPr="00C12E06">
        <w:rPr>
          <w:rFonts w:ascii="Times New Roman" w:hAnsi="Times New Roman" w:cs="Times New Roman"/>
          <w:sz w:val="24"/>
          <w:szCs w:val="24"/>
        </w:rPr>
        <w:t>,</w:t>
      </w:r>
      <w:r w:rsidR="00E469E8" w:rsidRPr="00C12E06">
        <w:rPr>
          <w:rFonts w:ascii="Times New Roman" w:hAnsi="Times New Roman" w:cs="Times New Roman"/>
          <w:sz w:val="24"/>
          <w:szCs w:val="24"/>
        </w:rPr>
        <w:t xml:space="preserve"> </w:t>
      </w:r>
      <w:r w:rsidR="002F3B85" w:rsidRPr="00C12E06">
        <w:rPr>
          <w:rFonts w:ascii="Times New Roman" w:hAnsi="Times New Roman" w:cs="Times New Roman"/>
          <w:sz w:val="24"/>
          <w:szCs w:val="24"/>
        </w:rPr>
        <w:t>varios sujetos originan un daño sin que exista un vínculo obligacional previo y cabe deslindar la parcela del mismo de la que debe responder cada uno de manera que se impide</w:t>
      </w:r>
      <w:r w:rsidR="00560B48" w:rsidRPr="00C12E06">
        <w:rPr>
          <w:rFonts w:ascii="Times New Roman" w:hAnsi="Times New Roman" w:cs="Times New Roman"/>
          <w:sz w:val="24"/>
          <w:szCs w:val="24"/>
        </w:rPr>
        <w:t xml:space="preserve"> el nacimiento de la solidaridad impropia</w:t>
      </w:r>
      <w:r w:rsidR="00970711" w:rsidRPr="00C12E06">
        <w:rPr>
          <w:rFonts w:ascii="Times New Roman" w:hAnsi="Times New Roman" w:cs="Times New Roman"/>
          <w:sz w:val="24"/>
          <w:szCs w:val="24"/>
        </w:rPr>
        <w:t>. Sin embargo</w:t>
      </w:r>
      <w:r w:rsidR="00444C98" w:rsidRPr="00C12E06">
        <w:rPr>
          <w:rFonts w:ascii="Times New Roman" w:hAnsi="Times New Roman" w:cs="Times New Roman"/>
          <w:sz w:val="24"/>
          <w:szCs w:val="24"/>
        </w:rPr>
        <w:t xml:space="preserve"> lo que singulariza a </w:t>
      </w:r>
      <w:r w:rsidR="00A4457D" w:rsidRPr="00C12E06">
        <w:rPr>
          <w:rFonts w:ascii="Times New Roman" w:hAnsi="Times New Roman" w:cs="Times New Roman"/>
          <w:sz w:val="24"/>
          <w:szCs w:val="24"/>
        </w:rPr>
        <w:t>estos supuestos es el añadido de la perspectiva jurídica</w:t>
      </w:r>
      <w:r w:rsidR="00560B48" w:rsidRPr="00C12E06">
        <w:rPr>
          <w:rFonts w:ascii="Times New Roman" w:hAnsi="Times New Roman" w:cs="Times New Roman"/>
          <w:sz w:val="24"/>
          <w:szCs w:val="24"/>
        </w:rPr>
        <w:t xml:space="preserve"> que resulta</w:t>
      </w:r>
      <w:r w:rsidR="00A4457D" w:rsidRPr="00C12E06">
        <w:rPr>
          <w:rFonts w:ascii="Times New Roman" w:hAnsi="Times New Roman" w:cs="Times New Roman"/>
          <w:sz w:val="24"/>
          <w:szCs w:val="24"/>
        </w:rPr>
        <w:t xml:space="preserve"> decisiva </w:t>
      </w:r>
      <w:r w:rsidR="00560B48" w:rsidRPr="00C12E06">
        <w:rPr>
          <w:rFonts w:ascii="Times New Roman" w:hAnsi="Times New Roman" w:cs="Times New Roman"/>
          <w:sz w:val="24"/>
          <w:szCs w:val="24"/>
        </w:rPr>
        <w:t>y que hace que al plantearse la posible acumulación ni siquiera haya que atender al plano fáctico: la mera existencia del vínculo solidario despeja cualquier duda acerca de la viabilidad del litisconsorcio y lo mismo sucede cuando se trata de las obligaciones mancomunadas divis</w:t>
      </w:r>
      <w:r w:rsidR="00980BCE" w:rsidRPr="00C12E06">
        <w:rPr>
          <w:rFonts w:ascii="Times New Roman" w:hAnsi="Times New Roman" w:cs="Times New Roman"/>
          <w:sz w:val="24"/>
          <w:szCs w:val="24"/>
        </w:rPr>
        <w:t>i</w:t>
      </w:r>
      <w:r w:rsidR="00560B48" w:rsidRPr="00C12E06">
        <w:rPr>
          <w:rFonts w:ascii="Times New Roman" w:hAnsi="Times New Roman" w:cs="Times New Roman"/>
          <w:sz w:val="24"/>
          <w:szCs w:val="24"/>
        </w:rPr>
        <w:t>bles</w:t>
      </w:r>
      <w:r w:rsidR="00980BCE" w:rsidRPr="00C12E06">
        <w:rPr>
          <w:rFonts w:ascii="Times New Roman" w:hAnsi="Times New Roman" w:cs="Times New Roman"/>
          <w:sz w:val="24"/>
          <w:szCs w:val="24"/>
        </w:rPr>
        <w:t xml:space="preserve"> resultantes del mismo negocio jurídico</w:t>
      </w:r>
      <w:r w:rsidR="00560B48" w:rsidRPr="00C12E06">
        <w:rPr>
          <w:rFonts w:ascii="Times New Roman" w:hAnsi="Times New Roman" w:cs="Times New Roman"/>
          <w:sz w:val="24"/>
          <w:szCs w:val="24"/>
        </w:rPr>
        <w:t>.</w:t>
      </w:r>
      <w:r w:rsidR="001C6703" w:rsidRPr="00C12E06">
        <w:rPr>
          <w:rFonts w:ascii="Times New Roman" w:hAnsi="Times New Roman" w:cs="Times New Roman"/>
          <w:sz w:val="24"/>
          <w:szCs w:val="24"/>
        </w:rPr>
        <w:t xml:space="preserve"> Es el</w:t>
      </w:r>
      <w:r w:rsidR="00897E61" w:rsidRPr="00C12E06">
        <w:rPr>
          <w:rFonts w:ascii="Times New Roman" w:hAnsi="Times New Roman" w:cs="Times New Roman"/>
          <w:sz w:val="24"/>
          <w:szCs w:val="24"/>
        </w:rPr>
        <w:t xml:space="preserve"> negocio o vínculo jurídico</w:t>
      </w:r>
      <w:r w:rsidR="001C6703" w:rsidRPr="00C12E06">
        <w:rPr>
          <w:rFonts w:ascii="Times New Roman" w:hAnsi="Times New Roman" w:cs="Times New Roman"/>
          <w:sz w:val="24"/>
          <w:szCs w:val="24"/>
        </w:rPr>
        <w:t xml:space="preserve"> (con independencia de que la pluralidad de obligaciones se corresponda o no con una única relación obligatoria)</w:t>
      </w:r>
      <w:r w:rsidR="00980BCE" w:rsidRPr="00C12E06">
        <w:rPr>
          <w:rFonts w:ascii="Times New Roman" w:hAnsi="Times New Roman" w:cs="Times New Roman"/>
          <w:sz w:val="24"/>
          <w:szCs w:val="24"/>
        </w:rPr>
        <w:t xml:space="preserve"> que se somete al tribunal lo que abre las puertas a la acumulación</w:t>
      </w:r>
      <w:r w:rsidR="00384EE3" w:rsidRPr="00C12E06">
        <w:rPr>
          <w:rFonts w:ascii="Times New Roman" w:hAnsi="Times New Roman" w:cs="Times New Roman"/>
          <w:sz w:val="24"/>
          <w:szCs w:val="24"/>
        </w:rPr>
        <w:t xml:space="preserve"> sin necesidad de examinar si se trata de los mismos hechos. </w:t>
      </w:r>
      <w:r w:rsidR="005F3F9A" w:rsidRPr="00C12E06">
        <w:rPr>
          <w:rFonts w:ascii="Times New Roman" w:hAnsi="Times New Roman" w:cs="Times New Roman"/>
          <w:sz w:val="24"/>
          <w:szCs w:val="24"/>
        </w:rPr>
        <w:t>En cuanto a</w:t>
      </w:r>
      <w:r w:rsidR="00980BCE" w:rsidRPr="00C12E06">
        <w:rPr>
          <w:rFonts w:ascii="Times New Roman" w:hAnsi="Times New Roman" w:cs="Times New Roman"/>
          <w:sz w:val="24"/>
          <w:szCs w:val="24"/>
        </w:rPr>
        <w:t>l tratamiento procesal de esta hipótesis</w:t>
      </w:r>
      <w:r w:rsidR="005F3F9A" w:rsidRPr="00C12E06">
        <w:rPr>
          <w:rFonts w:ascii="Times New Roman" w:hAnsi="Times New Roman" w:cs="Times New Roman"/>
          <w:sz w:val="24"/>
          <w:szCs w:val="24"/>
        </w:rPr>
        <w:t xml:space="preserve"> por un lado</w:t>
      </w:r>
      <w:r w:rsidR="00980BCE" w:rsidRPr="00C12E06">
        <w:rPr>
          <w:rFonts w:ascii="Times New Roman" w:hAnsi="Times New Roman" w:cs="Times New Roman"/>
          <w:sz w:val="24"/>
          <w:szCs w:val="24"/>
        </w:rPr>
        <w:t xml:space="preserve"> </w:t>
      </w:r>
      <w:r w:rsidR="005F3F9A" w:rsidRPr="00C12E06">
        <w:rPr>
          <w:rFonts w:ascii="Times New Roman" w:hAnsi="Times New Roman" w:cs="Times New Roman"/>
          <w:sz w:val="24"/>
          <w:szCs w:val="24"/>
        </w:rPr>
        <w:t>hay que reafirmar las conclusiones expuestas en el caso anterior, l</w:t>
      </w:r>
      <w:r w:rsidR="00980BCE" w:rsidRPr="00C12E06">
        <w:rPr>
          <w:rFonts w:ascii="Times New Roman" w:hAnsi="Times New Roman" w:cs="Times New Roman"/>
          <w:sz w:val="24"/>
          <w:szCs w:val="24"/>
        </w:rPr>
        <w:t xml:space="preserve">os supuestos de identidad fáctica en sentido estricto, sobre todo cuando entonces también concurría la misma perspectiva jurídica. </w:t>
      </w:r>
      <w:r w:rsidR="001116AA" w:rsidRPr="00C12E06">
        <w:rPr>
          <w:rFonts w:ascii="Times New Roman" w:hAnsi="Times New Roman" w:cs="Times New Roman"/>
          <w:sz w:val="24"/>
          <w:szCs w:val="24"/>
        </w:rPr>
        <w:t>Nótese que este e</w:t>
      </w:r>
      <w:r w:rsidR="00E010DB" w:rsidRPr="00C12E06">
        <w:rPr>
          <w:rFonts w:ascii="Times New Roman" w:hAnsi="Times New Roman" w:cs="Times New Roman"/>
          <w:sz w:val="24"/>
          <w:szCs w:val="24"/>
        </w:rPr>
        <w:t xml:space="preserve">s el supuesto en el que dentro de la conexión jurídica vuelve a resultar decisiva la finalidad de evitar pronunciamientos contradictorios para reforzar la seguridad jurídica y se </w:t>
      </w:r>
      <w:r w:rsidR="00E010DB" w:rsidRPr="00C12E06">
        <w:rPr>
          <w:rFonts w:ascii="Times New Roman" w:hAnsi="Times New Roman" w:cs="Times New Roman"/>
          <w:sz w:val="24"/>
          <w:szCs w:val="24"/>
        </w:rPr>
        <w:lastRenderedPageBreak/>
        <w:t xml:space="preserve">equipara en cuanto a fortaleza a la economía procesal. </w:t>
      </w:r>
      <w:r w:rsidR="00055170" w:rsidRPr="00C12E06">
        <w:rPr>
          <w:rFonts w:ascii="Times New Roman" w:hAnsi="Times New Roman" w:cs="Times New Roman"/>
          <w:sz w:val="24"/>
          <w:szCs w:val="24"/>
        </w:rPr>
        <w:t>Y es que aunque pueda existir una pluralidad de obligaciones e incluso de relaciones jurídicas diferentes (mancomunidad divisible) no resulta asumible</w:t>
      </w:r>
      <w:r w:rsidR="005F3F9A" w:rsidRPr="00C12E06">
        <w:rPr>
          <w:rFonts w:ascii="Times New Roman" w:hAnsi="Times New Roman" w:cs="Times New Roman"/>
          <w:sz w:val="24"/>
          <w:szCs w:val="24"/>
        </w:rPr>
        <w:t xml:space="preserve"> (seguridad jurí</w:t>
      </w:r>
      <w:r w:rsidR="00C60045" w:rsidRPr="00C12E06">
        <w:rPr>
          <w:rFonts w:ascii="Times New Roman" w:hAnsi="Times New Roman" w:cs="Times New Roman"/>
          <w:sz w:val="24"/>
          <w:szCs w:val="24"/>
        </w:rPr>
        <w:t>dica</w:t>
      </w:r>
      <w:r w:rsidR="005F3F9A" w:rsidRPr="00C12E06">
        <w:rPr>
          <w:rFonts w:ascii="Times New Roman" w:hAnsi="Times New Roman" w:cs="Times New Roman"/>
          <w:sz w:val="24"/>
          <w:szCs w:val="24"/>
        </w:rPr>
        <w:t>)</w:t>
      </w:r>
      <w:r w:rsidR="00055170" w:rsidRPr="00C12E06">
        <w:rPr>
          <w:rFonts w:ascii="Times New Roman" w:hAnsi="Times New Roman" w:cs="Times New Roman"/>
          <w:sz w:val="24"/>
          <w:szCs w:val="24"/>
        </w:rPr>
        <w:t xml:space="preserve"> que los mismos hechos</w:t>
      </w:r>
      <w:r w:rsidR="005F3F9A" w:rsidRPr="00C12E06">
        <w:rPr>
          <w:rFonts w:ascii="Times New Roman" w:hAnsi="Times New Roman" w:cs="Times New Roman"/>
          <w:sz w:val="24"/>
          <w:szCs w:val="24"/>
        </w:rPr>
        <w:t xml:space="preserve"> puedan ser de una manera</w:t>
      </w:r>
      <w:r w:rsidR="00C60045" w:rsidRPr="00C12E06">
        <w:rPr>
          <w:rFonts w:ascii="Times New Roman" w:hAnsi="Times New Roman" w:cs="Times New Roman"/>
          <w:sz w:val="24"/>
          <w:szCs w:val="24"/>
        </w:rPr>
        <w:t xml:space="preserve"> diferente</w:t>
      </w:r>
      <w:r w:rsidR="005F3F9A" w:rsidRPr="00C12E06">
        <w:rPr>
          <w:rFonts w:ascii="Times New Roman" w:hAnsi="Times New Roman" w:cs="Times New Roman"/>
          <w:sz w:val="24"/>
          <w:szCs w:val="24"/>
        </w:rPr>
        <w:t xml:space="preserve"> para cada uno de los litisconsortes, </w:t>
      </w:r>
      <w:r w:rsidR="00D80379" w:rsidRPr="00C12E06">
        <w:rPr>
          <w:rFonts w:ascii="Times New Roman" w:hAnsi="Times New Roman" w:cs="Times New Roman"/>
          <w:sz w:val="24"/>
          <w:szCs w:val="24"/>
        </w:rPr>
        <w:t>con las consecuencias que allí se apuntaban.</w:t>
      </w:r>
      <w:r w:rsidR="005F3F9A" w:rsidRPr="00C12E06">
        <w:rPr>
          <w:rFonts w:ascii="Times New Roman" w:hAnsi="Times New Roman" w:cs="Times New Roman"/>
          <w:sz w:val="24"/>
          <w:szCs w:val="24"/>
        </w:rPr>
        <w:t xml:space="preserve"> Y lo mismo cabe </w:t>
      </w:r>
      <w:r w:rsidR="00035415" w:rsidRPr="00C12E06">
        <w:rPr>
          <w:rFonts w:ascii="Times New Roman" w:hAnsi="Times New Roman" w:cs="Times New Roman"/>
          <w:sz w:val="24"/>
          <w:szCs w:val="24"/>
        </w:rPr>
        <w:t>decir respecto de las cuestiones jurídicas compartidas,</w:t>
      </w:r>
      <w:r w:rsidR="00897E61" w:rsidRPr="00C12E06">
        <w:rPr>
          <w:rFonts w:ascii="Times New Roman" w:hAnsi="Times New Roman" w:cs="Times New Roman"/>
          <w:sz w:val="24"/>
          <w:szCs w:val="24"/>
        </w:rPr>
        <w:t xml:space="preserve"> por ejemplo las </w:t>
      </w:r>
      <w:r w:rsidR="00035415" w:rsidRPr="00C12E06">
        <w:rPr>
          <w:rFonts w:ascii="Times New Roman" w:hAnsi="Times New Roman" w:cs="Times New Roman"/>
          <w:sz w:val="24"/>
          <w:szCs w:val="24"/>
        </w:rPr>
        <w:t xml:space="preserve">causas de nulidad </w:t>
      </w:r>
      <w:r w:rsidR="00897E61" w:rsidRPr="00C12E06">
        <w:rPr>
          <w:rFonts w:ascii="Times New Roman" w:hAnsi="Times New Roman" w:cs="Times New Roman"/>
          <w:sz w:val="24"/>
          <w:szCs w:val="24"/>
        </w:rPr>
        <w:t xml:space="preserve">o anulabilidad </w:t>
      </w:r>
      <w:r w:rsidR="00035415" w:rsidRPr="00C12E06">
        <w:rPr>
          <w:rFonts w:ascii="Times New Roman" w:hAnsi="Times New Roman" w:cs="Times New Roman"/>
          <w:sz w:val="24"/>
          <w:szCs w:val="24"/>
        </w:rPr>
        <w:t>comunes</w:t>
      </w:r>
      <w:r w:rsidR="00897E61" w:rsidRPr="00C12E06">
        <w:rPr>
          <w:rFonts w:ascii="Times New Roman" w:hAnsi="Times New Roman" w:cs="Times New Roman"/>
          <w:sz w:val="24"/>
          <w:szCs w:val="24"/>
        </w:rPr>
        <w:t xml:space="preserve"> (causa ilícita…) deberán correr la misma suerte en todos los supuestos</w:t>
      </w:r>
      <w:r w:rsidR="00035415" w:rsidRPr="00C12E06">
        <w:rPr>
          <w:rFonts w:ascii="Times New Roman" w:hAnsi="Times New Roman" w:cs="Times New Roman"/>
          <w:sz w:val="24"/>
          <w:szCs w:val="24"/>
        </w:rPr>
        <w:t>, mientras que las que sean exclusivas</w:t>
      </w:r>
      <w:r w:rsidR="00897E61" w:rsidRPr="00C12E06">
        <w:rPr>
          <w:rFonts w:ascii="Times New Roman" w:hAnsi="Times New Roman" w:cs="Times New Roman"/>
          <w:sz w:val="24"/>
          <w:szCs w:val="24"/>
        </w:rPr>
        <w:t xml:space="preserve"> o haya que singularizar para cada sujeto (vicio del consentimiento, prescripción…) recibirán un tratamiento diferenciado.</w:t>
      </w:r>
      <w:r w:rsidR="00035415" w:rsidRPr="00C12E06">
        <w:rPr>
          <w:rFonts w:ascii="Times New Roman" w:hAnsi="Times New Roman" w:cs="Times New Roman"/>
          <w:sz w:val="24"/>
          <w:szCs w:val="24"/>
        </w:rPr>
        <w:t xml:space="preserve"> </w:t>
      </w:r>
      <w:r w:rsidR="00D80379" w:rsidRPr="00C12E06">
        <w:rPr>
          <w:rFonts w:ascii="Times New Roman" w:hAnsi="Times New Roman" w:cs="Times New Roman"/>
          <w:sz w:val="24"/>
          <w:szCs w:val="24"/>
        </w:rPr>
        <w:t xml:space="preserve">Por eso, además de postular la eficacia extensiva del fallo en los recursos respecto de la </w:t>
      </w:r>
      <w:proofErr w:type="spellStart"/>
      <w:r w:rsidR="00D80379" w:rsidRPr="00C12E06">
        <w:rPr>
          <w:rFonts w:ascii="Times New Roman" w:hAnsi="Times New Roman" w:cs="Times New Roman"/>
          <w:i/>
          <w:sz w:val="24"/>
          <w:szCs w:val="24"/>
        </w:rPr>
        <w:t>quaestio</w:t>
      </w:r>
      <w:proofErr w:type="spellEnd"/>
      <w:r w:rsidR="00D80379" w:rsidRPr="00C12E06">
        <w:rPr>
          <w:rFonts w:ascii="Times New Roman" w:hAnsi="Times New Roman" w:cs="Times New Roman"/>
          <w:i/>
          <w:sz w:val="24"/>
          <w:szCs w:val="24"/>
        </w:rPr>
        <w:t xml:space="preserve"> </w:t>
      </w:r>
      <w:proofErr w:type="spellStart"/>
      <w:r w:rsidR="00D80379" w:rsidRPr="00C12E06">
        <w:rPr>
          <w:rFonts w:ascii="Times New Roman" w:hAnsi="Times New Roman" w:cs="Times New Roman"/>
          <w:i/>
          <w:sz w:val="24"/>
          <w:szCs w:val="24"/>
        </w:rPr>
        <w:t>facti</w:t>
      </w:r>
      <w:proofErr w:type="spellEnd"/>
      <w:r w:rsidR="00D80379" w:rsidRPr="00C12E06">
        <w:rPr>
          <w:rFonts w:ascii="Times New Roman" w:hAnsi="Times New Roman" w:cs="Times New Roman"/>
          <w:sz w:val="24"/>
          <w:szCs w:val="24"/>
        </w:rPr>
        <w:t xml:space="preserve"> compartida, también preconizamos la misma suerte en lo que se refiere a la fundamentación jurídica común que aquí también resulta decisiva para la acumulación. Recuérdese, sin embargo, que jurisprudencialmente únicamente se admite dicha eficacia en la solidaridad</w:t>
      </w:r>
      <w:r w:rsidR="00A75342">
        <w:rPr>
          <w:rFonts w:ascii="Times New Roman" w:hAnsi="Times New Roman" w:cs="Times New Roman"/>
          <w:sz w:val="24"/>
          <w:szCs w:val="24"/>
        </w:rPr>
        <w:t xml:space="preserve">, </w:t>
      </w:r>
      <w:r w:rsidR="00A75342">
        <w:rPr>
          <w:rFonts w:ascii="Times New Roman" w:hAnsi="Times New Roman" w:cs="Times New Roman"/>
          <w:i/>
          <w:sz w:val="24"/>
          <w:szCs w:val="24"/>
        </w:rPr>
        <w:t>supra</w:t>
      </w:r>
      <w:r w:rsidR="00D80379" w:rsidRPr="00C12E06">
        <w:rPr>
          <w:rFonts w:ascii="Times New Roman" w:hAnsi="Times New Roman" w:cs="Times New Roman"/>
          <w:sz w:val="24"/>
          <w:szCs w:val="24"/>
        </w:rPr>
        <w:t xml:space="preserve">. </w:t>
      </w:r>
    </w:p>
    <w:p w14:paraId="4EDCDEB3" w14:textId="47775A3B" w:rsidR="00A27A08" w:rsidRPr="00A27A08" w:rsidRDefault="000E4EE4" w:rsidP="00560C4E">
      <w:pPr>
        <w:spacing w:after="0"/>
        <w:jc w:val="both"/>
        <w:rPr>
          <w:rFonts w:ascii="Times New Roman" w:hAnsi="Times New Roman" w:cs="Times New Roman"/>
          <w:b/>
          <w:sz w:val="24"/>
          <w:szCs w:val="24"/>
        </w:rPr>
      </w:pPr>
      <w:r w:rsidRPr="00A27A08">
        <w:rPr>
          <w:rFonts w:ascii="Times New Roman" w:hAnsi="Times New Roman" w:cs="Times New Roman"/>
          <w:b/>
          <w:sz w:val="24"/>
          <w:szCs w:val="24"/>
        </w:rPr>
        <w:t xml:space="preserve">A.2. </w:t>
      </w:r>
      <w:r w:rsidR="00A27A08" w:rsidRPr="00A27A08">
        <w:rPr>
          <w:rFonts w:ascii="Times New Roman" w:hAnsi="Times New Roman" w:cs="Times New Roman"/>
          <w:b/>
          <w:sz w:val="24"/>
          <w:szCs w:val="24"/>
        </w:rPr>
        <w:t>Hechos homogéneos</w:t>
      </w:r>
    </w:p>
    <w:p w14:paraId="403E339E" w14:textId="5B4A30E5" w:rsidR="00747EF8" w:rsidRPr="00C12E06" w:rsidRDefault="00980BCE"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En segundo lugar nos encontraríamos aquellos supuestos ya esbozados en los que no existe identidad fáctica en modo alguno pero sí una verdadera similitud o parentesco próximo en los hechos enjuiciados: los diversos compradores de locales o pisos en un inmueble</w:t>
      </w:r>
      <w:r w:rsidR="0087642A">
        <w:rPr>
          <w:rStyle w:val="Refdenotaalpie"/>
          <w:rFonts w:ascii="Times New Roman" w:hAnsi="Times New Roman" w:cs="Times New Roman"/>
          <w:sz w:val="24"/>
          <w:szCs w:val="24"/>
        </w:rPr>
        <w:footnoteReference w:id="44"/>
      </w:r>
      <w:r w:rsidRPr="00C12E06">
        <w:rPr>
          <w:rFonts w:ascii="Times New Roman" w:hAnsi="Times New Roman" w:cs="Times New Roman"/>
          <w:sz w:val="24"/>
          <w:szCs w:val="24"/>
        </w:rPr>
        <w:t>; los distintos hipotecantes con la misma entidad financiera; la publicación de la noticia en diferentes medios de comunicación</w:t>
      </w:r>
      <w:r w:rsidR="00DE5BD1">
        <w:rPr>
          <w:rFonts w:ascii="Times New Roman" w:hAnsi="Times New Roman" w:cs="Times New Roman"/>
          <w:sz w:val="24"/>
          <w:szCs w:val="24"/>
        </w:rPr>
        <w:t>,</w:t>
      </w:r>
      <w:r w:rsidR="00C60045" w:rsidRPr="00C12E06">
        <w:rPr>
          <w:rFonts w:ascii="Times New Roman" w:hAnsi="Times New Roman" w:cs="Times New Roman"/>
          <w:sz w:val="24"/>
          <w:szCs w:val="24"/>
        </w:rPr>
        <w:t xml:space="preserve"> los diferentes propietarios </w:t>
      </w:r>
      <w:r w:rsidR="00E010DB" w:rsidRPr="00C12E06">
        <w:rPr>
          <w:rFonts w:ascii="Times New Roman" w:hAnsi="Times New Roman" w:cs="Times New Roman"/>
          <w:sz w:val="24"/>
          <w:szCs w:val="24"/>
        </w:rPr>
        <w:t>de distintos pisos o locales</w:t>
      </w:r>
      <w:r w:rsidR="00A75342">
        <w:rPr>
          <w:rFonts w:ascii="Times New Roman" w:hAnsi="Times New Roman" w:cs="Times New Roman"/>
          <w:sz w:val="24"/>
          <w:szCs w:val="24"/>
        </w:rPr>
        <w:t xml:space="preserve"> de un inmueble</w:t>
      </w:r>
      <w:r w:rsidR="00E010DB" w:rsidRPr="00C12E06">
        <w:rPr>
          <w:rFonts w:ascii="Times New Roman" w:hAnsi="Times New Roman" w:cs="Times New Roman"/>
          <w:sz w:val="24"/>
          <w:szCs w:val="24"/>
        </w:rPr>
        <w:t xml:space="preserve"> </w:t>
      </w:r>
      <w:r w:rsidR="00A75342">
        <w:rPr>
          <w:rFonts w:ascii="Times New Roman" w:hAnsi="Times New Roman" w:cs="Times New Roman"/>
          <w:sz w:val="24"/>
          <w:szCs w:val="24"/>
        </w:rPr>
        <w:t xml:space="preserve">que </w:t>
      </w:r>
      <w:r w:rsidR="00C60045" w:rsidRPr="00C12E06">
        <w:rPr>
          <w:rFonts w:ascii="Times New Roman" w:hAnsi="Times New Roman" w:cs="Times New Roman"/>
          <w:sz w:val="24"/>
          <w:szCs w:val="24"/>
        </w:rPr>
        <w:t>han dejado de pagar las cuotas de la comunidad</w:t>
      </w:r>
      <w:r w:rsidRPr="00C12E06">
        <w:rPr>
          <w:rFonts w:ascii="Times New Roman" w:hAnsi="Times New Roman" w:cs="Times New Roman"/>
          <w:sz w:val="24"/>
          <w:szCs w:val="24"/>
        </w:rPr>
        <w:t xml:space="preserve">… </w:t>
      </w:r>
      <w:r w:rsidR="00747EF8" w:rsidRPr="00C12E06">
        <w:rPr>
          <w:rFonts w:ascii="Times New Roman" w:hAnsi="Times New Roman" w:cs="Times New Roman"/>
          <w:sz w:val="24"/>
          <w:szCs w:val="24"/>
        </w:rPr>
        <w:t xml:space="preserve">Muy resumidamente, como se va a explicar, la técnica empleada (la misma que se utilizaba con el art. 156 de la </w:t>
      </w:r>
      <w:proofErr w:type="spellStart"/>
      <w:r w:rsidR="00747EF8" w:rsidRPr="00C12E06">
        <w:rPr>
          <w:rFonts w:ascii="Times New Roman" w:hAnsi="Times New Roman" w:cs="Times New Roman"/>
          <w:sz w:val="24"/>
          <w:szCs w:val="24"/>
        </w:rPr>
        <w:t>Lec</w:t>
      </w:r>
      <w:proofErr w:type="spellEnd"/>
      <w:r w:rsidR="00747EF8" w:rsidRPr="00C12E06">
        <w:rPr>
          <w:rFonts w:ascii="Times New Roman" w:hAnsi="Times New Roman" w:cs="Times New Roman"/>
          <w:sz w:val="24"/>
          <w:szCs w:val="24"/>
        </w:rPr>
        <w:t xml:space="preserve"> de 1881) consiste en exigir una vinculación intensa entre los hechos, un parecido o semejanza más que razonable</w:t>
      </w:r>
      <w:r w:rsidR="00E469E8" w:rsidRPr="00C12E06">
        <w:rPr>
          <w:rFonts w:ascii="Times New Roman" w:hAnsi="Times New Roman" w:cs="Times New Roman"/>
          <w:sz w:val="24"/>
          <w:szCs w:val="24"/>
        </w:rPr>
        <w:t>, en la</w:t>
      </w:r>
      <w:r w:rsidR="00747EF8" w:rsidRPr="00C12E06">
        <w:rPr>
          <w:rFonts w:ascii="Times New Roman" w:hAnsi="Times New Roman" w:cs="Times New Roman"/>
          <w:sz w:val="24"/>
          <w:szCs w:val="24"/>
        </w:rPr>
        <w:t xml:space="preserve"> que la perspectiva jurídica de los mismos pasa a ser decisiva: debe tratarse de negocios o relaciones jurídicas muy semejantes (lo </w:t>
      </w:r>
      <w:r w:rsidR="00E469E8" w:rsidRPr="00C12E06">
        <w:rPr>
          <w:rFonts w:ascii="Times New Roman" w:hAnsi="Times New Roman" w:cs="Times New Roman"/>
          <w:sz w:val="24"/>
          <w:szCs w:val="24"/>
        </w:rPr>
        <w:t>trascendental</w:t>
      </w:r>
      <w:r w:rsidR="00747EF8" w:rsidRPr="00C12E06">
        <w:rPr>
          <w:rFonts w:ascii="Times New Roman" w:hAnsi="Times New Roman" w:cs="Times New Roman"/>
          <w:sz w:val="24"/>
          <w:szCs w:val="24"/>
        </w:rPr>
        <w:t xml:space="preserve"> es su finalidad última) vinculadas subjetivamente y respecto de las cuales se suscita una idéntica problemática jurídica. </w:t>
      </w:r>
      <w:r w:rsidR="000E4EE4" w:rsidRPr="00C12E06">
        <w:rPr>
          <w:rFonts w:ascii="Times New Roman" w:hAnsi="Times New Roman" w:cs="Times New Roman"/>
          <w:sz w:val="24"/>
          <w:szCs w:val="24"/>
        </w:rPr>
        <w:t xml:space="preserve">Repárese además que en esta modalidad de acumulación </w:t>
      </w:r>
      <w:r w:rsidR="0048335B">
        <w:rPr>
          <w:rFonts w:ascii="Times New Roman" w:hAnsi="Times New Roman" w:cs="Times New Roman"/>
          <w:sz w:val="24"/>
          <w:szCs w:val="24"/>
        </w:rPr>
        <w:t xml:space="preserve">en la mayoría de las ocasiones </w:t>
      </w:r>
      <w:r w:rsidR="000E4EE4" w:rsidRPr="00C12E06">
        <w:rPr>
          <w:rFonts w:ascii="Times New Roman" w:hAnsi="Times New Roman" w:cs="Times New Roman"/>
          <w:sz w:val="24"/>
          <w:szCs w:val="24"/>
        </w:rPr>
        <w:t>lo decisivo es la posición activa: no es que no pueda existir también un litisconsorcio pasivo en cuanto que se reclame frente a varios</w:t>
      </w:r>
      <w:r w:rsidR="0048335B">
        <w:rPr>
          <w:rFonts w:ascii="Times New Roman" w:hAnsi="Times New Roman" w:cs="Times New Roman"/>
          <w:sz w:val="24"/>
          <w:szCs w:val="24"/>
        </w:rPr>
        <w:t xml:space="preserve"> (</w:t>
      </w:r>
      <w:proofErr w:type="spellStart"/>
      <w:r w:rsidR="0048335B">
        <w:rPr>
          <w:rFonts w:ascii="Times New Roman" w:hAnsi="Times New Roman" w:cs="Times New Roman"/>
          <w:i/>
          <w:sz w:val="24"/>
          <w:szCs w:val="24"/>
        </w:rPr>
        <w:t>e.g</w:t>
      </w:r>
      <w:proofErr w:type="spellEnd"/>
      <w:r w:rsidR="0048335B">
        <w:rPr>
          <w:rFonts w:ascii="Times New Roman" w:hAnsi="Times New Roman" w:cs="Times New Roman"/>
          <w:i/>
          <w:sz w:val="24"/>
          <w:szCs w:val="24"/>
        </w:rPr>
        <w:t>.</w:t>
      </w:r>
      <w:r w:rsidR="0048335B">
        <w:rPr>
          <w:rFonts w:ascii="Times New Roman" w:hAnsi="Times New Roman" w:cs="Times New Roman"/>
          <w:sz w:val="24"/>
          <w:szCs w:val="24"/>
        </w:rPr>
        <w:t>, la publicación de la noticia en varios medios de comunicación) pero sí es mucho más infrecuente.</w:t>
      </w:r>
    </w:p>
    <w:p w14:paraId="2D4F02A0" w14:textId="77777777" w:rsidR="00747EF8" w:rsidRPr="00C12E06" w:rsidRDefault="00747EF8" w:rsidP="00560C4E">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Efectivamente: </w:t>
      </w:r>
    </w:p>
    <w:p w14:paraId="4B247FE1" w14:textId="0E58F666" w:rsidR="00747EF8" w:rsidRPr="00C12E06" w:rsidRDefault="00451F8B" w:rsidP="00BB7EDA">
      <w:pPr>
        <w:spacing w:after="0"/>
        <w:ind w:firstLine="708"/>
        <w:jc w:val="both"/>
        <w:rPr>
          <w:rFonts w:ascii="Times New Roman" w:hAnsi="Times New Roman" w:cs="Times New Roman"/>
          <w:sz w:val="24"/>
          <w:szCs w:val="24"/>
        </w:rPr>
      </w:pPr>
      <w:r w:rsidRPr="00C12E06">
        <w:rPr>
          <w:rFonts w:ascii="Times New Roman" w:hAnsi="Times New Roman" w:cs="Times New Roman"/>
          <w:sz w:val="24"/>
          <w:szCs w:val="24"/>
        </w:rPr>
        <w:t xml:space="preserve">1. </w:t>
      </w:r>
      <w:r w:rsidR="003E369B">
        <w:rPr>
          <w:rFonts w:ascii="Times New Roman" w:hAnsi="Times New Roman" w:cs="Times New Roman"/>
          <w:sz w:val="24"/>
          <w:szCs w:val="24"/>
        </w:rPr>
        <w:t>E</w:t>
      </w:r>
      <w:r w:rsidR="00747EF8" w:rsidRPr="00C12E06">
        <w:rPr>
          <w:rFonts w:ascii="Times New Roman" w:hAnsi="Times New Roman" w:cs="Times New Roman"/>
          <w:sz w:val="24"/>
          <w:szCs w:val="24"/>
        </w:rPr>
        <w:t>l plano fáctico sigue teniendo trascendencia, aunque reducida. Así, debe de tratarse de hechos muy semejantes: que se ha adquirido un bien, se ha constituido una garantía real, se ha publicado una misma información en diversos medios, se han dejado de pagar las cuotas de la comunidad</w:t>
      </w:r>
      <w:r w:rsidR="00E010DB" w:rsidRPr="00C12E06">
        <w:rPr>
          <w:rFonts w:ascii="Times New Roman" w:hAnsi="Times New Roman" w:cs="Times New Roman"/>
          <w:sz w:val="24"/>
          <w:szCs w:val="24"/>
        </w:rPr>
        <w:t xml:space="preserve"> de distintos pisos</w:t>
      </w:r>
      <w:r w:rsidR="00427D0A">
        <w:rPr>
          <w:rFonts w:ascii="Times New Roman" w:hAnsi="Times New Roman" w:cs="Times New Roman"/>
          <w:sz w:val="24"/>
          <w:szCs w:val="24"/>
        </w:rPr>
        <w:t xml:space="preserve">, se ha incumplido la entrega </w:t>
      </w:r>
      <w:r w:rsidR="00437B3B">
        <w:rPr>
          <w:rFonts w:ascii="Times New Roman" w:hAnsi="Times New Roman" w:cs="Times New Roman"/>
          <w:sz w:val="24"/>
          <w:szCs w:val="24"/>
        </w:rPr>
        <w:t>del bien frente a los diversos</w:t>
      </w:r>
      <w:r w:rsidR="00427D0A">
        <w:rPr>
          <w:rFonts w:ascii="Times New Roman" w:hAnsi="Times New Roman" w:cs="Times New Roman"/>
          <w:sz w:val="24"/>
          <w:szCs w:val="24"/>
        </w:rPr>
        <w:t xml:space="preserve"> adquirentes</w:t>
      </w:r>
      <w:r w:rsidR="00427D0A">
        <w:rPr>
          <w:rStyle w:val="Refdenotaalpie"/>
          <w:rFonts w:ascii="Times New Roman" w:hAnsi="Times New Roman" w:cs="Times New Roman"/>
          <w:sz w:val="24"/>
          <w:szCs w:val="24"/>
        </w:rPr>
        <w:footnoteReference w:id="45"/>
      </w:r>
      <w:r w:rsidR="00747EF8" w:rsidRPr="00C12E06">
        <w:rPr>
          <w:rFonts w:ascii="Times New Roman" w:hAnsi="Times New Roman" w:cs="Times New Roman"/>
          <w:sz w:val="24"/>
          <w:szCs w:val="24"/>
        </w:rPr>
        <w:t>… Y esos hechos diferentes también  tienen que estar interconectados subjetivamente, por cuanto los negocios jurídicos han tenido lugar o afectado al mismo sujeto jurídico. Por eso, si, por ejemplo, se trata de garantías reales con diferentes entidades o contratos de compraventa con diversos vendedores quiebra la conexión. Lo lógico es que esa conexión fáctica/subjetiva se concrete además también en otros elementos: los distintos compradores han adquirido pisos o garajes en un mismo inmueble… Aunque pueden encontrarse ejemplos contrarios</w:t>
      </w:r>
      <w:r w:rsidR="00FB3275" w:rsidRPr="00C12E06">
        <w:rPr>
          <w:rFonts w:ascii="Times New Roman" w:hAnsi="Times New Roman" w:cs="Times New Roman"/>
          <w:sz w:val="24"/>
          <w:szCs w:val="24"/>
        </w:rPr>
        <w:t>, admitidos por la jurisprudencia,</w:t>
      </w:r>
      <w:r w:rsidR="00747EF8" w:rsidRPr="00C12E06">
        <w:rPr>
          <w:rFonts w:ascii="Times New Roman" w:hAnsi="Times New Roman" w:cs="Times New Roman"/>
          <w:sz w:val="24"/>
          <w:szCs w:val="24"/>
        </w:rPr>
        <w:t xml:space="preserve"> difícil</w:t>
      </w:r>
      <w:r w:rsidR="00E010DB" w:rsidRPr="00C12E06">
        <w:rPr>
          <w:rFonts w:ascii="Times New Roman" w:hAnsi="Times New Roman" w:cs="Times New Roman"/>
          <w:sz w:val="24"/>
          <w:szCs w:val="24"/>
        </w:rPr>
        <w:t>mente justificables: los divers</w:t>
      </w:r>
      <w:r w:rsidR="00747EF8" w:rsidRPr="00C12E06">
        <w:rPr>
          <w:rFonts w:ascii="Times New Roman" w:hAnsi="Times New Roman" w:cs="Times New Roman"/>
          <w:sz w:val="24"/>
          <w:szCs w:val="24"/>
        </w:rPr>
        <w:t xml:space="preserve">os vendedores (proveedores) </w:t>
      </w:r>
      <w:r w:rsidR="00C60045" w:rsidRPr="00C12E06">
        <w:rPr>
          <w:rFonts w:ascii="Times New Roman" w:hAnsi="Times New Roman" w:cs="Times New Roman"/>
          <w:sz w:val="24"/>
          <w:szCs w:val="24"/>
        </w:rPr>
        <w:t xml:space="preserve">que </w:t>
      </w:r>
      <w:r w:rsidR="00747EF8" w:rsidRPr="00C12E06">
        <w:rPr>
          <w:rFonts w:ascii="Times New Roman" w:hAnsi="Times New Roman" w:cs="Times New Roman"/>
          <w:sz w:val="24"/>
          <w:szCs w:val="24"/>
        </w:rPr>
        <w:t>reclaman las cantidades de los contratos de compraventa impagados por el mismo deudor durante un plazo</w:t>
      </w:r>
      <w:r w:rsidR="00C60045" w:rsidRPr="00C12E06">
        <w:rPr>
          <w:rFonts w:ascii="Times New Roman" w:hAnsi="Times New Roman" w:cs="Times New Roman"/>
          <w:sz w:val="24"/>
          <w:szCs w:val="24"/>
        </w:rPr>
        <w:t xml:space="preserve"> de tiempo determinado</w:t>
      </w:r>
      <w:r w:rsidR="00747EF8" w:rsidRPr="00C12E06">
        <w:rPr>
          <w:rFonts w:ascii="Times New Roman" w:hAnsi="Times New Roman" w:cs="Times New Roman"/>
          <w:sz w:val="24"/>
          <w:szCs w:val="24"/>
          <w:vertAlign w:val="superscript"/>
        </w:rPr>
        <w:footnoteReference w:id="46"/>
      </w:r>
      <w:r w:rsidR="008F2082" w:rsidRPr="00C12E06">
        <w:rPr>
          <w:rFonts w:ascii="Times New Roman" w:hAnsi="Times New Roman" w:cs="Times New Roman"/>
          <w:sz w:val="24"/>
          <w:szCs w:val="24"/>
        </w:rPr>
        <w:t xml:space="preserve">, en otras ocasiones se resuelve con </w:t>
      </w:r>
      <w:r w:rsidR="008F2082" w:rsidRPr="00C12E06">
        <w:rPr>
          <w:rFonts w:ascii="Times New Roman" w:hAnsi="Times New Roman" w:cs="Times New Roman"/>
          <w:sz w:val="24"/>
          <w:szCs w:val="24"/>
        </w:rPr>
        <w:lastRenderedPageBreak/>
        <w:t>mayor rigor, así por ejemplo se desdeña la acumulación de 24 reclamaciones de pensiones por parte de la misma censualista a los censatarios fundadas en el hecho común del impago y sin que entre los censos enfitéuticos existiera ningún otro vínculo que el de la identidad de la censualista</w:t>
      </w:r>
      <w:r w:rsidR="008F2082" w:rsidRPr="00C12E06">
        <w:rPr>
          <w:rStyle w:val="Refdenotaalpie"/>
          <w:rFonts w:ascii="Times New Roman" w:hAnsi="Times New Roman" w:cs="Times New Roman"/>
          <w:sz w:val="24"/>
          <w:szCs w:val="24"/>
        </w:rPr>
        <w:footnoteReference w:id="47"/>
      </w:r>
      <w:r w:rsidR="00747EF8" w:rsidRPr="00C12E06">
        <w:rPr>
          <w:rFonts w:ascii="Times New Roman" w:hAnsi="Times New Roman" w:cs="Times New Roman"/>
          <w:sz w:val="24"/>
          <w:szCs w:val="24"/>
        </w:rPr>
        <w:t>.</w:t>
      </w:r>
    </w:p>
    <w:p w14:paraId="096E6768" w14:textId="77777777" w:rsidR="00451F8B" w:rsidRPr="00C12E06" w:rsidRDefault="00747EF8" w:rsidP="00BB7EDA">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Y a partir de aquí es cuando emerge la importancia de la perspectiva jurídica en una doble secuencia.</w:t>
      </w:r>
    </w:p>
    <w:p w14:paraId="14EA9B5E" w14:textId="192A0DA8" w:rsidR="00747EF8" w:rsidRPr="00C12E06" w:rsidRDefault="00451F8B" w:rsidP="000B489F">
      <w:pPr>
        <w:spacing w:after="0"/>
        <w:ind w:firstLine="708"/>
        <w:jc w:val="both"/>
        <w:rPr>
          <w:rFonts w:ascii="Times New Roman" w:hAnsi="Times New Roman" w:cs="Times New Roman"/>
          <w:sz w:val="24"/>
          <w:szCs w:val="24"/>
        </w:rPr>
      </w:pPr>
      <w:r w:rsidRPr="00C12E06">
        <w:rPr>
          <w:rFonts w:ascii="Times New Roman" w:hAnsi="Times New Roman" w:cs="Times New Roman"/>
          <w:sz w:val="24"/>
          <w:szCs w:val="24"/>
        </w:rPr>
        <w:t xml:space="preserve">2. </w:t>
      </w:r>
      <w:r w:rsidR="00747EF8" w:rsidRPr="00C12E06">
        <w:rPr>
          <w:rFonts w:ascii="Times New Roman" w:hAnsi="Times New Roman" w:cs="Times New Roman"/>
          <w:sz w:val="24"/>
          <w:szCs w:val="24"/>
        </w:rPr>
        <w:t>En primer lugar, los hechos tienen que estar también vinculados en cuanto a la naturaleza jurídica, a la perspectiva jurídica de la que surgen las acciones ejercitadas: adquisición de la propiedad, constitución de la hipoteca, lesión del derecho fundamental al honor, art. 18 CE, deber de contribuir a los gastos comunes del inmueble</w:t>
      </w:r>
      <w:r w:rsidR="00747EF8" w:rsidRPr="00C12E06">
        <w:rPr>
          <w:rFonts w:ascii="Times New Roman" w:hAnsi="Times New Roman" w:cs="Times New Roman"/>
          <w:sz w:val="24"/>
          <w:szCs w:val="24"/>
          <w:vertAlign w:val="superscript"/>
        </w:rPr>
        <w:footnoteReference w:id="48"/>
      </w:r>
      <w:r w:rsidR="00747EF8" w:rsidRPr="00C12E06">
        <w:rPr>
          <w:rFonts w:ascii="Times New Roman" w:hAnsi="Times New Roman" w:cs="Times New Roman"/>
          <w:sz w:val="24"/>
          <w:szCs w:val="24"/>
        </w:rPr>
        <w:t xml:space="preserve">… Indudablemente una de las cuestiones más complejas, y así lo demuestra la práctica, es determinar cuándo existe conexión en cuanto a la naturaleza jurídica si los diferentes negocios jurídicos entablados (concurriendo la semejanza fáctica) difieren entre sí. Es decir, si las relaciones jurídicas son iguales en su contenido (las cláusulas y condiciones de las hipotecas, los contratos de compraventa…) no puede haber la menor duda en cuanto a </w:t>
      </w:r>
      <w:r w:rsidR="00153233" w:rsidRPr="00C12E06">
        <w:rPr>
          <w:rFonts w:ascii="Times New Roman" w:hAnsi="Times New Roman" w:cs="Times New Roman"/>
          <w:sz w:val="24"/>
          <w:szCs w:val="24"/>
        </w:rPr>
        <w:t>su conexión. El problema surge</w:t>
      </w:r>
      <w:r w:rsidR="00747EF8" w:rsidRPr="00C12E06">
        <w:rPr>
          <w:rFonts w:ascii="Times New Roman" w:hAnsi="Times New Roman" w:cs="Times New Roman"/>
          <w:sz w:val="24"/>
          <w:szCs w:val="24"/>
        </w:rPr>
        <w:t xml:space="preserve"> si existen disimilitudes entre ellas</w:t>
      </w:r>
      <w:r w:rsidR="00E010DB" w:rsidRPr="00C12E06">
        <w:rPr>
          <w:rFonts w:ascii="Times New Roman" w:hAnsi="Times New Roman" w:cs="Times New Roman"/>
          <w:sz w:val="24"/>
          <w:szCs w:val="24"/>
        </w:rPr>
        <w:t xml:space="preserve"> que pueden alcanzar distinta intensidad</w:t>
      </w:r>
      <w:r w:rsidR="00747EF8" w:rsidRPr="00C12E06">
        <w:rPr>
          <w:rFonts w:ascii="Times New Roman" w:hAnsi="Times New Roman" w:cs="Times New Roman"/>
          <w:sz w:val="24"/>
          <w:szCs w:val="24"/>
        </w:rPr>
        <w:t xml:space="preserve">. ¿Y si en una compraventa se estipula el pago con plazos diversos?, ¿o si una fija el precio en divisas? ¿Y si en lugar de una compraventa en un supuesto se tratase de una permuta? Y en el caso de la garantía real, ¿puede una de ellas venir estipulada a un interés fijo y otra variable o en divisas?, ¿la noticia tiene que estar redactada en los mismos términos en todos los casos?... </w:t>
      </w:r>
    </w:p>
    <w:p w14:paraId="5865DBA5" w14:textId="59C1874A" w:rsidR="006C6881" w:rsidRPr="00C12E06" w:rsidRDefault="00747EF8" w:rsidP="00BB7EDA">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Obviamente no se puede ofrecer una solución apriorística pero sí una regla general: hay que atender al elemento esencial del negocio jurídico en cada caso para justificar la conexión de la causa de pedir; por ejemplo, cuando se trata de la adquisición de la propiedad de un piso o la plaza de aparcamiento lo trascendental es ese dato: la adquisición del dominio, siendo indiferente si se trata de una permuta, compraventa, donación a título oneroso, la condición subjetiva de cada contratante (persona física o jurídica, empresario o consumidor)… En el caso de la garantía real lo decisivo es la constitución de la hipoteca al margen de las particulares condiciones de cada caso… Y si se publica una notici</w:t>
      </w:r>
      <w:r w:rsidR="00FB3275" w:rsidRPr="00C12E06">
        <w:rPr>
          <w:rFonts w:ascii="Times New Roman" w:hAnsi="Times New Roman" w:cs="Times New Roman"/>
          <w:sz w:val="24"/>
          <w:szCs w:val="24"/>
        </w:rPr>
        <w:t>a en diversos medios lo trascendental</w:t>
      </w:r>
      <w:r w:rsidRPr="00C12E06">
        <w:rPr>
          <w:rFonts w:ascii="Times New Roman" w:hAnsi="Times New Roman" w:cs="Times New Roman"/>
          <w:sz w:val="24"/>
          <w:szCs w:val="24"/>
        </w:rPr>
        <w:t xml:space="preserve"> es que el contenido esencial sea el mismo (</w:t>
      </w:r>
      <w:proofErr w:type="spellStart"/>
      <w:r w:rsidRPr="00C12E06">
        <w:rPr>
          <w:rFonts w:ascii="Times New Roman" w:hAnsi="Times New Roman" w:cs="Times New Roman"/>
          <w:i/>
          <w:sz w:val="24"/>
          <w:szCs w:val="24"/>
        </w:rPr>
        <w:t>e.g</w:t>
      </w:r>
      <w:proofErr w:type="spellEnd"/>
      <w:r w:rsidRPr="00C12E06">
        <w:rPr>
          <w:rFonts w:ascii="Times New Roman" w:hAnsi="Times New Roman" w:cs="Times New Roman"/>
          <w:i/>
          <w:sz w:val="24"/>
          <w:szCs w:val="24"/>
        </w:rPr>
        <w:t>.</w:t>
      </w:r>
      <w:r w:rsidRPr="00C12E06">
        <w:rPr>
          <w:rFonts w:ascii="Times New Roman" w:hAnsi="Times New Roman" w:cs="Times New Roman"/>
          <w:sz w:val="24"/>
          <w:szCs w:val="24"/>
        </w:rPr>
        <w:t xml:space="preserve"> que se atribuya u</w:t>
      </w:r>
      <w:r w:rsidR="003D109A" w:rsidRPr="00C12E06">
        <w:rPr>
          <w:rFonts w:ascii="Times New Roman" w:hAnsi="Times New Roman" w:cs="Times New Roman"/>
          <w:sz w:val="24"/>
          <w:szCs w:val="24"/>
        </w:rPr>
        <w:t>na misma conducta delictiva…</w:t>
      </w:r>
      <w:r w:rsidRPr="00C12E06">
        <w:rPr>
          <w:rFonts w:ascii="Times New Roman" w:hAnsi="Times New Roman" w:cs="Times New Roman"/>
          <w:sz w:val="24"/>
          <w:szCs w:val="24"/>
        </w:rPr>
        <w:t>)</w:t>
      </w:r>
      <w:r w:rsidR="006F1595" w:rsidRPr="00C12E06">
        <w:rPr>
          <w:rFonts w:ascii="Times New Roman" w:hAnsi="Times New Roman" w:cs="Times New Roman"/>
          <w:sz w:val="24"/>
          <w:szCs w:val="24"/>
        </w:rPr>
        <w:t xml:space="preserve"> En definitiva, la comparativa entre</w:t>
      </w:r>
      <w:r w:rsidR="00E010DB" w:rsidRPr="00C12E06">
        <w:rPr>
          <w:rFonts w:ascii="Times New Roman" w:hAnsi="Times New Roman" w:cs="Times New Roman"/>
          <w:sz w:val="24"/>
          <w:szCs w:val="24"/>
        </w:rPr>
        <w:t xml:space="preserve"> los diversos negocios o relaciones jurídicas</w:t>
      </w:r>
      <w:r w:rsidR="006F1595" w:rsidRPr="00C12E06">
        <w:rPr>
          <w:rFonts w:ascii="Times New Roman" w:hAnsi="Times New Roman" w:cs="Times New Roman"/>
          <w:sz w:val="24"/>
          <w:szCs w:val="24"/>
        </w:rPr>
        <w:t xml:space="preserve"> debe hacerse con una perspectiva finalista: la conexión en este ámbito de la causa de pedir existe cuando se pretende lograr</w:t>
      </w:r>
      <w:r w:rsidR="00FB3275" w:rsidRPr="00C12E06">
        <w:rPr>
          <w:rFonts w:ascii="Times New Roman" w:hAnsi="Times New Roman" w:cs="Times New Roman"/>
          <w:sz w:val="24"/>
          <w:szCs w:val="24"/>
        </w:rPr>
        <w:t xml:space="preserve"> o deriva</w:t>
      </w:r>
      <w:r w:rsidR="00381B9D" w:rsidRPr="00C12E06">
        <w:rPr>
          <w:rFonts w:ascii="Times New Roman" w:hAnsi="Times New Roman" w:cs="Times New Roman"/>
          <w:sz w:val="24"/>
          <w:szCs w:val="24"/>
        </w:rPr>
        <w:t xml:space="preserve"> de los hechos</w:t>
      </w:r>
      <w:r w:rsidR="004B7882">
        <w:rPr>
          <w:rFonts w:ascii="Times New Roman" w:hAnsi="Times New Roman" w:cs="Times New Roman"/>
          <w:sz w:val="24"/>
          <w:szCs w:val="24"/>
        </w:rPr>
        <w:t xml:space="preserve"> un mismo resultado</w:t>
      </w:r>
      <w:r w:rsidR="006F1595" w:rsidRPr="00C12E06">
        <w:rPr>
          <w:rFonts w:ascii="Times New Roman" w:hAnsi="Times New Roman" w:cs="Times New Roman"/>
          <w:sz w:val="24"/>
          <w:szCs w:val="24"/>
        </w:rPr>
        <w:t xml:space="preserve"> </w:t>
      </w:r>
      <w:r w:rsidR="004B7882">
        <w:rPr>
          <w:rFonts w:ascii="Times New Roman" w:hAnsi="Times New Roman" w:cs="Times New Roman"/>
          <w:sz w:val="24"/>
          <w:szCs w:val="24"/>
        </w:rPr>
        <w:t>que justifica el examen conjunto de un mismo dilema jurídico</w:t>
      </w:r>
      <w:r w:rsidR="0053519C">
        <w:rPr>
          <w:rStyle w:val="Refdenotaalpie"/>
          <w:rFonts w:ascii="Times New Roman" w:hAnsi="Times New Roman" w:cs="Times New Roman"/>
          <w:sz w:val="24"/>
          <w:szCs w:val="24"/>
        </w:rPr>
        <w:footnoteReference w:id="49"/>
      </w:r>
      <w:r w:rsidRPr="00C12E06">
        <w:rPr>
          <w:rFonts w:ascii="Times New Roman" w:hAnsi="Times New Roman" w:cs="Times New Roman"/>
          <w:sz w:val="24"/>
          <w:szCs w:val="24"/>
        </w:rPr>
        <w:t xml:space="preserve">. </w:t>
      </w:r>
    </w:p>
    <w:p w14:paraId="503DA443" w14:textId="67942E73" w:rsidR="00747EF8" w:rsidRPr="00C12E06" w:rsidRDefault="009D5603" w:rsidP="000B489F">
      <w:pPr>
        <w:spacing w:after="0"/>
        <w:ind w:firstLine="708"/>
        <w:jc w:val="both"/>
        <w:rPr>
          <w:rFonts w:ascii="Times New Roman" w:hAnsi="Times New Roman" w:cs="Times New Roman"/>
          <w:sz w:val="24"/>
          <w:szCs w:val="24"/>
        </w:rPr>
      </w:pPr>
      <w:r w:rsidRPr="00C12E06">
        <w:rPr>
          <w:rFonts w:ascii="Times New Roman" w:hAnsi="Times New Roman" w:cs="Times New Roman"/>
          <w:sz w:val="24"/>
          <w:szCs w:val="24"/>
        </w:rPr>
        <w:t xml:space="preserve">3. </w:t>
      </w:r>
      <w:r w:rsidR="0053519C">
        <w:rPr>
          <w:rFonts w:ascii="Times New Roman" w:hAnsi="Times New Roman" w:cs="Times New Roman"/>
          <w:sz w:val="24"/>
          <w:szCs w:val="24"/>
        </w:rPr>
        <w:t>E</w:t>
      </w:r>
      <w:r w:rsidR="00747EF8" w:rsidRPr="00C12E06">
        <w:rPr>
          <w:rFonts w:ascii="Times New Roman" w:hAnsi="Times New Roman" w:cs="Times New Roman"/>
          <w:sz w:val="24"/>
          <w:szCs w:val="24"/>
        </w:rPr>
        <w:t>l segundo elemento jurídico que juega un pap</w:t>
      </w:r>
      <w:r w:rsidR="0053519C">
        <w:rPr>
          <w:rFonts w:ascii="Times New Roman" w:hAnsi="Times New Roman" w:cs="Times New Roman"/>
          <w:sz w:val="24"/>
          <w:szCs w:val="24"/>
        </w:rPr>
        <w:t>el capital en la causa de pedir es</w:t>
      </w:r>
      <w:r w:rsidR="00437B3B">
        <w:rPr>
          <w:rFonts w:ascii="Times New Roman" w:hAnsi="Times New Roman" w:cs="Times New Roman"/>
          <w:sz w:val="24"/>
          <w:szCs w:val="24"/>
        </w:rPr>
        <w:t xml:space="preserve"> la identidad de la cuestión</w:t>
      </w:r>
      <w:r w:rsidR="00747EF8" w:rsidRPr="00C12E06">
        <w:rPr>
          <w:rFonts w:ascii="Times New Roman" w:hAnsi="Times New Roman" w:cs="Times New Roman"/>
          <w:sz w:val="24"/>
          <w:szCs w:val="24"/>
        </w:rPr>
        <w:t xml:space="preserve"> jurídica que se somete al tribunal. </w:t>
      </w:r>
    </w:p>
    <w:p w14:paraId="5C02151E" w14:textId="443AB5C9" w:rsidR="006F1595" w:rsidRPr="00C12E06" w:rsidRDefault="0053519C" w:rsidP="00BB7EDA">
      <w:pPr>
        <w:spacing w:after="0"/>
        <w:ind w:firstLine="0"/>
        <w:jc w:val="both"/>
        <w:rPr>
          <w:rFonts w:ascii="Times New Roman" w:hAnsi="Times New Roman" w:cs="Times New Roman"/>
          <w:sz w:val="24"/>
          <w:szCs w:val="24"/>
        </w:rPr>
      </w:pPr>
      <w:r>
        <w:rPr>
          <w:rFonts w:ascii="Times New Roman" w:hAnsi="Times New Roman" w:cs="Times New Roman"/>
          <w:sz w:val="24"/>
          <w:szCs w:val="24"/>
        </w:rPr>
        <w:t>R</w:t>
      </w:r>
      <w:r w:rsidR="00747EF8" w:rsidRPr="00C12E06">
        <w:rPr>
          <w:rFonts w:ascii="Times New Roman" w:hAnsi="Times New Roman" w:cs="Times New Roman"/>
          <w:sz w:val="24"/>
          <w:szCs w:val="24"/>
        </w:rPr>
        <w:t>ota la identidad fáctica</w:t>
      </w:r>
      <w:r w:rsidR="003D109A" w:rsidRPr="00C12E06">
        <w:rPr>
          <w:rFonts w:ascii="Times New Roman" w:hAnsi="Times New Roman" w:cs="Times New Roman"/>
          <w:sz w:val="24"/>
          <w:szCs w:val="24"/>
        </w:rPr>
        <w:t xml:space="preserve"> aunque </w:t>
      </w:r>
      <w:r w:rsidR="004B7882">
        <w:rPr>
          <w:rFonts w:ascii="Times New Roman" w:hAnsi="Times New Roman" w:cs="Times New Roman"/>
          <w:sz w:val="24"/>
          <w:szCs w:val="24"/>
        </w:rPr>
        <w:t>se trate de hecho semejantes,</w:t>
      </w:r>
      <w:r w:rsidR="00747EF8" w:rsidRPr="00C12E06">
        <w:rPr>
          <w:rFonts w:ascii="Times New Roman" w:hAnsi="Times New Roman" w:cs="Times New Roman"/>
          <w:sz w:val="24"/>
          <w:szCs w:val="24"/>
        </w:rPr>
        <w:t xml:space="preserve"> la </w:t>
      </w:r>
      <w:r>
        <w:rPr>
          <w:rFonts w:ascii="Times New Roman" w:hAnsi="Times New Roman" w:cs="Times New Roman"/>
          <w:sz w:val="24"/>
          <w:szCs w:val="24"/>
        </w:rPr>
        <w:t xml:space="preserve">acumulación </w:t>
      </w:r>
      <w:r w:rsidR="00747EF8" w:rsidRPr="00C12E06">
        <w:rPr>
          <w:rFonts w:ascii="Times New Roman" w:hAnsi="Times New Roman" w:cs="Times New Roman"/>
          <w:sz w:val="24"/>
          <w:szCs w:val="24"/>
        </w:rPr>
        <w:t>solo puede estar justificada si se enjuicia un mismo dilema jurídico de manera que se pueda</w:t>
      </w:r>
      <w:r w:rsidR="008E4985" w:rsidRPr="00C12E06">
        <w:rPr>
          <w:rFonts w:ascii="Times New Roman" w:hAnsi="Times New Roman" w:cs="Times New Roman"/>
          <w:sz w:val="24"/>
          <w:szCs w:val="24"/>
        </w:rPr>
        <w:t>n</w:t>
      </w:r>
      <w:r w:rsidR="00747EF8" w:rsidRPr="00C12E06">
        <w:rPr>
          <w:rFonts w:ascii="Times New Roman" w:hAnsi="Times New Roman" w:cs="Times New Roman"/>
          <w:sz w:val="24"/>
          <w:szCs w:val="24"/>
        </w:rPr>
        <w:t xml:space="preserve"> eludir pronunciamientos contradictorios en negocios jurídicos </w:t>
      </w:r>
      <w:r w:rsidR="00381B9D" w:rsidRPr="00C12E06">
        <w:rPr>
          <w:rFonts w:ascii="Times New Roman" w:hAnsi="Times New Roman" w:cs="Times New Roman"/>
          <w:sz w:val="24"/>
          <w:szCs w:val="24"/>
        </w:rPr>
        <w:t xml:space="preserve">o relaciones de esa índole </w:t>
      </w:r>
      <w:r w:rsidR="00747EF8" w:rsidRPr="00C12E06">
        <w:rPr>
          <w:rFonts w:ascii="Times New Roman" w:hAnsi="Times New Roman" w:cs="Times New Roman"/>
          <w:sz w:val="24"/>
          <w:szCs w:val="24"/>
        </w:rPr>
        <w:t>muy semejante</w:t>
      </w:r>
      <w:r w:rsidR="00381B9D" w:rsidRPr="00C12E06">
        <w:rPr>
          <w:rFonts w:ascii="Times New Roman" w:hAnsi="Times New Roman" w:cs="Times New Roman"/>
          <w:sz w:val="24"/>
          <w:szCs w:val="24"/>
        </w:rPr>
        <w:t>s y especialmente interconectada</w:t>
      </w:r>
      <w:r w:rsidR="00747EF8" w:rsidRPr="00C12E06">
        <w:rPr>
          <w:rFonts w:ascii="Times New Roman" w:hAnsi="Times New Roman" w:cs="Times New Roman"/>
          <w:sz w:val="24"/>
          <w:szCs w:val="24"/>
        </w:rPr>
        <w:t xml:space="preserve">s: si la cláusula impuesta es nula por un </w:t>
      </w:r>
      <w:r w:rsidR="00747EF8" w:rsidRPr="00C12E06">
        <w:rPr>
          <w:rFonts w:ascii="Times New Roman" w:hAnsi="Times New Roman" w:cs="Times New Roman"/>
          <w:sz w:val="24"/>
          <w:szCs w:val="24"/>
        </w:rPr>
        <w:lastRenderedPageBreak/>
        <w:t>mismo motivo, si existe un idéntico vicio oculto, si la oferta estuvo viciada o resultó engañosa por igual circunstancia, si se ha incumplido el contrato por un mismo motivo</w:t>
      </w:r>
      <w:r w:rsidR="00747EF8" w:rsidRPr="00C12E06">
        <w:rPr>
          <w:rFonts w:ascii="Times New Roman" w:hAnsi="Times New Roman" w:cs="Times New Roman"/>
          <w:sz w:val="24"/>
          <w:szCs w:val="24"/>
          <w:vertAlign w:val="superscript"/>
        </w:rPr>
        <w:footnoteReference w:id="50"/>
      </w:r>
      <w:r w:rsidR="00747EF8" w:rsidRPr="00C12E06">
        <w:rPr>
          <w:rFonts w:ascii="Times New Roman" w:hAnsi="Times New Roman" w:cs="Times New Roman"/>
          <w:sz w:val="24"/>
          <w:szCs w:val="24"/>
        </w:rPr>
        <w:t xml:space="preserve">… </w:t>
      </w:r>
      <w:r w:rsidR="004B7882">
        <w:rPr>
          <w:rFonts w:ascii="Times New Roman" w:hAnsi="Times New Roman" w:cs="Times New Roman"/>
          <w:sz w:val="24"/>
          <w:szCs w:val="24"/>
        </w:rPr>
        <w:t xml:space="preserve">Porque solo así </w:t>
      </w:r>
      <w:r w:rsidR="00C60045" w:rsidRPr="00C12E06">
        <w:rPr>
          <w:rFonts w:ascii="Times New Roman" w:hAnsi="Times New Roman" w:cs="Times New Roman"/>
          <w:sz w:val="24"/>
          <w:szCs w:val="24"/>
        </w:rPr>
        <w:t xml:space="preserve">la economía procesal </w:t>
      </w:r>
      <w:r w:rsidR="004B7882">
        <w:rPr>
          <w:rFonts w:ascii="Times New Roman" w:hAnsi="Times New Roman" w:cs="Times New Roman"/>
          <w:sz w:val="24"/>
          <w:szCs w:val="24"/>
        </w:rPr>
        <w:t xml:space="preserve">alcanza trascendencia </w:t>
      </w:r>
      <w:r w:rsidR="004514AF" w:rsidRPr="00C12E06">
        <w:rPr>
          <w:rFonts w:ascii="Times New Roman" w:hAnsi="Times New Roman" w:cs="Times New Roman"/>
          <w:sz w:val="24"/>
          <w:szCs w:val="24"/>
        </w:rPr>
        <w:t>constitucional</w:t>
      </w:r>
      <w:r w:rsidR="00C60045" w:rsidRPr="00C12E06">
        <w:rPr>
          <w:rFonts w:ascii="Times New Roman" w:hAnsi="Times New Roman" w:cs="Times New Roman"/>
          <w:sz w:val="24"/>
          <w:szCs w:val="24"/>
        </w:rPr>
        <w:t>, art. 24.1 CE</w:t>
      </w:r>
      <w:r w:rsidR="00153233" w:rsidRPr="00C12E06">
        <w:rPr>
          <w:rStyle w:val="Refdenotaalpie"/>
          <w:rFonts w:ascii="Times New Roman" w:hAnsi="Times New Roman" w:cs="Times New Roman"/>
          <w:sz w:val="24"/>
          <w:szCs w:val="24"/>
        </w:rPr>
        <w:footnoteReference w:id="51"/>
      </w:r>
      <w:r w:rsidR="00153233" w:rsidRPr="00C12E06">
        <w:rPr>
          <w:rFonts w:ascii="Times New Roman" w:hAnsi="Times New Roman" w:cs="Times New Roman"/>
          <w:sz w:val="24"/>
          <w:szCs w:val="24"/>
        </w:rPr>
        <w:t>.</w:t>
      </w:r>
    </w:p>
    <w:p w14:paraId="148A8EFF" w14:textId="122080CA" w:rsidR="0089331F" w:rsidRPr="00C12E06" w:rsidRDefault="004B7882" w:rsidP="00BB7EDA">
      <w:pPr>
        <w:spacing w:after="0"/>
        <w:ind w:firstLine="0"/>
        <w:jc w:val="both"/>
        <w:rPr>
          <w:rFonts w:ascii="Times New Roman" w:hAnsi="Times New Roman" w:cs="Times New Roman"/>
          <w:sz w:val="24"/>
          <w:szCs w:val="24"/>
        </w:rPr>
      </w:pPr>
      <w:r>
        <w:rPr>
          <w:rFonts w:ascii="Times New Roman" w:hAnsi="Times New Roman" w:cs="Times New Roman"/>
          <w:sz w:val="24"/>
          <w:szCs w:val="24"/>
        </w:rPr>
        <w:t>Afloran entonces</w:t>
      </w:r>
      <w:r w:rsidR="006F1595" w:rsidRPr="00C12E06">
        <w:rPr>
          <w:rFonts w:ascii="Times New Roman" w:hAnsi="Times New Roman" w:cs="Times New Roman"/>
          <w:sz w:val="24"/>
          <w:szCs w:val="24"/>
        </w:rPr>
        <w:t xml:space="preserve"> las disimilitudes jurídico/fácticas de cada litisconsorte para remarcar la</w:t>
      </w:r>
      <w:r w:rsidR="008C056E" w:rsidRPr="00C12E06">
        <w:rPr>
          <w:rFonts w:ascii="Times New Roman" w:hAnsi="Times New Roman" w:cs="Times New Roman"/>
          <w:sz w:val="24"/>
          <w:szCs w:val="24"/>
        </w:rPr>
        <w:t xml:space="preserve">s diferencias que </w:t>
      </w:r>
      <w:r w:rsidR="006F1595" w:rsidRPr="00C12E06">
        <w:rPr>
          <w:rFonts w:ascii="Times New Roman" w:hAnsi="Times New Roman" w:cs="Times New Roman"/>
          <w:sz w:val="24"/>
          <w:szCs w:val="24"/>
        </w:rPr>
        <w:t>exis</w:t>
      </w:r>
      <w:r w:rsidR="008C056E" w:rsidRPr="00C12E06">
        <w:rPr>
          <w:rFonts w:ascii="Times New Roman" w:hAnsi="Times New Roman" w:cs="Times New Roman"/>
          <w:sz w:val="24"/>
          <w:szCs w:val="24"/>
        </w:rPr>
        <w:t>ten</w:t>
      </w:r>
      <w:r w:rsidR="006F1595" w:rsidRPr="00C12E06">
        <w:rPr>
          <w:rFonts w:ascii="Times New Roman" w:hAnsi="Times New Roman" w:cs="Times New Roman"/>
          <w:sz w:val="24"/>
          <w:szCs w:val="24"/>
        </w:rPr>
        <w:t xml:space="preserve"> en los distintos su</w:t>
      </w:r>
      <w:r w:rsidR="008C056E" w:rsidRPr="00C12E06">
        <w:rPr>
          <w:rFonts w:ascii="Times New Roman" w:hAnsi="Times New Roman" w:cs="Times New Roman"/>
          <w:sz w:val="24"/>
          <w:szCs w:val="24"/>
        </w:rPr>
        <w:t xml:space="preserve">puestos enjuiciados y que </w:t>
      </w:r>
      <w:r w:rsidR="001E52C2" w:rsidRPr="00C12E06">
        <w:rPr>
          <w:rFonts w:ascii="Times New Roman" w:hAnsi="Times New Roman" w:cs="Times New Roman"/>
          <w:sz w:val="24"/>
          <w:szCs w:val="24"/>
        </w:rPr>
        <w:t>pueden hacer</w:t>
      </w:r>
      <w:r w:rsidR="006F1595" w:rsidRPr="00C12E06">
        <w:rPr>
          <w:rFonts w:ascii="Times New Roman" w:hAnsi="Times New Roman" w:cs="Times New Roman"/>
          <w:sz w:val="24"/>
          <w:szCs w:val="24"/>
        </w:rPr>
        <w:t xml:space="preserve"> dudar de la conveniencia de la acumulación: </w:t>
      </w:r>
      <w:r w:rsidR="008C056E" w:rsidRPr="00C12E06">
        <w:rPr>
          <w:rFonts w:ascii="Times New Roman" w:hAnsi="Times New Roman" w:cs="Times New Roman"/>
          <w:sz w:val="24"/>
          <w:szCs w:val="24"/>
        </w:rPr>
        <w:t>la condición subjetiva d</w:t>
      </w:r>
      <w:r w:rsidR="00747EF8" w:rsidRPr="00C12E06">
        <w:rPr>
          <w:rFonts w:ascii="Times New Roman" w:hAnsi="Times New Roman" w:cs="Times New Roman"/>
          <w:sz w:val="24"/>
          <w:szCs w:val="24"/>
        </w:rPr>
        <w:t xml:space="preserve">e cada litisconsorte </w:t>
      </w:r>
      <w:r w:rsidR="008C056E" w:rsidRPr="00C12E06">
        <w:rPr>
          <w:rFonts w:ascii="Times New Roman" w:hAnsi="Times New Roman" w:cs="Times New Roman"/>
          <w:sz w:val="24"/>
          <w:szCs w:val="24"/>
        </w:rPr>
        <w:t xml:space="preserve">puede </w:t>
      </w:r>
      <w:r w:rsidR="00F333AD" w:rsidRPr="00C12E06">
        <w:rPr>
          <w:rFonts w:ascii="Times New Roman" w:hAnsi="Times New Roman" w:cs="Times New Roman"/>
          <w:sz w:val="24"/>
          <w:szCs w:val="24"/>
        </w:rPr>
        <w:t>exigir</w:t>
      </w:r>
      <w:r w:rsidR="00747EF8" w:rsidRPr="00C12E06">
        <w:rPr>
          <w:rFonts w:ascii="Times New Roman" w:hAnsi="Times New Roman" w:cs="Times New Roman"/>
          <w:sz w:val="24"/>
          <w:szCs w:val="24"/>
        </w:rPr>
        <w:t xml:space="preserve"> un análisis diferenciado </w:t>
      </w:r>
      <w:r w:rsidR="008C056E" w:rsidRPr="00C12E06">
        <w:rPr>
          <w:rFonts w:ascii="Times New Roman" w:hAnsi="Times New Roman" w:cs="Times New Roman"/>
          <w:sz w:val="24"/>
          <w:szCs w:val="24"/>
        </w:rPr>
        <w:t>de</w:t>
      </w:r>
      <w:r w:rsidR="0053519C">
        <w:rPr>
          <w:rFonts w:ascii="Times New Roman" w:hAnsi="Times New Roman" w:cs="Times New Roman"/>
          <w:sz w:val="24"/>
          <w:szCs w:val="24"/>
        </w:rPr>
        <w:t>l mismo dilema jurídico.</w:t>
      </w:r>
      <w:r w:rsidR="008C056E" w:rsidRPr="00C12E06">
        <w:rPr>
          <w:rFonts w:ascii="Times New Roman" w:hAnsi="Times New Roman" w:cs="Times New Roman"/>
          <w:sz w:val="24"/>
          <w:szCs w:val="24"/>
        </w:rPr>
        <w:t xml:space="preserve"> Existen así dos elementos diferenciadores. El primero es el que concurre en cada caso y que es ineludible por conectarse a cada situación fáctica enjuiciada: el examen de la existencia de cada negocio </w:t>
      </w:r>
      <w:r w:rsidR="006912A8" w:rsidRPr="00C12E06">
        <w:rPr>
          <w:rFonts w:ascii="Times New Roman" w:hAnsi="Times New Roman" w:cs="Times New Roman"/>
          <w:sz w:val="24"/>
          <w:szCs w:val="24"/>
        </w:rPr>
        <w:t xml:space="preserve">o relación jurídica </w:t>
      </w:r>
      <w:r w:rsidR="000C302D" w:rsidRPr="00C12E06">
        <w:rPr>
          <w:rFonts w:ascii="Times New Roman" w:hAnsi="Times New Roman" w:cs="Times New Roman"/>
          <w:sz w:val="24"/>
          <w:szCs w:val="24"/>
        </w:rPr>
        <w:t>individualizada</w:t>
      </w:r>
      <w:r w:rsidR="008C056E" w:rsidRPr="00C12E06">
        <w:rPr>
          <w:rFonts w:ascii="Times New Roman" w:hAnsi="Times New Roman" w:cs="Times New Roman"/>
          <w:sz w:val="24"/>
          <w:szCs w:val="24"/>
        </w:rPr>
        <w:t xml:space="preserve">, así, </w:t>
      </w:r>
      <w:proofErr w:type="spellStart"/>
      <w:r w:rsidR="008C056E" w:rsidRPr="00C12E06">
        <w:rPr>
          <w:rFonts w:ascii="Times New Roman" w:hAnsi="Times New Roman" w:cs="Times New Roman"/>
          <w:i/>
          <w:sz w:val="24"/>
          <w:szCs w:val="24"/>
        </w:rPr>
        <w:t>e.g</w:t>
      </w:r>
      <w:proofErr w:type="spellEnd"/>
      <w:r w:rsidR="008C056E" w:rsidRPr="00C12E06">
        <w:rPr>
          <w:rFonts w:ascii="Times New Roman" w:hAnsi="Times New Roman" w:cs="Times New Roman"/>
          <w:i/>
          <w:sz w:val="24"/>
          <w:szCs w:val="24"/>
        </w:rPr>
        <w:t>.</w:t>
      </w:r>
      <w:r w:rsidR="008C056E" w:rsidRPr="00C12E06">
        <w:rPr>
          <w:rFonts w:ascii="Times New Roman" w:hAnsi="Times New Roman" w:cs="Times New Roman"/>
          <w:sz w:val="24"/>
          <w:szCs w:val="24"/>
        </w:rPr>
        <w:t>, habrá que constatar</w:t>
      </w:r>
      <w:r w:rsidR="00F333AD" w:rsidRPr="00C12E06">
        <w:rPr>
          <w:rFonts w:ascii="Times New Roman" w:hAnsi="Times New Roman" w:cs="Times New Roman"/>
          <w:sz w:val="24"/>
          <w:szCs w:val="24"/>
        </w:rPr>
        <w:t xml:space="preserve"> para cada litisconsorte</w:t>
      </w:r>
      <w:r w:rsidR="008C056E" w:rsidRPr="00C12E06">
        <w:rPr>
          <w:rFonts w:ascii="Times New Roman" w:hAnsi="Times New Roman" w:cs="Times New Roman"/>
          <w:sz w:val="24"/>
          <w:szCs w:val="24"/>
        </w:rPr>
        <w:t xml:space="preserve"> la existencia del contrato </w:t>
      </w:r>
      <w:r w:rsidR="00F333AD" w:rsidRPr="00C12E06">
        <w:rPr>
          <w:rFonts w:ascii="Times New Roman" w:hAnsi="Times New Roman" w:cs="Times New Roman"/>
          <w:sz w:val="24"/>
          <w:szCs w:val="24"/>
        </w:rPr>
        <w:t>de compraventa, la constitución de la garantía real, la adquisición del producto financiero, la publicación de la noticia en cada medio, el impago de las cuotas</w:t>
      </w:r>
      <w:r w:rsidR="000C302D" w:rsidRPr="00C12E06">
        <w:rPr>
          <w:rFonts w:ascii="Times New Roman" w:hAnsi="Times New Roman" w:cs="Times New Roman"/>
          <w:sz w:val="24"/>
          <w:szCs w:val="24"/>
        </w:rPr>
        <w:t>, los daños padecidos</w:t>
      </w:r>
      <w:r>
        <w:rPr>
          <w:rFonts w:ascii="Times New Roman" w:hAnsi="Times New Roman" w:cs="Times New Roman"/>
          <w:sz w:val="24"/>
          <w:szCs w:val="24"/>
        </w:rPr>
        <w:t>… S</w:t>
      </w:r>
      <w:r w:rsidR="00F333AD" w:rsidRPr="00C12E06">
        <w:rPr>
          <w:rFonts w:ascii="Times New Roman" w:hAnsi="Times New Roman" w:cs="Times New Roman"/>
          <w:sz w:val="24"/>
          <w:szCs w:val="24"/>
        </w:rPr>
        <w:t>e trata de una cuestión</w:t>
      </w:r>
      <w:r w:rsidR="001E52C2" w:rsidRPr="00C12E06">
        <w:rPr>
          <w:rFonts w:ascii="Times New Roman" w:hAnsi="Times New Roman" w:cs="Times New Roman"/>
          <w:sz w:val="24"/>
          <w:szCs w:val="24"/>
        </w:rPr>
        <w:t xml:space="preserve"> consustancial a</w:t>
      </w:r>
      <w:r>
        <w:rPr>
          <w:rFonts w:ascii="Times New Roman" w:hAnsi="Times New Roman" w:cs="Times New Roman"/>
          <w:sz w:val="24"/>
          <w:szCs w:val="24"/>
        </w:rPr>
        <w:t xml:space="preserve"> todo litisconsorcio voluntario</w:t>
      </w:r>
      <w:r w:rsidR="003D109A" w:rsidRPr="00C12E06">
        <w:rPr>
          <w:rFonts w:ascii="Times New Roman" w:hAnsi="Times New Roman" w:cs="Times New Roman"/>
          <w:sz w:val="24"/>
          <w:szCs w:val="24"/>
        </w:rPr>
        <w:t xml:space="preserve"> </w:t>
      </w:r>
      <w:r w:rsidR="001E52C2" w:rsidRPr="00C12E06">
        <w:rPr>
          <w:rFonts w:ascii="Times New Roman" w:hAnsi="Times New Roman" w:cs="Times New Roman"/>
          <w:sz w:val="24"/>
          <w:szCs w:val="24"/>
        </w:rPr>
        <w:t>y no supone problema alg</w:t>
      </w:r>
      <w:r>
        <w:rPr>
          <w:rFonts w:ascii="Times New Roman" w:hAnsi="Times New Roman" w:cs="Times New Roman"/>
          <w:sz w:val="24"/>
          <w:szCs w:val="24"/>
        </w:rPr>
        <w:t>uno para su existencia</w:t>
      </w:r>
      <w:r w:rsidR="001E52C2" w:rsidRPr="00C12E06">
        <w:rPr>
          <w:rFonts w:ascii="Times New Roman" w:hAnsi="Times New Roman" w:cs="Times New Roman"/>
          <w:sz w:val="24"/>
          <w:szCs w:val="24"/>
        </w:rPr>
        <w:t xml:space="preserve"> por cuanto constituye una parte ineludible de la legitimación de cada litisconsorte</w:t>
      </w:r>
      <w:r w:rsidR="003D109A" w:rsidRPr="00C12E06">
        <w:rPr>
          <w:rFonts w:ascii="Times New Roman" w:hAnsi="Times New Roman" w:cs="Times New Roman"/>
          <w:sz w:val="24"/>
          <w:szCs w:val="24"/>
        </w:rPr>
        <w:t xml:space="preserve"> que ha de ser examinada caso por caso</w:t>
      </w:r>
      <w:r w:rsidR="00BB52B6" w:rsidRPr="00C12E06">
        <w:rPr>
          <w:rStyle w:val="Refdenotaalpie"/>
          <w:rFonts w:ascii="Times New Roman" w:hAnsi="Times New Roman" w:cs="Times New Roman"/>
          <w:sz w:val="24"/>
          <w:szCs w:val="24"/>
        </w:rPr>
        <w:footnoteReference w:id="52"/>
      </w:r>
      <w:r w:rsidR="0089331F" w:rsidRPr="00C12E06">
        <w:rPr>
          <w:rFonts w:ascii="Times New Roman" w:hAnsi="Times New Roman" w:cs="Times New Roman"/>
          <w:sz w:val="24"/>
          <w:szCs w:val="24"/>
        </w:rPr>
        <w:t>.</w:t>
      </w:r>
    </w:p>
    <w:p w14:paraId="626EC7A7" w14:textId="5F5505DE" w:rsidR="001E52C2" w:rsidRPr="00C12E06" w:rsidRDefault="00500FA2" w:rsidP="000B489F">
      <w:pPr>
        <w:spacing w:after="0"/>
        <w:ind w:firstLine="0"/>
        <w:jc w:val="both"/>
        <w:rPr>
          <w:rFonts w:ascii="Times New Roman" w:hAnsi="Times New Roman" w:cs="Times New Roman"/>
          <w:sz w:val="24"/>
          <w:szCs w:val="24"/>
        </w:rPr>
      </w:pPr>
      <w:r>
        <w:rPr>
          <w:rFonts w:ascii="Times New Roman" w:hAnsi="Times New Roman" w:cs="Times New Roman"/>
          <w:sz w:val="24"/>
          <w:szCs w:val="24"/>
        </w:rPr>
        <w:t>E</w:t>
      </w:r>
      <w:r w:rsidR="00F333AD" w:rsidRPr="00C12E06">
        <w:rPr>
          <w:rFonts w:ascii="Times New Roman" w:hAnsi="Times New Roman" w:cs="Times New Roman"/>
          <w:sz w:val="24"/>
          <w:szCs w:val="24"/>
        </w:rPr>
        <w:t xml:space="preserve">l segundo elemento </w:t>
      </w:r>
      <w:r w:rsidR="001E52C2" w:rsidRPr="00C12E06">
        <w:rPr>
          <w:rFonts w:ascii="Times New Roman" w:hAnsi="Times New Roman" w:cs="Times New Roman"/>
          <w:sz w:val="24"/>
          <w:szCs w:val="24"/>
        </w:rPr>
        <w:t>es propio de la modalidad de la acumulación subjetiva que estamos examinando y a diferencia del primero es contingente</w:t>
      </w:r>
      <w:r>
        <w:rPr>
          <w:rFonts w:ascii="Times New Roman" w:hAnsi="Times New Roman" w:cs="Times New Roman"/>
          <w:sz w:val="24"/>
          <w:szCs w:val="24"/>
        </w:rPr>
        <w:t>.</w:t>
      </w:r>
      <w:r w:rsidR="003D109A" w:rsidRPr="00C12E06">
        <w:rPr>
          <w:rFonts w:ascii="Times New Roman" w:hAnsi="Times New Roman" w:cs="Times New Roman"/>
          <w:sz w:val="24"/>
          <w:szCs w:val="24"/>
        </w:rPr>
        <w:t xml:space="preserve"> </w:t>
      </w:r>
      <w:r>
        <w:rPr>
          <w:rFonts w:ascii="Times New Roman" w:hAnsi="Times New Roman" w:cs="Times New Roman"/>
          <w:sz w:val="24"/>
          <w:szCs w:val="24"/>
        </w:rPr>
        <w:t xml:space="preserve">Y </w:t>
      </w:r>
      <w:r w:rsidR="00F333AD" w:rsidRPr="00C12E06">
        <w:rPr>
          <w:rFonts w:ascii="Times New Roman" w:hAnsi="Times New Roman" w:cs="Times New Roman"/>
          <w:sz w:val="24"/>
          <w:szCs w:val="24"/>
        </w:rPr>
        <w:t xml:space="preserve">es que en ocasiones resulta decisivo </w:t>
      </w:r>
      <w:r w:rsidR="003D109A" w:rsidRPr="00C12E06">
        <w:rPr>
          <w:rFonts w:ascii="Times New Roman" w:hAnsi="Times New Roman" w:cs="Times New Roman"/>
          <w:sz w:val="24"/>
          <w:szCs w:val="24"/>
        </w:rPr>
        <w:t>para</w:t>
      </w:r>
      <w:r w:rsidR="001E52C2" w:rsidRPr="00C12E06">
        <w:rPr>
          <w:rFonts w:ascii="Times New Roman" w:hAnsi="Times New Roman" w:cs="Times New Roman"/>
          <w:sz w:val="24"/>
          <w:szCs w:val="24"/>
        </w:rPr>
        <w:t xml:space="preserve"> enjuiciar el mismo dilema jurídico </w:t>
      </w:r>
      <w:r w:rsidR="00F333AD" w:rsidRPr="00C12E06">
        <w:rPr>
          <w:rFonts w:ascii="Times New Roman" w:hAnsi="Times New Roman" w:cs="Times New Roman"/>
          <w:sz w:val="24"/>
          <w:szCs w:val="24"/>
        </w:rPr>
        <w:t>el análisis de la condición subjetiva de cada litisconsorte</w:t>
      </w:r>
      <w:r w:rsidR="001E52C2" w:rsidRPr="00C12E06">
        <w:rPr>
          <w:rFonts w:ascii="Times New Roman" w:hAnsi="Times New Roman" w:cs="Times New Roman"/>
          <w:sz w:val="24"/>
          <w:szCs w:val="24"/>
        </w:rPr>
        <w:t>.</w:t>
      </w:r>
      <w:r w:rsidR="008C056E" w:rsidRPr="00C12E06">
        <w:rPr>
          <w:rFonts w:ascii="Times New Roman" w:hAnsi="Times New Roman" w:cs="Times New Roman"/>
          <w:sz w:val="24"/>
          <w:szCs w:val="24"/>
        </w:rPr>
        <w:t xml:space="preserve"> </w:t>
      </w:r>
      <w:r w:rsidR="003D109A" w:rsidRPr="00C12E06">
        <w:rPr>
          <w:rFonts w:ascii="Times New Roman" w:hAnsi="Times New Roman" w:cs="Times New Roman"/>
          <w:sz w:val="24"/>
          <w:szCs w:val="24"/>
        </w:rPr>
        <w:t>Por ejemplo, la situación</w:t>
      </w:r>
      <w:r w:rsidR="00747EF8" w:rsidRPr="00C12E06">
        <w:rPr>
          <w:rFonts w:ascii="Times New Roman" w:hAnsi="Times New Roman" w:cs="Times New Roman"/>
          <w:sz w:val="24"/>
          <w:szCs w:val="24"/>
        </w:rPr>
        <w:t xml:space="preserve"> de cliente minorista es muy diferente a la del cliente profesional a la hora de analizar si la información suministrada al contratar una permuta financiera o Swap vicia el consentimiento del negocio o afecta a la nulidad de una cláusula de ese producto financiero derivado. </w:t>
      </w:r>
      <w:r w:rsidR="001E52C2" w:rsidRPr="00C12E06">
        <w:rPr>
          <w:rFonts w:ascii="Times New Roman" w:hAnsi="Times New Roman" w:cs="Times New Roman"/>
          <w:sz w:val="24"/>
          <w:szCs w:val="24"/>
        </w:rPr>
        <w:t xml:space="preserve">¿Cabe admitir la acumulación en estos casos? Obviamente son dables las dos soluciones: </w:t>
      </w:r>
    </w:p>
    <w:p w14:paraId="3327AF9F" w14:textId="0E50FE13" w:rsidR="004E0B77" w:rsidRPr="00C12E06" w:rsidRDefault="004E0B77" w:rsidP="00BB7EDA">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Por un lado existe la interpretación restrictiva, la que impide la acumulación</w:t>
      </w:r>
      <w:r w:rsidR="00635CB4" w:rsidRPr="00C12E06">
        <w:rPr>
          <w:rFonts w:ascii="Times New Roman" w:hAnsi="Times New Roman" w:cs="Times New Roman"/>
          <w:sz w:val="24"/>
          <w:szCs w:val="24"/>
        </w:rPr>
        <w:t>:</w:t>
      </w:r>
      <w:r w:rsidR="00520201" w:rsidRPr="00C12E06">
        <w:rPr>
          <w:rFonts w:ascii="Times New Roman" w:hAnsi="Times New Roman" w:cs="Times New Roman"/>
          <w:sz w:val="24"/>
          <w:szCs w:val="24"/>
        </w:rPr>
        <w:t xml:space="preserve"> así se ha entendido que las diferencias subjetivas de los litisconsortes rompen la identidad de la causa de pedir, como en el caso de los alimentos</w:t>
      </w:r>
      <w:r w:rsidR="00520201" w:rsidRPr="00C12E06">
        <w:rPr>
          <w:rFonts w:ascii="Times New Roman" w:hAnsi="Times New Roman" w:cs="Times New Roman"/>
          <w:sz w:val="24"/>
          <w:szCs w:val="24"/>
          <w:vertAlign w:val="superscript"/>
        </w:rPr>
        <w:footnoteReference w:id="53"/>
      </w:r>
      <w:r w:rsidR="00635CB4" w:rsidRPr="00C12E06">
        <w:rPr>
          <w:rFonts w:ascii="Times New Roman" w:hAnsi="Times New Roman" w:cs="Times New Roman"/>
          <w:sz w:val="24"/>
          <w:szCs w:val="24"/>
        </w:rPr>
        <w:t xml:space="preserve"> </w:t>
      </w:r>
      <w:r w:rsidR="00520201" w:rsidRPr="00C12E06">
        <w:rPr>
          <w:rFonts w:ascii="Times New Roman" w:hAnsi="Times New Roman" w:cs="Times New Roman"/>
          <w:sz w:val="24"/>
          <w:szCs w:val="24"/>
        </w:rPr>
        <w:t xml:space="preserve">o bien que </w:t>
      </w:r>
      <w:r w:rsidRPr="00C12E06">
        <w:rPr>
          <w:rFonts w:ascii="Times New Roman" w:hAnsi="Times New Roman" w:cs="Times New Roman"/>
          <w:sz w:val="24"/>
          <w:szCs w:val="24"/>
        </w:rPr>
        <w:t>si “cada uno de los demandantes tiene una experiencia inversora diferente, invierte en productos diversos, cada contrato se produce de forma desigual, el tipo de producto adquirido es diverso, es diferente también por lo que preguntó el inversor, y lo que se le aclaró.”</w:t>
      </w:r>
      <w:r w:rsidR="00BB52B6" w:rsidRPr="00C12E06">
        <w:rPr>
          <w:rStyle w:val="Refdenotaalpie"/>
          <w:rFonts w:ascii="Times New Roman" w:hAnsi="Times New Roman" w:cs="Times New Roman"/>
          <w:sz w:val="24"/>
          <w:szCs w:val="24"/>
        </w:rPr>
        <w:footnoteReference w:id="54"/>
      </w:r>
      <w:r w:rsidR="00520201" w:rsidRPr="00C12E06">
        <w:rPr>
          <w:rFonts w:ascii="Times New Roman" w:hAnsi="Times New Roman" w:cs="Times New Roman"/>
          <w:sz w:val="24"/>
          <w:szCs w:val="24"/>
        </w:rPr>
        <w:t>, por lo que no sería factible la acumulación.</w:t>
      </w:r>
    </w:p>
    <w:p w14:paraId="7D5B5062" w14:textId="6A6EC9BA" w:rsidR="004E0B77" w:rsidRPr="00DE5BD1" w:rsidRDefault="004E0B77" w:rsidP="00BB7EDA">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Mientras que, por el contrario, </w:t>
      </w:r>
      <w:r w:rsidR="00520201" w:rsidRPr="00C12E06">
        <w:rPr>
          <w:rFonts w:ascii="Times New Roman" w:hAnsi="Times New Roman" w:cs="Times New Roman"/>
          <w:sz w:val="24"/>
          <w:szCs w:val="24"/>
        </w:rPr>
        <w:t>la perspectiva flexible de la acumulación subjetiva auspicia la solución contraria,</w:t>
      </w:r>
      <w:r w:rsidR="005163D2" w:rsidRPr="00C12E06">
        <w:rPr>
          <w:rFonts w:ascii="Times New Roman" w:hAnsi="Times New Roman" w:cs="Times New Roman"/>
          <w:sz w:val="24"/>
          <w:szCs w:val="24"/>
        </w:rPr>
        <w:t xml:space="preserve"> admitiendo el litisconsorcio voluntario mixto (activo y </w:t>
      </w:r>
      <w:r w:rsidR="005163D2" w:rsidRPr="00C12E06">
        <w:rPr>
          <w:rFonts w:ascii="Times New Roman" w:hAnsi="Times New Roman" w:cs="Times New Roman"/>
          <w:sz w:val="24"/>
          <w:szCs w:val="24"/>
        </w:rPr>
        <w:lastRenderedPageBreak/>
        <w:t>pasivo) en un desahucio por precario que afectaba a toda una localidad</w:t>
      </w:r>
      <w:r w:rsidR="005163D2" w:rsidRPr="00C12E06">
        <w:rPr>
          <w:rFonts w:ascii="Times New Roman" w:hAnsi="Times New Roman" w:cs="Times New Roman"/>
          <w:sz w:val="24"/>
          <w:szCs w:val="24"/>
          <w:vertAlign w:val="superscript"/>
        </w:rPr>
        <w:footnoteReference w:id="55"/>
      </w:r>
      <w:r w:rsidR="005163D2" w:rsidRPr="00C12E06">
        <w:rPr>
          <w:rFonts w:ascii="Times New Roman" w:hAnsi="Times New Roman" w:cs="Times New Roman"/>
          <w:sz w:val="24"/>
          <w:szCs w:val="24"/>
        </w:rPr>
        <w:t>. Y sobre todo</w:t>
      </w:r>
      <w:r w:rsidR="00BB52B6" w:rsidRPr="00C12E06">
        <w:rPr>
          <w:rFonts w:ascii="Times New Roman" w:hAnsi="Times New Roman" w:cs="Times New Roman"/>
          <w:sz w:val="24"/>
          <w:szCs w:val="24"/>
        </w:rPr>
        <w:t>, rectificando el criterio que se acaba de reseñar</w:t>
      </w:r>
      <w:r w:rsidR="00DE5BD1">
        <w:rPr>
          <w:rFonts w:ascii="Times New Roman" w:hAnsi="Times New Roman" w:cs="Times New Roman"/>
          <w:sz w:val="24"/>
          <w:szCs w:val="24"/>
        </w:rPr>
        <w:t xml:space="preserve"> </w:t>
      </w:r>
      <w:r w:rsidR="00DE5BD1">
        <w:rPr>
          <w:rFonts w:ascii="Times New Roman" w:hAnsi="Times New Roman" w:cs="Times New Roman"/>
          <w:i/>
          <w:sz w:val="24"/>
          <w:szCs w:val="24"/>
        </w:rPr>
        <w:t>supra</w:t>
      </w:r>
      <w:r w:rsidR="00BB52B6" w:rsidRPr="00C12E06">
        <w:rPr>
          <w:rFonts w:ascii="Times New Roman" w:hAnsi="Times New Roman" w:cs="Times New Roman"/>
          <w:sz w:val="24"/>
          <w:szCs w:val="24"/>
        </w:rPr>
        <w:t>, se hace prevalecer la interpretación flexible sobre la restrictiva</w:t>
      </w:r>
      <w:r w:rsidR="00BB52B6" w:rsidRPr="00C12E06">
        <w:rPr>
          <w:rFonts w:ascii="Times New Roman" w:hAnsi="Times New Roman" w:cs="Times New Roman"/>
          <w:sz w:val="24"/>
          <w:szCs w:val="24"/>
          <w:vertAlign w:val="superscript"/>
        </w:rPr>
        <w:footnoteReference w:id="56"/>
      </w:r>
      <w:r w:rsidR="00BB52B6" w:rsidRPr="00C12E06">
        <w:rPr>
          <w:rFonts w:ascii="Times New Roman" w:hAnsi="Times New Roman" w:cs="Times New Roman"/>
          <w:sz w:val="24"/>
          <w:szCs w:val="24"/>
        </w:rPr>
        <w:t>, aclarando que</w:t>
      </w:r>
      <w:r w:rsidR="0039737C">
        <w:rPr>
          <w:rFonts w:ascii="Times New Roman" w:hAnsi="Times New Roman" w:cs="Times New Roman"/>
          <w:sz w:val="24"/>
          <w:szCs w:val="24"/>
        </w:rPr>
        <w:t xml:space="preserve"> priman los elementos comunes sobre las discordancias</w:t>
      </w:r>
      <w:r w:rsidR="00BB52B6" w:rsidRPr="00C12E06">
        <w:rPr>
          <w:rStyle w:val="Refdenotaalpie"/>
          <w:rFonts w:ascii="Times New Roman" w:hAnsi="Times New Roman" w:cs="Times New Roman"/>
          <w:sz w:val="24"/>
          <w:szCs w:val="24"/>
        </w:rPr>
        <w:footnoteReference w:id="57"/>
      </w:r>
      <w:r w:rsidR="000C302D" w:rsidRPr="00C12E06">
        <w:rPr>
          <w:rFonts w:ascii="Times New Roman" w:hAnsi="Times New Roman" w:cs="Times New Roman"/>
          <w:sz w:val="24"/>
          <w:szCs w:val="24"/>
        </w:rPr>
        <w:t>.</w:t>
      </w:r>
      <w:r w:rsidR="00400575">
        <w:rPr>
          <w:rFonts w:ascii="Times New Roman" w:hAnsi="Times New Roman" w:cs="Times New Roman"/>
          <w:sz w:val="24"/>
          <w:szCs w:val="24"/>
        </w:rPr>
        <w:t xml:space="preserve"> Criterio que ha sido reafirmado ulteriorm</w:t>
      </w:r>
      <w:r w:rsidR="00500FA2">
        <w:rPr>
          <w:rFonts w:ascii="Times New Roman" w:hAnsi="Times New Roman" w:cs="Times New Roman"/>
          <w:sz w:val="24"/>
          <w:szCs w:val="24"/>
        </w:rPr>
        <w:t>ente por la jurisprudencia</w:t>
      </w:r>
      <w:r w:rsidR="00400575">
        <w:rPr>
          <w:rStyle w:val="Refdenotaalpie"/>
          <w:rFonts w:ascii="Times New Roman" w:hAnsi="Times New Roman" w:cs="Times New Roman"/>
          <w:sz w:val="24"/>
          <w:szCs w:val="24"/>
        </w:rPr>
        <w:footnoteReference w:id="58"/>
      </w:r>
      <w:r w:rsidR="00400575">
        <w:rPr>
          <w:rFonts w:ascii="Times New Roman" w:hAnsi="Times New Roman" w:cs="Times New Roman"/>
          <w:sz w:val="24"/>
          <w:szCs w:val="24"/>
        </w:rPr>
        <w:t>.</w:t>
      </w:r>
      <w:r w:rsidR="000C302D" w:rsidRPr="00C12E06">
        <w:rPr>
          <w:rFonts w:ascii="Times New Roman" w:hAnsi="Times New Roman" w:cs="Times New Roman"/>
          <w:sz w:val="24"/>
          <w:szCs w:val="24"/>
        </w:rPr>
        <w:t xml:space="preserve"> En definitiva, la acumulación se consiente cuando lo que une es más que lo que diferencia</w:t>
      </w:r>
      <w:r w:rsidR="00E620AD" w:rsidRPr="00C12E06">
        <w:rPr>
          <w:rFonts w:ascii="Times New Roman" w:hAnsi="Times New Roman" w:cs="Times New Roman"/>
          <w:sz w:val="24"/>
          <w:szCs w:val="24"/>
        </w:rPr>
        <w:t>, si el elemento común del dilema jurídico planteado prevalece sobre lo que singulariza cada objeto acumulado (lo que deriva de la legitimación de cada situación jurídica).</w:t>
      </w:r>
      <w:r w:rsidR="00DE5BD1">
        <w:rPr>
          <w:rFonts w:ascii="Times New Roman" w:hAnsi="Times New Roman" w:cs="Times New Roman"/>
          <w:sz w:val="24"/>
          <w:szCs w:val="24"/>
        </w:rPr>
        <w:t xml:space="preserve"> Solución que nos parece la más acertada: así, </w:t>
      </w:r>
      <w:proofErr w:type="spellStart"/>
      <w:r w:rsidR="00DE5BD1">
        <w:rPr>
          <w:rFonts w:ascii="Times New Roman" w:hAnsi="Times New Roman" w:cs="Times New Roman"/>
          <w:i/>
          <w:sz w:val="24"/>
          <w:szCs w:val="24"/>
        </w:rPr>
        <w:t>e.g</w:t>
      </w:r>
      <w:proofErr w:type="spellEnd"/>
      <w:r w:rsidR="00DE5BD1">
        <w:rPr>
          <w:rFonts w:ascii="Times New Roman" w:hAnsi="Times New Roman" w:cs="Times New Roman"/>
          <w:i/>
          <w:sz w:val="24"/>
          <w:szCs w:val="24"/>
        </w:rPr>
        <w:t>.</w:t>
      </w:r>
      <w:r w:rsidR="00DE5BD1">
        <w:rPr>
          <w:rFonts w:ascii="Times New Roman" w:hAnsi="Times New Roman" w:cs="Times New Roman"/>
          <w:sz w:val="24"/>
          <w:szCs w:val="24"/>
        </w:rPr>
        <w:t xml:space="preserve">, habrá que examinar la información suministrada por la entidad financiera y luego, caso por caso (o agrupando a los litisconsortes según su condición) y en atención a la condición individual, dilucidar si resulta suficiente. </w:t>
      </w:r>
    </w:p>
    <w:p w14:paraId="60DAF2D7" w14:textId="0FD2CEE4" w:rsidR="00B70CC4" w:rsidRPr="00C12E06" w:rsidRDefault="00B70CC4" w:rsidP="00BB7EDA">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Al centrarse la conexión en la perspectiva jurídica (el dilema o fundamentación jurídica) es evidente que</w:t>
      </w:r>
      <w:r w:rsidR="004D2A7E" w:rsidRPr="00C12E06">
        <w:rPr>
          <w:rFonts w:ascii="Times New Roman" w:hAnsi="Times New Roman" w:cs="Times New Roman"/>
          <w:sz w:val="24"/>
          <w:szCs w:val="24"/>
        </w:rPr>
        <w:t>, en principio,</w:t>
      </w:r>
      <w:r w:rsidRPr="00C12E06">
        <w:rPr>
          <w:rFonts w:ascii="Times New Roman" w:hAnsi="Times New Roman" w:cs="Times New Roman"/>
          <w:sz w:val="24"/>
          <w:szCs w:val="24"/>
        </w:rPr>
        <w:t xml:space="preserve"> la respuesta debe ser la misma para cada litisconsorte</w:t>
      </w:r>
      <w:r w:rsidR="00DE5BD1">
        <w:rPr>
          <w:rFonts w:ascii="Times New Roman" w:hAnsi="Times New Roman" w:cs="Times New Roman"/>
          <w:sz w:val="24"/>
          <w:szCs w:val="24"/>
        </w:rPr>
        <w:t xml:space="preserve"> </w:t>
      </w:r>
      <w:r w:rsidRPr="00C12E06">
        <w:rPr>
          <w:rFonts w:ascii="Times New Roman" w:hAnsi="Times New Roman" w:cs="Times New Roman"/>
          <w:sz w:val="24"/>
          <w:szCs w:val="24"/>
        </w:rPr>
        <w:t xml:space="preserve"> respecto de ese elemento común: la concurrencia de la causa de nulidad… Aunque nada puede impedir los actos de disposición individualizados de cada titular respecto del objeto</w:t>
      </w:r>
      <w:r w:rsidR="00BB52B6" w:rsidRPr="00C12E06">
        <w:rPr>
          <w:rFonts w:ascii="Times New Roman" w:hAnsi="Times New Roman" w:cs="Times New Roman"/>
          <w:sz w:val="24"/>
          <w:szCs w:val="24"/>
        </w:rPr>
        <w:t>:</w:t>
      </w:r>
      <w:r w:rsidRPr="00C12E06">
        <w:rPr>
          <w:rFonts w:ascii="Times New Roman" w:hAnsi="Times New Roman" w:cs="Times New Roman"/>
          <w:sz w:val="24"/>
          <w:szCs w:val="24"/>
        </w:rPr>
        <w:t xml:space="preserve"> allanamiento, renuncia, transacción, satisfacción extraprocesal o del procedimiento, desistimiento, suspensión…</w:t>
      </w:r>
      <w:r w:rsidR="004D2A7E" w:rsidRPr="00C12E06">
        <w:rPr>
          <w:rFonts w:ascii="Times New Roman" w:hAnsi="Times New Roman" w:cs="Times New Roman"/>
          <w:sz w:val="24"/>
          <w:szCs w:val="24"/>
        </w:rPr>
        <w:t xml:space="preserve"> Sin embargo, como pueden concurrir elementos diferenciadores decisivos respecto de cada litisconsorte, es factible que existan soluciones diferenciadas en cada caso, </w:t>
      </w:r>
      <w:proofErr w:type="spellStart"/>
      <w:r w:rsidR="004D2A7E" w:rsidRPr="00C12E06">
        <w:rPr>
          <w:rFonts w:ascii="Times New Roman" w:hAnsi="Times New Roman" w:cs="Times New Roman"/>
          <w:i/>
          <w:sz w:val="24"/>
          <w:szCs w:val="24"/>
        </w:rPr>
        <w:t>e.g</w:t>
      </w:r>
      <w:proofErr w:type="spellEnd"/>
      <w:r w:rsidR="004D2A7E" w:rsidRPr="00C12E06">
        <w:rPr>
          <w:rFonts w:ascii="Times New Roman" w:hAnsi="Times New Roman" w:cs="Times New Roman"/>
          <w:i/>
          <w:sz w:val="24"/>
          <w:szCs w:val="24"/>
        </w:rPr>
        <w:t xml:space="preserve">., </w:t>
      </w:r>
      <w:r w:rsidR="004D2A7E" w:rsidRPr="00C12E06">
        <w:rPr>
          <w:rFonts w:ascii="Times New Roman" w:hAnsi="Times New Roman" w:cs="Times New Roman"/>
          <w:sz w:val="24"/>
          <w:szCs w:val="24"/>
        </w:rPr>
        <w:t>la información suministrada sobre un producto financiero puede ser insuficiente y viciar el consentimiento de un minorista pero no de un profesional.</w:t>
      </w:r>
      <w:r w:rsidR="00CE6998" w:rsidRPr="00C12E06">
        <w:rPr>
          <w:rFonts w:ascii="Times New Roman" w:hAnsi="Times New Roman" w:cs="Times New Roman"/>
          <w:sz w:val="24"/>
          <w:szCs w:val="24"/>
        </w:rPr>
        <w:t xml:space="preserve"> Ahora bien</w:t>
      </w:r>
      <w:r w:rsidR="00BB52B6" w:rsidRPr="00C12E06">
        <w:rPr>
          <w:rFonts w:ascii="Times New Roman" w:hAnsi="Times New Roman" w:cs="Times New Roman"/>
          <w:sz w:val="24"/>
          <w:szCs w:val="24"/>
        </w:rPr>
        <w:t xml:space="preserve">, dado que </w:t>
      </w:r>
      <w:r w:rsidR="00CE6998" w:rsidRPr="00C12E06">
        <w:rPr>
          <w:rFonts w:ascii="Times New Roman" w:hAnsi="Times New Roman" w:cs="Times New Roman"/>
          <w:sz w:val="24"/>
          <w:szCs w:val="24"/>
        </w:rPr>
        <w:t>la premisa de la acumulación es la conexión jurídica de unos hechos semejantes, entendemos que</w:t>
      </w:r>
      <w:r w:rsidR="00032C6B">
        <w:rPr>
          <w:rFonts w:ascii="Times New Roman" w:hAnsi="Times New Roman" w:cs="Times New Roman"/>
          <w:sz w:val="24"/>
          <w:szCs w:val="24"/>
        </w:rPr>
        <w:t xml:space="preserve"> respecto de ella</w:t>
      </w:r>
      <w:r w:rsidR="00CE6998" w:rsidRPr="00C12E06">
        <w:rPr>
          <w:rFonts w:ascii="Times New Roman" w:hAnsi="Times New Roman" w:cs="Times New Roman"/>
          <w:sz w:val="24"/>
          <w:szCs w:val="24"/>
        </w:rPr>
        <w:t xml:space="preserve"> sí debería existir la eficacia extensiva del fallo en los recursos. Así, </w:t>
      </w:r>
      <w:proofErr w:type="spellStart"/>
      <w:r w:rsidR="00CE6998" w:rsidRPr="00C12E06">
        <w:rPr>
          <w:rFonts w:ascii="Times New Roman" w:hAnsi="Times New Roman" w:cs="Times New Roman"/>
          <w:i/>
          <w:sz w:val="24"/>
          <w:szCs w:val="24"/>
        </w:rPr>
        <w:t>e.g</w:t>
      </w:r>
      <w:proofErr w:type="spellEnd"/>
      <w:r w:rsidR="00CE6998" w:rsidRPr="00C12E06">
        <w:rPr>
          <w:rFonts w:ascii="Times New Roman" w:hAnsi="Times New Roman" w:cs="Times New Roman"/>
          <w:i/>
          <w:sz w:val="24"/>
          <w:szCs w:val="24"/>
        </w:rPr>
        <w:t>.</w:t>
      </w:r>
      <w:r w:rsidR="00CE6998" w:rsidRPr="00C12E06">
        <w:rPr>
          <w:rFonts w:ascii="Times New Roman" w:hAnsi="Times New Roman" w:cs="Times New Roman"/>
          <w:sz w:val="24"/>
          <w:szCs w:val="24"/>
        </w:rPr>
        <w:t xml:space="preserve">, la solución acerca </w:t>
      </w:r>
      <w:r w:rsidR="00CE6998" w:rsidRPr="00C12E06">
        <w:rPr>
          <w:rFonts w:ascii="Times New Roman" w:hAnsi="Times New Roman" w:cs="Times New Roman"/>
          <w:sz w:val="24"/>
          <w:szCs w:val="24"/>
        </w:rPr>
        <w:lastRenderedPageBreak/>
        <w:t>de la suficiencia de</w:t>
      </w:r>
      <w:r w:rsidR="00470CF4">
        <w:rPr>
          <w:rFonts w:ascii="Times New Roman" w:hAnsi="Times New Roman" w:cs="Times New Roman"/>
          <w:sz w:val="24"/>
          <w:szCs w:val="24"/>
        </w:rPr>
        <w:t xml:space="preserve"> la (misma) información suministrada a</w:t>
      </w:r>
      <w:r w:rsidR="00CE6998" w:rsidRPr="00C12E06">
        <w:rPr>
          <w:rFonts w:ascii="Times New Roman" w:hAnsi="Times New Roman" w:cs="Times New Roman"/>
          <w:sz w:val="24"/>
          <w:szCs w:val="24"/>
        </w:rPr>
        <w:t xml:space="preserve"> los minoristas</w:t>
      </w:r>
      <w:r w:rsidR="00470CF4">
        <w:rPr>
          <w:rFonts w:ascii="Times New Roman" w:hAnsi="Times New Roman" w:cs="Times New Roman"/>
          <w:sz w:val="24"/>
          <w:szCs w:val="24"/>
        </w:rPr>
        <w:t xml:space="preserve"> o profesionales</w:t>
      </w:r>
      <w:r w:rsidR="00CE6998" w:rsidRPr="00C12E06">
        <w:rPr>
          <w:rFonts w:ascii="Times New Roman" w:hAnsi="Times New Roman" w:cs="Times New Roman"/>
          <w:sz w:val="24"/>
          <w:szCs w:val="24"/>
        </w:rPr>
        <w:t xml:space="preserve"> debería ser la misma en todo caso.</w:t>
      </w:r>
    </w:p>
    <w:p w14:paraId="5E68C2DF" w14:textId="74BC927F" w:rsidR="00E35E06" w:rsidRPr="00C12E06" w:rsidRDefault="004D2A7E" w:rsidP="000B489F">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Aunque se ha hecho hincapié que lo que justifica esta modalidad de la acumulación subjetiva es el análisis de un mismo dilema jurídico es factible la quiebra </w:t>
      </w:r>
      <w:r w:rsidR="00FF10E4" w:rsidRPr="00C12E06">
        <w:rPr>
          <w:rFonts w:ascii="Times New Roman" w:hAnsi="Times New Roman" w:cs="Times New Roman"/>
          <w:sz w:val="24"/>
          <w:szCs w:val="24"/>
        </w:rPr>
        <w:t>de</w:t>
      </w:r>
      <w:r w:rsidR="00E35C34" w:rsidRPr="00C12E06">
        <w:rPr>
          <w:rFonts w:ascii="Times New Roman" w:hAnsi="Times New Roman" w:cs="Times New Roman"/>
          <w:sz w:val="24"/>
          <w:szCs w:val="24"/>
        </w:rPr>
        <w:t xml:space="preserve"> esa identidad</w:t>
      </w:r>
      <w:r w:rsidR="00FF10E4" w:rsidRPr="00C12E06">
        <w:rPr>
          <w:rFonts w:ascii="Times New Roman" w:hAnsi="Times New Roman" w:cs="Times New Roman"/>
          <w:sz w:val="24"/>
          <w:szCs w:val="24"/>
        </w:rPr>
        <w:t xml:space="preserve"> a través del</w:t>
      </w:r>
      <w:r w:rsidR="00214182" w:rsidRPr="00C12E06">
        <w:rPr>
          <w:rFonts w:ascii="Times New Roman" w:hAnsi="Times New Roman" w:cs="Times New Roman"/>
          <w:sz w:val="24"/>
          <w:szCs w:val="24"/>
        </w:rPr>
        <w:t xml:space="preserve"> juego de la preclusión</w:t>
      </w:r>
      <w:r w:rsidR="000E4EE4" w:rsidRPr="00C12E06">
        <w:rPr>
          <w:rFonts w:ascii="Times New Roman" w:hAnsi="Times New Roman" w:cs="Times New Roman"/>
          <w:sz w:val="24"/>
          <w:szCs w:val="24"/>
        </w:rPr>
        <w:t>. Efectivamente, nada puede impedir que un litisconsorte plantee</w:t>
      </w:r>
      <w:r w:rsidR="00214182" w:rsidRPr="00C12E06">
        <w:rPr>
          <w:rFonts w:ascii="Times New Roman" w:hAnsi="Times New Roman" w:cs="Times New Roman"/>
          <w:sz w:val="24"/>
          <w:szCs w:val="24"/>
        </w:rPr>
        <w:t xml:space="preserve"> </w:t>
      </w:r>
      <w:r w:rsidR="000E4EE4" w:rsidRPr="00C12E06">
        <w:rPr>
          <w:rFonts w:ascii="Times New Roman" w:hAnsi="Times New Roman" w:cs="Times New Roman"/>
          <w:sz w:val="24"/>
          <w:szCs w:val="24"/>
        </w:rPr>
        <w:t xml:space="preserve">además de la fundamentación jurídica compartida, </w:t>
      </w:r>
      <w:proofErr w:type="spellStart"/>
      <w:r w:rsidR="000E4EE4" w:rsidRPr="00C12E06">
        <w:rPr>
          <w:rFonts w:ascii="Times New Roman" w:hAnsi="Times New Roman" w:cs="Times New Roman"/>
          <w:i/>
          <w:sz w:val="24"/>
          <w:szCs w:val="24"/>
        </w:rPr>
        <w:t>e.g</w:t>
      </w:r>
      <w:proofErr w:type="spellEnd"/>
      <w:r w:rsidR="000E4EE4" w:rsidRPr="00C12E06">
        <w:rPr>
          <w:rFonts w:ascii="Times New Roman" w:hAnsi="Times New Roman" w:cs="Times New Roman"/>
          <w:i/>
          <w:sz w:val="24"/>
          <w:szCs w:val="24"/>
        </w:rPr>
        <w:t>.</w:t>
      </w:r>
      <w:r w:rsidR="000E4EE4" w:rsidRPr="00C12E06">
        <w:rPr>
          <w:rFonts w:ascii="Times New Roman" w:hAnsi="Times New Roman" w:cs="Times New Roman"/>
          <w:sz w:val="24"/>
          <w:szCs w:val="24"/>
        </w:rPr>
        <w:t>, la nulidad por vicio del consentimiento debida a la ausencia de información, cualquier otra que también pudiera esgrimir para lograr la finalidad pretendida porq</w:t>
      </w:r>
      <w:r w:rsidR="00CE6998" w:rsidRPr="00C12E06">
        <w:rPr>
          <w:rFonts w:ascii="Times New Roman" w:hAnsi="Times New Roman" w:cs="Times New Roman"/>
          <w:sz w:val="24"/>
          <w:szCs w:val="24"/>
        </w:rPr>
        <w:t>ue de otra manera queda blindado</w:t>
      </w:r>
      <w:r w:rsidR="00E35C34" w:rsidRPr="00C12E06">
        <w:rPr>
          <w:rFonts w:ascii="Times New Roman" w:hAnsi="Times New Roman" w:cs="Times New Roman"/>
          <w:sz w:val="24"/>
          <w:szCs w:val="24"/>
        </w:rPr>
        <w:t xml:space="preserve"> su ejercicio</w:t>
      </w:r>
      <w:r w:rsidR="000E4EE4" w:rsidRPr="00C12E06">
        <w:rPr>
          <w:rFonts w:ascii="Times New Roman" w:hAnsi="Times New Roman" w:cs="Times New Roman"/>
          <w:sz w:val="24"/>
          <w:szCs w:val="24"/>
        </w:rPr>
        <w:t xml:space="preserve"> por el juego de la preclusión externa principal y artificial (creada por el legislador), art. 400 LEC</w:t>
      </w:r>
      <w:r w:rsidR="00FF10E4" w:rsidRPr="00C12E06">
        <w:rPr>
          <w:rFonts w:ascii="Times New Roman" w:hAnsi="Times New Roman" w:cs="Times New Roman"/>
          <w:sz w:val="24"/>
          <w:szCs w:val="24"/>
        </w:rPr>
        <w:t>,</w:t>
      </w:r>
      <w:r w:rsidR="000E4EE4" w:rsidRPr="00C12E06">
        <w:rPr>
          <w:rFonts w:ascii="Times New Roman" w:hAnsi="Times New Roman" w:cs="Times New Roman"/>
          <w:sz w:val="24"/>
          <w:szCs w:val="24"/>
        </w:rPr>
        <w:t xml:space="preserve"> que se añade al objeto expresamente planteado tanto en la litispendencia como en la imposibilidad de plantearla en un proceso ulterior.</w:t>
      </w:r>
      <w:r w:rsidR="00FF10E4" w:rsidRPr="00C12E06">
        <w:rPr>
          <w:rFonts w:ascii="Times New Roman" w:hAnsi="Times New Roman" w:cs="Times New Roman"/>
          <w:sz w:val="24"/>
          <w:szCs w:val="24"/>
        </w:rPr>
        <w:t xml:space="preserve"> Una realidad que se acrecienta en el caso </w:t>
      </w:r>
      <w:r w:rsidR="000E4EE4" w:rsidRPr="00C12E06">
        <w:rPr>
          <w:rFonts w:ascii="Times New Roman" w:hAnsi="Times New Roman" w:cs="Times New Roman"/>
          <w:sz w:val="24"/>
          <w:szCs w:val="24"/>
        </w:rPr>
        <w:t xml:space="preserve">en el caso de los consumidores y usuarios, </w:t>
      </w:r>
      <w:r w:rsidR="00FF10E4" w:rsidRPr="00C12E06">
        <w:rPr>
          <w:rFonts w:ascii="Times New Roman" w:hAnsi="Times New Roman" w:cs="Times New Roman"/>
          <w:sz w:val="24"/>
          <w:szCs w:val="24"/>
        </w:rPr>
        <w:t xml:space="preserve">donde </w:t>
      </w:r>
      <w:r w:rsidR="000E4EE4" w:rsidRPr="00C12E06">
        <w:rPr>
          <w:rFonts w:ascii="Times New Roman" w:hAnsi="Times New Roman" w:cs="Times New Roman"/>
          <w:sz w:val="24"/>
          <w:szCs w:val="24"/>
        </w:rPr>
        <w:t xml:space="preserve">la existencia de la legitimación extraordinaria representativa, permite la adhesión del </w:t>
      </w:r>
      <w:r w:rsidR="00BC3682" w:rsidRPr="00C12E06">
        <w:rPr>
          <w:rFonts w:ascii="Times New Roman" w:hAnsi="Times New Roman" w:cs="Times New Roman"/>
          <w:sz w:val="24"/>
          <w:szCs w:val="24"/>
        </w:rPr>
        <w:t>consumidor i</w:t>
      </w:r>
      <w:r w:rsidR="00E35C34" w:rsidRPr="00C12E06">
        <w:rPr>
          <w:rFonts w:ascii="Times New Roman" w:hAnsi="Times New Roman" w:cs="Times New Roman"/>
          <w:sz w:val="24"/>
          <w:szCs w:val="24"/>
        </w:rPr>
        <w:t>ndividual</w:t>
      </w:r>
      <w:r w:rsidR="00BC3682" w:rsidRPr="00C12E06">
        <w:rPr>
          <w:rFonts w:ascii="Times New Roman" w:hAnsi="Times New Roman" w:cs="Times New Roman"/>
          <w:sz w:val="24"/>
          <w:szCs w:val="24"/>
        </w:rPr>
        <w:t xml:space="preserve"> al pleito incoado por la asociación o el grupo, bien voluntariamente, art. 13</w:t>
      </w:r>
      <w:r w:rsidR="00F02912" w:rsidRPr="00C12E06">
        <w:rPr>
          <w:rFonts w:ascii="Times New Roman" w:hAnsi="Times New Roman" w:cs="Times New Roman"/>
          <w:sz w:val="24"/>
          <w:szCs w:val="24"/>
        </w:rPr>
        <w:t>.1 LEC</w:t>
      </w:r>
      <w:r w:rsidR="00BC3682" w:rsidRPr="00C12E06">
        <w:rPr>
          <w:rFonts w:ascii="Times New Roman" w:hAnsi="Times New Roman" w:cs="Times New Roman"/>
          <w:sz w:val="24"/>
          <w:szCs w:val="24"/>
        </w:rPr>
        <w:t xml:space="preserve">, bien a resultas de la </w:t>
      </w:r>
      <w:proofErr w:type="spellStart"/>
      <w:r w:rsidR="00BC3682" w:rsidRPr="00C12E06">
        <w:rPr>
          <w:rFonts w:ascii="Times New Roman" w:hAnsi="Times New Roman" w:cs="Times New Roman"/>
          <w:sz w:val="24"/>
          <w:szCs w:val="24"/>
        </w:rPr>
        <w:t>litisdenunciación</w:t>
      </w:r>
      <w:proofErr w:type="spellEnd"/>
      <w:r w:rsidR="00BC3682" w:rsidRPr="00C12E06">
        <w:rPr>
          <w:rFonts w:ascii="Times New Roman" w:hAnsi="Times New Roman" w:cs="Times New Roman"/>
          <w:sz w:val="24"/>
          <w:szCs w:val="24"/>
        </w:rPr>
        <w:t>, art. 15 LEC. Y puede plantear también otras perspectivas jurídicas diferentes, precisamente para evitar la preclusión</w:t>
      </w:r>
      <w:r w:rsidR="003C2CDF" w:rsidRPr="00C12E06">
        <w:rPr>
          <w:rFonts w:ascii="Times New Roman" w:hAnsi="Times New Roman" w:cs="Times New Roman"/>
          <w:sz w:val="24"/>
          <w:szCs w:val="24"/>
        </w:rPr>
        <w:t xml:space="preserve"> siempre que el momento </w:t>
      </w:r>
      <w:r w:rsidR="00F02912" w:rsidRPr="00C12E06">
        <w:rPr>
          <w:rFonts w:ascii="Times New Roman" w:hAnsi="Times New Roman" w:cs="Times New Roman"/>
          <w:sz w:val="24"/>
          <w:szCs w:val="24"/>
        </w:rPr>
        <w:t xml:space="preserve">procesal </w:t>
      </w:r>
      <w:r w:rsidR="003C2CDF" w:rsidRPr="00C12E06">
        <w:rPr>
          <w:rFonts w:ascii="Times New Roman" w:hAnsi="Times New Roman" w:cs="Times New Roman"/>
          <w:sz w:val="24"/>
          <w:szCs w:val="24"/>
        </w:rPr>
        <w:t>en el que se produzca la intervención así lo consienta</w:t>
      </w:r>
      <w:r w:rsidR="00F02912" w:rsidRPr="00C12E06">
        <w:rPr>
          <w:rStyle w:val="Refdenotaalpie"/>
          <w:rFonts w:ascii="Times New Roman" w:hAnsi="Times New Roman" w:cs="Times New Roman"/>
          <w:sz w:val="24"/>
          <w:szCs w:val="24"/>
        </w:rPr>
        <w:footnoteReference w:id="59"/>
      </w:r>
      <w:r w:rsidR="00BC3682" w:rsidRPr="00C12E06">
        <w:rPr>
          <w:rFonts w:ascii="Times New Roman" w:hAnsi="Times New Roman" w:cs="Times New Roman"/>
          <w:sz w:val="24"/>
          <w:szCs w:val="24"/>
        </w:rPr>
        <w:t xml:space="preserve">. </w:t>
      </w:r>
      <w:r w:rsidR="002C009D" w:rsidRPr="00C12E06">
        <w:rPr>
          <w:rFonts w:ascii="Times New Roman" w:hAnsi="Times New Roman" w:cs="Times New Roman"/>
          <w:sz w:val="24"/>
          <w:szCs w:val="24"/>
        </w:rPr>
        <w:t xml:space="preserve">En cualquier </w:t>
      </w:r>
      <w:r w:rsidR="00470CF4">
        <w:rPr>
          <w:rFonts w:ascii="Times New Roman" w:hAnsi="Times New Roman" w:cs="Times New Roman"/>
          <w:sz w:val="24"/>
          <w:szCs w:val="24"/>
        </w:rPr>
        <w:t>caso, la posibilidad de suscitar otras</w:t>
      </w:r>
      <w:r w:rsidR="002C009D" w:rsidRPr="00C12E06">
        <w:rPr>
          <w:rFonts w:ascii="Times New Roman" w:hAnsi="Times New Roman" w:cs="Times New Roman"/>
          <w:sz w:val="24"/>
          <w:szCs w:val="24"/>
        </w:rPr>
        <w:t xml:space="preserve"> perspectivas o fundamentaciones jurídicas más que romper la identidad lo que hace es matizarla: todos los litisconsortes deben asumir un mismo planteamiento jurídico, el que justifica el tratamiento unitario, au</w:t>
      </w:r>
      <w:r w:rsidR="00470CF4">
        <w:rPr>
          <w:rFonts w:ascii="Times New Roman" w:hAnsi="Times New Roman" w:cs="Times New Roman"/>
          <w:sz w:val="24"/>
          <w:szCs w:val="24"/>
        </w:rPr>
        <w:t>nque algunos puedan añadir más</w:t>
      </w:r>
      <w:r w:rsidR="002C009D" w:rsidRPr="00C12E06">
        <w:rPr>
          <w:rFonts w:ascii="Times New Roman" w:hAnsi="Times New Roman" w:cs="Times New Roman"/>
          <w:sz w:val="24"/>
          <w:szCs w:val="24"/>
        </w:rPr>
        <w:t xml:space="preserve"> perspectivas jurídicas.</w:t>
      </w:r>
    </w:p>
    <w:p w14:paraId="60E5DC7C" w14:textId="247B02B5" w:rsidR="00A27A08" w:rsidRPr="00A27A08" w:rsidRDefault="004B7882" w:rsidP="000B489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B) L</w:t>
      </w:r>
      <w:r w:rsidR="00211702" w:rsidRPr="00A27A08">
        <w:rPr>
          <w:rFonts w:ascii="Times New Roman" w:hAnsi="Times New Roman" w:cs="Times New Roman"/>
          <w:b/>
          <w:sz w:val="24"/>
          <w:szCs w:val="24"/>
        </w:rPr>
        <w:t>a</w:t>
      </w:r>
      <w:r w:rsidR="00747EF8" w:rsidRPr="00A27A08">
        <w:rPr>
          <w:rFonts w:ascii="Times New Roman" w:hAnsi="Times New Roman" w:cs="Times New Roman"/>
          <w:b/>
          <w:sz w:val="24"/>
          <w:szCs w:val="24"/>
        </w:rPr>
        <w:t xml:space="preserve"> acumulación </w:t>
      </w:r>
      <w:r w:rsidR="004344D7">
        <w:rPr>
          <w:rFonts w:ascii="Times New Roman" w:hAnsi="Times New Roman" w:cs="Times New Roman"/>
          <w:b/>
          <w:sz w:val="24"/>
          <w:szCs w:val="24"/>
        </w:rPr>
        <w:t>funda</w:t>
      </w:r>
      <w:r>
        <w:rPr>
          <w:rFonts w:ascii="Times New Roman" w:hAnsi="Times New Roman" w:cs="Times New Roman"/>
          <w:b/>
          <w:sz w:val="24"/>
          <w:szCs w:val="24"/>
        </w:rPr>
        <w:t>da</w:t>
      </w:r>
      <w:r w:rsidR="004344D7">
        <w:rPr>
          <w:rFonts w:ascii="Times New Roman" w:hAnsi="Times New Roman" w:cs="Times New Roman"/>
          <w:b/>
          <w:sz w:val="24"/>
          <w:szCs w:val="24"/>
        </w:rPr>
        <w:t xml:space="preserve"> casi exclusivamente</w:t>
      </w:r>
      <w:r w:rsidR="00211702" w:rsidRPr="00A27A08">
        <w:rPr>
          <w:rFonts w:ascii="Times New Roman" w:hAnsi="Times New Roman" w:cs="Times New Roman"/>
          <w:b/>
          <w:sz w:val="24"/>
          <w:szCs w:val="24"/>
        </w:rPr>
        <w:t xml:space="preserve"> en la conexión jurídica al marge</w:t>
      </w:r>
      <w:r w:rsidR="00A27A08">
        <w:rPr>
          <w:rFonts w:ascii="Times New Roman" w:hAnsi="Times New Roman" w:cs="Times New Roman"/>
          <w:b/>
          <w:sz w:val="24"/>
          <w:szCs w:val="24"/>
        </w:rPr>
        <w:t>n</w:t>
      </w:r>
      <w:r w:rsidR="00A27A08" w:rsidRPr="00A27A08">
        <w:rPr>
          <w:rFonts w:ascii="Times New Roman" w:hAnsi="Times New Roman" w:cs="Times New Roman"/>
          <w:b/>
          <w:sz w:val="24"/>
          <w:szCs w:val="24"/>
        </w:rPr>
        <w:t xml:space="preserve"> de los hechos</w:t>
      </w:r>
    </w:p>
    <w:p w14:paraId="2F2EA50C" w14:textId="10F8162B" w:rsidR="00747EF8" w:rsidRPr="00C12E06" w:rsidRDefault="00211702" w:rsidP="00BB7EDA">
      <w:pPr>
        <w:spacing w:after="0"/>
        <w:ind w:firstLine="0"/>
        <w:jc w:val="both"/>
        <w:rPr>
          <w:rFonts w:ascii="Times New Roman" w:hAnsi="Times New Roman" w:cs="Times New Roman"/>
          <w:sz w:val="24"/>
          <w:szCs w:val="24"/>
        </w:rPr>
      </w:pPr>
      <w:r w:rsidRPr="00C12E06">
        <w:rPr>
          <w:rFonts w:ascii="Times New Roman" w:hAnsi="Times New Roman" w:cs="Times New Roman"/>
          <w:sz w:val="24"/>
          <w:szCs w:val="24"/>
        </w:rPr>
        <w:t xml:space="preserve">En estos casos la conexión se centra exclusivamente en la vinculación jurídica concurrente entre los objetos acumulados aunque en ocasiones la </w:t>
      </w:r>
      <w:proofErr w:type="spellStart"/>
      <w:r w:rsidRPr="00C12E06">
        <w:rPr>
          <w:rFonts w:ascii="Times New Roman" w:hAnsi="Times New Roman" w:cs="Times New Roman"/>
          <w:sz w:val="24"/>
          <w:szCs w:val="24"/>
        </w:rPr>
        <w:t>prejudicialidad</w:t>
      </w:r>
      <w:proofErr w:type="spellEnd"/>
      <w:r w:rsidRPr="00C12E06">
        <w:rPr>
          <w:rFonts w:ascii="Times New Roman" w:hAnsi="Times New Roman" w:cs="Times New Roman"/>
          <w:sz w:val="24"/>
          <w:szCs w:val="24"/>
        </w:rPr>
        <w:t xml:space="preserve"> o interdependencia jurídica también presuponga la fáctica</w:t>
      </w:r>
      <w:r w:rsidR="00747EF8" w:rsidRPr="00C12E06">
        <w:rPr>
          <w:rFonts w:ascii="Times New Roman" w:hAnsi="Times New Roman" w:cs="Times New Roman"/>
          <w:sz w:val="24"/>
          <w:szCs w:val="24"/>
          <w:vertAlign w:val="superscript"/>
        </w:rPr>
        <w:footnoteReference w:id="60"/>
      </w:r>
      <w:r w:rsidRPr="00C12E06">
        <w:rPr>
          <w:rFonts w:ascii="Times New Roman" w:hAnsi="Times New Roman" w:cs="Times New Roman"/>
          <w:sz w:val="24"/>
          <w:szCs w:val="24"/>
        </w:rPr>
        <w:t>.</w:t>
      </w:r>
      <w:r w:rsidR="004344D7">
        <w:rPr>
          <w:rFonts w:ascii="Times New Roman" w:hAnsi="Times New Roman" w:cs="Times New Roman"/>
          <w:sz w:val="24"/>
          <w:szCs w:val="24"/>
        </w:rPr>
        <w:t xml:space="preserve"> Por eso en muchos de estos supuestos en realidad estaríamos ante hipótesis que se estudian en la acumulación objetiva de acciones (acumulación de acciones accesorias a la principal, eventual o subsidiaria) caracterizadas porque la titularidad de cada una </w:t>
      </w:r>
      <w:r w:rsidR="0039737C">
        <w:rPr>
          <w:rFonts w:ascii="Times New Roman" w:hAnsi="Times New Roman" w:cs="Times New Roman"/>
          <w:sz w:val="24"/>
          <w:szCs w:val="24"/>
        </w:rPr>
        <w:t>corresponde a sujetos diversos. La</w:t>
      </w:r>
      <w:r w:rsidRPr="00C12E06">
        <w:rPr>
          <w:rFonts w:ascii="Times New Roman" w:hAnsi="Times New Roman" w:cs="Times New Roman"/>
          <w:sz w:val="24"/>
          <w:szCs w:val="24"/>
        </w:rPr>
        <w:t xml:space="preserve"> conexión jurídica </w:t>
      </w:r>
      <w:r w:rsidR="00747EF8" w:rsidRPr="00C12E06">
        <w:rPr>
          <w:rFonts w:ascii="Times New Roman" w:hAnsi="Times New Roman" w:cs="Times New Roman"/>
          <w:sz w:val="24"/>
          <w:szCs w:val="24"/>
        </w:rPr>
        <w:t xml:space="preserve">que puede ser muy estrecha, lo habitual, o más lejana: </w:t>
      </w:r>
    </w:p>
    <w:p w14:paraId="2B7E9507" w14:textId="013F9469" w:rsidR="00747EF8" w:rsidRPr="00C12E06" w:rsidRDefault="00747EF8" w:rsidP="000B489F">
      <w:pPr>
        <w:numPr>
          <w:ilvl w:val="0"/>
          <w:numId w:val="1"/>
        </w:numPr>
        <w:spacing w:after="0"/>
        <w:ind w:left="0" w:firstLine="0"/>
        <w:jc w:val="both"/>
        <w:rPr>
          <w:rFonts w:ascii="Times New Roman" w:hAnsi="Times New Roman" w:cs="Times New Roman"/>
          <w:sz w:val="24"/>
          <w:szCs w:val="24"/>
        </w:rPr>
      </w:pPr>
      <w:r w:rsidRPr="00C12E06">
        <w:rPr>
          <w:rFonts w:ascii="Times New Roman" w:hAnsi="Times New Roman" w:cs="Times New Roman"/>
          <w:sz w:val="24"/>
          <w:szCs w:val="24"/>
        </w:rPr>
        <w:t>Si una ellas es principal y las otras resultan accesorias. La estimación de la primera es la que permite pronunciarse sobre la</w:t>
      </w:r>
      <w:r w:rsidR="00460083" w:rsidRPr="00C12E06">
        <w:rPr>
          <w:rFonts w:ascii="Times New Roman" w:hAnsi="Times New Roman" w:cs="Times New Roman"/>
          <w:sz w:val="24"/>
          <w:szCs w:val="24"/>
        </w:rPr>
        <w:t>s restantes; p</w:t>
      </w:r>
      <w:r w:rsidRPr="00C12E06">
        <w:rPr>
          <w:rFonts w:ascii="Times New Roman" w:hAnsi="Times New Roman" w:cs="Times New Roman"/>
          <w:sz w:val="24"/>
          <w:szCs w:val="24"/>
        </w:rPr>
        <w:t xml:space="preserve">iénsese en la solicitud de </w:t>
      </w:r>
      <w:r w:rsidRPr="00C12E06">
        <w:rPr>
          <w:rFonts w:ascii="Times New Roman" w:hAnsi="Times New Roman" w:cs="Times New Roman"/>
          <w:sz w:val="24"/>
          <w:szCs w:val="24"/>
        </w:rPr>
        <w:lastRenderedPageBreak/>
        <w:t xml:space="preserve">declaración de nulidad del testamento a la que se añade la de responsabilidad civil (contractual) del notario, arts. 146 </w:t>
      </w:r>
      <w:proofErr w:type="spellStart"/>
      <w:r w:rsidRPr="00C12E06">
        <w:rPr>
          <w:rFonts w:ascii="Times New Roman" w:hAnsi="Times New Roman" w:cs="Times New Roman"/>
          <w:sz w:val="24"/>
          <w:szCs w:val="24"/>
        </w:rPr>
        <w:t>Rgto</w:t>
      </w:r>
      <w:proofErr w:type="spellEnd"/>
      <w:r w:rsidRPr="00C12E06">
        <w:rPr>
          <w:rFonts w:ascii="Times New Roman" w:hAnsi="Times New Roman" w:cs="Times New Roman"/>
          <w:sz w:val="24"/>
          <w:szCs w:val="24"/>
        </w:rPr>
        <w:t xml:space="preserve">. Notarial y 705 (testamento abierto) y 715 (testamento cerrado) </w:t>
      </w:r>
      <w:proofErr w:type="spellStart"/>
      <w:r w:rsidRPr="00C12E06">
        <w:rPr>
          <w:rFonts w:ascii="Times New Roman" w:hAnsi="Times New Roman" w:cs="Times New Roman"/>
          <w:sz w:val="24"/>
          <w:szCs w:val="24"/>
        </w:rPr>
        <w:t>Cc.</w:t>
      </w:r>
      <w:proofErr w:type="spellEnd"/>
      <w:r w:rsidRPr="00C12E06">
        <w:rPr>
          <w:rFonts w:ascii="Times New Roman" w:hAnsi="Times New Roman" w:cs="Times New Roman"/>
          <w:sz w:val="24"/>
          <w:szCs w:val="24"/>
        </w:rPr>
        <w:t xml:space="preserve"> Respecto de la segunda acción además de demostrar la culpa del fedatario (la infracción de los deberes de la profesión), habrá que acreditar los daños y la relación de causalidad</w:t>
      </w:r>
      <w:r w:rsidRPr="00C12E06">
        <w:rPr>
          <w:rFonts w:ascii="Times New Roman" w:hAnsi="Times New Roman" w:cs="Times New Roman"/>
          <w:sz w:val="24"/>
          <w:szCs w:val="24"/>
          <w:vertAlign w:val="superscript"/>
        </w:rPr>
        <w:footnoteReference w:id="61"/>
      </w:r>
      <w:r w:rsidRPr="00C12E06">
        <w:rPr>
          <w:rFonts w:ascii="Times New Roman" w:hAnsi="Times New Roman" w:cs="Times New Roman"/>
          <w:sz w:val="24"/>
          <w:szCs w:val="24"/>
        </w:rPr>
        <w:t>. O bien cuando se ejerce la acción declarativa de arrendamiento a la que se acumula la de daños ocasionados en el inmueble frente a los arrendatarios y determinados profesionales (dos arquitectos y un aparejador)</w:t>
      </w:r>
      <w:r w:rsidRPr="00C12E06">
        <w:rPr>
          <w:rFonts w:ascii="Times New Roman" w:hAnsi="Times New Roman" w:cs="Times New Roman"/>
          <w:sz w:val="24"/>
          <w:szCs w:val="24"/>
          <w:vertAlign w:val="superscript"/>
        </w:rPr>
        <w:t xml:space="preserve"> </w:t>
      </w:r>
      <w:r w:rsidRPr="00C12E06">
        <w:rPr>
          <w:rFonts w:ascii="Times New Roman" w:hAnsi="Times New Roman" w:cs="Times New Roman"/>
          <w:sz w:val="24"/>
          <w:szCs w:val="24"/>
          <w:vertAlign w:val="superscript"/>
        </w:rPr>
        <w:footnoteReference w:id="62"/>
      </w:r>
      <w:r w:rsidRPr="00C12E06">
        <w:rPr>
          <w:rFonts w:ascii="Times New Roman" w:hAnsi="Times New Roman" w:cs="Times New Roman"/>
          <w:sz w:val="24"/>
          <w:szCs w:val="24"/>
        </w:rPr>
        <w:t>, además de cuando se solicita la nulidad del proceso de ejecución hipotecaria a la que se acumula la acción declarativa de dominio</w:t>
      </w:r>
      <w:r w:rsidRPr="00C12E06">
        <w:rPr>
          <w:rFonts w:ascii="Times New Roman" w:hAnsi="Times New Roman" w:cs="Times New Roman"/>
          <w:sz w:val="24"/>
          <w:szCs w:val="24"/>
          <w:vertAlign w:val="superscript"/>
        </w:rPr>
        <w:footnoteReference w:id="63"/>
      </w:r>
      <w:r w:rsidR="00C13E8F" w:rsidRPr="00C12E06">
        <w:rPr>
          <w:rFonts w:ascii="Times New Roman" w:hAnsi="Times New Roman" w:cs="Times New Roman"/>
          <w:sz w:val="24"/>
          <w:szCs w:val="24"/>
        </w:rPr>
        <w:t>, así como la acción de resolución de contrato y la reivindicatoria frente al litisconsorte que fundaba su título en aquel negocio jurídico</w:t>
      </w:r>
      <w:r w:rsidR="00C13E8F" w:rsidRPr="00C12E06">
        <w:rPr>
          <w:rStyle w:val="Refdenotaalpie"/>
          <w:rFonts w:ascii="Times New Roman" w:hAnsi="Times New Roman" w:cs="Times New Roman"/>
          <w:sz w:val="24"/>
          <w:szCs w:val="24"/>
        </w:rPr>
        <w:footnoteReference w:id="64"/>
      </w:r>
      <w:r w:rsidR="00C13E8F" w:rsidRPr="00C12E06">
        <w:rPr>
          <w:rFonts w:ascii="Times New Roman" w:hAnsi="Times New Roman" w:cs="Times New Roman"/>
          <w:sz w:val="24"/>
          <w:szCs w:val="24"/>
        </w:rPr>
        <w:t>,</w:t>
      </w:r>
      <w:r w:rsidRPr="00C12E06">
        <w:rPr>
          <w:rFonts w:ascii="Times New Roman" w:hAnsi="Times New Roman" w:cs="Times New Roman"/>
          <w:sz w:val="24"/>
          <w:szCs w:val="24"/>
        </w:rPr>
        <w:t xml:space="preserve">  e incluso la reclamación de cuotas de comunidad junto a la de declaración de crédito preferente contra entidades bancarias acreedoras hipotecarias de los titulares del piso</w:t>
      </w:r>
      <w:r w:rsidRPr="00C12E06">
        <w:rPr>
          <w:rFonts w:ascii="Times New Roman" w:hAnsi="Times New Roman" w:cs="Times New Roman"/>
          <w:sz w:val="24"/>
          <w:szCs w:val="24"/>
          <w:vertAlign w:val="superscript"/>
        </w:rPr>
        <w:footnoteReference w:id="65"/>
      </w:r>
      <w:r w:rsidR="00B17D71" w:rsidRPr="00C12E06">
        <w:rPr>
          <w:rFonts w:ascii="Times New Roman" w:hAnsi="Times New Roman" w:cs="Times New Roman"/>
          <w:sz w:val="24"/>
          <w:szCs w:val="24"/>
        </w:rPr>
        <w:t xml:space="preserve">, </w:t>
      </w:r>
      <w:r w:rsidR="00173E3D">
        <w:rPr>
          <w:rFonts w:ascii="Times New Roman" w:hAnsi="Times New Roman" w:cs="Times New Roman"/>
          <w:sz w:val="24"/>
          <w:szCs w:val="24"/>
        </w:rPr>
        <w:t>la nulidad de contratos y, subsiguientemente, la rendición de cuentas</w:t>
      </w:r>
      <w:r w:rsidR="00173E3D">
        <w:rPr>
          <w:rStyle w:val="Refdenotaalpie"/>
          <w:rFonts w:ascii="Times New Roman" w:hAnsi="Times New Roman" w:cs="Times New Roman"/>
          <w:sz w:val="24"/>
          <w:szCs w:val="24"/>
        </w:rPr>
        <w:footnoteReference w:id="66"/>
      </w:r>
      <w:r w:rsidR="00173E3D">
        <w:rPr>
          <w:rFonts w:ascii="Times New Roman" w:hAnsi="Times New Roman" w:cs="Times New Roman"/>
          <w:sz w:val="24"/>
          <w:szCs w:val="24"/>
        </w:rPr>
        <w:t xml:space="preserve">, </w:t>
      </w:r>
      <w:r w:rsidR="0074434D">
        <w:rPr>
          <w:rFonts w:ascii="Times New Roman" w:hAnsi="Times New Roman" w:cs="Times New Roman"/>
          <w:sz w:val="24"/>
          <w:szCs w:val="24"/>
        </w:rPr>
        <w:t>además de</w:t>
      </w:r>
      <w:r w:rsidR="002653AE" w:rsidRPr="00C12E06">
        <w:rPr>
          <w:rFonts w:ascii="Times New Roman" w:hAnsi="Times New Roman" w:cs="Times New Roman"/>
          <w:sz w:val="24"/>
          <w:szCs w:val="24"/>
        </w:rPr>
        <w:t xml:space="preserve">, en general, </w:t>
      </w:r>
      <w:r w:rsidR="00B17D71" w:rsidRPr="00C12E06">
        <w:rPr>
          <w:rFonts w:ascii="Times New Roman" w:hAnsi="Times New Roman" w:cs="Times New Roman"/>
          <w:sz w:val="24"/>
          <w:szCs w:val="24"/>
        </w:rPr>
        <w:t xml:space="preserve">la reclamación </w:t>
      </w:r>
      <w:r w:rsidR="0039737C">
        <w:rPr>
          <w:rFonts w:ascii="Times New Roman" w:hAnsi="Times New Roman" w:cs="Times New Roman"/>
          <w:sz w:val="24"/>
          <w:szCs w:val="24"/>
        </w:rPr>
        <w:t>frente al responsable</w:t>
      </w:r>
      <w:r w:rsidR="00B17D71" w:rsidRPr="00C12E06">
        <w:rPr>
          <w:rFonts w:ascii="Times New Roman" w:hAnsi="Times New Roman" w:cs="Times New Roman"/>
          <w:sz w:val="24"/>
          <w:szCs w:val="24"/>
        </w:rPr>
        <w:t xml:space="preserve"> principal a la que se acumula la responsabilidad subsidiaria</w:t>
      </w:r>
      <w:r w:rsidR="00B17D71" w:rsidRPr="00C12E06">
        <w:rPr>
          <w:rStyle w:val="Refdenotaalpie"/>
          <w:rFonts w:ascii="Times New Roman" w:hAnsi="Times New Roman" w:cs="Times New Roman"/>
          <w:sz w:val="24"/>
          <w:szCs w:val="24"/>
        </w:rPr>
        <w:footnoteReference w:id="67"/>
      </w:r>
      <w:r w:rsidRPr="00C12E06">
        <w:rPr>
          <w:rFonts w:ascii="Times New Roman" w:hAnsi="Times New Roman" w:cs="Times New Roman"/>
          <w:sz w:val="24"/>
          <w:szCs w:val="24"/>
        </w:rPr>
        <w:t>.</w:t>
      </w:r>
    </w:p>
    <w:p w14:paraId="3227F4F3" w14:textId="1962358C" w:rsidR="00747EF8" w:rsidRPr="00C12E06" w:rsidRDefault="00C13E8F" w:rsidP="000B489F">
      <w:pPr>
        <w:numPr>
          <w:ilvl w:val="0"/>
          <w:numId w:val="1"/>
        </w:numPr>
        <w:spacing w:after="0"/>
        <w:ind w:left="0" w:firstLine="0"/>
        <w:jc w:val="both"/>
        <w:rPr>
          <w:rFonts w:ascii="Times New Roman" w:hAnsi="Times New Roman" w:cs="Times New Roman"/>
          <w:sz w:val="24"/>
          <w:szCs w:val="24"/>
        </w:rPr>
      </w:pPr>
      <w:r w:rsidRPr="00C12E06">
        <w:rPr>
          <w:rFonts w:ascii="Times New Roman" w:hAnsi="Times New Roman" w:cs="Times New Roman"/>
          <w:sz w:val="24"/>
          <w:szCs w:val="24"/>
        </w:rPr>
        <w:t>O</w:t>
      </w:r>
      <w:r w:rsidR="00747EF8" w:rsidRPr="00C12E06">
        <w:rPr>
          <w:rFonts w:ascii="Times New Roman" w:hAnsi="Times New Roman" w:cs="Times New Roman"/>
          <w:sz w:val="24"/>
          <w:szCs w:val="24"/>
        </w:rPr>
        <w:t xml:space="preserve"> bien si existe una acu</w:t>
      </w:r>
      <w:r w:rsidRPr="00C12E06">
        <w:rPr>
          <w:rFonts w:ascii="Times New Roman" w:hAnsi="Times New Roman" w:cs="Times New Roman"/>
          <w:sz w:val="24"/>
          <w:szCs w:val="24"/>
        </w:rPr>
        <w:t>mulación eventual o subsidiaria:</w:t>
      </w:r>
      <w:r w:rsidR="00747EF8" w:rsidRPr="00C12E06">
        <w:rPr>
          <w:rFonts w:ascii="Times New Roman" w:hAnsi="Times New Roman" w:cs="Times New Roman"/>
          <w:sz w:val="24"/>
          <w:szCs w:val="24"/>
        </w:rPr>
        <w:t xml:space="preserve"> la acción de nulidad de testamento (contra todos los beneficiados por este) y la de suplement</w:t>
      </w:r>
      <w:r w:rsidR="00855FE3" w:rsidRPr="00C12E06">
        <w:rPr>
          <w:rFonts w:ascii="Times New Roman" w:hAnsi="Times New Roman" w:cs="Times New Roman"/>
          <w:sz w:val="24"/>
          <w:szCs w:val="24"/>
        </w:rPr>
        <w:t>o de legítima (contra heredero)</w:t>
      </w:r>
      <w:r w:rsidR="00855FE3" w:rsidRPr="00C12E06">
        <w:rPr>
          <w:rStyle w:val="Refdenotaalpie"/>
          <w:rFonts w:ascii="Times New Roman" w:hAnsi="Times New Roman" w:cs="Times New Roman"/>
          <w:sz w:val="24"/>
          <w:szCs w:val="24"/>
        </w:rPr>
        <w:footnoteReference w:id="68"/>
      </w:r>
      <w:r w:rsidR="00855FE3" w:rsidRPr="00C12E06">
        <w:rPr>
          <w:rFonts w:ascii="Times New Roman" w:hAnsi="Times New Roman" w:cs="Times New Roman"/>
          <w:sz w:val="24"/>
          <w:szCs w:val="24"/>
        </w:rPr>
        <w:t>.</w:t>
      </w:r>
      <w:r w:rsidR="00A92C85">
        <w:rPr>
          <w:rFonts w:ascii="Times New Roman" w:hAnsi="Times New Roman" w:cs="Times New Roman"/>
          <w:sz w:val="24"/>
          <w:szCs w:val="24"/>
        </w:rPr>
        <w:t xml:space="preserve"> El conocimiento de la acción incompatible acumulada en segundo (o ulterior) lugar solo tiene lugar si se desestima la primera (o anterior), art. 71.4 LEC.</w:t>
      </w:r>
      <w:r w:rsidR="00747EF8" w:rsidRPr="00C12E06">
        <w:rPr>
          <w:rFonts w:ascii="Times New Roman" w:hAnsi="Times New Roman" w:cs="Times New Roman"/>
          <w:sz w:val="24"/>
          <w:szCs w:val="24"/>
        </w:rPr>
        <w:t xml:space="preserve"> </w:t>
      </w:r>
    </w:p>
    <w:p w14:paraId="2359DBA9" w14:textId="37672AA9" w:rsidR="0039737C" w:rsidRDefault="00923D78" w:rsidP="000B489F">
      <w:pPr>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Ciertos supuestos, algunos</w:t>
      </w:r>
      <w:r w:rsidR="00747EF8" w:rsidRPr="00C12E06">
        <w:rPr>
          <w:rFonts w:ascii="Times New Roman" w:hAnsi="Times New Roman" w:cs="Times New Roman"/>
          <w:sz w:val="24"/>
          <w:szCs w:val="24"/>
        </w:rPr>
        <w:t xml:space="preserve"> de solidaridad, como la responsabilidad del administrador de la sociedad (las acción nace de hechos diferentes a aquella a la que se acumula: la mala gestión o el incumplimiento de un deber</w:t>
      </w:r>
      <w:r w:rsidR="00747EF8" w:rsidRPr="00C12E06">
        <w:rPr>
          <w:rFonts w:ascii="Times New Roman" w:hAnsi="Times New Roman" w:cs="Times New Roman"/>
          <w:sz w:val="24"/>
          <w:szCs w:val="24"/>
          <w:vertAlign w:val="superscript"/>
        </w:rPr>
        <w:footnoteReference w:id="69"/>
      </w:r>
      <w:r w:rsidR="00747EF8" w:rsidRPr="00C12E06">
        <w:rPr>
          <w:rFonts w:ascii="Times New Roman" w:hAnsi="Times New Roman" w:cs="Times New Roman"/>
          <w:sz w:val="24"/>
          <w:szCs w:val="24"/>
        </w:rPr>
        <w:t>…)</w:t>
      </w:r>
      <w:r>
        <w:rPr>
          <w:rFonts w:ascii="Times New Roman" w:hAnsi="Times New Roman" w:cs="Times New Roman"/>
          <w:sz w:val="24"/>
          <w:szCs w:val="24"/>
        </w:rPr>
        <w:t>, o bien si se reclama por el incendio de un contenedor por  responsabilidad contractual a la empresa encargada del mismo</w:t>
      </w:r>
      <w:r w:rsidR="00006158">
        <w:rPr>
          <w:rFonts w:ascii="Times New Roman" w:hAnsi="Times New Roman" w:cs="Times New Roman"/>
          <w:sz w:val="24"/>
          <w:szCs w:val="24"/>
        </w:rPr>
        <w:t xml:space="preserve"> (carga y estiba)</w:t>
      </w:r>
      <w:r>
        <w:rPr>
          <w:rFonts w:ascii="Times New Roman" w:hAnsi="Times New Roman" w:cs="Times New Roman"/>
          <w:sz w:val="24"/>
          <w:szCs w:val="24"/>
        </w:rPr>
        <w:t xml:space="preserve"> y por responsabilidad extracontractual </w:t>
      </w:r>
      <w:r w:rsidR="00006158">
        <w:rPr>
          <w:rFonts w:ascii="Times New Roman" w:hAnsi="Times New Roman" w:cs="Times New Roman"/>
          <w:sz w:val="24"/>
          <w:szCs w:val="24"/>
        </w:rPr>
        <w:t>a otra que llevaba a cabo las reparaciones de averías en el barco</w:t>
      </w:r>
      <w:r w:rsidR="00006158">
        <w:rPr>
          <w:rStyle w:val="Refdenotaalpie"/>
          <w:rFonts w:ascii="Times New Roman" w:hAnsi="Times New Roman" w:cs="Times New Roman"/>
          <w:sz w:val="24"/>
          <w:szCs w:val="24"/>
        </w:rPr>
        <w:footnoteReference w:id="70"/>
      </w:r>
      <w:r w:rsidR="00611F87">
        <w:rPr>
          <w:rFonts w:ascii="Times New Roman" w:hAnsi="Times New Roman" w:cs="Times New Roman"/>
          <w:sz w:val="24"/>
          <w:szCs w:val="24"/>
        </w:rPr>
        <w:t xml:space="preserve"> así como la misma acumulación, las dos responsabilidades, al haber adquirido unas viviendas libres de carga</w:t>
      </w:r>
      <w:r w:rsidR="00611F87">
        <w:rPr>
          <w:rStyle w:val="Refdenotaalpie"/>
          <w:rFonts w:ascii="Times New Roman" w:hAnsi="Times New Roman" w:cs="Times New Roman"/>
          <w:sz w:val="24"/>
          <w:szCs w:val="24"/>
        </w:rPr>
        <w:footnoteReference w:id="71"/>
      </w:r>
      <w:r w:rsidR="00611F87">
        <w:rPr>
          <w:rFonts w:ascii="Times New Roman" w:hAnsi="Times New Roman" w:cs="Times New Roman"/>
          <w:sz w:val="24"/>
          <w:szCs w:val="24"/>
        </w:rPr>
        <w:t>.</w:t>
      </w:r>
      <w:r w:rsidR="00747EF8" w:rsidRPr="00C12E06">
        <w:rPr>
          <w:rFonts w:ascii="Times New Roman" w:hAnsi="Times New Roman" w:cs="Times New Roman"/>
          <w:sz w:val="24"/>
          <w:szCs w:val="24"/>
        </w:rPr>
        <w:t xml:space="preserve"> </w:t>
      </w:r>
    </w:p>
    <w:p w14:paraId="3929F1B7" w14:textId="7658867C" w:rsidR="00747EF8" w:rsidRPr="0039737C" w:rsidRDefault="00747EF8" w:rsidP="000B489F">
      <w:pPr>
        <w:numPr>
          <w:ilvl w:val="0"/>
          <w:numId w:val="1"/>
        </w:numPr>
        <w:spacing w:after="0"/>
        <w:ind w:left="0" w:firstLine="0"/>
        <w:jc w:val="both"/>
        <w:rPr>
          <w:rFonts w:ascii="Times New Roman" w:hAnsi="Times New Roman" w:cs="Times New Roman"/>
          <w:sz w:val="24"/>
          <w:szCs w:val="24"/>
        </w:rPr>
      </w:pPr>
      <w:r w:rsidRPr="0039737C">
        <w:rPr>
          <w:rFonts w:ascii="Times New Roman" w:hAnsi="Times New Roman" w:cs="Times New Roman"/>
          <w:sz w:val="24"/>
          <w:szCs w:val="24"/>
        </w:rPr>
        <w:lastRenderedPageBreak/>
        <w:t>Simplemente cuando existe una misma finalidad entre las acciones principales que traen causa última de una situación subjetiva interconectada estrechamente: acciones revocatorias (por simulación de contrato) ejercitadas por el acreedor frente a los diferentes negocios jurídicos entablados por cada uno de los diversos fiadores solidari</w:t>
      </w:r>
      <w:r w:rsidR="00D90566" w:rsidRPr="0039737C">
        <w:rPr>
          <w:rFonts w:ascii="Times New Roman" w:hAnsi="Times New Roman" w:cs="Times New Roman"/>
          <w:sz w:val="24"/>
          <w:szCs w:val="24"/>
        </w:rPr>
        <w:t>os para provocar su insolvencia</w:t>
      </w:r>
      <w:r w:rsidR="00D90566" w:rsidRPr="00C12E06">
        <w:rPr>
          <w:rStyle w:val="Refdenotaalpie"/>
          <w:rFonts w:ascii="Times New Roman" w:hAnsi="Times New Roman" w:cs="Times New Roman"/>
          <w:sz w:val="24"/>
          <w:szCs w:val="24"/>
        </w:rPr>
        <w:footnoteReference w:id="72"/>
      </w:r>
      <w:r w:rsidRPr="0039737C">
        <w:rPr>
          <w:rFonts w:ascii="Times New Roman" w:hAnsi="Times New Roman" w:cs="Times New Roman"/>
          <w:sz w:val="24"/>
          <w:szCs w:val="24"/>
        </w:rPr>
        <w:t>; si los actores solicitan la declaración de la existencia de una sociedad, la disolución, liquidación y reparto del haber de la sociedad irregular, la cancelación de una hipoteca por esta y el abono a los actores de un crédito que pagaron en su condición de avalistas</w:t>
      </w:r>
      <w:r w:rsidR="005834E6">
        <w:rPr>
          <w:rStyle w:val="Refdenotaalpie"/>
          <w:rFonts w:ascii="Times New Roman" w:hAnsi="Times New Roman" w:cs="Times New Roman"/>
          <w:sz w:val="24"/>
          <w:szCs w:val="24"/>
        </w:rPr>
        <w:footnoteReference w:id="73"/>
      </w:r>
      <w:r w:rsidRPr="0039737C">
        <w:rPr>
          <w:rFonts w:ascii="Times New Roman" w:hAnsi="Times New Roman" w:cs="Times New Roman"/>
          <w:sz w:val="24"/>
          <w:szCs w:val="24"/>
        </w:rPr>
        <w:t xml:space="preserve"> (en cuanto que todas se insertarían en la relación societaria entendida de forma amplia</w:t>
      </w:r>
      <w:r w:rsidR="00A27A08" w:rsidRPr="0039737C">
        <w:rPr>
          <w:rFonts w:ascii="Times New Roman" w:hAnsi="Times New Roman" w:cs="Times New Roman"/>
          <w:sz w:val="24"/>
          <w:szCs w:val="24"/>
        </w:rPr>
        <w:t>, aunque también se podría reputar que la primera acció</w:t>
      </w:r>
      <w:r w:rsidR="006F0BCC" w:rsidRPr="0039737C">
        <w:rPr>
          <w:rFonts w:ascii="Times New Roman" w:hAnsi="Times New Roman" w:cs="Times New Roman"/>
          <w:sz w:val="24"/>
          <w:szCs w:val="24"/>
        </w:rPr>
        <w:t>n es principal de todas las demá</w:t>
      </w:r>
      <w:r w:rsidR="00A27A08" w:rsidRPr="0039737C">
        <w:rPr>
          <w:rFonts w:ascii="Times New Roman" w:hAnsi="Times New Roman" w:cs="Times New Roman"/>
          <w:sz w:val="24"/>
          <w:szCs w:val="24"/>
        </w:rPr>
        <w:t>s)</w:t>
      </w:r>
      <w:r w:rsidR="00267603">
        <w:rPr>
          <w:rStyle w:val="Refdenotaalpie"/>
          <w:rFonts w:ascii="Times New Roman" w:hAnsi="Times New Roman" w:cs="Times New Roman"/>
          <w:sz w:val="24"/>
          <w:szCs w:val="24"/>
        </w:rPr>
        <w:footnoteReference w:id="74"/>
      </w:r>
      <w:r w:rsidRPr="0039737C">
        <w:rPr>
          <w:rFonts w:ascii="Times New Roman" w:hAnsi="Times New Roman" w:cs="Times New Roman"/>
          <w:sz w:val="24"/>
          <w:szCs w:val="24"/>
        </w:rPr>
        <w:t xml:space="preserve">; </w:t>
      </w:r>
      <w:r w:rsidR="0039737C" w:rsidRPr="0039737C">
        <w:rPr>
          <w:rFonts w:ascii="Times New Roman" w:hAnsi="Times New Roman" w:cs="Times New Roman"/>
          <w:sz w:val="24"/>
          <w:szCs w:val="24"/>
        </w:rPr>
        <w:t>o incluso en la hipótesis más extrema mencionada de la reclamación de diferentes acreedores frente al mismo deudor por las deudas contraídas en negocios jurídicos perfectamente diferenciados, venta de mercancía</w:t>
      </w:r>
      <w:r w:rsidR="0039737C">
        <w:rPr>
          <w:rFonts w:ascii="Times New Roman" w:hAnsi="Times New Roman" w:cs="Times New Roman"/>
          <w:sz w:val="24"/>
          <w:szCs w:val="24"/>
        </w:rPr>
        <w:t>s, durante un periodo de tiempo</w:t>
      </w:r>
      <w:r w:rsidRPr="0039737C">
        <w:rPr>
          <w:rFonts w:ascii="Times New Roman" w:hAnsi="Times New Roman" w:cs="Times New Roman"/>
          <w:sz w:val="24"/>
          <w:szCs w:val="24"/>
        </w:rPr>
        <w:t>, por el contrario se rechazó la acumulación de la división de una finca entre varios propietarios</w:t>
      </w:r>
      <w:r w:rsidRPr="0039737C">
        <w:rPr>
          <w:rFonts w:ascii="Times New Roman" w:hAnsi="Times New Roman" w:cs="Times New Roman"/>
          <w:sz w:val="24"/>
          <w:szCs w:val="24"/>
          <w:vertAlign w:val="superscript"/>
        </w:rPr>
        <w:footnoteReference w:id="75"/>
      </w:r>
      <w:r w:rsidR="00F5553B">
        <w:rPr>
          <w:rFonts w:ascii="Times New Roman" w:hAnsi="Times New Roman" w:cs="Times New Roman"/>
          <w:sz w:val="24"/>
          <w:szCs w:val="24"/>
        </w:rPr>
        <w:t xml:space="preserve"> o bien la acción declarativa de dominio cuando los títulos esgrimidos por cada uno</w:t>
      </w:r>
      <w:r w:rsidR="002A03DC">
        <w:rPr>
          <w:rFonts w:ascii="Times New Roman" w:hAnsi="Times New Roman" w:cs="Times New Roman"/>
          <w:sz w:val="24"/>
          <w:szCs w:val="24"/>
        </w:rPr>
        <w:t xml:space="preserve"> de los</w:t>
      </w:r>
      <w:r w:rsidR="00F5553B">
        <w:rPr>
          <w:rFonts w:ascii="Times New Roman" w:hAnsi="Times New Roman" w:cs="Times New Roman"/>
          <w:sz w:val="24"/>
          <w:szCs w:val="24"/>
        </w:rPr>
        <w:t xml:space="preserve"> actores eran distintos</w:t>
      </w:r>
      <w:r w:rsidR="002A03DC">
        <w:rPr>
          <w:rStyle w:val="Refdenotaalpie"/>
          <w:rFonts w:ascii="Times New Roman" w:hAnsi="Times New Roman" w:cs="Times New Roman"/>
          <w:sz w:val="24"/>
          <w:szCs w:val="24"/>
        </w:rPr>
        <w:footnoteReference w:id="76"/>
      </w:r>
      <w:r w:rsidR="002A03DC">
        <w:rPr>
          <w:rFonts w:ascii="Times New Roman" w:hAnsi="Times New Roman" w:cs="Times New Roman"/>
          <w:sz w:val="24"/>
          <w:szCs w:val="24"/>
        </w:rPr>
        <w:t>.</w:t>
      </w:r>
      <w:r w:rsidR="009F629E">
        <w:rPr>
          <w:rFonts w:ascii="Times New Roman" w:hAnsi="Times New Roman" w:cs="Times New Roman"/>
          <w:sz w:val="24"/>
          <w:szCs w:val="24"/>
        </w:rPr>
        <w:t xml:space="preserve"> Se trata, en definitiva, de acumular acciones que se conectan fundamentalmente a través del </w:t>
      </w:r>
      <w:proofErr w:type="spellStart"/>
      <w:r w:rsidR="009F629E">
        <w:rPr>
          <w:rFonts w:ascii="Times New Roman" w:hAnsi="Times New Roman" w:cs="Times New Roman"/>
          <w:i/>
          <w:sz w:val="24"/>
          <w:szCs w:val="24"/>
        </w:rPr>
        <w:t>petitum</w:t>
      </w:r>
      <w:proofErr w:type="spellEnd"/>
      <w:r w:rsidR="009F629E">
        <w:rPr>
          <w:rFonts w:ascii="Times New Roman" w:hAnsi="Times New Roman" w:cs="Times New Roman"/>
          <w:i/>
          <w:sz w:val="24"/>
          <w:szCs w:val="24"/>
        </w:rPr>
        <w:t>.</w:t>
      </w:r>
    </w:p>
    <w:p w14:paraId="17F13D2A" w14:textId="01E08C7D" w:rsidR="00BB7EDA" w:rsidRPr="00C12E06" w:rsidRDefault="000A0427" w:rsidP="000B489F">
      <w:pPr>
        <w:spacing w:after="0"/>
        <w:ind w:right="-1" w:firstLine="0"/>
        <w:jc w:val="both"/>
        <w:rPr>
          <w:rFonts w:ascii="Times New Roman" w:hAnsi="Times New Roman" w:cs="Times New Roman"/>
          <w:sz w:val="24"/>
          <w:szCs w:val="24"/>
        </w:rPr>
      </w:pPr>
      <w:r w:rsidRPr="00C12E06">
        <w:rPr>
          <w:rFonts w:ascii="Times New Roman" w:hAnsi="Times New Roman" w:cs="Times New Roman"/>
          <w:sz w:val="24"/>
          <w:szCs w:val="24"/>
        </w:rPr>
        <w:t>D</w:t>
      </w:r>
      <w:r w:rsidR="003919E7" w:rsidRPr="00C12E06">
        <w:rPr>
          <w:rFonts w:ascii="Times New Roman" w:hAnsi="Times New Roman" w:cs="Times New Roman"/>
          <w:sz w:val="24"/>
          <w:szCs w:val="24"/>
        </w:rPr>
        <w:t xml:space="preserve">estaca </w:t>
      </w:r>
      <w:r w:rsidRPr="00C12E06">
        <w:rPr>
          <w:rFonts w:ascii="Times New Roman" w:hAnsi="Times New Roman" w:cs="Times New Roman"/>
          <w:sz w:val="24"/>
          <w:szCs w:val="24"/>
        </w:rPr>
        <w:t xml:space="preserve">la </w:t>
      </w:r>
      <w:r w:rsidR="003919E7" w:rsidRPr="00C12E06">
        <w:rPr>
          <w:rFonts w:ascii="Times New Roman" w:hAnsi="Times New Roman" w:cs="Times New Roman"/>
          <w:sz w:val="24"/>
          <w:szCs w:val="24"/>
        </w:rPr>
        <w:t>enorme variedad</w:t>
      </w:r>
      <w:r w:rsidRPr="00C12E06">
        <w:rPr>
          <w:rFonts w:ascii="Times New Roman" w:hAnsi="Times New Roman" w:cs="Times New Roman"/>
          <w:sz w:val="24"/>
          <w:szCs w:val="24"/>
        </w:rPr>
        <w:t xml:space="preserve"> de las hipótesis mencionadas</w:t>
      </w:r>
      <w:r w:rsidR="0039737C">
        <w:rPr>
          <w:rFonts w:ascii="Times New Roman" w:hAnsi="Times New Roman" w:cs="Times New Roman"/>
          <w:sz w:val="24"/>
          <w:szCs w:val="24"/>
        </w:rPr>
        <w:t xml:space="preserve"> que suponen un vínculo muy diferente entre las acciones acumuladas: desde la interdependencia o </w:t>
      </w:r>
      <w:proofErr w:type="spellStart"/>
      <w:r w:rsidR="0039737C">
        <w:rPr>
          <w:rFonts w:ascii="Times New Roman" w:hAnsi="Times New Roman" w:cs="Times New Roman"/>
          <w:sz w:val="24"/>
          <w:szCs w:val="24"/>
        </w:rPr>
        <w:t>prejudicialidad</w:t>
      </w:r>
      <w:proofErr w:type="spellEnd"/>
      <w:r w:rsidR="0039737C">
        <w:rPr>
          <w:rFonts w:ascii="Times New Roman" w:hAnsi="Times New Roman" w:cs="Times New Roman"/>
          <w:sz w:val="24"/>
          <w:szCs w:val="24"/>
        </w:rPr>
        <w:t>, pasando por la incompatibilidad señal</w:t>
      </w:r>
      <w:r w:rsidR="0074434D">
        <w:rPr>
          <w:rFonts w:ascii="Times New Roman" w:hAnsi="Times New Roman" w:cs="Times New Roman"/>
          <w:sz w:val="24"/>
          <w:szCs w:val="24"/>
        </w:rPr>
        <w:t xml:space="preserve">ando un orden hasta supuestos </w:t>
      </w:r>
      <w:r w:rsidRPr="00C12E06">
        <w:rPr>
          <w:rFonts w:ascii="Times New Roman" w:hAnsi="Times New Roman" w:cs="Times New Roman"/>
          <w:sz w:val="24"/>
          <w:szCs w:val="24"/>
        </w:rPr>
        <w:t xml:space="preserve"> más flexibles</w:t>
      </w:r>
      <w:r w:rsidR="0039737C">
        <w:rPr>
          <w:rFonts w:ascii="Times New Roman" w:hAnsi="Times New Roman" w:cs="Times New Roman"/>
          <w:sz w:val="24"/>
          <w:szCs w:val="24"/>
        </w:rPr>
        <w:t xml:space="preserve"> donde</w:t>
      </w:r>
      <w:r w:rsidRPr="00C12E06">
        <w:rPr>
          <w:rFonts w:ascii="Times New Roman" w:hAnsi="Times New Roman" w:cs="Times New Roman"/>
          <w:sz w:val="24"/>
          <w:szCs w:val="24"/>
        </w:rPr>
        <w:t xml:space="preserve"> la conexión </w:t>
      </w:r>
      <w:r w:rsidR="0074434D">
        <w:rPr>
          <w:rFonts w:ascii="Times New Roman" w:hAnsi="Times New Roman" w:cs="Times New Roman"/>
          <w:sz w:val="24"/>
          <w:szCs w:val="24"/>
        </w:rPr>
        <w:t xml:space="preserve">es </w:t>
      </w:r>
      <w:r w:rsidR="0039737C">
        <w:rPr>
          <w:rFonts w:ascii="Times New Roman" w:hAnsi="Times New Roman" w:cs="Times New Roman"/>
          <w:sz w:val="24"/>
          <w:szCs w:val="24"/>
        </w:rPr>
        <w:t>nimia</w:t>
      </w:r>
      <w:r w:rsidR="0074434D">
        <w:rPr>
          <w:rFonts w:ascii="Times New Roman" w:hAnsi="Times New Roman" w:cs="Times New Roman"/>
          <w:sz w:val="24"/>
          <w:szCs w:val="24"/>
        </w:rPr>
        <w:t>. Empezando por estos últimos</w:t>
      </w:r>
      <w:r w:rsidRPr="00C12E06">
        <w:rPr>
          <w:rFonts w:ascii="Times New Roman" w:hAnsi="Times New Roman" w:cs="Times New Roman"/>
          <w:sz w:val="24"/>
          <w:szCs w:val="24"/>
        </w:rPr>
        <w:t xml:space="preserve">, no cabe la menor duda de la independencia de cada objeto que se ha hecho </w:t>
      </w:r>
      <w:r w:rsidR="00C7723A">
        <w:rPr>
          <w:rFonts w:ascii="Times New Roman" w:hAnsi="Times New Roman" w:cs="Times New Roman"/>
          <w:sz w:val="24"/>
          <w:szCs w:val="24"/>
        </w:rPr>
        <w:t>valer;</w:t>
      </w:r>
      <w:r w:rsidR="00B175C3" w:rsidRPr="00C12E06">
        <w:rPr>
          <w:rFonts w:ascii="Times New Roman" w:hAnsi="Times New Roman" w:cs="Times New Roman"/>
          <w:sz w:val="24"/>
          <w:szCs w:val="24"/>
        </w:rPr>
        <w:t xml:space="preserve"> en puridad no existe un t</w:t>
      </w:r>
      <w:r w:rsidRPr="00C12E06">
        <w:rPr>
          <w:rFonts w:ascii="Times New Roman" w:hAnsi="Times New Roman" w:cs="Times New Roman"/>
          <w:sz w:val="24"/>
          <w:szCs w:val="24"/>
        </w:rPr>
        <w:t>ronc</w:t>
      </w:r>
      <w:r w:rsidR="00B175C3" w:rsidRPr="00C12E06">
        <w:rPr>
          <w:rFonts w:ascii="Times New Roman" w:hAnsi="Times New Roman" w:cs="Times New Roman"/>
          <w:sz w:val="24"/>
          <w:szCs w:val="24"/>
        </w:rPr>
        <w:t>o común compartido al que otorgar una misma respuesta.</w:t>
      </w:r>
      <w:r w:rsidR="00A27A08">
        <w:rPr>
          <w:rFonts w:ascii="Times New Roman" w:hAnsi="Times New Roman" w:cs="Times New Roman"/>
          <w:sz w:val="24"/>
          <w:szCs w:val="24"/>
        </w:rPr>
        <w:t xml:space="preserve"> Es uno de los rarísimos supuestos en los que quiebra la acepción etimológica del litisconsorcio por cuanto no hay nada respecto de lo que compartir una suerte común, lo que obliga a replantearse la oportunidad de esta acumulación subjetiva dada la desconexión de los objetos.</w:t>
      </w:r>
      <w:r w:rsidR="00B175C3" w:rsidRPr="00C12E06">
        <w:rPr>
          <w:rFonts w:ascii="Times New Roman" w:hAnsi="Times New Roman" w:cs="Times New Roman"/>
          <w:sz w:val="24"/>
          <w:szCs w:val="24"/>
        </w:rPr>
        <w:t xml:space="preserve"> Cada acción conserva su completa autonomía y no tiene sentido preguntarse por la eficacia extensiva del fallo. En </w:t>
      </w:r>
      <w:r w:rsidR="00336D4B">
        <w:rPr>
          <w:rFonts w:ascii="Times New Roman" w:hAnsi="Times New Roman" w:cs="Times New Roman"/>
          <w:sz w:val="24"/>
          <w:szCs w:val="24"/>
        </w:rPr>
        <w:t xml:space="preserve">los </w:t>
      </w:r>
      <w:r w:rsidR="00F55307" w:rsidRPr="00C12E06">
        <w:rPr>
          <w:rFonts w:ascii="Times New Roman" w:hAnsi="Times New Roman" w:cs="Times New Roman"/>
          <w:sz w:val="24"/>
          <w:szCs w:val="24"/>
        </w:rPr>
        <w:t xml:space="preserve">otros supuestos, sin embargo, es </w:t>
      </w:r>
      <w:r w:rsidR="00336D4B">
        <w:rPr>
          <w:rFonts w:ascii="Times New Roman" w:hAnsi="Times New Roman" w:cs="Times New Roman"/>
          <w:sz w:val="24"/>
          <w:szCs w:val="24"/>
        </w:rPr>
        <w:t>e</w:t>
      </w:r>
      <w:r w:rsidR="00F55307" w:rsidRPr="00C12E06">
        <w:rPr>
          <w:rFonts w:ascii="Times New Roman" w:hAnsi="Times New Roman" w:cs="Times New Roman"/>
          <w:sz w:val="24"/>
          <w:szCs w:val="24"/>
        </w:rPr>
        <w:t>l</w:t>
      </w:r>
      <w:r w:rsidR="00336D4B">
        <w:rPr>
          <w:rFonts w:ascii="Times New Roman" w:hAnsi="Times New Roman" w:cs="Times New Roman"/>
          <w:sz w:val="24"/>
          <w:szCs w:val="24"/>
        </w:rPr>
        <w:t xml:space="preserve"> propio</w:t>
      </w:r>
      <w:r w:rsidR="00F55307" w:rsidRPr="00C12E06">
        <w:rPr>
          <w:rFonts w:ascii="Times New Roman" w:hAnsi="Times New Roman" w:cs="Times New Roman"/>
          <w:sz w:val="24"/>
          <w:szCs w:val="24"/>
        </w:rPr>
        <w:t xml:space="preserve">  vínculo </w:t>
      </w:r>
      <w:r w:rsidR="00336D4B">
        <w:rPr>
          <w:rFonts w:ascii="Times New Roman" w:hAnsi="Times New Roman" w:cs="Times New Roman"/>
          <w:sz w:val="24"/>
          <w:szCs w:val="24"/>
        </w:rPr>
        <w:t xml:space="preserve">objetivo </w:t>
      </w:r>
      <w:r w:rsidR="00F55307" w:rsidRPr="00C12E06">
        <w:rPr>
          <w:rFonts w:ascii="Times New Roman" w:hAnsi="Times New Roman" w:cs="Times New Roman"/>
          <w:sz w:val="24"/>
          <w:szCs w:val="24"/>
        </w:rPr>
        <w:t xml:space="preserve">entre las acciones </w:t>
      </w:r>
      <w:r w:rsidR="00336D4B">
        <w:rPr>
          <w:rFonts w:ascii="Times New Roman" w:hAnsi="Times New Roman" w:cs="Times New Roman"/>
          <w:sz w:val="24"/>
          <w:szCs w:val="24"/>
        </w:rPr>
        <w:t>e</w:t>
      </w:r>
      <w:r w:rsidR="00F55307" w:rsidRPr="00C12E06">
        <w:rPr>
          <w:rFonts w:ascii="Times New Roman" w:hAnsi="Times New Roman" w:cs="Times New Roman"/>
          <w:sz w:val="24"/>
          <w:szCs w:val="24"/>
        </w:rPr>
        <w:t>l</w:t>
      </w:r>
      <w:r w:rsidR="00336D4B">
        <w:rPr>
          <w:rFonts w:ascii="Times New Roman" w:hAnsi="Times New Roman" w:cs="Times New Roman"/>
          <w:sz w:val="24"/>
          <w:szCs w:val="24"/>
        </w:rPr>
        <w:t xml:space="preserve"> </w:t>
      </w:r>
      <w:r w:rsidR="00F55307" w:rsidRPr="00C12E06">
        <w:rPr>
          <w:rFonts w:ascii="Times New Roman" w:hAnsi="Times New Roman" w:cs="Times New Roman"/>
          <w:sz w:val="24"/>
          <w:szCs w:val="24"/>
        </w:rPr>
        <w:t xml:space="preserve">que genera una </w:t>
      </w:r>
      <w:r w:rsidR="0091759E" w:rsidRPr="00C12E06">
        <w:rPr>
          <w:rFonts w:ascii="Times New Roman" w:hAnsi="Times New Roman" w:cs="Times New Roman"/>
          <w:sz w:val="24"/>
          <w:szCs w:val="24"/>
        </w:rPr>
        <w:t>evidente inter</w:t>
      </w:r>
      <w:r w:rsidR="00F55307" w:rsidRPr="00C12E06">
        <w:rPr>
          <w:rFonts w:ascii="Times New Roman" w:hAnsi="Times New Roman" w:cs="Times New Roman"/>
          <w:sz w:val="24"/>
          <w:szCs w:val="24"/>
        </w:rPr>
        <w:t>dependencia procesal entre los objetos</w:t>
      </w:r>
      <w:r w:rsidR="0091759E" w:rsidRPr="00C12E06">
        <w:rPr>
          <w:rFonts w:ascii="Times New Roman" w:hAnsi="Times New Roman" w:cs="Times New Roman"/>
          <w:sz w:val="24"/>
          <w:szCs w:val="24"/>
        </w:rPr>
        <w:t>: sólo si se desestima la primera acción se conoce de la segunda</w:t>
      </w:r>
      <w:r w:rsidR="00F55307" w:rsidRPr="00C12E06">
        <w:rPr>
          <w:rFonts w:ascii="Times New Roman" w:hAnsi="Times New Roman" w:cs="Times New Roman"/>
          <w:sz w:val="24"/>
          <w:szCs w:val="24"/>
        </w:rPr>
        <w:t xml:space="preserve"> (acumulación eventual) o bien si se estima la principal es cuando se analiza la accesoria, </w:t>
      </w:r>
      <w:r w:rsidR="0091759E" w:rsidRPr="00C12E06">
        <w:rPr>
          <w:rFonts w:ascii="Times New Roman" w:hAnsi="Times New Roman" w:cs="Times New Roman"/>
          <w:sz w:val="24"/>
          <w:szCs w:val="24"/>
        </w:rPr>
        <w:t>por lo que la eficacia extensiva del fallo se produce automáticamente (solo en cuanto al conocimiento del objeto no en lo que atañe a los elementos comunes)</w:t>
      </w:r>
      <w:r w:rsidR="00336D4B">
        <w:rPr>
          <w:rFonts w:ascii="Times New Roman" w:hAnsi="Times New Roman" w:cs="Times New Roman"/>
          <w:sz w:val="24"/>
          <w:szCs w:val="24"/>
        </w:rPr>
        <w:t>.</w:t>
      </w:r>
      <w:r w:rsidR="0091759E" w:rsidRPr="00C12E06">
        <w:rPr>
          <w:rFonts w:ascii="Times New Roman" w:hAnsi="Times New Roman" w:cs="Times New Roman"/>
          <w:sz w:val="24"/>
          <w:szCs w:val="24"/>
        </w:rPr>
        <w:t xml:space="preserve"> De esta manera si, por ejemplo, en el recurso se estima la primera acción que se hizo valer</w:t>
      </w:r>
      <w:r w:rsidR="00F55307" w:rsidRPr="00C12E06">
        <w:rPr>
          <w:rFonts w:ascii="Times New Roman" w:hAnsi="Times New Roman" w:cs="Times New Roman"/>
          <w:sz w:val="24"/>
          <w:szCs w:val="24"/>
        </w:rPr>
        <w:t xml:space="preserve"> en la acumulación eventual (rechazada en primera instancia)</w:t>
      </w:r>
      <w:r w:rsidR="0091759E" w:rsidRPr="00C12E06">
        <w:rPr>
          <w:rFonts w:ascii="Times New Roman" w:hAnsi="Times New Roman" w:cs="Times New Roman"/>
          <w:sz w:val="24"/>
          <w:szCs w:val="24"/>
        </w:rPr>
        <w:t xml:space="preserve">, automáticamente se deja sin efecto el pronunciamiento sobre la segunda o viceversa, al desestimar la que se concedió en primera instancia habrá que conocer de la acumulada eventualmente. Lo mismo cabe decir cuando se trata de la acumulación de acción principal y accesoria. En todos estos casos </w:t>
      </w:r>
      <w:r w:rsidR="00460083" w:rsidRPr="00C12E06">
        <w:rPr>
          <w:rFonts w:ascii="Times New Roman" w:hAnsi="Times New Roman" w:cs="Times New Roman"/>
          <w:sz w:val="24"/>
          <w:szCs w:val="24"/>
        </w:rPr>
        <w:t xml:space="preserve">en realidad </w:t>
      </w:r>
      <w:r w:rsidR="0091759E" w:rsidRPr="00C12E06">
        <w:rPr>
          <w:rFonts w:ascii="Times New Roman" w:hAnsi="Times New Roman" w:cs="Times New Roman"/>
          <w:sz w:val="24"/>
          <w:szCs w:val="24"/>
        </w:rPr>
        <w:t>está en juego la lógica o congruencia interna del fallo</w:t>
      </w:r>
      <w:r w:rsidR="00C66D11">
        <w:rPr>
          <w:rFonts w:ascii="Times New Roman" w:hAnsi="Times New Roman" w:cs="Times New Roman"/>
          <w:sz w:val="24"/>
          <w:szCs w:val="24"/>
        </w:rPr>
        <w:t>, art. 24.1 CE,</w:t>
      </w:r>
      <w:r w:rsidR="0091759E" w:rsidRPr="00C12E06">
        <w:rPr>
          <w:rFonts w:ascii="Times New Roman" w:hAnsi="Times New Roman" w:cs="Times New Roman"/>
          <w:sz w:val="24"/>
          <w:szCs w:val="24"/>
        </w:rPr>
        <w:t xml:space="preserve"> en función de cómo se han planteado los diferentes objetos</w:t>
      </w:r>
      <w:r w:rsidR="00460083" w:rsidRPr="00C12E06">
        <w:rPr>
          <w:rFonts w:ascii="Times New Roman" w:hAnsi="Times New Roman" w:cs="Times New Roman"/>
          <w:sz w:val="24"/>
          <w:szCs w:val="24"/>
        </w:rPr>
        <w:t xml:space="preserve"> </w:t>
      </w:r>
      <w:r w:rsidR="004344D7">
        <w:rPr>
          <w:rFonts w:ascii="Times New Roman" w:hAnsi="Times New Roman" w:cs="Times New Roman"/>
          <w:sz w:val="24"/>
          <w:szCs w:val="24"/>
        </w:rPr>
        <w:t>y no la</w:t>
      </w:r>
      <w:r w:rsidR="00460083" w:rsidRPr="00C12E06">
        <w:rPr>
          <w:rFonts w:ascii="Times New Roman" w:hAnsi="Times New Roman" w:cs="Times New Roman"/>
          <w:sz w:val="24"/>
          <w:szCs w:val="24"/>
        </w:rPr>
        <w:t xml:space="preserve"> eficacia extensiva del fallo</w:t>
      </w:r>
      <w:r w:rsidR="004344D7">
        <w:rPr>
          <w:rFonts w:ascii="Times New Roman" w:hAnsi="Times New Roman" w:cs="Times New Roman"/>
          <w:sz w:val="24"/>
          <w:szCs w:val="24"/>
        </w:rPr>
        <w:t xml:space="preserve"> en sentido estricto</w:t>
      </w:r>
      <w:r w:rsidR="0091759E" w:rsidRPr="00C12E06">
        <w:rPr>
          <w:rFonts w:ascii="Times New Roman" w:hAnsi="Times New Roman" w:cs="Times New Roman"/>
          <w:sz w:val="24"/>
          <w:szCs w:val="24"/>
        </w:rPr>
        <w:t>. Ni que decir tiene que incluso en estos supuestos se mantiene la independencia de cada objeto de suerte que caben los actos de disposición de alguno de los titulares que no afecta</w:t>
      </w:r>
      <w:r w:rsidR="00F55307" w:rsidRPr="00C12E06">
        <w:rPr>
          <w:rFonts w:ascii="Times New Roman" w:hAnsi="Times New Roman" w:cs="Times New Roman"/>
          <w:sz w:val="24"/>
          <w:szCs w:val="24"/>
        </w:rPr>
        <w:t>n</w:t>
      </w:r>
      <w:r w:rsidR="0091759E" w:rsidRPr="00C12E06">
        <w:rPr>
          <w:rFonts w:ascii="Times New Roman" w:hAnsi="Times New Roman" w:cs="Times New Roman"/>
          <w:sz w:val="24"/>
          <w:szCs w:val="24"/>
        </w:rPr>
        <w:t xml:space="preserve"> </w:t>
      </w:r>
      <w:r w:rsidR="00F55307" w:rsidRPr="00C12E06">
        <w:rPr>
          <w:rFonts w:ascii="Times New Roman" w:hAnsi="Times New Roman" w:cs="Times New Roman"/>
          <w:sz w:val="24"/>
          <w:szCs w:val="24"/>
        </w:rPr>
        <w:t xml:space="preserve">a los restantes: el responsable principal puede allanarse pero el subsidiario puede demostrar la inexistencia de esa responsabilidad, de la misma </w:t>
      </w:r>
      <w:r w:rsidR="00F55307" w:rsidRPr="00C12E06">
        <w:rPr>
          <w:rFonts w:ascii="Times New Roman" w:hAnsi="Times New Roman" w:cs="Times New Roman"/>
          <w:sz w:val="24"/>
          <w:szCs w:val="24"/>
        </w:rPr>
        <w:lastRenderedPageBreak/>
        <w:t xml:space="preserve">manera que, como se explicó, la admisión de hechos, implícita o explícita, del primero no vincula al tribunal sino que habrá que estar al contenido de los restantes medio de prueba… </w:t>
      </w:r>
      <w:r w:rsidR="00460083" w:rsidRPr="00C12E06">
        <w:rPr>
          <w:rFonts w:ascii="Times New Roman" w:hAnsi="Times New Roman" w:cs="Times New Roman"/>
          <w:sz w:val="24"/>
          <w:szCs w:val="24"/>
        </w:rPr>
        <w:t>En cuanto a los supuestos de solidaridad hay que recordar que el TS entiende que sí existe una eficacia extensiva del fallo respecto de los elementos comunes que en estos casos son muy reducidos.</w:t>
      </w:r>
    </w:p>
    <w:p w14:paraId="1CC425B7" w14:textId="0E3CD8E8" w:rsidR="00BB7EDA" w:rsidRPr="00EC78ED" w:rsidRDefault="0073131A" w:rsidP="00EC78ED">
      <w:pPr>
        <w:pStyle w:val="Prrafodelista"/>
        <w:numPr>
          <w:ilvl w:val="0"/>
          <w:numId w:val="21"/>
        </w:numPr>
        <w:spacing w:after="0"/>
        <w:jc w:val="both"/>
        <w:rPr>
          <w:rFonts w:ascii="Times New Roman" w:hAnsi="Times New Roman" w:cs="Times New Roman"/>
          <w:sz w:val="24"/>
          <w:szCs w:val="24"/>
        </w:rPr>
      </w:pPr>
      <w:r w:rsidRPr="00EC78ED">
        <w:rPr>
          <w:rFonts w:ascii="Times New Roman" w:hAnsi="Times New Roman" w:cs="Times New Roman"/>
          <w:b/>
          <w:sz w:val="24"/>
          <w:szCs w:val="24"/>
        </w:rPr>
        <w:t>Tratamiento procesal</w:t>
      </w:r>
    </w:p>
    <w:p w14:paraId="472FBAD5" w14:textId="57D496D6" w:rsidR="0073131A" w:rsidRDefault="0073131A" w:rsidP="00BB7EDA">
      <w:pPr>
        <w:spacing w:after="0"/>
        <w:ind w:firstLine="0"/>
        <w:jc w:val="both"/>
        <w:rPr>
          <w:rFonts w:ascii="Times New Roman" w:hAnsi="Times New Roman" w:cs="Times New Roman"/>
          <w:sz w:val="24"/>
          <w:szCs w:val="24"/>
        </w:rPr>
      </w:pPr>
      <w:r>
        <w:rPr>
          <w:rFonts w:ascii="Times New Roman" w:hAnsi="Times New Roman" w:cs="Times New Roman"/>
          <w:sz w:val="24"/>
          <w:szCs w:val="24"/>
        </w:rPr>
        <w:t>La acumu</w:t>
      </w:r>
      <w:r w:rsidR="00287919">
        <w:rPr>
          <w:rFonts w:ascii="Times New Roman" w:hAnsi="Times New Roman" w:cs="Times New Roman"/>
          <w:sz w:val="24"/>
          <w:szCs w:val="24"/>
        </w:rPr>
        <w:t>lación indebida se puede apreciar</w:t>
      </w:r>
      <w:r>
        <w:rPr>
          <w:rFonts w:ascii="Times New Roman" w:hAnsi="Times New Roman" w:cs="Times New Roman"/>
          <w:sz w:val="24"/>
          <w:szCs w:val="24"/>
        </w:rPr>
        <w:t>:</w:t>
      </w:r>
    </w:p>
    <w:p w14:paraId="6E520F75" w14:textId="06F27508" w:rsidR="0073131A" w:rsidRDefault="0073131A" w:rsidP="000B489F">
      <w:pPr>
        <w:pStyle w:val="Prrafodelista"/>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De oficio</w:t>
      </w:r>
    </w:p>
    <w:p w14:paraId="3E17C1FC" w14:textId="6732B513" w:rsidR="00311DD1" w:rsidRDefault="0073131A" w:rsidP="00BB7EDA">
      <w:pPr>
        <w:spacing w:after="0"/>
        <w:ind w:firstLine="0"/>
        <w:jc w:val="both"/>
        <w:rPr>
          <w:rFonts w:ascii="Times New Roman" w:hAnsi="Times New Roman" w:cs="Times New Roman"/>
          <w:sz w:val="24"/>
          <w:szCs w:val="24"/>
        </w:rPr>
      </w:pPr>
      <w:r>
        <w:rPr>
          <w:rFonts w:ascii="Times New Roman" w:hAnsi="Times New Roman" w:cs="Times New Roman"/>
          <w:sz w:val="24"/>
          <w:szCs w:val="24"/>
        </w:rPr>
        <w:t>Por tratarse de un presupuesto procesal, norma de derecho público, el tribunal</w:t>
      </w:r>
      <w:r w:rsidR="000A50AA">
        <w:rPr>
          <w:rFonts w:ascii="Times New Roman" w:hAnsi="Times New Roman" w:cs="Times New Roman"/>
          <w:sz w:val="24"/>
          <w:szCs w:val="24"/>
        </w:rPr>
        <w:t xml:space="preserve"> (si el LAJ entiende que no procede lo planteará a la parte y en caso de que persista traslada la decisión al Juez)</w:t>
      </w:r>
      <w:r>
        <w:rPr>
          <w:rFonts w:ascii="Times New Roman" w:hAnsi="Times New Roman" w:cs="Times New Roman"/>
          <w:sz w:val="24"/>
          <w:szCs w:val="24"/>
        </w:rPr>
        <w:t xml:space="preserve"> de oficio puede constatar si la acumulación es procedente. </w:t>
      </w:r>
      <w:r w:rsidR="00287919">
        <w:rPr>
          <w:rFonts w:ascii="Times New Roman" w:hAnsi="Times New Roman" w:cs="Times New Roman"/>
          <w:sz w:val="24"/>
          <w:szCs w:val="24"/>
        </w:rPr>
        <w:t>E</w:t>
      </w:r>
      <w:r w:rsidR="00361210">
        <w:rPr>
          <w:rFonts w:ascii="Times New Roman" w:hAnsi="Times New Roman" w:cs="Times New Roman"/>
          <w:sz w:val="24"/>
          <w:szCs w:val="24"/>
        </w:rPr>
        <w:t xml:space="preserve">llo tendrá lugar en </w:t>
      </w:r>
      <w:r w:rsidR="00287919">
        <w:rPr>
          <w:rFonts w:ascii="Times New Roman" w:hAnsi="Times New Roman" w:cs="Times New Roman"/>
          <w:sz w:val="24"/>
          <w:szCs w:val="24"/>
        </w:rPr>
        <w:t>el momento en el que se plantee</w:t>
      </w:r>
      <w:r w:rsidR="00361210">
        <w:rPr>
          <w:rFonts w:ascii="Times New Roman" w:hAnsi="Times New Roman" w:cs="Times New Roman"/>
          <w:sz w:val="24"/>
          <w:szCs w:val="24"/>
        </w:rPr>
        <w:t xml:space="preserve"> la acumulación: inicial, arts. 73.3, 404.2.2), </w:t>
      </w:r>
      <w:r w:rsidR="00287919">
        <w:rPr>
          <w:rFonts w:ascii="Times New Roman" w:hAnsi="Times New Roman" w:cs="Times New Roman"/>
          <w:sz w:val="24"/>
          <w:szCs w:val="24"/>
        </w:rPr>
        <w:t>438.1 LEC; o</w:t>
      </w:r>
      <w:r w:rsidR="000A50AA">
        <w:rPr>
          <w:rFonts w:ascii="Times New Roman" w:hAnsi="Times New Roman" w:cs="Times New Roman"/>
          <w:sz w:val="24"/>
          <w:szCs w:val="24"/>
        </w:rPr>
        <w:t xml:space="preserve"> sobrevenida por inserción. </w:t>
      </w:r>
      <w:r w:rsidR="00F11EC7">
        <w:rPr>
          <w:rFonts w:ascii="Times New Roman" w:hAnsi="Times New Roman" w:cs="Times New Roman"/>
          <w:sz w:val="24"/>
          <w:szCs w:val="24"/>
        </w:rPr>
        <w:t>En el caso de l</w:t>
      </w:r>
      <w:r w:rsidR="000A50AA">
        <w:rPr>
          <w:rFonts w:ascii="Times New Roman" w:hAnsi="Times New Roman" w:cs="Times New Roman"/>
          <w:sz w:val="24"/>
          <w:szCs w:val="24"/>
        </w:rPr>
        <w:t xml:space="preserve">a acumulación sobrevenida por reunión, acumulación de procesos, </w:t>
      </w:r>
      <w:r w:rsidR="00F11EC7">
        <w:rPr>
          <w:rFonts w:ascii="Times New Roman" w:hAnsi="Times New Roman" w:cs="Times New Roman"/>
          <w:sz w:val="24"/>
          <w:szCs w:val="24"/>
        </w:rPr>
        <w:t xml:space="preserve">tiene lugar el fenómeno contrario ya que no se trata de </w:t>
      </w:r>
      <w:proofErr w:type="spellStart"/>
      <w:r w:rsidR="00F11EC7">
        <w:rPr>
          <w:rFonts w:ascii="Times New Roman" w:hAnsi="Times New Roman" w:cs="Times New Roman"/>
          <w:sz w:val="24"/>
          <w:szCs w:val="24"/>
        </w:rPr>
        <w:t>desacumular</w:t>
      </w:r>
      <w:proofErr w:type="spellEnd"/>
      <w:r w:rsidR="00F11EC7">
        <w:rPr>
          <w:rFonts w:ascii="Times New Roman" w:hAnsi="Times New Roman" w:cs="Times New Roman"/>
          <w:sz w:val="24"/>
          <w:szCs w:val="24"/>
        </w:rPr>
        <w:t xml:space="preserve"> sino que </w:t>
      </w:r>
      <w:r w:rsidR="000A50AA">
        <w:rPr>
          <w:rFonts w:ascii="Times New Roman" w:hAnsi="Times New Roman" w:cs="Times New Roman"/>
          <w:sz w:val="24"/>
          <w:szCs w:val="24"/>
        </w:rPr>
        <w:t>puede acordarse de oficio, art. 76 LEC</w:t>
      </w:r>
      <w:r w:rsidR="00311DD1">
        <w:rPr>
          <w:rFonts w:ascii="Times New Roman" w:hAnsi="Times New Roman" w:cs="Times New Roman"/>
          <w:sz w:val="24"/>
          <w:szCs w:val="24"/>
        </w:rPr>
        <w:t xml:space="preserve">, además de los supuestos específicos, art. 76.2 LEC, precisamente en los casos de </w:t>
      </w:r>
      <w:proofErr w:type="spellStart"/>
      <w:r w:rsidR="00311DD1">
        <w:rPr>
          <w:rFonts w:ascii="Times New Roman" w:hAnsi="Times New Roman" w:cs="Times New Roman"/>
          <w:sz w:val="24"/>
          <w:szCs w:val="24"/>
        </w:rPr>
        <w:t>prejudicialidad</w:t>
      </w:r>
      <w:proofErr w:type="spellEnd"/>
      <w:r w:rsidR="00311DD1">
        <w:rPr>
          <w:rFonts w:ascii="Times New Roman" w:hAnsi="Times New Roman" w:cs="Times New Roman"/>
          <w:sz w:val="24"/>
          <w:szCs w:val="24"/>
        </w:rPr>
        <w:t xml:space="preserve"> (acumulación de acción principal y accesoria) y para evitar pronunciamientos contradictorios (</w:t>
      </w:r>
      <w:r w:rsidR="00DE67ED">
        <w:rPr>
          <w:rFonts w:ascii="Times New Roman" w:hAnsi="Times New Roman" w:cs="Times New Roman"/>
          <w:sz w:val="24"/>
          <w:szCs w:val="24"/>
        </w:rPr>
        <w:t xml:space="preserve">acumulación eventual; </w:t>
      </w:r>
      <w:r w:rsidR="00311DD1">
        <w:rPr>
          <w:rFonts w:ascii="Times New Roman" w:hAnsi="Times New Roman" w:cs="Times New Roman"/>
          <w:sz w:val="24"/>
          <w:szCs w:val="24"/>
        </w:rPr>
        <w:t>hechos idénticos en sentido estricto; no parece que la homogeneidad habilite para acumular por este motivo), art. 76.1 LEC</w:t>
      </w:r>
      <w:r w:rsidR="00DE67ED">
        <w:rPr>
          <w:rFonts w:ascii="Times New Roman" w:hAnsi="Times New Roman" w:cs="Times New Roman"/>
          <w:sz w:val="24"/>
          <w:szCs w:val="24"/>
        </w:rPr>
        <w:t>.</w:t>
      </w:r>
    </w:p>
    <w:p w14:paraId="73A85485" w14:textId="7B38DC43" w:rsidR="00514EB8" w:rsidRDefault="00C7723A" w:rsidP="00287919">
      <w:pPr>
        <w:spacing w:after="0"/>
        <w:ind w:firstLine="0"/>
        <w:jc w:val="both"/>
        <w:rPr>
          <w:rFonts w:ascii="Times New Roman" w:hAnsi="Times New Roman" w:cs="Times New Roman"/>
          <w:sz w:val="24"/>
          <w:szCs w:val="24"/>
        </w:rPr>
      </w:pPr>
      <w:proofErr w:type="spellStart"/>
      <w:r>
        <w:rPr>
          <w:rFonts w:ascii="Times New Roman" w:hAnsi="Times New Roman" w:cs="Times New Roman"/>
          <w:sz w:val="24"/>
          <w:szCs w:val="24"/>
        </w:rPr>
        <w:t>Asímismo</w:t>
      </w:r>
      <w:proofErr w:type="spellEnd"/>
      <w:r w:rsidR="00514EB8">
        <w:rPr>
          <w:rFonts w:ascii="Times New Roman" w:hAnsi="Times New Roman" w:cs="Times New Roman"/>
          <w:sz w:val="24"/>
          <w:szCs w:val="24"/>
        </w:rPr>
        <w:t xml:space="preserve"> en la audiencia previa del juicio ordinario el tribunal de oficio puede apreciar la acumulación indebida, art. 425 LEC.</w:t>
      </w:r>
    </w:p>
    <w:p w14:paraId="08410F58" w14:textId="7B3D4064" w:rsidR="00633C66" w:rsidRDefault="00633C66" w:rsidP="00287919">
      <w:pPr>
        <w:spacing w:after="0"/>
        <w:ind w:firstLine="0"/>
        <w:jc w:val="both"/>
        <w:rPr>
          <w:rFonts w:ascii="Times New Roman" w:hAnsi="Times New Roman" w:cs="Times New Roman"/>
          <w:sz w:val="24"/>
          <w:szCs w:val="24"/>
        </w:rPr>
      </w:pPr>
      <w:r w:rsidRPr="00633C66">
        <w:rPr>
          <w:rFonts w:ascii="Times New Roman" w:hAnsi="Times New Roman" w:cs="Times New Roman"/>
          <w:sz w:val="24"/>
          <w:szCs w:val="24"/>
        </w:rPr>
        <w:t>Recuérdese que la apreciación de oficio de la acumulación indeb</w:t>
      </w:r>
      <w:r>
        <w:rPr>
          <w:rFonts w:ascii="Times New Roman" w:hAnsi="Times New Roman" w:cs="Times New Roman"/>
          <w:sz w:val="24"/>
          <w:szCs w:val="24"/>
        </w:rPr>
        <w:t>ida puede producirse hasta en la misma sentencia, salvo que expresamente se hubiera desestimado anteriormente dicha cuestión, art. 207</w:t>
      </w:r>
      <w:r w:rsidR="00C742C6">
        <w:rPr>
          <w:rFonts w:ascii="Times New Roman" w:hAnsi="Times New Roman" w:cs="Times New Roman"/>
          <w:sz w:val="24"/>
          <w:szCs w:val="24"/>
        </w:rPr>
        <w:t>.4</w:t>
      </w:r>
      <w:r>
        <w:rPr>
          <w:rFonts w:ascii="Times New Roman" w:hAnsi="Times New Roman" w:cs="Times New Roman"/>
          <w:sz w:val="24"/>
          <w:szCs w:val="24"/>
        </w:rPr>
        <w:t xml:space="preserve"> LEC.</w:t>
      </w:r>
    </w:p>
    <w:p w14:paraId="2AC149F6" w14:textId="3624F144" w:rsidR="00311DD1" w:rsidRDefault="00311DD1" w:rsidP="00287919">
      <w:p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Desafortunadamente, para salvar la regulación de un recurso extraordinario que nunca ha entrado en vigor, se impide </w:t>
      </w:r>
      <w:r w:rsidR="00514EB8">
        <w:rPr>
          <w:rFonts w:ascii="Times New Roman" w:hAnsi="Times New Roman" w:cs="Times New Roman"/>
          <w:sz w:val="24"/>
          <w:szCs w:val="24"/>
        </w:rPr>
        <w:t>que el tribunal estime de oficio</w:t>
      </w:r>
      <w:r>
        <w:rPr>
          <w:rFonts w:ascii="Times New Roman" w:hAnsi="Times New Roman" w:cs="Times New Roman"/>
          <w:sz w:val="24"/>
          <w:szCs w:val="24"/>
        </w:rPr>
        <w:t xml:space="preserve"> la indebida acumulación en los recursos, art</w:t>
      </w:r>
      <w:r w:rsidR="00633C66">
        <w:rPr>
          <w:rFonts w:ascii="Times New Roman" w:hAnsi="Times New Roman" w:cs="Times New Roman"/>
          <w:sz w:val="24"/>
          <w:szCs w:val="24"/>
        </w:rPr>
        <w:t>s</w:t>
      </w:r>
      <w:r>
        <w:rPr>
          <w:rFonts w:ascii="Times New Roman" w:hAnsi="Times New Roman" w:cs="Times New Roman"/>
          <w:sz w:val="24"/>
          <w:szCs w:val="24"/>
        </w:rPr>
        <w:t>.</w:t>
      </w:r>
      <w:r w:rsidR="00633C66">
        <w:rPr>
          <w:rFonts w:ascii="Times New Roman" w:hAnsi="Times New Roman" w:cs="Times New Roman"/>
          <w:sz w:val="24"/>
          <w:szCs w:val="24"/>
        </w:rPr>
        <w:t xml:space="preserve"> 227.2</w:t>
      </w:r>
      <w:proofErr w:type="gramStart"/>
      <w:r w:rsidR="00633C66">
        <w:rPr>
          <w:rFonts w:ascii="Times New Roman" w:hAnsi="Times New Roman" w:cs="Times New Roman"/>
          <w:sz w:val="24"/>
          <w:szCs w:val="24"/>
        </w:rPr>
        <w:t>.II</w:t>
      </w:r>
      <w:proofErr w:type="gramEnd"/>
      <w:r>
        <w:rPr>
          <w:rFonts w:ascii="Times New Roman" w:hAnsi="Times New Roman" w:cs="Times New Roman"/>
          <w:sz w:val="24"/>
          <w:szCs w:val="24"/>
        </w:rPr>
        <w:t xml:space="preserve"> LEC</w:t>
      </w:r>
      <w:r w:rsidR="00633C66">
        <w:rPr>
          <w:rFonts w:ascii="Times New Roman" w:hAnsi="Times New Roman" w:cs="Times New Roman"/>
          <w:sz w:val="24"/>
          <w:szCs w:val="24"/>
        </w:rPr>
        <w:t xml:space="preserve"> y 240.2</w:t>
      </w:r>
      <w:r w:rsidR="00C742C6">
        <w:rPr>
          <w:rFonts w:ascii="Times New Roman" w:hAnsi="Times New Roman" w:cs="Times New Roman"/>
          <w:sz w:val="24"/>
          <w:szCs w:val="24"/>
        </w:rPr>
        <w:t>.II</w:t>
      </w:r>
      <w:r w:rsidR="00633C66">
        <w:rPr>
          <w:rFonts w:ascii="Times New Roman" w:hAnsi="Times New Roman" w:cs="Times New Roman"/>
          <w:sz w:val="24"/>
          <w:szCs w:val="24"/>
        </w:rPr>
        <w:t xml:space="preserve"> LOPJ</w:t>
      </w:r>
      <w:r>
        <w:rPr>
          <w:rFonts w:ascii="Times New Roman" w:hAnsi="Times New Roman" w:cs="Times New Roman"/>
          <w:sz w:val="24"/>
          <w:szCs w:val="24"/>
        </w:rPr>
        <w:t>, como si la naturaleza de los presupuestos proc</w:t>
      </w:r>
      <w:r w:rsidR="00633C66">
        <w:rPr>
          <w:rFonts w:ascii="Times New Roman" w:hAnsi="Times New Roman" w:cs="Times New Roman"/>
          <w:sz w:val="24"/>
          <w:szCs w:val="24"/>
        </w:rPr>
        <w:t>e</w:t>
      </w:r>
      <w:r>
        <w:rPr>
          <w:rFonts w:ascii="Times New Roman" w:hAnsi="Times New Roman" w:cs="Times New Roman"/>
          <w:sz w:val="24"/>
          <w:szCs w:val="24"/>
        </w:rPr>
        <w:t xml:space="preserve">sales mudara </w:t>
      </w:r>
      <w:r w:rsidR="00633C66">
        <w:rPr>
          <w:rFonts w:ascii="Times New Roman" w:hAnsi="Times New Roman" w:cs="Times New Roman"/>
          <w:sz w:val="24"/>
          <w:szCs w:val="24"/>
        </w:rPr>
        <w:t>en los medios de impugnación o gravamen</w:t>
      </w:r>
      <w:r>
        <w:rPr>
          <w:rFonts w:ascii="Times New Roman" w:hAnsi="Times New Roman" w:cs="Times New Roman"/>
          <w:sz w:val="24"/>
          <w:szCs w:val="24"/>
        </w:rPr>
        <w:t xml:space="preserve">. </w:t>
      </w:r>
      <w:r w:rsidR="00514EB8">
        <w:rPr>
          <w:rFonts w:ascii="Times New Roman" w:hAnsi="Times New Roman" w:cs="Times New Roman"/>
          <w:sz w:val="24"/>
          <w:szCs w:val="24"/>
        </w:rPr>
        <w:t>Ahora bien, si la acumulación no fuera posible por falta de</w:t>
      </w:r>
      <w:r w:rsidR="00633C66">
        <w:rPr>
          <w:rFonts w:ascii="Times New Roman" w:hAnsi="Times New Roman" w:cs="Times New Roman"/>
          <w:sz w:val="24"/>
          <w:szCs w:val="24"/>
        </w:rPr>
        <w:t xml:space="preserve"> jurisdicción o</w:t>
      </w:r>
      <w:r w:rsidR="00514EB8">
        <w:rPr>
          <w:rFonts w:ascii="Times New Roman" w:hAnsi="Times New Roman" w:cs="Times New Roman"/>
          <w:sz w:val="24"/>
          <w:szCs w:val="24"/>
        </w:rPr>
        <w:t xml:space="preserve"> competencia objetiva sí podría apreciarse de oficio</w:t>
      </w:r>
      <w:r w:rsidR="00633C66">
        <w:rPr>
          <w:rFonts w:ascii="Times New Roman" w:hAnsi="Times New Roman" w:cs="Times New Roman"/>
          <w:sz w:val="24"/>
          <w:szCs w:val="24"/>
        </w:rPr>
        <w:t xml:space="preserve"> según esos preceptos.</w:t>
      </w:r>
      <w:r w:rsidR="00287919">
        <w:rPr>
          <w:rFonts w:ascii="Times New Roman" w:hAnsi="Times New Roman" w:cs="Times New Roman"/>
          <w:sz w:val="24"/>
          <w:szCs w:val="24"/>
        </w:rPr>
        <w:t xml:space="preserve"> Y es</w:t>
      </w:r>
      <w:r w:rsidR="00287919" w:rsidRPr="00287919">
        <w:rPr>
          <w:rFonts w:ascii="Times New Roman" w:hAnsi="Times New Roman" w:cs="Times New Roman"/>
          <w:sz w:val="24"/>
          <w:szCs w:val="24"/>
        </w:rPr>
        <w:t xml:space="preserve"> que en ocasiones la</w:t>
      </w:r>
      <w:r w:rsidR="00F11EC7">
        <w:rPr>
          <w:rFonts w:ascii="Times New Roman" w:hAnsi="Times New Roman" w:cs="Times New Roman"/>
          <w:sz w:val="24"/>
          <w:szCs w:val="24"/>
        </w:rPr>
        <w:t xml:space="preserve"> acumulación indebida se podría plantear</w:t>
      </w:r>
      <w:r w:rsidR="00287919" w:rsidRPr="00287919">
        <w:rPr>
          <w:rFonts w:ascii="Times New Roman" w:hAnsi="Times New Roman" w:cs="Times New Roman"/>
          <w:sz w:val="24"/>
          <w:szCs w:val="24"/>
        </w:rPr>
        <w:t xml:space="preserve"> indirectamente a través del examen de la jurisdic</w:t>
      </w:r>
      <w:r w:rsidR="00F11EC7">
        <w:rPr>
          <w:rFonts w:ascii="Times New Roman" w:hAnsi="Times New Roman" w:cs="Times New Roman"/>
          <w:sz w:val="24"/>
          <w:szCs w:val="24"/>
        </w:rPr>
        <w:t>ción o competencia del tribunal así como de la inadecuación del procedimiento. Si bien lo procedente, por especialidad y por naturaleza (porque solo se afecta “parcialmente” a estos dos últimos presupuestos procesales) es analizar directamente la procedencia de la acumulación.</w:t>
      </w:r>
    </w:p>
    <w:p w14:paraId="029AC7DF" w14:textId="1E805E2C" w:rsidR="0073131A" w:rsidRDefault="0073131A" w:rsidP="000B489F">
      <w:pPr>
        <w:pStyle w:val="Prrafodelista"/>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A instancia de parte</w:t>
      </w:r>
    </w:p>
    <w:p w14:paraId="603CC275" w14:textId="7F414C73" w:rsidR="00633C66" w:rsidRDefault="00633C66" w:rsidP="00BB7EDA">
      <w:pPr>
        <w:spacing w:after="0"/>
        <w:ind w:firstLine="0"/>
        <w:jc w:val="both"/>
        <w:rPr>
          <w:rFonts w:ascii="Times New Roman" w:hAnsi="Times New Roman" w:cs="Times New Roman"/>
          <w:sz w:val="24"/>
          <w:szCs w:val="24"/>
        </w:rPr>
      </w:pPr>
      <w:r>
        <w:rPr>
          <w:rFonts w:ascii="Times New Roman" w:hAnsi="Times New Roman" w:cs="Times New Roman"/>
          <w:sz w:val="24"/>
          <w:szCs w:val="24"/>
        </w:rPr>
        <w:t>El demandado opondrá la excepción procesal de acumulación indebida en la contestación a la demanda, art. 402 LEC, (lo que también es válido para la contestación a la reconvención), oponiéndose a la acumulación inicial y a la sobrevenida por inserción (ampliación de la demanda, art. 401 LEC, y reconvención, art. 40</w:t>
      </w:r>
      <w:r w:rsidR="00AF3ACF">
        <w:rPr>
          <w:rFonts w:ascii="Times New Roman" w:hAnsi="Times New Roman" w:cs="Times New Roman"/>
          <w:sz w:val="24"/>
          <w:szCs w:val="24"/>
        </w:rPr>
        <w:t>6</w:t>
      </w:r>
      <w:r>
        <w:rPr>
          <w:rFonts w:ascii="Times New Roman" w:hAnsi="Times New Roman" w:cs="Times New Roman"/>
          <w:sz w:val="24"/>
          <w:szCs w:val="24"/>
        </w:rPr>
        <w:t xml:space="preserve"> LEC). Cuestión que se resolverá en la audiencia previa del juicio ordinario, art. 419</w:t>
      </w:r>
      <w:r w:rsidR="002D364C">
        <w:rPr>
          <w:rFonts w:ascii="Times New Roman" w:hAnsi="Times New Roman" w:cs="Times New Roman"/>
          <w:sz w:val="24"/>
          <w:szCs w:val="24"/>
        </w:rPr>
        <w:t xml:space="preserve"> LEC (oralmente salvo que se planteen más cuestiones procesales, art. 417.2 LEC</w:t>
      </w:r>
      <w:r w:rsidR="009F629E">
        <w:rPr>
          <w:rStyle w:val="Refdenotaalpie"/>
          <w:rFonts w:ascii="Times New Roman" w:hAnsi="Times New Roman" w:cs="Times New Roman"/>
          <w:sz w:val="24"/>
          <w:szCs w:val="24"/>
        </w:rPr>
        <w:footnoteReference w:id="77"/>
      </w:r>
      <w:r w:rsidR="002D364C">
        <w:rPr>
          <w:rFonts w:ascii="Times New Roman" w:hAnsi="Times New Roman" w:cs="Times New Roman"/>
          <w:sz w:val="24"/>
          <w:szCs w:val="24"/>
        </w:rPr>
        <w:t>)</w:t>
      </w:r>
      <w:r w:rsidR="00F11EC7">
        <w:rPr>
          <w:rFonts w:ascii="Times New Roman" w:hAnsi="Times New Roman" w:cs="Times New Roman"/>
          <w:sz w:val="24"/>
          <w:szCs w:val="24"/>
        </w:rPr>
        <w:t xml:space="preserve"> o</w:t>
      </w:r>
      <w:r w:rsidR="00AF3ACF">
        <w:rPr>
          <w:rFonts w:ascii="Times New Roman" w:hAnsi="Times New Roman" w:cs="Times New Roman"/>
          <w:sz w:val="24"/>
          <w:szCs w:val="24"/>
        </w:rPr>
        <w:t xml:space="preserve"> en la vista del juicio verbal, art. 443.2 LEC, si la hubiere, y en otro caso en la sentencia, art. 438.4 LEC.</w:t>
      </w:r>
      <w:r w:rsidR="00B159DE">
        <w:rPr>
          <w:rFonts w:ascii="Times New Roman" w:hAnsi="Times New Roman" w:cs="Times New Roman"/>
          <w:sz w:val="24"/>
          <w:szCs w:val="24"/>
        </w:rPr>
        <w:t xml:space="preserve"> Ahora bien, si está en liza la falta de jurisdicción o competencia del tribunal resulta aconsejable utilizar la declinatoria para evitar que se entienda </w:t>
      </w:r>
      <w:proofErr w:type="spellStart"/>
      <w:r w:rsidR="00B159DE">
        <w:rPr>
          <w:rFonts w:ascii="Times New Roman" w:hAnsi="Times New Roman" w:cs="Times New Roman"/>
          <w:sz w:val="24"/>
          <w:szCs w:val="24"/>
        </w:rPr>
        <w:t>precluida</w:t>
      </w:r>
      <w:proofErr w:type="spellEnd"/>
      <w:r w:rsidR="00B159DE">
        <w:rPr>
          <w:rFonts w:ascii="Times New Roman" w:hAnsi="Times New Roman" w:cs="Times New Roman"/>
          <w:sz w:val="24"/>
          <w:szCs w:val="24"/>
        </w:rPr>
        <w:t xml:space="preserve"> dicha posibilidad, art</w:t>
      </w:r>
      <w:r w:rsidR="008A70F3">
        <w:rPr>
          <w:rFonts w:ascii="Times New Roman" w:hAnsi="Times New Roman" w:cs="Times New Roman"/>
          <w:sz w:val="24"/>
          <w:szCs w:val="24"/>
        </w:rPr>
        <w:t>s</w:t>
      </w:r>
      <w:r w:rsidR="00B159DE">
        <w:rPr>
          <w:rFonts w:ascii="Times New Roman" w:hAnsi="Times New Roman" w:cs="Times New Roman"/>
          <w:sz w:val="24"/>
          <w:szCs w:val="24"/>
        </w:rPr>
        <w:t xml:space="preserve">. 416.2 </w:t>
      </w:r>
      <w:r w:rsidR="008A70F3">
        <w:rPr>
          <w:rFonts w:ascii="Times New Roman" w:hAnsi="Times New Roman" w:cs="Times New Roman"/>
          <w:sz w:val="24"/>
          <w:szCs w:val="24"/>
        </w:rPr>
        <w:t xml:space="preserve"> y 443.2 </w:t>
      </w:r>
      <w:r w:rsidR="00F11EC7">
        <w:rPr>
          <w:rFonts w:ascii="Times New Roman" w:hAnsi="Times New Roman" w:cs="Times New Roman"/>
          <w:sz w:val="24"/>
          <w:szCs w:val="24"/>
        </w:rPr>
        <w:t>LEC, aunque como se ha señalado el presupuesto procesal que realmente está en juego es la acumulación indebida.</w:t>
      </w:r>
    </w:p>
    <w:p w14:paraId="19ED9782" w14:textId="726857C3" w:rsidR="00AF3ACF" w:rsidRDefault="00DE67ED" w:rsidP="00BB7EDA">
      <w:pPr>
        <w:spacing w:after="0"/>
        <w:ind w:firstLine="0"/>
        <w:jc w:val="both"/>
        <w:rPr>
          <w:rFonts w:ascii="Times New Roman" w:hAnsi="Times New Roman" w:cs="Times New Roman"/>
          <w:sz w:val="24"/>
          <w:szCs w:val="24"/>
        </w:rPr>
      </w:pPr>
      <w:r>
        <w:rPr>
          <w:rFonts w:ascii="Times New Roman" w:hAnsi="Times New Roman" w:cs="Times New Roman"/>
          <w:sz w:val="24"/>
          <w:szCs w:val="24"/>
        </w:rPr>
        <w:lastRenderedPageBreak/>
        <w:t>En el caso de la acumulación subjetiva derivada de la acumulación de procesos la iniciativa de la parte consiste en solicitar su procedencia, además de oponerse a la solicitada por la contraria, siguiéndose</w:t>
      </w:r>
      <w:r w:rsidR="00AF3ACF">
        <w:rPr>
          <w:rFonts w:ascii="Times New Roman" w:hAnsi="Times New Roman" w:cs="Times New Roman"/>
          <w:sz w:val="24"/>
          <w:szCs w:val="24"/>
        </w:rPr>
        <w:t xml:space="preserve"> el régimen previsto en los arts. 81 a 85 LEC, si se trata del mismo tribunal, y</w:t>
      </w:r>
      <w:r w:rsidR="00C742C6">
        <w:rPr>
          <w:rFonts w:ascii="Times New Roman" w:hAnsi="Times New Roman" w:cs="Times New Roman"/>
          <w:sz w:val="24"/>
          <w:szCs w:val="24"/>
        </w:rPr>
        <w:t xml:space="preserve"> arts.</w:t>
      </w:r>
      <w:r w:rsidR="00AF3ACF">
        <w:rPr>
          <w:rFonts w:ascii="Times New Roman" w:hAnsi="Times New Roman" w:cs="Times New Roman"/>
          <w:sz w:val="24"/>
          <w:szCs w:val="24"/>
        </w:rPr>
        <w:t xml:space="preserve"> 86 a 97 LEC, si penden ante tribunales diferentes.</w:t>
      </w:r>
      <w:r w:rsidR="00425012">
        <w:rPr>
          <w:rFonts w:ascii="Times New Roman" w:hAnsi="Times New Roman" w:cs="Times New Roman"/>
          <w:sz w:val="24"/>
          <w:szCs w:val="24"/>
        </w:rPr>
        <w:t xml:space="preserve"> </w:t>
      </w:r>
    </w:p>
    <w:p w14:paraId="136FDB5D" w14:textId="17BC5DD3" w:rsidR="0057468D" w:rsidRDefault="0057468D" w:rsidP="000B489F">
      <w:pPr>
        <w:spacing w:after="0"/>
        <w:ind w:firstLine="0"/>
        <w:jc w:val="both"/>
        <w:rPr>
          <w:rFonts w:ascii="Times New Roman" w:hAnsi="Times New Roman" w:cs="Times New Roman"/>
          <w:sz w:val="24"/>
          <w:szCs w:val="24"/>
        </w:rPr>
      </w:pPr>
    </w:p>
    <w:p w14:paraId="453F46CB" w14:textId="36813F5A" w:rsidR="00A45787" w:rsidRPr="00C12E06" w:rsidRDefault="00032C6B" w:rsidP="000B489F">
      <w:pPr>
        <w:spacing w:after="0"/>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Conclusiones</w:t>
      </w:r>
    </w:p>
    <w:p w14:paraId="3FEB4C34" w14:textId="5D07D060" w:rsidR="00032C6B" w:rsidRPr="00032C6B" w:rsidRDefault="00032C6B" w:rsidP="00032C6B">
      <w:pPr>
        <w:spacing w:after="0"/>
        <w:ind w:firstLine="0"/>
        <w:jc w:val="both"/>
        <w:rPr>
          <w:rFonts w:ascii="Times New Roman" w:hAnsi="Times New Roman" w:cs="Times New Roman"/>
          <w:sz w:val="24"/>
          <w:szCs w:val="24"/>
        </w:rPr>
      </w:pPr>
      <w:r w:rsidRPr="00032C6B">
        <w:rPr>
          <w:rFonts w:ascii="Times New Roman" w:hAnsi="Times New Roman" w:cs="Times New Roman"/>
          <w:sz w:val="24"/>
          <w:szCs w:val="24"/>
        </w:rPr>
        <w:t>1)</w:t>
      </w:r>
      <w:r w:rsidR="00C24684">
        <w:rPr>
          <w:rFonts w:ascii="Times New Roman" w:hAnsi="Times New Roman" w:cs="Times New Roman"/>
          <w:sz w:val="24"/>
          <w:szCs w:val="24"/>
        </w:rPr>
        <w:t xml:space="preserve"> </w:t>
      </w:r>
      <w:r w:rsidRPr="00032C6B">
        <w:rPr>
          <w:rFonts w:ascii="Times New Roman" w:hAnsi="Times New Roman" w:cs="Times New Roman"/>
          <w:sz w:val="24"/>
          <w:szCs w:val="24"/>
        </w:rPr>
        <w:t>La acumulación subjetiva se corresponde con el litisconsorcio (entendido este como pluralidad de partes) volun</w:t>
      </w:r>
      <w:r w:rsidR="00C24684">
        <w:rPr>
          <w:rFonts w:ascii="Times New Roman" w:hAnsi="Times New Roman" w:cs="Times New Roman"/>
          <w:sz w:val="24"/>
          <w:szCs w:val="24"/>
        </w:rPr>
        <w:t>tario (aunque en</w:t>
      </w:r>
      <w:r>
        <w:rPr>
          <w:rFonts w:ascii="Times New Roman" w:hAnsi="Times New Roman" w:cs="Times New Roman"/>
          <w:sz w:val="24"/>
          <w:szCs w:val="24"/>
        </w:rPr>
        <w:t xml:space="preserve"> el no siempre </w:t>
      </w:r>
      <w:r w:rsidRPr="00032C6B">
        <w:rPr>
          <w:rFonts w:ascii="Times New Roman" w:hAnsi="Times New Roman" w:cs="Times New Roman"/>
          <w:sz w:val="24"/>
          <w:szCs w:val="24"/>
        </w:rPr>
        <w:t>hay</w:t>
      </w:r>
      <w:r w:rsidR="004F1EF8">
        <w:rPr>
          <w:rFonts w:ascii="Times New Roman" w:hAnsi="Times New Roman" w:cs="Times New Roman"/>
          <w:sz w:val="24"/>
          <w:szCs w:val="24"/>
        </w:rPr>
        <w:t>a</w:t>
      </w:r>
      <w:r w:rsidRPr="00032C6B">
        <w:rPr>
          <w:rFonts w:ascii="Times New Roman" w:hAnsi="Times New Roman" w:cs="Times New Roman"/>
          <w:sz w:val="24"/>
          <w:szCs w:val="24"/>
        </w:rPr>
        <w:t xml:space="preserve"> </w:t>
      </w:r>
      <w:r w:rsidR="004F1EF8">
        <w:rPr>
          <w:rFonts w:ascii="Times New Roman" w:hAnsi="Times New Roman" w:cs="Times New Roman"/>
          <w:sz w:val="24"/>
          <w:szCs w:val="24"/>
        </w:rPr>
        <w:t>pluralidad de objetos ni resulte</w:t>
      </w:r>
      <w:r w:rsidRPr="00032C6B">
        <w:rPr>
          <w:rFonts w:ascii="Times New Roman" w:hAnsi="Times New Roman" w:cs="Times New Roman"/>
          <w:sz w:val="24"/>
          <w:szCs w:val="24"/>
        </w:rPr>
        <w:t xml:space="preserve"> facultativa su existencia)</w:t>
      </w:r>
      <w:r w:rsidR="00C24684">
        <w:rPr>
          <w:rFonts w:ascii="Times New Roman" w:hAnsi="Times New Roman" w:cs="Times New Roman"/>
          <w:sz w:val="24"/>
          <w:szCs w:val="24"/>
        </w:rPr>
        <w:t>. Puede tener lugar</w:t>
      </w:r>
      <w:r w:rsidRPr="00032C6B">
        <w:rPr>
          <w:rFonts w:ascii="Times New Roman" w:hAnsi="Times New Roman" w:cs="Times New Roman"/>
          <w:sz w:val="24"/>
          <w:szCs w:val="24"/>
        </w:rPr>
        <w:t xml:space="preserve"> en el proceso de declaración siempre que quepa una acumulación de acciones. También cuando acontece la intervención de terceros, la principal e incluso la adhesiva en ciertos supuestos.</w:t>
      </w:r>
    </w:p>
    <w:p w14:paraId="40D732F1" w14:textId="10CF367F" w:rsidR="00032C6B" w:rsidRPr="00032C6B" w:rsidRDefault="00032C6B" w:rsidP="00032C6B">
      <w:pPr>
        <w:spacing w:after="0"/>
        <w:ind w:firstLine="0"/>
        <w:jc w:val="both"/>
        <w:rPr>
          <w:rFonts w:ascii="Times New Roman" w:hAnsi="Times New Roman" w:cs="Times New Roman"/>
          <w:sz w:val="24"/>
          <w:szCs w:val="24"/>
        </w:rPr>
      </w:pPr>
      <w:r w:rsidRPr="00032C6B">
        <w:rPr>
          <w:rFonts w:ascii="Times New Roman" w:hAnsi="Times New Roman" w:cs="Times New Roman"/>
          <w:sz w:val="24"/>
          <w:szCs w:val="24"/>
        </w:rPr>
        <w:t>2)</w:t>
      </w:r>
      <w:r w:rsidR="00C24684">
        <w:rPr>
          <w:rFonts w:ascii="Times New Roman" w:hAnsi="Times New Roman" w:cs="Times New Roman"/>
          <w:sz w:val="24"/>
          <w:szCs w:val="24"/>
        </w:rPr>
        <w:t xml:space="preserve"> </w:t>
      </w:r>
      <w:r w:rsidRPr="00032C6B">
        <w:rPr>
          <w:rFonts w:ascii="Times New Roman" w:hAnsi="Times New Roman" w:cs="Times New Roman"/>
          <w:sz w:val="24"/>
          <w:szCs w:val="24"/>
        </w:rPr>
        <w:t>En e</w:t>
      </w:r>
      <w:r w:rsidR="004F1EF8">
        <w:rPr>
          <w:rFonts w:ascii="Times New Roman" w:hAnsi="Times New Roman" w:cs="Times New Roman"/>
          <w:sz w:val="24"/>
          <w:szCs w:val="24"/>
        </w:rPr>
        <w:t>l ámbito de la ejecución asimismo</w:t>
      </w:r>
      <w:r w:rsidRPr="00032C6B">
        <w:rPr>
          <w:rFonts w:ascii="Times New Roman" w:hAnsi="Times New Roman" w:cs="Times New Roman"/>
          <w:sz w:val="24"/>
          <w:szCs w:val="24"/>
        </w:rPr>
        <w:t xml:space="preserve"> puede acontecer la acumulación subjetiva, inicialmente y de forma sobrevenida con las limitaciones que se indican</w:t>
      </w:r>
      <w:r w:rsidR="00C24684">
        <w:rPr>
          <w:rFonts w:ascii="Times New Roman" w:hAnsi="Times New Roman" w:cs="Times New Roman"/>
          <w:sz w:val="24"/>
          <w:szCs w:val="24"/>
        </w:rPr>
        <w:t>.</w:t>
      </w:r>
    </w:p>
    <w:p w14:paraId="1ACA2F67" w14:textId="212A0BA0" w:rsidR="00032C6B" w:rsidRPr="00032C6B" w:rsidRDefault="00032C6B" w:rsidP="00032C6B">
      <w:pPr>
        <w:spacing w:after="0"/>
        <w:ind w:firstLine="0"/>
        <w:jc w:val="both"/>
        <w:rPr>
          <w:rFonts w:ascii="Times New Roman" w:hAnsi="Times New Roman" w:cs="Times New Roman"/>
          <w:sz w:val="24"/>
          <w:szCs w:val="24"/>
        </w:rPr>
      </w:pPr>
      <w:r w:rsidRPr="00032C6B">
        <w:rPr>
          <w:rFonts w:ascii="Times New Roman" w:hAnsi="Times New Roman" w:cs="Times New Roman"/>
          <w:sz w:val="24"/>
          <w:szCs w:val="24"/>
        </w:rPr>
        <w:t>3)</w:t>
      </w:r>
      <w:r w:rsidR="00C24684">
        <w:rPr>
          <w:rFonts w:ascii="Times New Roman" w:hAnsi="Times New Roman" w:cs="Times New Roman"/>
          <w:sz w:val="24"/>
          <w:szCs w:val="24"/>
        </w:rPr>
        <w:t xml:space="preserve"> </w:t>
      </w:r>
      <w:r w:rsidRPr="00032C6B">
        <w:rPr>
          <w:rFonts w:ascii="Times New Roman" w:hAnsi="Times New Roman" w:cs="Times New Roman"/>
          <w:sz w:val="24"/>
          <w:szCs w:val="24"/>
        </w:rPr>
        <w:t>Su finalidad es la economía procesal y evitar pronunciamientos contradictorios. Unos valores que juegan con distinta intensidad según la clase de acumulación que se produce</w:t>
      </w:r>
      <w:r w:rsidR="00C24684">
        <w:rPr>
          <w:rFonts w:ascii="Times New Roman" w:hAnsi="Times New Roman" w:cs="Times New Roman"/>
          <w:sz w:val="24"/>
          <w:szCs w:val="24"/>
        </w:rPr>
        <w:t xml:space="preserve"> y que influyen en su tratamiento procesal.</w:t>
      </w:r>
    </w:p>
    <w:p w14:paraId="598952D1" w14:textId="74FD0A59" w:rsidR="00032C6B" w:rsidRPr="00032C6B" w:rsidRDefault="00C24684" w:rsidP="00032C6B">
      <w:pPr>
        <w:spacing w:after="0"/>
        <w:ind w:firstLine="0"/>
        <w:jc w:val="both"/>
        <w:rPr>
          <w:rFonts w:ascii="Times New Roman" w:hAnsi="Times New Roman" w:cs="Times New Roman"/>
          <w:sz w:val="24"/>
          <w:szCs w:val="24"/>
        </w:rPr>
      </w:pPr>
      <w:r>
        <w:rPr>
          <w:rFonts w:ascii="Times New Roman" w:hAnsi="Times New Roman" w:cs="Times New Roman"/>
          <w:sz w:val="24"/>
          <w:szCs w:val="24"/>
        </w:rPr>
        <w:t>4) Al existir</w:t>
      </w:r>
      <w:r w:rsidR="00032C6B" w:rsidRPr="00032C6B">
        <w:rPr>
          <w:rFonts w:ascii="Times New Roman" w:hAnsi="Times New Roman" w:cs="Times New Roman"/>
          <w:sz w:val="24"/>
          <w:szCs w:val="24"/>
        </w:rPr>
        <w:t xml:space="preserve"> una pluralidad de objetos se mantiene</w:t>
      </w:r>
      <w:r>
        <w:rPr>
          <w:rFonts w:ascii="Times New Roman" w:hAnsi="Times New Roman" w:cs="Times New Roman"/>
          <w:sz w:val="24"/>
          <w:szCs w:val="24"/>
        </w:rPr>
        <w:t>, inicialmente,</w:t>
      </w:r>
      <w:r w:rsidR="00032C6B" w:rsidRPr="00032C6B">
        <w:rPr>
          <w:rFonts w:ascii="Times New Roman" w:hAnsi="Times New Roman" w:cs="Times New Roman"/>
          <w:sz w:val="24"/>
          <w:szCs w:val="24"/>
        </w:rPr>
        <w:t xml:space="preserve"> la autonomía de cada acción ejercitada y solo se reconoce la eficacia extensiva del fallo</w:t>
      </w:r>
      <w:r>
        <w:rPr>
          <w:rFonts w:ascii="Times New Roman" w:hAnsi="Times New Roman" w:cs="Times New Roman"/>
          <w:sz w:val="24"/>
          <w:szCs w:val="24"/>
        </w:rPr>
        <w:t xml:space="preserve"> en los recurso</w:t>
      </w:r>
      <w:r w:rsidR="0066314E">
        <w:rPr>
          <w:rFonts w:ascii="Times New Roman" w:hAnsi="Times New Roman" w:cs="Times New Roman"/>
          <w:sz w:val="24"/>
          <w:szCs w:val="24"/>
        </w:rPr>
        <w:t>s</w:t>
      </w:r>
      <w:r>
        <w:rPr>
          <w:rFonts w:ascii="Times New Roman" w:hAnsi="Times New Roman" w:cs="Times New Roman"/>
          <w:sz w:val="24"/>
          <w:szCs w:val="24"/>
        </w:rPr>
        <w:t xml:space="preserve"> si se trata </w:t>
      </w:r>
      <w:r w:rsidR="004F1EF8">
        <w:rPr>
          <w:rFonts w:ascii="Times New Roman" w:hAnsi="Times New Roman" w:cs="Times New Roman"/>
          <w:sz w:val="24"/>
          <w:szCs w:val="24"/>
        </w:rPr>
        <w:t xml:space="preserve">de la solidaridad. Ahora bien, </w:t>
      </w:r>
      <w:r w:rsidR="00E14994">
        <w:rPr>
          <w:rFonts w:ascii="Times New Roman" w:hAnsi="Times New Roman" w:cs="Times New Roman"/>
          <w:sz w:val="24"/>
          <w:szCs w:val="24"/>
        </w:rPr>
        <w:t xml:space="preserve">el tratamiento conjunto de </w:t>
      </w:r>
      <w:r w:rsidR="004F1EF8">
        <w:rPr>
          <w:rFonts w:ascii="Times New Roman" w:hAnsi="Times New Roman" w:cs="Times New Roman"/>
          <w:sz w:val="24"/>
          <w:szCs w:val="24"/>
        </w:rPr>
        <w:t>los elementos comunes del fallo (en especial la fijación de los hechos probados) limita alguno de los actos de disposición de los litisconsortes. Adem</w:t>
      </w:r>
      <w:r w:rsidR="00E14994">
        <w:rPr>
          <w:rFonts w:ascii="Times New Roman" w:hAnsi="Times New Roman" w:cs="Times New Roman"/>
          <w:sz w:val="24"/>
          <w:szCs w:val="24"/>
        </w:rPr>
        <w:t>ás</w:t>
      </w:r>
      <w:r w:rsidR="00032C6B" w:rsidRPr="00032C6B">
        <w:rPr>
          <w:rFonts w:ascii="Times New Roman" w:hAnsi="Times New Roman" w:cs="Times New Roman"/>
          <w:sz w:val="24"/>
          <w:szCs w:val="24"/>
        </w:rPr>
        <w:t xml:space="preserve"> según el tipo de acumulación subjetiva, cuando</w:t>
      </w:r>
      <w:r>
        <w:rPr>
          <w:rFonts w:ascii="Times New Roman" w:hAnsi="Times New Roman" w:cs="Times New Roman"/>
          <w:sz w:val="24"/>
          <w:szCs w:val="24"/>
        </w:rPr>
        <w:t xml:space="preserve"> la necesidad de evitar pronunciamientos contradictorios</w:t>
      </w:r>
      <w:r w:rsidR="00032C6B" w:rsidRPr="00032C6B">
        <w:rPr>
          <w:rFonts w:ascii="Times New Roman" w:hAnsi="Times New Roman" w:cs="Times New Roman"/>
          <w:sz w:val="24"/>
          <w:szCs w:val="24"/>
        </w:rPr>
        <w:t xml:space="preserve"> </w:t>
      </w:r>
      <w:r w:rsidR="00E14994">
        <w:rPr>
          <w:rFonts w:ascii="Times New Roman" w:hAnsi="Times New Roman" w:cs="Times New Roman"/>
          <w:sz w:val="24"/>
          <w:szCs w:val="24"/>
        </w:rPr>
        <w:t>alcanza</w:t>
      </w:r>
      <w:r>
        <w:rPr>
          <w:rFonts w:ascii="Times New Roman" w:hAnsi="Times New Roman" w:cs="Times New Roman"/>
          <w:sz w:val="24"/>
          <w:szCs w:val="24"/>
        </w:rPr>
        <w:t xml:space="preserve"> intensidad suficiente</w:t>
      </w:r>
      <w:r w:rsidR="00E14994">
        <w:rPr>
          <w:rFonts w:ascii="Times New Roman" w:hAnsi="Times New Roman" w:cs="Times New Roman"/>
          <w:sz w:val="24"/>
          <w:szCs w:val="24"/>
        </w:rPr>
        <w:t>,</w:t>
      </w:r>
      <w:r>
        <w:rPr>
          <w:rFonts w:ascii="Times New Roman" w:hAnsi="Times New Roman" w:cs="Times New Roman"/>
          <w:sz w:val="24"/>
          <w:szCs w:val="24"/>
        </w:rPr>
        <w:t xml:space="preserve"> </w:t>
      </w:r>
      <w:r w:rsidR="00032C6B" w:rsidRPr="00032C6B">
        <w:rPr>
          <w:rFonts w:ascii="Times New Roman" w:hAnsi="Times New Roman" w:cs="Times New Roman"/>
          <w:sz w:val="24"/>
          <w:szCs w:val="24"/>
        </w:rPr>
        <w:t>propugna</w:t>
      </w:r>
      <w:r>
        <w:rPr>
          <w:rFonts w:ascii="Times New Roman" w:hAnsi="Times New Roman" w:cs="Times New Roman"/>
          <w:sz w:val="24"/>
          <w:szCs w:val="24"/>
        </w:rPr>
        <w:t>mos</w:t>
      </w:r>
      <w:r w:rsidR="00032C6B" w:rsidRPr="00032C6B">
        <w:rPr>
          <w:rFonts w:ascii="Times New Roman" w:hAnsi="Times New Roman" w:cs="Times New Roman"/>
          <w:sz w:val="24"/>
          <w:szCs w:val="24"/>
        </w:rPr>
        <w:t xml:space="preserve">  incluso la eficacia extensiva del fallo.</w:t>
      </w:r>
    </w:p>
    <w:p w14:paraId="043AF1F3" w14:textId="79219728" w:rsidR="00032C6B" w:rsidRPr="00032C6B" w:rsidRDefault="00032C6B" w:rsidP="00032C6B">
      <w:pPr>
        <w:spacing w:after="0"/>
        <w:ind w:firstLine="0"/>
        <w:jc w:val="both"/>
        <w:rPr>
          <w:rFonts w:ascii="Times New Roman" w:hAnsi="Times New Roman" w:cs="Times New Roman"/>
          <w:sz w:val="24"/>
          <w:szCs w:val="24"/>
        </w:rPr>
      </w:pPr>
      <w:r w:rsidRPr="00032C6B">
        <w:rPr>
          <w:rFonts w:ascii="Times New Roman" w:hAnsi="Times New Roman" w:cs="Times New Roman"/>
          <w:sz w:val="24"/>
          <w:szCs w:val="24"/>
        </w:rPr>
        <w:t>5)</w:t>
      </w:r>
      <w:r w:rsidR="00C24684">
        <w:rPr>
          <w:rFonts w:ascii="Times New Roman" w:hAnsi="Times New Roman" w:cs="Times New Roman"/>
          <w:sz w:val="24"/>
          <w:szCs w:val="24"/>
        </w:rPr>
        <w:t xml:space="preserve"> </w:t>
      </w:r>
      <w:r w:rsidRPr="00032C6B">
        <w:rPr>
          <w:rFonts w:ascii="Times New Roman" w:hAnsi="Times New Roman" w:cs="Times New Roman"/>
          <w:sz w:val="24"/>
          <w:szCs w:val="24"/>
        </w:rPr>
        <w:t>Los requisitos procedimentales se corresponden a rasgos generales con los previstos para la acumulación objetiva con las consiguientes singularidades que se examinan respecto a la competencia y jurisdicción del tribunal así como la adecuación del procedimiento. Destaca, a efectos del cálcu</w:t>
      </w:r>
      <w:r w:rsidR="00C24684">
        <w:rPr>
          <w:rFonts w:ascii="Times New Roman" w:hAnsi="Times New Roman" w:cs="Times New Roman"/>
          <w:sz w:val="24"/>
          <w:szCs w:val="24"/>
        </w:rPr>
        <w:t>lo de la cuantía, la duda</w:t>
      </w:r>
      <w:r w:rsidRPr="00032C6B">
        <w:rPr>
          <w:rFonts w:ascii="Times New Roman" w:hAnsi="Times New Roman" w:cs="Times New Roman"/>
          <w:sz w:val="24"/>
          <w:szCs w:val="24"/>
        </w:rPr>
        <w:t xml:space="preserve"> de si procede la suma de las acciones ejercitadas (principales) o bien si habrá de estarse a la de mayor valor. Frente al criterio seguido en el ámbito </w:t>
      </w:r>
      <w:proofErr w:type="spellStart"/>
      <w:r w:rsidRPr="00032C6B">
        <w:rPr>
          <w:rFonts w:ascii="Times New Roman" w:hAnsi="Times New Roman" w:cs="Times New Roman"/>
          <w:sz w:val="24"/>
          <w:szCs w:val="24"/>
        </w:rPr>
        <w:t>casacional</w:t>
      </w:r>
      <w:proofErr w:type="spellEnd"/>
      <w:r w:rsidRPr="00032C6B">
        <w:rPr>
          <w:rFonts w:ascii="Times New Roman" w:hAnsi="Times New Roman" w:cs="Times New Roman"/>
          <w:sz w:val="24"/>
          <w:szCs w:val="24"/>
        </w:rPr>
        <w:t xml:space="preserve"> por el TS y por las razones que se exponen se apuesta por la suma de ellas.</w:t>
      </w:r>
    </w:p>
    <w:p w14:paraId="64609878" w14:textId="693CD5CA" w:rsidR="00032C6B" w:rsidRPr="00032C6B" w:rsidRDefault="00C24684" w:rsidP="00032C6B">
      <w:p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00032C6B" w:rsidRPr="00032C6B">
        <w:rPr>
          <w:rFonts w:ascii="Times New Roman" w:hAnsi="Times New Roman" w:cs="Times New Roman"/>
          <w:sz w:val="24"/>
          <w:szCs w:val="24"/>
        </w:rPr>
        <w:t>En cuanto a los presupuestos procesales, se exige la identidad o conexión de la causa de los objetos acumulados. A pesar de que la ley señala que ello acontece cuando se trata de los mismos hechos, la doctrina y jurisprudencia reconocen la existencia de una conexión fáct</w:t>
      </w:r>
      <w:r w:rsidR="00E14994">
        <w:rPr>
          <w:rFonts w:ascii="Times New Roman" w:hAnsi="Times New Roman" w:cs="Times New Roman"/>
          <w:sz w:val="24"/>
          <w:szCs w:val="24"/>
        </w:rPr>
        <w:t>ica o jurídica. T</w:t>
      </w:r>
      <w:r w:rsidR="00032C6B" w:rsidRPr="00032C6B">
        <w:rPr>
          <w:rFonts w:ascii="Times New Roman" w:hAnsi="Times New Roman" w:cs="Times New Roman"/>
          <w:sz w:val="24"/>
          <w:szCs w:val="24"/>
        </w:rPr>
        <w:t xml:space="preserve">ítulo o causa son sinónimos y equivalen a causa de pedir que tras la LEC engloba tanto los hechos principales como </w:t>
      </w:r>
      <w:r>
        <w:rPr>
          <w:rFonts w:ascii="Times New Roman" w:hAnsi="Times New Roman" w:cs="Times New Roman"/>
          <w:sz w:val="24"/>
          <w:szCs w:val="24"/>
        </w:rPr>
        <w:t>la fundamentación jurídica. Después de</w:t>
      </w:r>
      <w:r w:rsidR="00032C6B" w:rsidRPr="00032C6B">
        <w:rPr>
          <w:rFonts w:ascii="Times New Roman" w:hAnsi="Times New Roman" w:cs="Times New Roman"/>
          <w:sz w:val="24"/>
          <w:szCs w:val="24"/>
        </w:rPr>
        <w:t xml:space="preserve"> un pormenorizado análisis jurisprudencial, se categorizan </w:t>
      </w:r>
      <w:r>
        <w:rPr>
          <w:rFonts w:ascii="Times New Roman" w:hAnsi="Times New Roman" w:cs="Times New Roman"/>
          <w:sz w:val="24"/>
          <w:szCs w:val="24"/>
        </w:rPr>
        <w:t xml:space="preserve">(frente a la tradicional distinción entre acumulación propia o impropia) </w:t>
      </w:r>
      <w:r w:rsidR="00032C6B" w:rsidRPr="00032C6B">
        <w:rPr>
          <w:rFonts w:ascii="Times New Roman" w:hAnsi="Times New Roman" w:cs="Times New Roman"/>
          <w:sz w:val="24"/>
          <w:szCs w:val="24"/>
        </w:rPr>
        <w:t>las diferentes clases de acumulación de la siguiente manera:</w:t>
      </w:r>
    </w:p>
    <w:p w14:paraId="68C61F57" w14:textId="07B58CC5" w:rsidR="00032C6B" w:rsidRPr="00032C6B" w:rsidRDefault="00C24684" w:rsidP="00032C6B">
      <w:p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7) Conexión </w:t>
      </w:r>
      <w:r w:rsidR="00032C6B" w:rsidRPr="00032C6B">
        <w:rPr>
          <w:rFonts w:ascii="Times New Roman" w:hAnsi="Times New Roman" w:cs="Times New Roman"/>
          <w:sz w:val="24"/>
          <w:szCs w:val="24"/>
        </w:rPr>
        <w:t xml:space="preserve"> por el </w:t>
      </w:r>
      <w:proofErr w:type="spellStart"/>
      <w:r w:rsidR="00032C6B" w:rsidRPr="00032C6B">
        <w:rPr>
          <w:rFonts w:ascii="Times New Roman" w:hAnsi="Times New Roman" w:cs="Times New Roman"/>
          <w:i/>
          <w:sz w:val="24"/>
          <w:szCs w:val="24"/>
        </w:rPr>
        <w:t>factum</w:t>
      </w:r>
      <w:proofErr w:type="spellEnd"/>
      <w:r w:rsidR="00032C6B" w:rsidRPr="00032C6B">
        <w:rPr>
          <w:rFonts w:ascii="Times New Roman" w:hAnsi="Times New Roman" w:cs="Times New Roman"/>
          <w:sz w:val="24"/>
          <w:szCs w:val="24"/>
        </w:rPr>
        <w:t xml:space="preserve"> o identidad fáctica</w:t>
      </w:r>
      <w:r>
        <w:rPr>
          <w:rFonts w:ascii="Times New Roman" w:hAnsi="Times New Roman" w:cs="Times New Roman"/>
          <w:sz w:val="24"/>
          <w:szCs w:val="24"/>
        </w:rPr>
        <w:t xml:space="preserve"> estricta</w:t>
      </w:r>
      <w:r w:rsidR="00032C6B" w:rsidRPr="00032C6B">
        <w:rPr>
          <w:rFonts w:ascii="Times New Roman" w:hAnsi="Times New Roman" w:cs="Times New Roman"/>
          <w:sz w:val="24"/>
          <w:szCs w:val="24"/>
        </w:rPr>
        <w:t>. Se auspicia la eficacia extensiva del fallo en el recurso respecto del complejo fáctico común y la imposibilidad</w:t>
      </w:r>
      <w:r w:rsidR="00076F8A">
        <w:rPr>
          <w:rFonts w:ascii="Times New Roman" w:hAnsi="Times New Roman" w:cs="Times New Roman"/>
          <w:sz w:val="24"/>
          <w:szCs w:val="24"/>
        </w:rPr>
        <w:t xml:space="preserve"> de que la fijación</w:t>
      </w:r>
      <w:r w:rsidR="00032C6B" w:rsidRPr="00032C6B">
        <w:rPr>
          <w:rFonts w:ascii="Times New Roman" w:hAnsi="Times New Roman" w:cs="Times New Roman"/>
          <w:sz w:val="24"/>
          <w:szCs w:val="24"/>
        </w:rPr>
        <w:t xml:space="preserve"> de esos hechos </w:t>
      </w:r>
      <w:r w:rsidR="00076F8A">
        <w:rPr>
          <w:rFonts w:ascii="Times New Roman" w:hAnsi="Times New Roman" w:cs="Times New Roman"/>
          <w:sz w:val="24"/>
          <w:szCs w:val="24"/>
        </w:rPr>
        <w:t xml:space="preserve">en el fallo </w:t>
      </w:r>
      <w:r w:rsidR="00032C6B" w:rsidRPr="00032C6B">
        <w:rPr>
          <w:rFonts w:ascii="Times New Roman" w:hAnsi="Times New Roman" w:cs="Times New Roman"/>
          <w:sz w:val="24"/>
          <w:szCs w:val="24"/>
        </w:rPr>
        <w:t>no resulte de la libre valoración de la prueba</w:t>
      </w:r>
      <w:r w:rsidR="00E14994">
        <w:rPr>
          <w:rFonts w:ascii="Times New Roman" w:hAnsi="Times New Roman" w:cs="Times New Roman"/>
          <w:sz w:val="24"/>
          <w:szCs w:val="24"/>
        </w:rPr>
        <w:t xml:space="preserve"> (circunstancia esta última válida para toda acumulación subjetiva</w:t>
      </w:r>
      <w:r w:rsidR="00175115">
        <w:rPr>
          <w:rFonts w:ascii="Times New Roman" w:hAnsi="Times New Roman" w:cs="Times New Roman"/>
          <w:sz w:val="24"/>
          <w:szCs w:val="24"/>
        </w:rPr>
        <w:t xml:space="preserve"> y los elementos fácticos comunes</w:t>
      </w:r>
      <w:r w:rsidR="00E14994">
        <w:rPr>
          <w:rFonts w:ascii="Times New Roman" w:hAnsi="Times New Roman" w:cs="Times New Roman"/>
          <w:sz w:val="24"/>
          <w:szCs w:val="24"/>
        </w:rPr>
        <w:t>)</w:t>
      </w:r>
      <w:r w:rsidR="00032C6B" w:rsidRPr="00032C6B">
        <w:rPr>
          <w:rFonts w:ascii="Times New Roman" w:hAnsi="Times New Roman" w:cs="Times New Roman"/>
          <w:sz w:val="24"/>
          <w:szCs w:val="24"/>
        </w:rPr>
        <w:t>.</w:t>
      </w:r>
    </w:p>
    <w:p w14:paraId="278BA294" w14:textId="1272CCFF" w:rsidR="00A45787" w:rsidRPr="00C12E06" w:rsidRDefault="00032C6B" w:rsidP="00032C6B">
      <w:pPr>
        <w:spacing w:after="0"/>
        <w:ind w:firstLine="0"/>
        <w:jc w:val="both"/>
        <w:rPr>
          <w:rFonts w:ascii="Times New Roman" w:hAnsi="Times New Roman" w:cs="Times New Roman"/>
          <w:sz w:val="24"/>
          <w:szCs w:val="24"/>
        </w:rPr>
      </w:pPr>
      <w:r w:rsidRPr="00032C6B">
        <w:rPr>
          <w:rFonts w:ascii="Times New Roman" w:hAnsi="Times New Roman" w:cs="Times New Roman"/>
          <w:sz w:val="24"/>
          <w:szCs w:val="24"/>
        </w:rPr>
        <w:t>8)</w:t>
      </w:r>
      <w:r w:rsidR="00C24684">
        <w:rPr>
          <w:rFonts w:ascii="Times New Roman" w:hAnsi="Times New Roman" w:cs="Times New Roman"/>
          <w:sz w:val="24"/>
          <w:szCs w:val="24"/>
        </w:rPr>
        <w:t xml:space="preserve"> </w:t>
      </w:r>
      <w:r w:rsidRPr="00032C6B">
        <w:rPr>
          <w:rFonts w:ascii="Times New Roman" w:hAnsi="Times New Roman" w:cs="Times New Roman"/>
          <w:sz w:val="24"/>
          <w:szCs w:val="24"/>
        </w:rPr>
        <w:t xml:space="preserve">La conexión por el </w:t>
      </w:r>
      <w:proofErr w:type="spellStart"/>
      <w:r w:rsidRPr="00032C6B">
        <w:rPr>
          <w:rFonts w:ascii="Times New Roman" w:hAnsi="Times New Roman" w:cs="Times New Roman"/>
          <w:i/>
          <w:sz w:val="24"/>
          <w:szCs w:val="24"/>
        </w:rPr>
        <w:t>negotium</w:t>
      </w:r>
      <w:proofErr w:type="spellEnd"/>
      <w:r w:rsidR="00C24684">
        <w:rPr>
          <w:rFonts w:ascii="Times New Roman" w:hAnsi="Times New Roman" w:cs="Times New Roman"/>
          <w:sz w:val="24"/>
          <w:szCs w:val="24"/>
        </w:rPr>
        <w:t xml:space="preserve"> o vinculación</w:t>
      </w:r>
      <w:r w:rsidRPr="00032C6B">
        <w:rPr>
          <w:rFonts w:ascii="Times New Roman" w:hAnsi="Times New Roman" w:cs="Times New Roman"/>
          <w:sz w:val="24"/>
          <w:szCs w:val="24"/>
        </w:rPr>
        <w:t xml:space="preserve"> fáctica/jurídica en la que el segundo elemento cobra una importa</w:t>
      </w:r>
      <w:r w:rsidR="00C24684">
        <w:rPr>
          <w:rFonts w:ascii="Times New Roman" w:hAnsi="Times New Roman" w:cs="Times New Roman"/>
          <w:sz w:val="24"/>
          <w:szCs w:val="24"/>
        </w:rPr>
        <w:t>ncia decisiva. A su vez existen</w:t>
      </w:r>
      <w:r w:rsidRPr="00032C6B">
        <w:rPr>
          <w:rFonts w:ascii="Times New Roman" w:hAnsi="Times New Roman" w:cs="Times New Roman"/>
          <w:sz w:val="24"/>
          <w:szCs w:val="24"/>
        </w:rPr>
        <w:t xml:space="preserve"> dos modalidades: a) cuando sigue existiendo la identidad fáctica o bien cierta homogeneidad de los hechos. El primer supuesto se acompasa a la conexión por el </w:t>
      </w:r>
      <w:proofErr w:type="spellStart"/>
      <w:r w:rsidRPr="00032C6B">
        <w:rPr>
          <w:rFonts w:ascii="Times New Roman" w:hAnsi="Times New Roman" w:cs="Times New Roman"/>
          <w:i/>
          <w:sz w:val="24"/>
          <w:szCs w:val="24"/>
        </w:rPr>
        <w:t>factum</w:t>
      </w:r>
      <w:proofErr w:type="spellEnd"/>
      <w:r w:rsidRPr="00032C6B">
        <w:rPr>
          <w:rFonts w:ascii="Times New Roman" w:hAnsi="Times New Roman" w:cs="Times New Roman"/>
          <w:sz w:val="24"/>
          <w:szCs w:val="24"/>
        </w:rPr>
        <w:t xml:space="preserve"> aunque se propugna también la eficacia extensiva del fallo respecto de la cuestión jurídica común. La segunda hipótesis es la más compleja y necesita</w:t>
      </w:r>
      <w:r w:rsidR="00C24684">
        <w:rPr>
          <w:rFonts w:ascii="Times New Roman" w:hAnsi="Times New Roman" w:cs="Times New Roman"/>
          <w:sz w:val="24"/>
          <w:szCs w:val="24"/>
        </w:rPr>
        <w:t>da</w:t>
      </w:r>
      <w:r w:rsidRPr="00032C6B">
        <w:rPr>
          <w:rFonts w:ascii="Times New Roman" w:hAnsi="Times New Roman" w:cs="Times New Roman"/>
          <w:sz w:val="24"/>
          <w:szCs w:val="24"/>
        </w:rPr>
        <w:t xml:space="preserve"> de un análisis más pormenorizado pues además de existir una homogeneidad fáctica requiere una cierta identidad o similitud de </w:t>
      </w:r>
      <w:r w:rsidRPr="00032C6B">
        <w:rPr>
          <w:rFonts w:ascii="Times New Roman" w:hAnsi="Times New Roman" w:cs="Times New Roman"/>
          <w:sz w:val="24"/>
          <w:szCs w:val="24"/>
        </w:rPr>
        <w:lastRenderedPageBreak/>
        <w:t>las relaciones jurídicas acumuladas y también del dilema jurídico que se somete al tribunal</w:t>
      </w:r>
      <w:r w:rsidR="00C24684">
        <w:rPr>
          <w:rFonts w:ascii="Times New Roman" w:hAnsi="Times New Roman" w:cs="Times New Roman"/>
          <w:sz w:val="24"/>
          <w:szCs w:val="24"/>
        </w:rPr>
        <w:t>.  Auspiciamos</w:t>
      </w:r>
      <w:r w:rsidRPr="00032C6B">
        <w:rPr>
          <w:rFonts w:ascii="Times New Roman" w:hAnsi="Times New Roman" w:cs="Times New Roman"/>
          <w:sz w:val="24"/>
          <w:szCs w:val="24"/>
        </w:rPr>
        <w:t xml:space="preserve"> la eficacia extensiva del fallo respecto de este último. Se explica y analiza la reciente interpretación flexible que hace la jurisprudencia</w:t>
      </w:r>
      <w:r w:rsidR="00C24684">
        <w:rPr>
          <w:rFonts w:ascii="Times New Roman" w:hAnsi="Times New Roman" w:cs="Times New Roman"/>
          <w:sz w:val="24"/>
          <w:szCs w:val="24"/>
        </w:rPr>
        <w:t xml:space="preserve"> de esta </w:t>
      </w:r>
      <w:r w:rsidR="00076F8A">
        <w:rPr>
          <w:rFonts w:ascii="Times New Roman" w:hAnsi="Times New Roman" w:cs="Times New Roman"/>
          <w:sz w:val="24"/>
          <w:szCs w:val="24"/>
        </w:rPr>
        <w:t>vinculación</w:t>
      </w:r>
      <w:r w:rsidRPr="00032C6B">
        <w:rPr>
          <w:rFonts w:ascii="Times New Roman" w:hAnsi="Times New Roman" w:cs="Times New Roman"/>
          <w:sz w:val="24"/>
          <w:szCs w:val="24"/>
        </w:rPr>
        <w:t>; b) si la conexión se funda en el elemento jurídico casi exclusivamente, lo que supone varias modalidades de acumulación según el vínculo que existe entre las acciones ejercitadas</w:t>
      </w:r>
      <w:r w:rsidR="00076F8A">
        <w:rPr>
          <w:rFonts w:ascii="Times New Roman" w:hAnsi="Times New Roman" w:cs="Times New Roman"/>
          <w:sz w:val="24"/>
          <w:szCs w:val="24"/>
        </w:rPr>
        <w:t xml:space="preserve"> (acumulación accesoria o sucesiva, eventual</w:t>
      </w:r>
      <w:r w:rsidR="00E14994">
        <w:rPr>
          <w:rFonts w:ascii="Times New Roman" w:hAnsi="Times New Roman" w:cs="Times New Roman"/>
          <w:sz w:val="24"/>
          <w:szCs w:val="24"/>
        </w:rPr>
        <w:t>; la solidaridad fundada en hechos distintos</w:t>
      </w:r>
      <w:r w:rsidR="00076F8A">
        <w:rPr>
          <w:rFonts w:ascii="Times New Roman" w:hAnsi="Times New Roman" w:cs="Times New Roman"/>
          <w:sz w:val="24"/>
          <w:szCs w:val="24"/>
        </w:rPr>
        <w:t>)</w:t>
      </w:r>
      <w:r w:rsidRPr="00032C6B">
        <w:rPr>
          <w:rFonts w:ascii="Times New Roman" w:hAnsi="Times New Roman" w:cs="Times New Roman"/>
          <w:sz w:val="24"/>
          <w:szCs w:val="24"/>
        </w:rPr>
        <w:t xml:space="preserve"> e incluso su admisión (dudosa en ocasiones) cuando simplemente se comparte una misma finalidad jurídica</w:t>
      </w:r>
      <w:r w:rsidR="00C24684">
        <w:rPr>
          <w:rFonts w:ascii="Times New Roman" w:hAnsi="Times New Roman" w:cs="Times New Roman"/>
          <w:sz w:val="24"/>
          <w:szCs w:val="24"/>
        </w:rPr>
        <w:t xml:space="preserve"> (</w:t>
      </w:r>
      <w:proofErr w:type="spellStart"/>
      <w:r w:rsidR="00C24684">
        <w:rPr>
          <w:rFonts w:ascii="Times New Roman" w:hAnsi="Times New Roman" w:cs="Times New Roman"/>
          <w:i/>
          <w:sz w:val="24"/>
          <w:szCs w:val="24"/>
        </w:rPr>
        <w:t>petitum</w:t>
      </w:r>
      <w:proofErr w:type="spellEnd"/>
      <w:r w:rsidR="00C24684">
        <w:rPr>
          <w:rFonts w:ascii="Times New Roman" w:hAnsi="Times New Roman" w:cs="Times New Roman"/>
          <w:sz w:val="24"/>
          <w:szCs w:val="24"/>
        </w:rPr>
        <w:t>)</w:t>
      </w:r>
      <w:r w:rsidRPr="00032C6B">
        <w:rPr>
          <w:rFonts w:ascii="Times New Roman" w:hAnsi="Times New Roman" w:cs="Times New Roman"/>
          <w:sz w:val="24"/>
          <w:szCs w:val="24"/>
        </w:rPr>
        <w:t>.</w:t>
      </w:r>
      <w:r w:rsidR="00076F8A">
        <w:rPr>
          <w:rFonts w:ascii="Times New Roman" w:hAnsi="Times New Roman" w:cs="Times New Roman"/>
          <w:sz w:val="24"/>
          <w:szCs w:val="24"/>
        </w:rPr>
        <w:t xml:space="preserve"> Como se explica, dada su heterogeneidad el tratamiento procesal cambia en función de la conexión.</w:t>
      </w:r>
    </w:p>
    <w:p w14:paraId="32E8D086" w14:textId="77777777" w:rsidR="006A6F80" w:rsidRDefault="006A6F80" w:rsidP="000B489F">
      <w:pPr>
        <w:spacing w:after="0"/>
        <w:ind w:firstLine="0"/>
        <w:jc w:val="both"/>
        <w:rPr>
          <w:rFonts w:ascii="Times New Roman" w:hAnsi="Times New Roman" w:cs="Times New Roman"/>
          <w:sz w:val="24"/>
          <w:szCs w:val="24"/>
        </w:rPr>
      </w:pPr>
    </w:p>
    <w:p w14:paraId="18B0E13B" w14:textId="77777777" w:rsidR="00C24684" w:rsidRDefault="00C24684" w:rsidP="000B489F">
      <w:pPr>
        <w:spacing w:after="0"/>
        <w:ind w:firstLine="0"/>
        <w:jc w:val="both"/>
        <w:rPr>
          <w:rFonts w:ascii="Times New Roman" w:hAnsi="Times New Roman" w:cs="Times New Roman"/>
          <w:sz w:val="24"/>
          <w:szCs w:val="24"/>
        </w:rPr>
      </w:pPr>
    </w:p>
    <w:p w14:paraId="54BD461C" w14:textId="77777777" w:rsidR="00C24684" w:rsidRDefault="00C24684" w:rsidP="000B489F">
      <w:pPr>
        <w:spacing w:after="0"/>
        <w:ind w:firstLine="0"/>
        <w:jc w:val="both"/>
        <w:rPr>
          <w:rFonts w:ascii="Times New Roman" w:hAnsi="Times New Roman" w:cs="Times New Roman"/>
          <w:sz w:val="24"/>
          <w:szCs w:val="24"/>
        </w:rPr>
      </w:pPr>
    </w:p>
    <w:p w14:paraId="7C378A6B" w14:textId="77777777" w:rsidR="00C24684" w:rsidRDefault="00C24684" w:rsidP="000B489F">
      <w:pPr>
        <w:spacing w:after="0"/>
        <w:ind w:firstLine="0"/>
        <w:jc w:val="both"/>
        <w:rPr>
          <w:rFonts w:ascii="Times New Roman" w:hAnsi="Times New Roman" w:cs="Times New Roman"/>
          <w:sz w:val="24"/>
          <w:szCs w:val="24"/>
        </w:rPr>
      </w:pPr>
    </w:p>
    <w:p w14:paraId="79C61A70" w14:textId="77777777" w:rsidR="00C24684" w:rsidRDefault="00C24684" w:rsidP="000B489F">
      <w:pPr>
        <w:spacing w:after="0"/>
        <w:ind w:firstLine="0"/>
        <w:jc w:val="both"/>
        <w:rPr>
          <w:rFonts w:ascii="Times New Roman" w:hAnsi="Times New Roman" w:cs="Times New Roman"/>
          <w:sz w:val="24"/>
          <w:szCs w:val="24"/>
        </w:rPr>
      </w:pPr>
    </w:p>
    <w:p w14:paraId="3FF1265C" w14:textId="77777777" w:rsidR="00C24684" w:rsidRDefault="00C24684" w:rsidP="000B489F">
      <w:pPr>
        <w:spacing w:after="0"/>
        <w:ind w:firstLine="0"/>
        <w:jc w:val="both"/>
        <w:rPr>
          <w:rFonts w:ascii="Times New Roman" w:hAnsi="Times New Roman" w:cs="Times New Roman"/>
          <w:sz w:val="24"/>
          <w:szCs w:val="24"/>
        </w:rPr>
      </w:pPr>
    </w:p>
    <w:p w14:paraId="21597203" w14:textId="77777777" w:rsidR="00C24684" w:rsidRDefault="00C24684" w:rsidP="000B489F">
      <w:pPr>
        <w:spacing w:after="0"/>
        <w:ind w:firstLine="0"/>
        <w:jc w:val="both"/>
        <w:rPr>
          <w:rFonts w:ascii="Times New Roman" w:hAnsi="Times New Roman" w:cs="Times New Roman"/>
          <w:sz w:val="24"/>
          <w:szCs w:val="24"/>
        </w:rPr>
      </w:pPr>
    </w:p>
    <w:p w14:paraId="7F77A7B7" w14:textId="77777777" w:rsidR="00C24684" w:rsidRDefault="00C24684" w:rsidP="000B489F">
      <w:pPr>
        <w:spacing w:after="0"/>
        <w:ind w:firstLine="0"/>
        <w:jc w:val="both"/>
        <w:rPr>
          <w:rFonts w:ascii="Times New Roman" w:hAnsi="Times New Roman" w:cs="Times New Roman"/>
          <w:sz w:val="24"/>
          <w:szCs w:val="24"/>
        </w:rPr>
      </w:pPr>
    </w:p>
    <w:p w14:paraId="2C6A1463" w14:textId="77777777" w:rsidR="00C24684" w:rsidRDefault="00C24684" w:rsidP="000B489F">
      <w:pPr>
        <w:spacing w:after="0"/>
        <w:ind w:firstLine="0"/>
        <w:jc w:val="both"/>
        <w:rPr>
          <w:rFonts w:ascii="Times New Roman" w:hAnsi="Times New Roman" w:cs="Times New Roman"/>
          <w:sz w:val="24"/>
          <w:szCs w:val="24"/>
        </w:rPr>
      </w:pPr>
    </w:p>
    <w:p w14:paraId="7C9CEC02" w14:textId="77777777" w:rsidR="00C24684" w:rsidRDefault="00C24684" w:rsidP="000B489F">
      <w:pPr>
        <w:spacing w:after="0"/>
        <w:ind w:firstLine="0"/>
        <w:jc w:val="both"/>
        <w:rPr>
          <w:rFonts w:ascii="Times New Roman" w:hAnsi="Times New Roman" w:cs="Times New Roman"/>
          <w:sz w:val="24"/>
          <w:szCs w:val="24"/>
        </w:rPr>
      </w:pPr>
    </w:p>
    <w:p w14:paraId="2B1704F6" w14:textId="77777777" w:rsidR="00C24684" w:rsidRDefault="00C24684" w:rsidP="000B489F">
      <w:pPr>
        <w:spacing w:after="0"/>
        <w:ind w:firstLine="0"/>
        <w:jc w:val="both"/>
        <w:rPr>
          <w:rFonts w:ascii="Times New Roman" w:hAnsi="Times New Roman" w:cs="Times New Roman"/>
          <w:sz w:val="24"/>
          <w:szCs w:val="24"/>
        </w:rPr>
      </w:pPr>
    </w:p>
    <w:p w14:paraId="2D260B23" w14:textId="77777777" w:rsidR="00C24684" w:rsidRDefault="00C24684" w:rsidP="000B489F">
      <w:pPr>
        <w:spacing w:after="0"/>
        <w:ind w:firstLine="0"/>
        <w:jc w:val="both"/>
        <w:rPr>
          <w:rFonts w:ascii="Times New Roman" w:hAnsi="Times New Roman" w:cs="Times New Roman"/>
          <w:sz w:val="24"/>
          <w:szCs w:val="24"/>
        </w:rPr>
      </w:pPr>
    </w:p>
    <w:p w14:paraId="27861947" w14:textId="77777777" w:rsidR="00C24684" w:rsidRDefault="00C24684" w:rsidP="000B489F">
      <w:pPr>
        <w:spacing w:after="0"/>
        <w:ind w:firstLine="0"/>
        <w:jc w:val="both"/>
        <w:rPr>
          <w:rFonts w:ascii="Times New Roman" w:hAnsi="Times New Roman" w:cs="Times New Roman"/>
          <w:sz w:val="24"/>
          <w:szCs w:val="24"/>
        </w:rPr>
      </w:pPr>
    </w:p>
    <w:p w14:paraId="5E849148" w14:textId="77777777" w:rsidR="00C24684" w:rsidRDefault="00C24684" w:rsidP="000B489F">
      <w:pPr>
        <w:spacing w:after="0"/>
        <w:ind w:firstLine="0"/>
        <w:jc w:val="both"/>
        <w:rPr>
          <w:rFonts w:ascii="Times New Roman" w:hAnsi="Times New Roman" w:cs="Times New Roman"/>
          <w:sz w:val="24"/>
          <w:szCs w:val="24"/>
        </w:rPr>
      </w:pPr>
    </w:p>
    <w:p w14:paraId="1EC664DB" w14:textId="77777777" w:rsidR="00C24684" w:rsidRDefault="00C24684" w:rsidP="000B489F">
      <w:pPr>
        <w:spacing w:after="0"/>
        <w:ind w:firstLine="0"/>
        <w:jc w:val="both"/>
        <w:rPr>
          <w:rFonts w:ascii="Times New Roman" w:hAnsi="Times New Roman" w:cs="Times New Roman"/>
          <w:sz w:val="24"/>
          <w:szCs w:val="24"/>
        </w:rPr>
      </w:pPr>
    </w:p>
    <w:p w14:paraId="3C17D60A" w14:textId="77777777" w:rsidR="00C24684" w:rsidRDefault="00C24684" w:rsidP="000B489F">
      <w:pPr>
        <w:spacing w:after="0"/>
        <w:ind w:firstLine="0"/>
        <w:jc w:val="both"/>
        <w:rPr>
          <w:rFonts w:ascii="Times New Roman" w:hAnsi="Times New Roman" w:cs="Times New Roman"/>
          <w:sz w:val="24"/>
          <w:szCs w:val="24"/>
        </w:rPr>
      </w:pPr>
    </w:p>
    <w:p w14:paraId="797B051C" w14:textId="77777777" w:rsidR="00C24684" w:rsidRDefault="00C24684" w:rsidP="000B489F">
      <w:pPr>
        <w:spacing w:after="0"/>
        <w:ind w:firstLine="0"/>
        <w:jc w:val="both"/>
        <w:rPr>
          <w:rFonts w:ascii="Times New Roman" w:hAnsi="Times New Roman" w:cs="Times New Roman"/>
          <w:sz w:val="24"/>
          <w:szCs w:val="24"/>
        </w:rPr>
      </w:pPr>
    </w:p>
    <w:p w14:paraId="7F800E4F" w14:textId="77777777" w:rsidR="00C24684" w:rsidRDefault="00C24684" w:rsidP="000B489F">
      <w:pPr>
        <w:spacing w:after="0"/>
        <w:ind w:firstLine="0"/>
        <w:jc w:val="both"/>
        <w:rPr>
          <w:rFonts w:ascii="Times New Roman" w:hAnsi="Times New Roman" w:cs="Times New Roman"/>
          <w:sz w:val="24"/>
          <w:szCs w:val="24"/>
        </w:rPr>
      </w:pPr>
    </w:p>
    <w:p w14:paraId="6EB1F8BD" w14:textId="77777777" w:rsidR="00C24684" w:rsidRDefault="00C24684" w:rsidP="000B489F">
      <w:pPr>
        <w:spacing w:after="0"/>
        <w:ind w:firstLine="0"/>
        <w:jc w:val="both"/>
        <w:rPr>
          <w:rFonts w:ascii="Times New Roman" w:hAnsi="Times New Roman" w:cs="Times New Roman"/>
          <w:sz w:val="24"/>
          <w:szCs w:val="24"/>
        </w:rPr>
      </w:pPr>
    </w:p>
    <w:p w14:paraId="3CA0573B" w14:textId="77777777" w:rsidR="00C24684" w:rsidRDefault="00C24684" w:rsidP="000B489F">
      <w:pPr>
        <w:spacing w:after="0"/>
        <w:ind w:firstLine="0"/>
        <w:jc w:val="both"/>
        <w:rPr>
          <w:rFonts w:ascii="Times New Roman" w:hAnsi="Times New Roman" w:cs="Times New Roman"/>
          <w:sz w:val="24"/>
          <w:szCs w:val="24"/>
        </w:rPr>
      </w:pPr>
    </w:p>
    <w:p w14:paraId="6E3F53EA" w14:textId="77777777" w:rsidR="00C24684" w:rsidRDefault="00C24684" w:rsidP="000B489F">
      <w:pPr>
        <w:spacing w:after="0"/>
        <w:ind w:firstLine="0"/>
        <w:jc w:val="both"/>
        <w:rPr>
          <w:rFonts w:ascii="Times New Roman" w:hAnsi="Times New Roman" w:cs="Times New Roman"/>
          <w:sz w:val="24"/>
          <w:szCs w:val="24"/>
        </w:rPr>
      </w:pPr>
    </w:p>
    <w:p w14:paraId="0E831DEA" w14:textId="77777777" w:rsidR="00C24684" w:rsidRDefault="00C24684" w:rsidP="000B489F">
      <w:pPr>
        <w:spacing w:after="0"/>
        <w:ind w:firstLine="0"/>
        <w:jc w:val="both"/>
        <w:rPr>
          <w:rFonts w:ascii="Times New Roman" w:hAnsi="Times New Roman" w:cs="Times New Roman"/>
          <w:sz w:val="24"/>
          <w:szCs w:val="24"/>
        </w:rPr>
      </w:pPr>
    </w:p>
    <w:p w14:paraId="571F4EAE" w14:textId="77777777" w:rsidR="00C24684" w:rsidRDefault="00C24684" w:rsidP="000B489F">
      <w:pPr>
        <w:spacing w:after="0"/>
        <w:ind w:firstLine="0"/>
        <w:jc w:val="both"/>
        <w:rPr>
          <w:rFonts w:ascii="Times New Roman" w:hAnsi="Times New Roman" w:cs="Times New Roman"/>
          <w:sz w:val="24"/>
          <w:szCs w:val="24"/>
        </w:rPr>
      </w:pPr>
    </w:p>
    <w:p w14:paraId="671A5DA6" w14:textId="77777777" w:rsidR="00C24684" w:rsidRDefault="00C24684" w:rsidP="000B489F">
      <w:pPr>
        <w:spacing w:after="0"/>
        <w:ind w:firstLine="0"/>
        <w:jc w:val="both"/>
        <w:rPr>
          <w:rFonts w:ascii="Times New Roman" w:hAnsi="Times New Roman" w:cs="Times New Roman"/>
          <w:sz w:val="24"/>
          <w:szCs w:val="24"/>
        </w:rPr>
      </w:pPr>
    </w:p>
    <w:p w14:paraId="79878D7B" w14:textId="77777777" w:rsidR="00C24684" w:rsidRDefault="00C24684" w:rsidP="000B489F">
      <w:pPr>
        <w:spacing w:after="0"/>
        <w:ind w:firstLine="0"/>
        <w:jc w:val="both"/>
        <w:rPr>
          <w:rFonts w:ascii="Times New Roman" w:hAnsi="Times New Roman" w:cs="Times New Roman"/>
          <w:sz w:val="24"/>
          <w:szCs w:val="24"/>
        </w:rPr>
      </w:pPr>
    </w:p>
    <w:p w14:paraId="604BA244" w14:textId="77777777" w:rsidR="00C24684" w:rsidRPr="00C12E06" w:rsidRDefault="00C24684" w:rsidP="000B489F">
      <w:pPr>
        <w:spacing w:after="0"/>
        <w:ind w:firstLine="0"/>
        <w:jc w:val="both"/>
        <w:rPr>
          <w:rFonts w:ascii="Times New Roman" w:hAnsi="Times New Roman" w:cs="Times New Roman"/>
          <w:sz w:val="24"/>
          <w:szCs w:val="24"/>
        </w:rPr>
      </w:pPr>
    </w:p>
    <w:sectPr w:rsidR="00C24684" w:rsidRPr="00C12E06" w:rsidSect="003D63EB">
      <w:footerReference w:type="default" r:id="rId9"/>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2EDB6" w16cid:durableId="1F30EABC"/>
  <w16cid:commentId w16cid:paraId="6F9A750D" w16cid:durableId="1F30EA89"/>
  <w16cid:commentId w16cid:paraId="7047DC38" w16cid:durableId="1F2EFE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6515B" w14:textId="77777777" w:rsidR="00BF63BA" w:rsidRDefault="00BF63BA" w:rsidP="00A45787">
      <w:pPr>
        <w:spacing w:after="0"/>
      </w:pPr>
      <w:r>
        <w:separator/>
      </w:r>
    </w:p>
  </w:endnote>
  <w:endnote w:type="continuationSeparator" w:id="0">
    <w:p w14:paraId="62325B16" w14:textId="77777777" w:rsidR="00BF63BA" w:rsidRDefault="00BF63BA" w:rsidP="00A45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42068"/>
      <w:docPartObj>
        <w:docPartGallery w:val="Page Numbers (Bottom of Page)"/>
        <w:docPartUnique/>
      </w:docPartObj>
    </w:sdtPr>
    <w:sdtEndPr/>
    <w:sdtContent>
      <w:p w14:paraId="2DFC8E46" w14:textId="69783A70" w:rsidR="00B1065C" w:rsidRDefault="00B1065C">
        <w:pPr>
          <w:pStyle w:val="Piedepgina"/>
          <w:jc w:val="center"/>
        </w:pPr>
        <w:r>
          <w:fldChar w:fldCharType="begin"/>
        </w:r>
        <w:r>
          <w:instrText>PAGE   \* MERGEFORMAT</w:instrText>
        </w:r>
        <w:r>
          <w:fldChar w:fldCharType="separate"/>
        </w:r>
        <w:r w:rsidR="00E70BF8">
          <w:rPr>
            <w:noProof/>
          </w:rPr>
          <w:t>1</w:t>
        </w:r>
        <w:r>
          <w:fldChar w:fldCharType="end"/>
        </w:r>
      </w:p>
    </w:sdtContent>
  </w:sdt>
  <w:p w14:paraId="15C0C9BA" w14:textId="77777777" w:rsidR="00B1065C" w:rsidRDefault="00B106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A5277" w14:textId="77777777" w:rsidR="00BF63BA" w:rsidRDefault="00BF63BA" w:rsidP="00A45787">
      <w:pPr>
        <w:spacing w:after="0"/>
      </w:pPr>
      <w:r>
        <w:separator/>
      </w:r>
    </w:p>
  </w:footnote>
  <w:footnote w:type="continuationSeparator" w:id="0">
    <w:p w14:paraId="4D89B114" w14:textId="77777777" w:rsidR="00BF63BA" w:rsidRDefault="00BF63BA" w:rsidP="00A45787">
      <w:pPr>
        <w:spacing w:after="0"/>
      </w:pPr>
      <w:r>
        <w:continuationSeparator/>
      </w:r>
    </w:p>
  </w:footnote>
  <w:footnote w:id="1">
    <w:p w14:paraId="47048EDC" w14:textId="0E246A19" w:rsidR="0066415C" w:rsidRPr="00C553B7" w:rsidRDefault="0066415C"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 pesar de no contemplarse en la LEC expresamente, no se duda de quepa la acumulación subjetiva mixta, GARBERÍA LLOBREGAT, J., </w:t>
      </w:r>
      <w:r w:rsidRPr="00C553B7">
        <w:rPr>
          <w:rFonts w:ascii="Times New Roman" w:hAnsi="Times New Roman" w:cs="Times New Roman"/>
          <w:i/>
        </w:rPr>
        <w:t>La acumulación de acciones en el proceso civil,</w:t>
      </w:r>
      <w:r w:rsidRPr="00C553B7">
        <w:rPr>
          <w:rFonts w:ascii="Times New Roman" w:hAnsi="Times New Roman" w:cs="Times New Roman"/>
        </w:rPr>
        <w:t xml:space="preserve"> Barcelona, 2008, p. 45.</w:t>
      </w:r>
    </w:p>
  </w:footnote>
  <w:footnote w:id="2">
    <w:p w14:paraId="21939819" w14:textId="77777777"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Esta sí que es una redundancia, un epíteto, por cuanto toda acumulación de acciones comporta una pluralidad de objetos.</w:t>
      </w:r>
    </w:p>
  </w:footnote>
  <w:footnote w:id="3">
    <w:p w14:paraId="7379E95D" w14:textId="43E5762A" w:rsidR="0072437C" w:rsidRPr="00C553B7" w:rsidRDefault="0072437C"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311DE3" w:rsidRPr="00C553B7">
        <w:rPr>
          <w:rFonts w:ascii="Times New Roman" w:hAnsi="Times New Roman" w:cs="Times New Roman"/>
        </w:rPr>
        <w:t xml:space="preserve">  S</w:t>
      </w:r>
      <w:r w:rsidRPr="00C553B7">
        <w:rPr>
          <w:rFonts w:ascii="Times New Roman" w:hAnsi="Times New Roman" w:cs="Times New Roman"/>
        </w:rPr>
        <w:t>e ejercía la acción de complemento de la legítima a la que se acumulaba la de nulidad contractual y la de reducción de las donaciones y uno de los codemandados reconviene contra los actores principales y las albaceas testamentarias solicitando la anulabilidad del cuaderno particional alegando</w:t>
      </w:r>
      <w:r w:rsidR="00E87CA9" w:rsidRPr="00C553B7">
        <w:rPr>
          <w:rFonts w:ascii="Times New Roman" w:hAnsi="Times New Roman" w:cs="Times New Roman"/>
        </w:rPr>
        <w:t xml:space="preserve"> infracción del artí</w:t>
      </w:r>
      <w:r w:rsidRPr="00C553B7">
        <w:rPr>
          <w:rFonts w:ascii="Times New Roman" w:hAnsi="Times New Roman" w:cs="Times New Roman"/>
        </w:rPr>
        <w:t xml:space="preserve">culo 675 </w:t>
      </w:r>
      <w:proofErr w:type="spellStart"/>
      <w:r w:rsidRPr="00C553B7">
        <w:rPr>
          <w:rFonts w:ascii="Times New Roman" w:hAnsi="Times New Roman" w:cs="Times New Roman"/>
        </w:rPr>
        <w:t>Cc</w:t>
      </w:r>
      <w:proofErr w:type="spellEnd"/>
      <w:r w:rsidRPr="00C553B7">
        <w:rPr>
          <w:rFonts w:ascii="Times New Roman" w:hAnsi="Times New Roman" w:cs="Times New Roman"/>
        </w:rPr>
        <w:t xml:space="preserve">, </w:t>
      </w:r>
      <w:r w:rsidR="00E87CA9" w:rsidRPr="00C553B7">
        <w:rPr>
          <w:rFonts w:ascii="Times New Roman" w:hAnsi="Times New Roman" w:cs="Times New Roman"/>
        </w:rPr>
        <w:t xml:space="preserve">S. </w:t>
      </w:r>
      <w:proofErr w:type="spellStart"/>
      <w:r w:rsidR="00E87CA9" w:rsidRPr="00C553B7">
        <w:rPr>
          <w:rFonts w:ascii="Times New Roman" w:hAnsi="Times New Roman" w:cs="Times New Roman"/>
        </w:rPr>
        <w:t>J</w:t>
      </w:r>
      <w:r w:rsidR="00D22679" w:rsidRPr="00C553B7">
        <w:rPr>
          <w:rFonts w:ascii="Times New Roman" w:hAnsi="Times New Roman" w:cs="Times New Roman"/>
        </w:rPr>
        <w:t>do</w:t>
      </w:r>
      <w:proofErr w:type="spellEnd"/>
      <w:r w:rsidR="00D22679" w:rsidRPr="00C553B7">
        <w:rPr>
          <w:rFonts w:ascii="Times New Roman" w:hAnsi="Times New Roman" w:cs="Times New Roman"/>
        </w:rPr>
        <w:t>. Prim. Inst.</w:t>
      </w:r>
      <w:r w:rsidR="00E87CA9" w:rsidRPr="00C553B7">
        <w:rPr>
          <w:rFonts w:ascii="Times New Roman" w:hAnsi="Times New Roman" w:cs="Times New Roman"/>
        </w:rPr>
        <w:t xml:space="preserve"> núm. Uno, San </w:t>
      </w:r>
      <w:proofErr w:type="spellStart"/>
      <w:r w:rsidR="00E87CA9" w:rsidRPr="00C553B7">
        <w:rPr>
          <w:rFonts w:ascii="Times New Roman" w:hAnsi="Times New Roman" w:cs="Times New Roman"/>
        </w:rPr>
        <w:t>Lúcar</w:t>
      </w:r>
      <w:proofErr w:type="spellEnd"/>
      <w:r w:rsidR="00E87CA9" w:rsidRPr="00C553B7">
        <w:rPr>
          <w:rFonts w:ascii="Times New Roman" w:hAnsi="Times New Roman" w:cs="Times New Roman"/>
        </w:rPr>
        <w:t xml:space="preserve"> de Barrameda, Cádiz,</w:t>
      </w:r>
      <w:r w:rsidRPr="00C553B7">
        <w:rPr>
          <w:rFonts w:ascii="Times New Roman" w:hAnsi="Times New Roman" w:cs="Times New Roman"/>
        </w:rPr>
        <w:t xml:space="preserve"> 17/12/2015</w:t>
      </w:r>
      <w:r w:rsidR="00E87CA9" w:rsidRPr="00C553B7">
        <w:rPr>
          <w:rFonts w:ascii="Times New Roman" w:hAnsi="Times New Roman" w:cs="Times New Roman"/>
        </w:rPr>
        <w:t>, n</w:t>
      </w:r>
      <w:r w:rsidRPr="00C553B7">
        <w:rPr>
          <w:rFonts w:ascii="Times New Roman" w:hAnsi="Times New Roman" w:cs="Times New Roman"/>
        </w:rPr>
        <w:t>úmero Recurso: 246/2012</w:t>
      </w:r>
      <w:r w:rsidR="0003107D">
        <w:rPr>
          <w:rFonts w:ascii="Times New Roman" w:hAnsi="Times New Roman" w:cs="Times New Roman"/>
        </w:rPr>
        <w:t>, FD undécimo</w:t>
      </w:r>
      <w:r w:rsidR="00E87CA9" w:rsidRPr="00C553B7">
        <w:rPr>
          <w:rFonts w:ascii="Times New Roman" w:hAnsi="Times New Roman" w:cs="Times New Roman"/>
        </w:rPr>
        <w:t>.</w:t>
      </w:r>
    </w:p>
  </w:footnote>
  <w:footnote w:id="4">
    <w:p w14:paraId="69584D6C" w14:textId="2E08A730" w:rsidR="007D3FF7" w:rsidRPr="007D3FF7" w:rsidRDefault="007D3FF7" w:rsidP="007D3FF7">
      <w:pPr>
        <w:pStyle w:val="Textonotapie"/>
        <w:ind w:firstLine="0"/>
        <w:rPr>
          <w:rFonts w:ascii="Times New Roman" w:hAnsi="Times New Roman" w:cs="Times New Roman"/>
        </w:rPr>
      </w:pPr>
      <w:r w:rsidRPr="007D3FF7">
        <w:rPr>
          <w:rStyle w:val="Refdenotaalpie"/>
          <w:rFonts w:ascii="Times New Roman" w:hAnsi="Times New Roman" w:cs="Times New Roman"/>
        </w:rPr>
        <w:footnoteRef/>
      </w:r>
      <w:r w:rsidRPr="007D3FF7">
        <w:rPr>
          <w:rFonts w:ascii="Times New Roman" w:hAnsi="Times New Roman" w:cs="Times New Roman"/>
        </w:rPr>
        <w:t xml:space="preserve">  GONZÁLEZ PILLADO, E. </w:t>
      </w:r>
      <w:r w:rsidRPr="00C7723A">
        <w:rPr>
          <w:rFonts w:ascii="Times New Roman" w:hAnsi="Times New Roman" w:cs="Times New Roman"/>
          <w:i/>
        </w:rPr>
        <w:t>La intervención voluntaria de terceros en el proceso civil</w:t>
      </w:r>
      <w:r w:rsidRPr="007D3FF7">
        <w:rPr>
          <w:rFonts w:ascii="Times New Roman" w:hAnsi="Times New Roman" w:cs="Times New Roman"/>
        </w:rPr>
        <w:t>, Valencia, 2006, pp. 146 a 155, aunque explica que</w:t>
      </w:r>
      <w:r w:rsidR="00C13F2A">
        <w:rPr>
          <w:rFonts w:ascii="Times New Roman" w:hAnsi="Times New Roman" w:cs="Times New Roman"/>
        </w:rPr>
        <w:t xml:space="preserve"> en teoría</w:t>
      </w:r>
      <w:r w:rsidRPr="007D3FF7">
        <w:rPr>
          <w:rFonts w:ascii="Times New Roman" w:hAnsi="Times New Roman" w:cs="Times New Roman"/>
        </w:rPr>
        <w:t xml:space="preserve"> pudiera acontecer a través del art. 407.1 LEC.</w:t>
      </w:r>
    </w:p>
  </w:footnote>
  <w:footnote w:id="5">
    <w:p w14:paraId="43995604" w14:textId="2A20BF04" w:rsidR="009439E3" w:rsidRPr="0094030C" w:rsidRDefault="009439E3" w:rsidP="009439E3">
      <w:pPr>
        <w:pStyle w:val="Textonotapie"/>
        <w:ind w:firstLine="0"/>
        <w:rPr>
          <w:rFonts w:ascii="Times New Roman" w:hAnsi="Times New Roman" w:cs="Times New Roman"/>
        </w:rPr>
      </w:pPr>
      <w:r w:rsidRPr="0094030C">
        <w:rPr>
          <w:rStyle w:val="Refdenotaalpie"/>
          <w:rFonts w:ascii="Times New Roman" w:hAnsi="Times New Roman" w:cs="Times New Roman"/>
        </w:rPr>
        <w:footnoteRef/>
      </w:r>
      <w:r w:rsidRPr="0094030C">
        <w:rPr>
          <w:rFonts w:ascii="Times New Roman" w:hAnsi="Times New Roman" w:cs="Times New Roman"/>
        </w:rPr>
        <w:t xml:space="preserve"> Aunque en los títulos extrajudiciales formalmente haya solo un título en esos supuestos entendemos que</w:t>
      </w:r>
      <w:r w:rsidR="0094030C" w:rsidRPr="0094030C">
        <w:rPr>
          <w:rFonts w:ascii="Times New Roman" w:hAnsi="Times New Roman" w:cs="Times New Roman"/>
        </w:rPr>
        <w:t>, dada la naturaleza jurídica de la solidaridad,</w:t>
      </w:r>
      <w:r w:rsidRPr="0094030C">
        <w:rPr>
          <w:rFonts w:ascii="Times New Roman" w:hAnsi="Times New Roman" w:cs="Times New Roman"/>
        </w:rPr>
        <w:t xml:space="preserve"> frente a cada deudor solidario se hace valer una acción ejecutiva dif</w:t>
      </w:r>
      <w:r w:rsidR="0094030C">
        <w:rPr>
          <w:rFonts w:ascii="Times New Roman" w:hAnsi="Times New Roman" w:cs="Times New Roman"/>
        </w:rPr>
        <w:t>e</w:t>
      </w:r>
      <w:r w:rsidRPr="0094030C">
        <w:rPr>
          <w:rFonts w:ascii="Times New Roman" w:hAnsi="Times New Roman" w:cs="Times New Roman"/>
        </w:rPr>
        <w:t>rente</w:t>
      </w:r>
      <w:r w:rsidR="0094030C" w:rsidRPr="0094030C">
        <w:rPr>
          <w:rFonts w:ascii="Times New Roman" w:hAnsi="Times New Roman" w:cs="Times New Roman"/>
        </w:rPr>
        <w:t>.</w:t>
      </w:r>
      <w:r w:rsidRPr="0094030C">
        <w:rPr>
          <w:rFonts w:ascii="Times New Roman" w:hAnsi="Times New Roman" w:cs="Times New Roman"/>
        </w:rPr>
        <w:t xml:space="preserve"> </w:t>
      </w:r>
      <w:r w:rsidR="0094030C">
        <w:rPr>
          <w:rFonts w:ascii="Times New Roman" w:hAnsi="Times New Roman" w:cs="Times New Roman"/>
        </w:rPr>
        <w:t xml:space="preserve">Acerca de la distinción entre título y acción ejecutiva, FERNÁNDEZ BALLESTEROS, M.A., </w:t>
      </w:r>
      <w:r w:rsidR="0094030C">
        <w:rPr>
          <w:rFonts w:ascii="Times New Roman" w:hAnsi="Times New Roman" w:cs="Times New Roman"/>
          <w:i/>
        </w:rPr>
        <w:t xml:space="preserve">La ejecución forzosa y las medidas cautelares, </w:t>
      </w:r>
      <w:r w:rsidR="0094030C">
        <w:rPr>
          <w:rFonts w:ascii="Times New Roman" w:hAnsi="Times New Roman" w:cs="Times New Roman"/>
        </w:rPr>
        <w:t>Madrid, 2001, pp. 65 a 68.</w:t>
      </w:r>
    </w:p>
  </w:footnote>
  <w:footnote w:id="6">
    <w:p w14:paraId="646CE0F3" w14:textId="47AA1D20" w:rsidR="00FC1D3D" w:rsidRPr="00C553B7" w:rsidRDefault="00FC1D3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03107D">
        <w:rPr>
          <w:rFonts w:ascii="Times New Roman" w:hAnsi="Times New Roman" w:cs="Times New Roman"/>
        </w:rPr>
        <w:t xml:space="preserve"> A</w:t>
      </w:r>
      <w:r w:rsidRPr="00C553B7">
        <w:rPr>
          <w:rFonts w:ascii="Times New Roman" w:hAnsi="Times New Roman" w:cs="Times New Roman"/>
        </w:rPr>
        <w:t>AP de Madrid Sección 10ª, núm. 69/2004</w:t>
      </w:r>
      <w:r w:rsidR="0003107D">
        <w:rPr>
          <w:rFonts w:ascii="Times New Roman" w:hAnsi="Times New Roman" w:cs="Times New Roman"/>
        </w:rPr>
        <w:t xml:space="preserve"> de 20 febrero, </w:t>
      </w:r>
      <w:r w:rsidRPr="00C553B7">
        <w:rPr>
          <w:rFonts w:ascii="Times New Roman" w:hAnsi="Times New Roman" w:cs="Times New Roman"/>
        </w:rPr>
        <w:t xml:space="preserve"> razonamie</w:t>
      </w:r>
      <w:r w:rsidR="003851BC" w:rsidRPr="00C553B7">
        <w:rPr>
          <w:rFonts w:ascii="Times New Roman" w:hAnsi="Times New Roman" w:cs="Times New Roman"/>
        </w:rPr>
        <w:t>nto jurídico segundo. El problema de la acumulación inicial en la posición activa es que en el proceso de ejecución rige el principio de prevención por lo que salvo que fuera notoria la suficiencia de bienes del deudor o exista un acuerdo de los acreedores en cuanto al orden de la traba se plan</w:t>
      </w:r>
      <w:r w:rsidR="00C13F2A">
        <w:rPr>
          <w:rFonts w:ascii="Times New Roman" w:hAnsi="Times New Roman" w:cs="Times New Roman"/>
        </w:rPr>
        <w:t>t</w:t>
      </w:r>
      <w:r w:rsidR="00E06E20">
        <w:rPr>
          <w:rFonts w:ascii="Times New Roman" w:hAnsi="Times New Roman" w:cs="Times New Roman"/>
        </w:rPr>
        <w:t>ean problemas que exigen soluciones específicas</w:t>
      </w:r>
      <w:r w:rsidR="00C13F2A">
        <w:rPr>
          <w:rFonts w:ascii="Times New Roman" w:hAnsi="Times New Roman" w:cs="Times New Roman"/>
        </w:rPr>
        <w:t>.</w:t>
      </w:r>
      <w:r w:rsidRPr="00C553B7">
        <w:rPr>
          <w:rFonts w:ascii="Times New Roman" w:hAnsi="Times New Roman" w:cs="Times New Roman"/>
        </w:rPr>
        <w:t xml:space="preserve"> </w:t>
      </w:r>
    </w:p>
  </w:footnote>
  <w:footnote w:id="7">
    <w:p w14:paraId="363EB0B4" w14:textId="3E8A137E"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7177F9" w:rsidRPr="00C553B7">
        <w:rPr>
          <w:rFonts w:ascii="Times New Roman" w:hAnsi="Times New Roman" w:cs="Times New Roman"/>
        </w:rPr>
        <w:t xml:space="preserve"> Y</w:t>
      </w:r>
      <w:r w:rsidRPr="00C553B7">
        <w:rPr>
          <w:rFonts w:ascii="Times New Roman" w:hAnsi="Times New Roman" w:cs="Times New Roman"/>
        </w:rPr>
        <w:t>a no cabe ninguna duda desde que la jurisprudencia del TJUE</w:t>
      </w:r>
      <w:r w:rsidR="00AB0504" w:rsidRPr="00C553B7">
        <w:rPr>
          <w:rFonts w:ascii="Times New Roman" w:hAnsi="Times New Roman" w:cs="Times New Roman"/>
        </w:rPr>
        <w:t>, 14 abril 2016,</w:t>
      </w:r>
      <w:r w:rsidR="003957CD" w:rsidRPr="00C553B7">
        <w:rPr>
          <w:rFonts w:ascii="Times New Roman" w:hAnsi="Times New Roman" w:cs="Times New Roman"/>
        </w:rPr>
        <w:t xml:space="preserve"> </w:t>
      </w:r>
      <w:r w:rsidR="00AB0504" w:rsidRPr="00C553B7">
        <w:rPr>
          <w:rFonts w:ascii="Times New Roman" w:hAnsi="Times New Roman" w:cs="Times New Roman"/>
        </w:rPr>
        <w:t xml:space="preserve"> </w:t>
      </w:r>
      <w:r w:rsidR="003957CD" w:rsidRPr="00C553B7">
        <w:rPr>
          <w:rFonts w:ascii="Times New Roman" w:hAnsi="Times New Roman" w:cs="Times New Roman"/>
        </w:rPr>
        <w:t>ECLI</w:t>
      </w:r>
      <w:proofErr w:type="gramStart"/>
      <w:r w:rsidR="003957CD" w:rsidRPr="00C553B7">
        <w:rPr>
          <w:rFonts w:ascii="Times New Roman" w:hAnsi="Times New Roman" w:cs="Times New Roman"/>
        </w:rPr>
        <w:t>:EU:C:2016:252</w:t>
      </w:r>
      <w:proofErr w:type="gramEnd"/>
      <w:r w:rsidR="003957CD" w:rsidRPr="00C553B7">
        <w:rPr>
          <w:rFonts w:ascii="Times New Roman" w:hAnsi="Times New Roman" w:cs="Times New Roman"/>
        </w:rPr>
        <w:t xml:space="preserve">, </w:t>
      </w:r>
      <w:r w:rsidR="00AB0504" w:rsidRPr="00C553B7">
        <w:rPr>
          <w:rFonts w:ascii="Times New Roman" w:hAnsi="Times New Roman" w:cs="Times New Roman"/>
        </w:rPr>
        <w:t xml:space="preserve">núm. 30, STC 148/2016, </w:t>
      </w:r>
      <w:r w:rsidRPr="00C553B7">
        <w:rPr>
          <w:rFonts w:ascii="Times New Roman" w:hAnsi="Times New Roman" w:cs="Times New Roman"/>
        </w:rPr>
        <w:t xml:space="preserve"> avalara expresamente la tesis de que la acción colectiva es diferente a la individual. Sin embargo, con la exégesis que reputamos más acertada a tenor de la propia previsión legislativa, legitimación extraordinaria representativa, art. 11 LEC, </w:t>
      </w:r>
      <w:proofErr w:type="spellStart"/>
      <w:r w:rsidRPr="00C553B7">
        <w:rPr>
          <w:rFonts w:ascii="Times New Roman" w:hAnsi="Times New Roman" w:cs="Times New Roman"/>
        </w:rPr>
        <w:t>litisdenunciación</w:t>
      </w:r>
      <w:proofErr w:type="spellEnd"/>
      <w:r w:rsidRPr="00C553B7">
        <w:rPr>
          <w:rFonts w:ascii="Times New Roman" w:hAnsi="Times New Roman" w:cs="Times New Roman"/>
        </w:rPr>
        <w:t xml:space="preserve">, art. 15 LEC y cosa juzgada (eficacia </w:t>
      </w:r>
      <w:r w:rsidRPr="00C553B7">
        <w:rPr>
          <w:rFonts w:ascii="Times New Roman" w:hAnsi="Times New Roman" w:cs="Times New Roman"/>
          <w:i/>
        </w:rPr>
        <w:t>ultra partes</w:t>
      </w:r>
      <w:r w:rsidRPr="00C553B7">
        <w:rPr>
          <w:rFonts w:ascii="Times New Roman" w:hAnsi="Times New Roman" w:cs="Times New Roman"/>
        </w:rPr>
        <w:t xml:space="preserve">), arts. 221 y 222.2, que implica la entrada en escena de la litispendencia, la asociación o el grupo en la acción colectiva </w:t>
      </w:r>
      <w:r w:rsidR="00C13F2A">
        <w:rPr>
          <w:rFonts w:ascii="Times New Roman" w:hAnsi="Times New Roman" w:cs="Times New Roman"/>
        </w:rPr>
        <w:t xml:space="preserve">(excluyendo la acción de cesación </w:t>
      </w:r>
      <w:proofErr w:type="spellStart"/>
      <w:r w:rsidR="00C13F2A">
        <w:rPr>
          <w:rFonts w:ascii="Times New Roman" w:hAnsi="Times New Roman" w:cs="Times New Roman"/>
          <w:i/>
        </w:rPr>
        <w:t>strictu</w:t>
      </w:r>
      <w:proofErr w:type="spellEnd"/>
      <w:r w:rsidR="00C13F2A">
        <w:rPr>
          <w:rFonts w:ascii="Times New Roman" w:hAnsi="Times New Roman" w:cs="Times New Roman"/>
          <w:i/>
        </w:rPr>
        <w:t xml:space="preserve"> sensu</w:t>
      </w:r>
      <w:r w:rsidR="00C13F2A">
        <w:rPr>
          <w:rFonts w:ascii="Times New Roman" w:hAnsi="Times New Roman" w:cs="Times New Roman"/>
        </w:rPr>
        <w:t xml:space="preserve">) </w:t>
      </w:r>
      <w:r w:rsidRPr="00C553B7">
        <w:rPr>
          <w:rFonts w:ascii="Times New Roman" w:hAnsi="Times New Roman" w:cs="Times New Roman"/>
        </w:rPr>
        <w:t>ya estarían haciendo valer el derecho del consumidor individual, por lo que este, en puridad, más que añadir un objeto lo que hace es “desgajar” una parte del mismo para, singularizándolo, hacerlo valer de forma individualizada y diferente a la acción colectiva. Pues bien, incluso en este supuesto acontece el litisconsorcio voluntario.</w:t>
      </w:r>
    </w:p>
  </w:footnote>
  <w:footnote w:id="8">
    <w:p w14:paraId="12BDBCA0" w14:textId="4532DE96" w:rsidR="008D3711" w:rsidRPr="00C553B7" w:rsidRDefault="008D3711"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La intervención provocada del demandado, art. 14 LEC, habilitaría al demandante a ampliar la demanda, art. 401.2 LEC, puesto que en caso contrario (a pesar de la dicción literal de la ley, </w:t>
      </w:r>
      <w:r w:rsidR="003957CD" w:rsidRPr="00C553B7">
        <w:rPr>
          <w:rFonts w:ascii="Times New Roman" w:hAnsi="Times New Roman" w:cs="Times New Roman"/>
        </w:rPr>
        <w:t xml:space="preserve">DA 7ª </w:t>
      </w:r>
      <w:r w:rsidRPr="00C553B7">
        <w:rPr>
          <w:rFonts w:ascii="Times New Roman" w:hAnsi="Times New Roman" w:cs="Times New Roman"/>
        </w:rPr>
        <w:t xml:space="preserve">LOE), a tenor de la jurisprudencia, </w:t>
      </w:r>
      <w:r w:rsidRPr="00C553B7">
        <w:rPr>
          <w:rFonts w:ascii="Times New Roman" w:hAnsi="Times New Roman" w:cs="Times New Roman"/>
          <w:i/>
        </w:rPr>
        <w:t>infra</w:t>
      </w:r>
      <w:r w:rsidRPr="00C553B7">
        <w:rPr>
          <w:rFonts w:ascii="Times New Roman" w:hAnsi="Times New Roman" w:cs="Times New Roman"/>
        </w:rPr>
        <w:t xml:space="preserve">, la intervención del tercero sería la adhesiva simple (no habría acumulación de acciones), simplemente ostentaría un interés legítimo en cuanto que titular de una relación jurídica afectada indirectamente o de forma refleja, por lo que el fallo no podría contener pronunciamiento alguno sobre </w:t>
      </w:r>
      <w:proofErr w:type="spellStart"/>
      <w:r w:rsidRPr="00C553B7">
        <w:rPr>
          <w:rFonts w:ascii="Times New Roman" w:hAnsi="Times New Roman" w:cs="Times New Roman"/>
        </w:rPr>
        <w:t>el</w:t>
      </w:r>
      <w:proofErr w:type="spellEnd"/>
      <w:r w:rsidR="007177F9" w:rsidRPr="00C553B7">
        <w:rPr>
          <w:rFonts w:ascii="Times New Roman" w:hAnsi="Times New Roman" w:cs="Times New Roman"/>
        </w:rPr>
        <w:t xml:space="preserve"> aunque padezca la eficacia procesal correspondiente: cosa juzgada o ef. </w:t>
      </w:r>
      <w:proofErr w:type="spellStart"/>
      <w:r w:rsidR="007177F9" w:rsidRPr="00C553B7">
        <w:rPr>
          <w:rFonts w:ascii="Times New Roman" w:hAnsi="Times New Roman" w:cs="Times New Roman"/>
        </w:rPr>
        <w:t>proc</w:t>
      </w:r>
      <w:proofErr w:type="spellEnd"/>
      <w:r w:rsidR="007177F9" w:rsidRPr="00C553B7">
        <w:rPr>
          <w:rFonts w:ascii="Times New Roman" w:hAnsi="Times New Roman" w:cs="Times New Roman"/>
        </w:rPr>
        <w:t>. reducida</w:t>
      </w:r>
      <w:r w:rsidR="000C4CB7" w:rsidRPr="00C553B7">
        <w:rPr>
          <w:rFonts w:ascii="Times New Roman" w:hAnsi="Times New Roman" w:cs="Times New Roman"/>
        </w:rPr>
        <w:t xml:space="preserve"> según su conducta y la de las partes originarias, DÍAZ CABIALE, J.A., </w:t>
      </w:r>
      <w:r w:rsidR="000C4CB7" w:rsidRPr="00C553B7">
        <w:rPr>
          <w:rFonts w:ascii="Times New Roman" w:hAnsi="Times New Roman" w:cs="Times New Roman"/>
          <w:i/>
        </w:rPr>
        <w:t xml:space="preserve">La eficacia material y procesal de la sentencia civil más allá de la cosa juzgada, </w:t>
      </w:r>
      <w:r w:rsidR="000C4CB7" w:rsidRPr="00C553B7">
        <w:rPr>
          <w:rFonts w:ascii="Times New Roman" w:hAnsi="Times New Roman" w:cs="Times New Roman"/>
        </w:rPr>
        <w:t xml:space="preserve">Valencia, 2018, pp. </w:t>
      </w:r>
      <w:r w:rsidR="00F6232A" w:rsidRPr="00C553B7">
        <w:rPr>
          <w:rFonts w:ascii="Times New Roman" w:hAnsi="Times New Roman" w:cs="Times New Roman"/>
        </w:rPr>
        <w:t>144 y ss.</w:t>
      </w:r>
    </w:p>
  </w:footnote>
  <w:footnote w:id="9">
    <w:p w14:paraId="1E0DB705" w14:textId="426A3AD0" w:rsidR="00A45787" w:rsidRPr="00C553B7" w:rsidRDefault="00A45787" w:rsidP="00BB7EDA">
      <w:pPr>
        <w:pStyle w:val="Textonotapie"/>
        <w:ind w:firstLine="0"/>
        <w:jc w:val="both"/>
        <w:rPr>
          <w:rFonts w:ascii="Times New Roman" w:hAnsi="Times New Roman" w:cs="Times New Roman"/>
          <w:i/>
        </w:rPr>
      </w:pPr>
      <w:r w:rsidRPr="00C553B7">
        <w:rPr>
          <w:rStyle w:val="Refdenotaalpie"/>
          <w:rFonts w:ascii="Times New Roman" w:hAnsi="Times New Roman" w:cs="Times New Roman"/>
        </w:rPr>
        <w:footnoteRef/>
      </w:r>
      <w:r w:rsidRPr="00C553B7">
        <w:rPr>
          <w:rFonts w:ascii="Times New Roman" w:hAnsi="Times New Roman" w:cs="Times New Roman"/>
        </w:rPr>
        <w:t xml:space="preserve"> En teoría, la modalidad de intervención provocada que supone la </w:t>
      </w:r>
      <w:proofErr w:type="spellStart"/>
      <w:r w:rsidRPr="00C553B7">
        <w:rPr>
          <w:rFonts w:ascii="Times New Roman" w:hAnsi="Times New Roman" w:cs="Times New Roman"/>
          <w:i/>
        </w:rPr>
        <w:t>adcitatio</w:t>
      </w:r>
      <w:proofErr w:type="spellEnd"/>
      <w:r w:rsidRPr="00C553B7">
        <w:rPr>
          <w:rFonts w:ascii="Times New Roman" w:hAnsi="Times New Roman" w:cs="Times New Roman"/>
          <w:i/>
        </w:rPr>
        <w:t xml:space="preserve"> </w:t>
      </w:r>
      <w:r w:rsidRPr="00C553B7">
        <w:rPr>
          <w:rFonts w:ascii="Times New Roman" w:hAnsi="Times New Roman" w:cs="Times New Roman"/>
        </w:rPr>
        <w:t xml:space="preserve">(frente a la </w:t>
      </w:r>
      <w:proofErr w:type="spellStart"/>
      <w:r w:rsidRPr="00C553B7">
        <w:rPr>
          <w:rFonts w:ascii="Times New Roman" w:hAnsi="Times New Roman" w:cs="Times New Roman"/>
        </w:rPr>
        <w:t>litisdenunciación</w:t>
      </w:r>
      <w:proofErr w:type="spellEnd"/>
      <w:r w:rsidRPr="00C553B7">
        <w:rPr>
          <w:rFonts w:ascii="Times New Roman" w:hAnsi="Times New Roman" w:cs="Times New Roman"/>
        </w:rPr>
        <w:t>)</w:t>
      </w:r>
      <w:r w:rsidR="007177F9" w:rsidRPr="00C553B7">
        <w:rPr>
          <w:rFonts w:ascii="Times New Roman" w:hAnsi="Times New Roman" w:cs="Times New Roman"/>
        </w:rPr>
        <w:t xml:space="preserve">, </w:t>
      </w:r>
      <w:r w:rsidR="000C4CB7" w:rsidRPr="00C553B7">
        <w:rPr>
          <w:rFonts w:ascii="Times New Roman" w:hAnsi="Times New Roman" w:cs="Times New Roman"/>
        </w:rPr>
        <w:t xml:space="preserve">LÓPEZ-FRAGOSO, T., </w:t>
      </w:r>
      <w:r w:rsidR="000C4CB7" w:rsidRPr="00C553B7">
        <w:rPr>
          <w:rFonts w:ascii="Times New Roman" w:hAnsi="Times New Roman" w:cs="Times New Roman"/>
          <w:i/>
        </w:rPr>
        <w:t xml:space="preserve">La intervención de terceros a instancia de parte en el proceso civil español, </w:t>
      </w:r>
      <w:r w:rsidR="000C4CB7" w:rsidRPr="00C553B7">
        <w:rPr>
          <w:rFonts w:ascii="Times New Roman" w:hAnsi="Times New Roman" w:cs="Times New Roman"/>
        </w:rPr>
        <w:t>Madrid, 1990, pp. 21 y ss.</w:t>
      </w:r>
      <w:r w:rsidR="00223F1C">
        <w:rPr>
          <w:rFonts w:ascii="Times New Roman" w:hAnsi="Times New Roman" w:cs="Times New Roman"/>
        </w:rPr>
        <w:t>, GONZÁLEZ PILLADO, E.</w:t>
      </w:r>
      <w:r w:rsidR="004D78E8">
        <w:rPr>
          <w:rFonts w:ascii="Times New Roman" w:hAnsi="Times New Roman" w:cs="Times New Roman"/>
        </w:rPr>
        <w:t xml:space="preserve">, </w:t>
      </w:r>
      <w:proofErr w:type="spellStart"/>
      <w:r w:rsidR="004D78E8">
        <w:rPr>
          <w:rFonts w:ascii="Times New Roman" w:hAnsi="Times New Roman" w:cs="Times New Roman"/>
          <w:i/>
        </w:rPr>
        <w:t>op</w:t>
      </w:r>
      <w:proofErr w:type="spellEnd"/>
      <w:r w:rsidR="004D78E8">
        <w:rPr>
          <w:rFonts w:ascii="Times New Roman" w:hAnsi="Times New Roman" w:cs="Times New Roman"/>
          <w:i/>
        </w:rPr>
        <w:t xml:space="preserve">. cit., </w:t>
      </w:r>
      <w:r w:rsidR="00223F1C">
        <w:rPr>
          <w:rFonts w:ascii="Times New Roman" w:hAnsi="Times New Roman" w:cs="Times New Roman"/>
        </w:rPr>
        <w:t>pp. 62 y ss.</w:t>
      </w:r>
      <w:r w:rsidR="000C4CB7" w:rsidRPr="00C553B7">
        <w:rPr>
          <w:rFonts w:ascii="Times New Roman" w:hAnsi="Times New Roman" w:cs="Times New Roman"/>
        </w:rPr>
        <w:t>,</w:t>
      </w:r>
      <w:r w:rsidRPr="00C553B7">
        <w:rPr>
          <w:rFonts w:ascii="Times New Roman" w:hAnsi="Times New Roman" w:cs="Times New Roman"/>
          <w:i/>
        </w:rPr>
        <w:t xml:space="preserve"> </w:t>
      </w:r>
      <w:r w:rsidRPr="00C553B7">
        <w:rPr>
          <w:rFonts w:ascii="Times New Roman" w:hAnsi="Times New Roman" w:cs="Times New Roman"/>
        </w:rPr>
        <w:t>comportaría la conversión inmediata del tercero en parte (como parecería dar a entender la equívoca redacción del art. 14 LEC) y un plausible aumento del objeto del pleito, sobre todo si el legislador así lo dispone expresamente, como sucede con la</w:t>
      </w:r>
      <w:r w:rsidR="003957CD" w:rsidRPr="00C553B7">
        <w:rPr>
          <w:rFonts w:ascii="Times New Roman" w:hAnsi="Times New Roman" w:cs="Times New Roman"/>
        </w:rPr>
        <w:t xml:space="preserve"> DA 7ª</w:t>
      </w:r>
      <w:r w:rsidRPr="00C553B7">
        <w:rPr>
          <w:rFonts w:ascii="Times New Roman" w:hAnsi="Times New Roman" w:cs="Times New Roman"/>
        </w:rPr>
        <w:t xml:space="preserve"> LOE. Sin embargo, como es sabido, para preservar la libertad del actor y el principio dispositivo, la jurisprudencia</w:t>
      </w:r>
      <w:r w:rsidR="003957CD" w:rsidRPr="00C553B7">
        <w:rPr>
          <w:rFonts w:ascii="Times New Roman" w:hAnsi="Times New Roman" w:cs="Times New Roman"/>
        </w:rPr>
        <w:t>, STS Pleno 538/2012, de 26 de septiembre,</w:t>
      </w:r>
      <w:r w:rsidRPr="00C553B7">
        <w:rPr>
          <w:rFonts w:ascii="Times New Roman" w:hAnsi="Times New Roman" w:cs="Times New Roman"/>
        </w:rPr>
        <w:t xml:space="preserve"> obliga a que se dirija expresamente la demanda también contra el ll</w:t>
      </w:r>
      <w:r w:rsidR="003957CD" w:rsidRPr="00C553B7">
        <w:rPr>
          <w:rFonts w:ascii="Times New Roman" w:hAnsi="Times New Roman" w:cs="Times New Roman"/>
        </w:rPr>
        <w:t>amado para que</w:t>
      </w:r>
      <w:r w:rsidR="006F54FE" w:rsidRPr="00C553B7">
        <w:rPr>
          <w:rFonts w:ascii="Times New Roman" w:hAnsi="Times New Roman" w:cs="Times New Roman"/>
        </w:rPr>
        <w:t xml:space="preserve"> este</w:t>
      </w:r>
      <w:r w:rsidR="0007073C" w:rsidRPr="00C553B7">
        <w:rPr>
          <w:rFonts w:ascii="Times New Roman" w:hAnsi="Times New Roman" w:cs="Times New Roman"/>
        </w:rPr>
        <w:t xml:space="preserve"> </w:t>
      </w:r>
      <w:r w:rsidR="003957CD" w:rsidRPr="00C553B7">
        <w:rPr>
          <w:rFonts w:ascii="Times New Roman" w:hAnsi="Times New Roman" w:cs="Times New Roman"/>
        </w:rPr>
        <w:t>pueda ser condenado en el fallo</w:t>
      </w:r>
      <w:r w:rsidRPr="00C553B7">
        <w:rPr>
          <w:rFonts w:ascii="Times New Roman" w:hAnsi="Times New Roman" w:cs="Times New Roman"/>
        </w:rPr>
        <w:t xml:space="preserve">. </w:t>
      </w:r>
      <w:r w:rsidR="00C94A26" w:rsidRPr="00C553B7">
        <w:rPr>
          <w:rFonts w:ascii="Times New Roman" w:hAnsi="Times New Roman" w:cs="Times New Roman"/>
        </w:rPr>
        <w:t>Algo que sin duda está en consonancia con la exigencia de la reconvención expr</w:t>
      </w:r>
      <w:r w:rsidR="001A245D" w:rsidRPr="00C553B7">
        <w:rPr>
          <w:rFonts w:ascii="Times New Roman" w:hAnsi="Times New Roman" w:cs="Times New Roman"/>
        </w:rPr>
        <w:t xml:space="preserve">esa, art. 405 LEC. </w:t>
      </w:r>
    </w:p>
  </w:footnote>
  <w:footnote w:id="10">
    <w:p w14:paraId="0F32F530" w14:textId="60EEC8F3"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 pesar de que de la lectura del art. 222.3 LEC se podría entender que existe </w:t>
      </w:r>
      <w:proofErr w:type="spellStart"/>
      <w:r w:rsidRPr="00C553B7">
        <w:rPr>
          <w:rFonts w:ascii="Times New Roman" w:hAnsi="Times New Roman" w:cs="Times New Roman"/>
          <w:i/>
        </w:rPr>
        <w:t>ope</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legis</w:t>
      </w:r>
      <w:proofErr w:type="spellEnd"/>
      <w:r w:rsidRPr="00C553B7">
        <w:rPr>
          <w:rFonts w:ascii="Times New Roman" w:hAnsi="Times New Roman" w:cs="Times New Roman"/>
        </w:rPr>
        <w:t xml:space="preserve"> una eficacia automática de cosa juzgada </w:t>
      </w:r>
      <w:r w:rsidRPr="00C553B7">
        <w:rPr>
          <w:rFonts w:ascii="Times New Roman" w:hAnsi="Times New Roman" w:cs="Times New Roman"/>
          <w:i/>
        </w:rPr>
        <w:t>ultra partes</w:t>
      </w:r>
      <w:r w:rsidRPr="00C553B7">
        <w:rPr>
          <w:rFonts w:ascii="Times New Roman" w:hAnsi="Times New Roman" w:cs="Times New Roman"/>
        </w:rPr>
        <w:t xml:space="preserve"> en este caso de legitimación extraordinaria por sustituci</w:t>
      </w:r>
      <w:r w:rsidR="00F6232A" w:rsidRPr="00C553B7">
        <w:rPr>
          <w:rFonts w:ascii="Times New Roman" w:hAnsi="Times New Roman" w:cs="Times New Roman"/>
        </w:rPr>
        <w:t>ón, hemos razonado, DÍAZ CABIALE, J.A</w:t>
      </w:r>
      <w:proofErr w:type="gramStart"/>
      <w:r w:rsidR="00F6232A" w:rsidRPr="00C553B7">
        <w:rPr>
          <w:rFonts w:ascii="Times New Roman" w:hAnsi="Times New Roman" w:cs="Times New Roman"/>
        </w:rPr>
        <w:t>,,</w:t>
      </w:r>
      <w:proofErr w:type="gramEnd"/>
      <w:r w:rsidR="00F6232A" w:rsidRPr="00C553B7">
        <w:rPr>
          <w:rFonts w:ascii="Times New Roman" w:hAnsi="Times New Roman" w:cs="Times New Roman"/>
        </w:rPr>
        <w:t xml:space="preserve"> </w:t>
      </w:r>
      <w:proofErr w:type="spellStart"/>
      <w:r w:rsidR="00F6232A" w:rsidRPr="00C553B7">
        <w:rPr>
          <w:rFonts w:ascii="Times New Roman" w:hAnsi="Times New Roman" w:cs="Times New Roman"/>
          <w:i/>
        </w:rPr>
        <w:t>op</w:t>
      </w:r>
      <w:proofErr w:type="spellEnd"/>
      <w:r w:rsidR="00F6232A" w:rsidRPr="00C553B7">
        <w:rPr>
          <w:rFonts w:ascii="Times New Roman" w:hAnsi="Times New Roman" w:cs="Times New Roman"/>
          <w:i/>
        </w:rPr>
        <w:t xml:space="preserve">. cit., </w:t>
      </w:r>
      <w:r w:rsidR="00F6232A" w:rsidRPr="00C553B7">
        <w:rPr>
          <w:rFonts w:ascii="Times New Roman" w:hAnsi="Times New Roman" w:cs="Times New Roman"/>
        </w:rPr>
        <w:t>109 y ss.,</w:t>
      </w:r>
      <w:r w:rsidRPr="00C553B7">
        <w:rPr>
          <w:rFonts w:ascii="Times New Roman" w:hAnsi="Times New Roman" w:cs="Times New Roman"/>
        </w:rPr>
        <w:t xml:space="preserve"> que el principio de audiencia, art. 24.1 CE, proscribe dicha intelección. El deudor que no tiene conocimiento del pleito entablado por su acreedor para hacer valer un derecho que le pertenece no puede padecer la eficacia de cosa juzgada. Eso sí, debido a la </w:t>
      </w:r>
      <w:proofErr w:type="spellStart"/>
      <w:r w:rsidRPr="00C553B7">
        <w:rPr>
          <w:rFonts w:ascii="Times New Roman" w:hAnsi="Times New Roman" w:cs="Times New Roman"/>
        </w:rPr>
        <w:t>prejudicialidad</w:t>
      </w:r>
      <w:proofErr w:type="spellEnd"/>
      <w:r w:rsidRPr="00C553B7">
        <w:rPr>
          <w:rFonts w:ascii="Times New Roman" w:hAnsi="Times New Roman" w:cs="Times New Roman"/>
        </w:rPr>
        <w:t xml:space="preserve"> o interdependencia jurídica que existe entre las relaciones jurídicas, soporta una eficacia material y procesal de dicho fallo especialmente intensa</w:t>
      </w:r>
      <w:r w:rsidR="005C05D7">
        <w:rPr>
          <w:rFonts w:ascii="Times New Roman" w:hAnsi="Times New Roman" w:cs="Times New Roman"/>
        </w:rPr>
        <w:t>, eficacia procesal reducida</w:t>
      </w:r>
      <w:r w:rsidRPr="00C553B7">
        <w:rPr>
          <w:rFonts w:ascii="Times New Roman" w:hAnsi="Times New Roman" w:cs="Times New Roman"/>
        </w:rPr>
        <w:t>: para desvincularse de su contenido tendrá que demostrar que se ha producido una indebida aplicación del derecho sustantivo (</w:t>
      </w:r>
      <w:proofErr w:type="spellStart"/>
      <w:r w:rsidR="00EC3217" w:rsidRPr="00C553B7">
        <w:rPr>
          <w:rFonts w:ascii="Times New Roman" w:hAnsi="Times New Roman" w:cs="Times New Roman"/>
          <w:i/>
        </w:rPr>
        <w:t>exceptio</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male</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iudicati</w:t>
      </w:r>
      <w:proofErr w:type="spellEnd"/>
      <w:r w:rsidRPr="00C553B7">
        <w:rPr>
          <w:rFonts w:ascii="Times New Roman" w:hAnsi="Times New Roman" w:cs="Times New Roman"/>
          <w:i/>
        </w:rPr>
        <w:t>)</w:t>
      </w:r>
      <w:r w:rsidR="00F6232A" w:rsidRPr="00C553B7">
        <w:rPr>
          <w:rFonts w:ascii="Times New Roman" w:hAnsi="Times New Roman" w:cs="Times New Roman"/>
        </w:rPr>
        <w:t xml:space="preserve">. </w:t>
      </w:r>
    </w:p>
  </w:footnote>
  <w:footnote w:id="11">
    <w:p w14:paraId="30F4F905" w14:textId="379AE00A"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Ciertamente el hecho de que en la intervención voluntaria no se paralice el procedimiento, art. 13 LEC</w:t>
      </w:r>
      <w:r w:rsidR="00EC3217" w:rsidRPr="00C553B7">
        <w:rPr>
          <w:rFonts w:ascii="Times New Roman" w:hAnsi="Times New Roman" w:cs="Times New Roman"/>
        </w:rPr>
        <w:t>,</w:t>
      </w:r>
      <w:r w:rsidRPr="00C553B7">
        <w:rPr>
          <w:rFonts w:ascii="Times New Roman" w:hAnsi="Times New Roman" w:cs="Times New Roman"/>
        </w:rPr>
        <w:t xml:space="preserve"> parece impedir la acumulación de un objeto nuevo a resultas de la prohibición de la </w:t>
      </w:r>
      <w:proofErr w:type="spellStart"/>
      <w:r w:rsidRPr="00C553B7">
        <w:rPr>
          <w:rFonts w:ascii="Times New Roman" w:hAnsi="Times New Roman" w:cs="Times New Roman"/>
          <w:i/>
        </w:rPr>
        <w:t>mutatio</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libelli</w:t>
      </w:r>
      <w:proofErr w:type="spellEnd"/>
      <w:r w:rsidRPr="00C553B7">
        <w:rPr>
          <w:rFonts w:ascii="Times New Roman" w:hAnsi="Times New Roman" w:cs="Times New Roman"/>
        </w:rPr>
        <w:t xml:space="preserve"> que opera desde la contestación a la demanda, art. 412 LEC. Sin embargo, nada obstaría a que el accionista que se sumara al pleito esgrimiera una nueva causa de anulación relacionada con la anterior, pretensión complementa</w:t>
      </w:r>
      <w:r w:rsidR="00EC3217" w:rsidRPr="00C553B7">
        <w:rPr>
          <w:rFonts w:ascii="Times New Roman" w:hAnsi="Times New Roman" w:cs="Times New Roman"/>
        </w:rPr>
        <w:t>ria, art. 426.3 LEC, alterando</w:t>
      </w:r>
      <w:r w:rsidRPr="00C553B7">
        <w:rPr>
          <w:rFonts w:ascii="Times New Roman" w:hAnsi="Times New Roman" w:cs="Times New Roman"/>
        </w:rPr>
        <w:t xml:space="preserve"> la fundamentación jurídica esgrimida que integra la </w:t>
      </w:r>
      <w:r w:rsidRPr="00C553B7">
        <w:rPr>
          <w:rFonts w:ascii="Times New Roman" w:hAnsi="Times New Roman" w:cs="Times New Roman"/>
          <w:i/>
        </w:rPr>
        <w:t xml:space="preserve">causa </w:t>
      </w:r>
      <w:proofErr w:type="spellStart"/>
      <w:r w:rsidRPr="00C553B7">
        <w:rPr>
          <w:rFonts w:ascii="Times New Roman" w:hAnsi="Times New Roman" w:cs="Times New Roman"/>
          <w:i/>
        </w:rPr>
        <w:t>petendi</w:t>
      </w:r>
      <w:proofErr w:type="spellEnd"/>
      <w:r w:rsidRPr="00C553B7">
        <w:rPr>
          <w:rFonts w:ascii="Times New Roman" w:hAnsi="Times New Roman" w:cs="Times New Roman"/>
        </w:rPr>
        <w:t>, art. 218.1.II LEC.</w:t>
      </w:r>
    </w:p>
  </w:footnote>
  <w:footnote w:id="12">
    <w:p w14:paraId="410212B4" w14:textId="6BDE2DCA"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El problema del fenómeno de la pluralidad de partes es que su análisis se ha escindido  artificialmente: litisconsorcio y la intervención se presentan como realidades diferentes que ocasionan aquella,</w:t>
      </w:r>
      <w:r w:rsidR="00B57EA5">
        <w:rPr>
          <w:rFonts w:ascii="Times New Roman" w:hAnsi="Times New Roman" w:cs="Times New Roman"/>
        </w:rPr>
        <w:t xml:space="preserve"> así </w:t>
      </w:r>
      <w:proofErr w:type="spellStart"/>
      <w:r w:rsidR="00B57EA5">
        <w:rPr>
          <w:rFonts w:ascii="Times New Roman" w:hAnsi="Times New Roman" w:cs="Times New Roman"/>
          <w:i/>
        </w:rPr>
        <w:t>e.g</w:t>
      </w:r>
      <w:proofErr w:type="spellEnd"/>
      <w:r w:rsidR="00B57EA5">
        <w:rPr>
          <w:rFonts w:ascii="Times New Roman" w:hAnsi="Times New Roman" w:cs="Times New Roman"/>
          <w:i/>
        </w:rPr>
        <w:t xml:space="preserve">., </w:t>
      </w:r>
      <w:r w:rsidR="00B57EA5">
        <w:rPr>
          <w:rFonts w:ascii="Times New Roman" w:hAnsi="Times New Roman" w:cs="Times New Roman"/>
        </w:rPr>
        <w:t xml:space="preserve">LÓPEZ JIMÉNEZ, R., </w:t>
      </w:r>
      <w:r w:rsidR="00B57EA5">
        <w:rPr>
          <w:rFonts w:ascii="Times New Roman" w:hAnsi="Times New Roman" w:cs="Times New Roman"/>
          <w:i/>
        </w:rPr>
        <w:t>El litisconsorcio,</w:t>
      </w:r>
      <w:r w:rsidR="00B57EA5">
        <w:rPr>
          <w:rFonts w:ascii="Times New Roman" w:hAnsi="Times New Roman" w:cs="Times New Roman"/>
        </w:rPr>
        <w:t xml:space="preserve"> Valencia, 2009, p. 35,</w:t>
      </w:r>
      <w:r w:rsidRPr="00C553B7">
        <w:rPr>
          <w:rFonts w:ascii="Times New Roman" w:hAnsi="Times New Roman" w:cs="Times New Roman"/>
        </w:rPr>
        <w:t xml:space="preserve"> dando lugar hasta cinco modalidades diferentes (dos litisconsorcios y tres formas de intervención, dejando de lado la figura del </w:t>
      </w:r>
      <w:proofErr w:type="spellStart"/>
      <w:r w:rsidRPr="00C553B7">
        <w:rPr>
          <w:rFonts w:ascii="Times New Roman" w:hAnsi="Times New Roman" w:cs="Times New Roman"/>
          <w:i/>
        </w:rPr>
        <w:t>amicus</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curiae</w:t>
      </w:r>
      <w:proofErr w:type="spellEnd"/>
      <w:r w:rsidRPr="00C553B7">
        <w:rPr>
          <w:rFonts w:ascii="Times New Roman" w:hAnsi="Times New Roman" w:cs="Times New Roman"/>
        </w:rPr>
        <w:t xml:space="preserve"> de</w:t>
      </w:r>
      <w:r w:rsidR="00E02D42" w:rsidRPr="00C553B7">
        <w:rPr>
          <w:rFonts w:ascii="Times New Roman" w:hAnsi="Times New Roman" w:cs="Times New Roman"/>
        </w:rPr>
        <w:t xml:space="preserve"> </w:t>
      </w:r>
      <w:r w:rsidRPr="00C553B7">
        <w:rPr>
          <w:rFonts w:ascii="Times New Roman" w:hAnsi="Times New Roman" w:cs="Times New Roman"/>
        </w:rPr>
        <w:t>l</w:t>
      </w:r>
      <w:r w:rsidR="00E02D42" w:rsidRPr="00C553B7">
        <w:rPr>
          <w:rFonts w:ascii="Times New Roman" w:hAnsi="Times New Roman" w:cs="Times New Roman"/>
        </w:rPr>
        <w:t>os</w:t>
      </w:r>
      <w:r w:rsidRPr="00C553B7">
        <w:rPr>
          <w:rFonts w:ascii="Times New Roman" w:hAnsi="Times New Roman" w:cs="Times New Roman"/>
        </w:rPr>
        <w:t xml:space="preserve"> art</w:t>
      </w:r>
      <w:r w:rsidR="00E02D42" w:rsidRPr="00C553B7">
        <w:rPr>
          <w:rFonts w:ascii="Times New Roman" w:hAnsi="Times New Roman" w:cs="Times New Roman"/>
        </w:rPr>
        <w:t>s</w:t>
      </w:r>
      <w:r w:rsidRPr="00C553B7">
        <w:rPr>
          <w:rFonts w:ascii="Times New Roman" w:hAnsi="Times New Roman" w:cs="Times New Roman"/>
        </w:rPr>
        <w:t xml:space="preserve">. 15 bis </w:t>
      </w:r>
      <w:r w:rsidR="00E02D42" w:rsidRPr="00C553B7">
        <w:rPr>
          <w:rFonts w:ascii="Times New Roman" w:hAnsi="Times New Roman" w:cs="Times New Roman"/>
        </w:rPr>
        <w:t xml:space="preserve">y 461.5 </w:t>
      </w:r>
      <w:r w:rsidRPr="00C553B7">
        <w:rPr>
          <w:rFonts w:ascii="Times New Roman" w:hAnsi="Times New Roman" w:cs="Times New Roman"/>
        </w:rPr>
        <w:t xml:space="preserve">LEC) aunque algunas se puedan superponer entre sí. La pluralidad de partes debería abordarse desde lo esencial: el vínculo de las partes con el objeto del proceso, es decir hasta qué punto corren la misma suerte, </w:t>
      </w:r>
      <w:proofErr w:type="spellStart"/>
      <w:r w:rsidR="00F6232A" w:rsidRPr="00C553B7">
        <w:rPr>
          <w:rFonts w:ascii="Times New Roman" w:hAnsi="Times New Roman" w:cs="Times New Roman"/>
          <w:i/>
        </w:rPr>
        <w:t>l</w:t>
      </w:r>
      <w:r w:rsidRPr="00C553B7">
        <w:rPr>
          <w:rFonts w:ascii="Times New Roman" w:hAnsi="Times New Roman" w:cs="Times New Roman"/>
          <w:i/>
        </w:rPr>
        <w:t>itis</w:t>
      </w:r>
      <w:proofErr w:type="spellEnd"/>
      <w:r w:rsidRPr="00C553B7">
        <w:rPr>
          <w:rFonts w:ascii="Times New Roman" w:hAnsi="Times New Roman" w:cs="Times New Roman"/>
          <w:i/>
        </w:rPr>
        <w:t xml:space="preserve"> cum </w:t>
      </w:r>
      <w:proofErr w:type="spellStart"/>
      <w:r w:rsidRPr="00C553B7">
        <w:rPr>
          <w:rFonts w:ascii="Times New Roman" w:hAnsi="Times New Roman" w:cs="Times New Roman"/>
          <w:i/>
        </w:rPr>
        <w:t>sors</w:t>
      </w:r>
      <w:proofErr w:type="spellEnd"/>
      <w:r w:rsidRPr="00C553B7">
        <w:rPr>
          <w:rFonts w:ascii="Times New Roman" w:hAnsi="Times New Roman" w:cs="Times New Roman"/>
          <w:i/>
        </w:rPr>
        <w:t xml:space="preserve"> </w:t>
      </w:r>
      <w:r w:rsidRPr="00C553B7">
        <w:rPr>
          <w:rFonts w:ascii="Times New Roman" w:hAnsi="Times New Roman" w:cs="Times New Roman"/>
        </w:rPr>
        <w:t xml:space="preserve">(en todo, en el objeto en su totalidad o bien únicamente en la parte común compartida: los hechos, la perspectiva jurídica…) porque es lo decisivo para las facultades procesales de las </w:t>
      </w:r>
      <w:r w:rsidR="00F6232A" w:rsidRPr="00C553B7">
        <w:rPr>
          <w:rFonts w:ascii="Times New Roman" w:hAnsi="Times New Roman" w:cs="Times New Roman"/>
        </w:rPr>
        <w:t>partes y la eficacia del fallo</w:t>
      </w:r>
      <w:r w:rsidRPr="00C553B7">
        <w:rPr>
          <w:rFonts w:ascii="Times New Roman" w:hAnsi="Times New Roman" w:cs="Times New Roman"/>
        </w:rPr>
        <w:t>. Por eso, litisconsorcio y pluralidad de partes son sinónimos</w:t>
      </w:r>
      <w:r w:rsidR="00F6232A" w:rsidRPr="00C553B7">
        <w:rPr>
          <w:rFonts w:ascii="Times New Roman" w:hAnsi="Times New Roman" w:cs="Times New Roman"/>
        </w:rPr>
        <w:t xml:space="preserve"> (seguimos</w:t>
      </w:r>
      <w:r w:rsidR="00AC22F7" w:rsidRPr="00C553B7">
        <w:rPr>
          <w:rFonts w:ascii="Times New Roman" w:hAnsi="Times New Roman" w:cs="Times New Roman"/>
        </w:rPr>
        <w:t xml:space="preserve"> la doctrina tradicional, primer esquema realizado por MONTERO AROCA, J., </w:t>
      </w:r>
      <w:r w:rsidR="00AC22F7" w:rsidRPr="00C553B7">
        <w:rPr>
          <w:rFonts w:ascii="Times New Roman" w:hAnsi="Times New Roman" w:cs="Times New Roman"/>
          <w:i/>
        </w:rPr>
        <w:t>La intervención adhesiva simple,</w:t>
      </w:r>
      <w:r w:rsidR="00AC22F7" w:rsidRPr="00C553B7">
        <w:rPr>
          <w:rFonts w:ascii="Times New Roman" w:hAnsi="Times New Roman" w:cs="Times New Roman"/>
        </w:rPr>
        <w:t xml:space="preserve"> Barcelona, 1972, p. 13</w:t>
      </w:r>
      <w:r w:rsidR="00863734">
        <w:rPr>
          <w:rFonts w:ascii="Times New Roman" w:hAnsi="Times New Roman" w:cs="Times New Roman"/>
        </w:rPr>
        <w:t>, frente a los cuadros 4 y 5, pp. 71 y 95</w:t>
      </w:r>
      <w:r w:rsidR="00AC22F7" w:rsidRPr="00C553B7">
        <w:rPr>
          <w:rFonts w:ascii="Times New Roman" w:hAnsi="Times New Roman" w:cs="Times New Roman"/>
        </w:rPr>
        <w:t xml:space="preserve">). Así, solo resulta decisivo: </w:t>
      </w:r>
      <w:r w:rsidRPr="00C553B7">
        <w:rPr>
          <w:rFonts w:ascii="Times New Roman" w:hAnsi="Times New Roman" w:cs="Times New Roman"/>
        </w:rPr>
        <w:t xml:space="preserve">a) </w:t>
      </w:r>
      <w:r w:rsidR="00AC22F7" w:rsidRPr="00C553B7">
        <w:rPr>
          <w:rFonts w:ascii="Times New Roman" w:hAnsi="Times New Roman" w:cs="Times New Roman"/>
        </w:rPr>
        <w:t>pluralidad de partes y un único objeto</w:t>
      </w:r>
      <w:r w:rsidR="0094030C">
        <w:rPr>
          <w:rFonts w:ascii="Times New Roman" w:hAnsi="Times New Roman" w:cs="Times New Roman"/>
        </w:rPr>
        <w:t xml:space="preserve">, lo que acontecería  </w:t>
      </w:r>
      <w:r w:rsidR="0094030C" w:rsidRPr="0094030C">
        <w:rPr>
          <w:rFonts w:ascii="Times New Roman" w:hAnsi="Times New Roman" w:cs="Times New Roman"/>
        </w:rPr>
        <w:t>en la mayoría de los supuestos del litisconsorcio necesario y de la intervención adhesiva litisconsorcial a los que hay que sumar la intervención adhesiva simple</w:t>
      </w:r>
      <w:r w:rsidR="00AC22F7" w:rsidRPr="00C553B7">
        <w:rPr>
          <w:rFonts w:ascii="Times New Roman" w:hAnsi="Times New Roman" w:cs="Times New Roman"/>
        </w:rPr>
        <w:t xml:space="preserve">; b) </w:t>
      </w:r>
      <w:r w:rsidRPr="00C553B7">
        <w:rPr>
          <w:rFonts w:ascii="Times New Roman" w:hAnsi="Times New Roman" w:cs="Times New Roman"/>
        </w:rPr>
        <w:t>la pluralidad de litigantes</w:t>
      </w:r>
      <w:r w:rsidR="00AC22F7" w:rsidRPr="00C553B7">
        <w:rPr>
          <w:rFonts w:ascii="Times New Roman" w:hAnsi="Times New Roman" w:cs="Times New Roman"/>
        </w:rPr>
        <w:t xml:space="preserve"> que </w:t>
      </w:r>
      <w:r w:rsidRPr="00C553B7">
        <w:rPr>
          <w:rFonts w:ascii="Times New Roman" w:hAnsi="Times New Roman" w:cs="Times New Roman"/>
        </w:rPr>
        <w:t xml:space="preserve"> comporta variedad de ob</w:t>
      </w:r>
      <w:r w:rsidR="005C05D7">
        <w:rPr>
          <w:rFonts w:ascii="Times New Roman" w:hAnsi="Times New Roman" w:cs="Times New Roman"/>
        </w:rPr>
        <w:t>jetos –acumulación de acciones-</w:t>
      </w:r>
      <w:r w:rsidRPr="00C553B7">
        <w:rPr>
          <w:rFonts w:ascii="Times New Roman" w:hAnsi="Times New Roman" w:cs="Times New Roman"/>
        </w:rPr>
        <w:t xml:space="preserve"> </w:t>
      </w:r>
      <w:r w:rsidR="00D705E2">
        <w:rPr>
          <w:rFonts w:ascii="Times New Roman" w:hAnsi="Times New Roman" w:cs="Times New Roman"/>
        </w:rPr>
        <w:t>y</w:t>
      </w:r>
      <w:r w:rsidR="00AC22F7" w:rsidRPr="00C553B7">
        <w:rPr>
          <w:rFonts w:ascii="Times New Roman" w:hAnsi="Times New Roman" w:cs="Times New Roman"/>
        </w:rPr>
        <w:t xml:space="preserve"> se cumpliría</w:t>
      </w:r>
      <w:r w:rsidRPr="00C553B7">
        <w:rPr>
          <w:rFonts w:ascii="Times New Roman" w:hAnsi="Times New Roman" w:cs="Times New Roman"/>
        </w:rPr>
        <w:t xml:space="preserve"> en los supuestos del litisconsorcio voluntario</w:t>
      </w:r>
      <w:r w:rsidR="00EC3217" w:rsidRPr="00C553B7">
        <w:rPr>
          <w:rFonts w:ascii="Times New Roman" w:hAnsi="Times New Roman" w:cs="Times New Roman"/>
        </w:rPr>
        <w:t xml:space="preserve"> (en la mayoría)</w:t>
      </w:r>
      <w:r w:rsidRPr="00C553B7">
        <w:rPr>
          <w:rFonts w:ascii="Times New Roman" w:hAnsi="Times New Roman" w:cs="Times New Roman"/>
        </w:rPr>
        <w:t xml:space="preserve"> así como la intervención principal y, como se ha señalado, en ciertos casos de la intervenc</w:t>
      </w:r>
      <w:r w:rsidR="00AC22F7" w:rsidRPr="00C553B7">
        <w:rPr>
          <w:rFonts w:ascii="Times New Roman" w:hAnsi="Times New Roman" w:cs="Times New Roman"/>
        </w:rPr>
        <w:t>ión adhesiva litisconsorcial. E</w:t>
      </w:r>
      <w:r w:rsidRPr="00C553B7">
        <w:rPr>
          <w:rFonts w:ascii="Times New Roman" w:hAnsi="Times New Roman" w:cs="Times New Roman"/>
        </w:rPr>
        <w:t>l mayor déficit radica en la clasificación tradicional del litisconsorcio: necesario y voluntario, que se centra en un elemento, su carácter facultativo, que no resulta decisivo en ciertos casos respecto de lo esencial (la relación de las partes con el objeto), aunque se intente un maridaje imposible: litisconsorcio necesario-un único objeto; litisconsorcio voluntario-pluralidad de objetos</w:t>
      </w:r>
      <w:r w:rsidR="009E5B15" w:rsidRPr="00C553B7">
        <w:rPr>
          <w:rFonts w:ascii="Times New Roman" w:hAnsi="Times New Roman" w:cs="Times New Roman"/>
        </w:rPr>
        <w:t xml:space="preserve"> (de ahí que se intente implantar una </w:t>
      </w:r>
      <w:r w:rsidR="00F6232A" w:rsidRPr="00C553B7">
        <w:rPr>
          <w:rFonts w:ascii="Times New Roman" w:hAnsi="Times New Roman" w:cs="Times New Roman"/>
        </w:rPr>
        <w:t xml:space="preserve">nueva </w:t>
      </w:r>
      <w:r w:rsidR="009E5B15" w:rsidRPr="00C553B7">
        <w:rPr>
          <w:rFonts w:ascii="Times New Roman" w:hAnsi="Times New Roman" w:cs="Times New Roman"/>
        </w:rPr>
        <w:t xml:space="preserve">figura </w:t>
      </w:r>
      <w:r w:rsidR="00F6232A" w:rsidRPr="00C553B7">
        <w:rPr>
          <w:rFonts w:ascii="Times New Roman" w:hAnsi="Times New Roman" w:cs="Times New Roman"/>
        </w:rPr>
        <w:t>–</w:t>
      </w:r>
      <w:r w:rsidR="009E5B15" w:rsidRPr="00C553B7">
        <w:rPr>
          <w:rFonts w:ascii="Times New Roman" w:hAnsi="Times New Roman" w:cs="Times New Roman"/>
        </w:rPr>
        <w:t>que no resuelve los problemas expuestos y tiene una aplicación práctica casi nula- el litisconsorcio cuasi-necesario)</w:t>
      </w:r>
      <w:r w:rsidRPr="00C553B7">
        <w:rPr>
          <w:rFonts w:ascii="Times New Roman" w:hAnsi="Times New Roman" w:cs="Times New Roman"/>
        </w:rPr>
        <w:t xml:space="preserve">. Lo que conduce a una inevitable ruptura: en ocasiones el legislador obliga, necesariamente, a acumular acciones: responsabilidad civil subsidiaria de la </w:t>
      </w:r>
      <w:proofErr w:type="spellStart"/>
      <w:r w:rsidRPr="00C553B7">
        <w:rPr>
          <w:rFonts w:ascii="Times New Roman" w:hAnsi="Times New Roman" w:cs="Times New Roman"/>
        </w:rPr>
        <w:t>Admón</w:t>
      </w:r>
      <w:proofErr w:type="spellEnd"/>
      <w:r w:rsidR="00F6232A" w:rsidRPr="00C553B7">
        <w:rPr>
          <w:rFonts w:ascii="Times New Roman" w:hAnsi="Times New Roman" w:cs="Times New Roman"/>
        </w:rPr>
        <w:t xml:space="preserve">, art. 121 </w:t>
      </w:r>
      <w:proofErr w:type="spellStart"/>
      <w:r w:rsidR="00F6232A" w:rsidRPr="00C553B7">
        <w:rPr>
          <w:rFonts w:ascii="Times New Roman" w:hAnsi="Times New Roman" w:cs="Times New Roman"/>
        </w:rPr>
        <w:t>Cp</w:t>
      </w:r>
      <w:proofErr w:type="spellEnd"/>
      <w:r w:rsidR="00F6232A" w:rsidRPr="00C553B7">
        <w:rPr>
          <w:rFonts w:ascii="Times New Roman" w:hAnsi="Times New Roman" w:cs="Times New Roman"/>
        </w:rPr>
        <w:t>,</w:t>
      </w:r>
      <w:r w:rsidRPr="00C553B7">
        <w:rPr>
          <w:rFonts w:ascii="Times New Roman" w:hAnsi="Times New Roman" w:cs="Times New Roman"/>
        </w:rPr>
        <w:t xml:space="preserve"> o ciertos supuestos de las tercerías</w:t>
      </w:r>
      <w:r w:rsidR="00F6232A" w:rsidRPr="00C553B7">
        <w:rPr>
          <w:rFonts w:ascii="Times New Roman" w:hAnsi="Times New Roman" w:cs="Times New Roman"/>
        </w:rPr>
        <w:t xml:space="preserve">, arts. 600 y </w:t>
      </w:r>
      <w:r w:rsidR="008E483E" w:rsidRPr="00C553B7">
        <w:rPr>
          <w:rFonts w:ascii="Times New Roman" w:hAnsi="Times New Roman" w:cs="Times New Roman"/>
        </w:rPr>
        <w:t>617.2 LEC</w:t>
      </w:r>
      <w:r w:rsidRPr="00C553B7">
        <w:rPr>
          <w:rFonts w:ascii="Times New Roman" w:hAnsi="Times New Roman" w:cs="Times New Roman"/>
        </w:rPr>
        <w:t xml:space="preserve">. A ello habría que sumar que al no exigirse, a pesar de la </w:t>
      </w:r>
      <w:proofErr w:type="spellStart"/>
      <w:r w:rsidRPr="00C553B7">
        <w:rPr>
          <w:rFonts w:ascii="Times New Roman" w:hAnsi="Times New Roman" w:cs="Times New Roman"/>
        </w:rPr>
        <w:t>inescindibilidad</w:t>
      </w:r>
      <w:proofErr w:type="spellEnd"/>
      <w:r w:rsidRPr="00C553B7">
        <w:rPr>
          <w:rFonts w:ascii="Times New Roman" w:hAnsi="Times New Roman" w:cs="Times New Roman"/>
        </w:rPr>
        <w:t xml:space="preserve"> del objeto, el litisconsorcio necesario activo l</w:t>
      </w:r>
      <w:r w:rsidR="008E483E" w:rsidRPr="00C553B7">
        <w:rPr>
          <w:rFonts w:ascii="Times New Roman" w:hAnsi="Times New Roman" w:cs="Times New Roman"/>
        </w:rPr>
        <w:t xml:space="preserve">a pluralidad de partes </w:t>
      </w:r>
      <w:r w:rsidRPr="00C553B7">
        <w:rPr>
          <w:rFonts w:ascii="Times New Roman" w:hAnsi="Times New Roman" w:cs="Times New Roman"/>
        </w:rPr>
        <w:t xml:space="preserve">sería facultativa. Además, se </w:t>
      </w:r>
      <w:proofErr w:type="spellStart"/>
      <w:r w:rsidRPr="00C553B7">
        <w:rPr>
          <w:rFonts w:ascii="Times New Roman" w:hAnsi="Times New Roman" w:cs="Times New Roman"/>
        </w:rPr>
        <w:t>aisla</w:t>
      </w:r>
      <w:proofErr w:type="spellEnd"/>
      <w:r w:rsidRPr="00C553B7">
        <w:rPr>
          <w:rFonts w:ascii="Times New Roman" w:hAnsi="Times New Roman" w:cs="Times New Roman"/>
        </w:rPr>
        <w:t xml:space="preserve"> conceptualmente al coadyuvante, al interviniente adhesivo simple, quien se suma al proceso sin que su presencia sea preceptiva, originando pluralidad de partes, sin acumular acción alguna ni ser titular de la relación jurídica debatida. Si bien antes era factible dicha posibilidad, ahora, tras reforzar la LEC su estatus de parte, art. 13, resulta imposible. Por el contrario, frente al empleo del litisconsorcio en su acepción etimológica juega el hecho de que en ocasiones no exista suerte común compartida: en la intervención principal o en algunos supuestos que admite la jurisprudencia en los que el vínculo jurídico entre las acciones es nimio.</w:t>
      </w:r>
    </w:p>
    <w:p w14:paraId="325FA3F8" w14:textId="53C6FEAA" w:rsidR="00DA4C0C" w:rsidRPr="00C553B7" w:rsidRDefault="00DA4C0C" w:rsidP="00BB7EDA">
      <w:pPr>
        <w:pStyle w:val="Textonotapie"/>
        <w:ind w:firstLine="0"/>
        <w:jc w:val="both"/>
        <w:rPr>
          <w:rFonts w:ascii="Times New Roman" w:hAnsi="Times New Roman" w:cs="Times New Roman"/>
        </w:rPr>
      </w:pPr>
      <w:r w:rsidRPr="00C553B7">
        <w:rPr>
          <w:rFonts w:ascii="Times New Roman" w:hAnsi="Times New Roman" w:cs="Times New Roman"/>
        </w:rPr>
        <w:t>Frente a lo exp</w:t>
      </w:r>
      <w:r w:rsidR="00AC22F7" w:rsidRPr="00C553B7">
        <w:rPr>
          <w:rFonts w:ascii="Times New Roman" w:hAnsi="Times New Roman" w:cs="Times New Roman"/>
        </w:rPr>
        <w:t>uesto, se</w:t>
      </w:r>
      <w:r w:rsidRPr="00C553B7">
        <w:rPr>
          <w:rFonts w:ascii="Times New Roman" w:hAnsi="Times New Roman" w:cs="Times New Roman"/>
        </w:rPr>
        <w:t xml:space="preserve"> entiende a la pluralidad de partes como un género y al litisconsorcio como una de las modalidades de la misma, VIDAL PÉREZ, M.F., </w:t>
      </w:r>
      <w:r w:rsidRPr="00C553B7">
        <w:rPr>
          <w:rFonts w:ascii="Times New Roman" w:hAnsi="Times New Roman" w:cs="Times New Roman"/>
          <w:i/>
        </w:rPr>
        <w:t xml:space="preserve">El litisconsorcio en el proceso civil, </w:t>
      </w:r>
      <w:r w:rsidRPr="00C553B7">
        <w:rPr>
          <w:rFonts w:ascii="Times New Roman" w:hAnsi="Times New Roman" w:cs="Times New Roman"/>
        </w:rPr>
        <w:t>Madrid, 2007, pp. 37 y 38</w:t>
      </w:r>
      <w:r w:rsidR="00863734">
        <w:rPr>
          <w:rFonts w:ascii="Times New Roman" w:hAnsi="Times New Roman" w:cs="Times New Roman"/>
        </w:rPr>
        <w:t xml:space="preserve">, MONTERO AROCA…, </w:t>
      </w:r>
      <w:proofErr w:type="spellStart"/>
      <w:r w:rsidR="00863734">
        <w:rPr>
          <w:rFonts w:ascii="Times New Roman" w:hAnsi="Times New Roman" w:cs="Times New Roman"/>
          <w:i/>
        </w:rPr>
        <w:t>op</w:t>
      </w:r>
      <w:proofErr w:type="spellEnd"/>
      <w:r w:rsidR="008A1361">
        <w:rPr>
          <w:rFonts w:ascii="Times New Roman" w:hAnsi="Times New Roman" w:cs="Times New Roman"/>
          <w:i/>
        </w:rPr>
        <w:t>.</w:t>
      </w:r>
      <w:r w:rsidR="00863734">
        <w:rPr>
          <w:rFonts w:ascii="Times New Roman" w:hAnsi="Times New Roman" w:cs="Times New Roman"/>
          <w:i/>
        </w:rPr>
        <w:t xml:space="preserve"> cit., </w:t>
      </w:r>
      <w:r w:rsidR="00863734">
        <w:rPr>
          <w:rFonts w:ascii="Times New Roman" w:hAnsi="Times New Roman" w:cs="Times New Roman"/>
        </w:rPr>
        <w:t>(al distinguir, inadecuadamente para nosotros, entre la acumulación y la pluralidad de partes –esta cuando solo hay un objeto), pp. 61</w:t>
      </w:r>
      <w:r w:rsidR="008A1361">
        <w:rPr>
          <w:rFonts w:ascii="Times New Roman" w:hAnsi="Times New Roman" w:cs="Times New Roman"/>
        </w:rPr>
        <w:t xml:space="preserve"> y ss.</w:t>
      </w:r>
      <w:r w:rsidR="009E5B15" w:rsidRPr="00C553B7">
        <w:rPr>
          <w:rFonts w:ascii="Times New Roman" w:hAnsi="Times New Roman" w:cs="Times New Roman"/>
        </w:rPr>
        <w:t xml:space="preserve"> Y nuestro legislador </w:t>
      </w:r>
      <w:r w:rsidR="00394A59" w:rsidRPr="00C553B7">
        <w:rPr>
          <w:rFonts w:ascii="Times New Roman" w:hAnsi="Times New Roman" w:cs="Times New Roman"/>
        </w:rPr>
        <w:t xml:space="preserve">rubrica al Cap. II, </w:t>
      </w:r>
      <w:proofErr w:type="spellStart"/>
      <w:r w:rsidR="00394A59" w:rsidRPr="00C553B7">
        <w:rPr>
          <w:rFonts w:ascii="Times New Roman" w:hAnsi="Times New Roman" w:cs="Times New Roman"/>
        </w:rPr>
        <w:t>Tit</w:t>
      </w:r>
      <w:proofErr w:type="spellEnd"/>
      <w:r w:rsidR="00394A59" w:rsidRPr="00C553B7">
        <w:rPr>
          <w:rFonts w:ascii="Times New Roman" w:hAnsi="Times New Roman" w:cs="Times New Roman"/>
        </w:rPr>
        <w:t>. Primero, Lib. Primero, “De la plura</w:t>
      </w:r>
      <w:r w:rsidR="00592761">
        <w:rPr>
          <w:rFonts w:ascii="Times New Roman" w:hAnsi="Times New Roman" w:cs="Times New Roman"/>
        </w:rPr>
        <w:t>lidad de partes” para diferenciar</w:t>
      </w:r>
      <w:r w:rsidR="00394A59" w:rsidRPr="00C553B7">
        <w:rPr>
          <w:rFonts w:ascii="Times New Roman" w:hAnsi="Times New Roman" w:cs="Times New Roman"/>
        </w:rPr>
        <w:t xml:space="preserve"> entre el litisconsorcio, art. 12 LEC y la intervención, arts. 13 y 14 LEC.</w:t>
      </w:r>
    </w:p>
  </w:footnote>
  <w:footnote w:id="13">
    <w:p w14:paraId="07944DB9" w14:textId="4D554AEB"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Efectivamente, al abordar la acumulación subjetiva desde la perspectiva de la pluralidad de partes resulta que, tradicionalmente, si es inicial se la denomina litisconsorcio voluntario, pero si se ocasiona de forma sobrevenida por inserción como consecuencia de la ampliación de la demanda o de la reconvención carece de apelativo alguno al igual que si sobreviene por la acumulación de procesos. Habría pues, 5 categorías diferentes d</w:t>
      </w:r>
      <w:r w:rsidR="00EC3217" w:rsidRPr="00C553B7">
        <w:rPr>
          <w:rFonts w:ascii="Times New Roman" w:hAnsi="Times New Roman" w:cs="Times New Roman"/>
        </w:rPr>
        <w:t>e acumulación subjetiva</w:t>
      </w:r>
      <w:r w:rsidRPr="00C553B7">
        <w:rPr>
          <w:rFonts w:ascii="Times New Roman" w:hAnsi="Times New Roman" w:cs="Times New Roman"/>
        </w:rPr>
        <w:t>: 1) litisconsorcio voluntario si es inicial; 2) por la ampliación de la demanda (innominada); 3) a consecuencia de la reconvención (innominada); 4) intervención principal; 5) por acumulación de procesos (innominada). Y a ellas, como explicamos, habría que añadir un sexto supuesto: 6) ciertas hipótesis de intervención adhesiva litisconsorcial. Este galimatías es un motivo más para equiparar litisconsorcio a pluralidad de partes</w:t>
      </w:r>
      <w:r w:rsidR="005E0E13" w:rsidRPr="00C553B7">
        <w:rPr>
          <w:rFonts w:ascii="Times New Roman" w:hAnsi="Times New Roman" w:cs="Times New Roman"/>
        </w:rPr>
        <w:t xml:space="preserve">, LÓPEZ JIMÉNEZ, R., </w:t>
      </w:r>
      <w:r w:rsidR="005E0E13" w:rsidRPr="00C553B7">
        <w:rPr>
          <w:rFonts w:ascii="Times New Roman" w:hAnsi="Times New Roman" w:cs="Times New Roman"/>
          <w:i/>
        </w:rPr>
        <w:t xml:space="preserve">El litisconsorcio, </w:t>
      </w:r>
      <w:r w:rsidR="005E0E13" w:rsidRPr="00C553B7">
        <w:rPr>
          <w:rFonts w:ascii="Times New Roman" w:hAnsi="Times New Roman" w:cs="Times New Roman"/>
        </w:rPr>
        <w:t>Valencia, 2009, pp. 24 y 25,</w:t>
      </w:r>
      <w:r w:rsidRPr="00C553B7">
        <w:rPr>
          <w:rFonts w:ascii="Times New Roman" w:hAnsi="Times New Roman" w:cs="Times New Roman"/>
        </w:rPr>
        <w:t xml:space="preserve"> y dentro de las categorías del mismo el litisconsorcio voluntario englobaría todos los supuestos comentados aunque en alguna ocasión</w:t>
      </w:r>
      <w:r w:rsidR="00A54624" w:rsidRPr="00C553B7">
        <w:rPr>
          <w:rFonts w:ascii="Times New Roman" w:hAnsi="Times New Roman" w:cs="Times New Roman"/>
        </w:rPr>
        <w:t xml:space="preserve"> y excepcionalmente,</w:t>
      </w:r>
      <w:r w:rsidRPr="00C553B7">
        <w:rPr>
          <w:rFonts w:ascii="Times New Roman" w:hAnsi="Times New Roman" w:cs="Times New Roman"/>
        </w:rPr>
        <w:t xml:space="preserve"> como se explicó </w:t>
      </w:r>
      <w:r w:rsidRPr="00C553B7">
        <w:rPr>
          <w:rFonts w:ascii="Times New Roman" w:hAnsi="Times New Roman" w:cs="Times New Roman"/>
          <w:i/>
        </w:rPr>
        <w:t>supra</w:t>
      </w:r>
      <w:r w:rsidR="00A54624" w:rsidRPr="00C553B7">
        <w:rPr>
          <w:rFonts w:ascii="Times New Roman" w:hAnsi="Times New Roman" w:cs="Times New Roman"/>
          <w:i/>
        </w:rPr>
        <w:t>,</w:t>
      </w:r>
      <w:r w:rsidRPr="00C553B7">
        <w:rPr>
          <w:rFonts w:ascii="Times New Roman" w:hAnsi="Times New Roman" w:cs="Times New Roman"/>
        </w:rPr>
        <w:t xml:space="preserve"> venga impuesto por la ley</w:t>
      </w:r>
      <w:r w:rsidR="00A54624" w:rsidRPr="00C553B7">
        <w:rPr>
          <w:rFonts w:ascii="Times New Roman" w:hAnsi="Times New Roman" w:cs="Times New Roman"/>
        </w:rPr>
        <w:t xml:space="preserve"> o su carácter facultativo no comporte pluralidad de objetos</w:t>
      </w:r>
      <w:r w:rsidRPr="00C553B7">
        <w:rPr>
          <w:rFonts w:ascii="Times New Roman" w:hAnsi="Times New Roman" w:cs="Times New Roman"/>
        </w:rPr>
        <w:t xml:space="preserve">. </w:t>
      </w:r>
      <w:r w:rsidR="00C94A26" w:rsidRPr="00C553B7">
        <w:rPr>
          <w:rFonts w:ascii="Times New Roman" w:hAnsi="Times New Roman" w:cs="Times New Roman"/>
        </w:rPr>
        <w:t xml:space="preserve">Y ello por la propia limitación, </w:t>
      </w:r>
      <w:r w:rsidR="00C94A26" w:rsidRPr="00C553B7">
        <w:rPr>
          <w:rFonts w:ascii="Times New Roman" w:hAnsi="Times New Roman" w:cs="Times New Roman"/>
          <w:i/>
        </w:rPr>
        <w:t>supra,</w:t>
      </w:r>
      <w:r w:rsidR="00FD25C7" w:rsidRPr="00C553B7">
        <w:rPr>
          <w:rFonts w:ascii="Times New Roman" w:hAnsi="Times New Roman" w:cs="Times New Roman"/>
        </w:rPr>
        <w:t xml:space="preserve"> etimológica, de esta forma de denominar al</w:t>
      </w:r>
      <w:r w:rsidR="00C94A26" w:rsidRPr="00C553B7">
        <w:rPr>
          <w:rFonts w:ascii="Times New Roman" w:hAnsi="Times New Roman" w:cs="Times New Roman"/>
        </w:rPr>
        <w:t xml:space="preserve"> litisconsorcio</w:t>
      </w:r>
      <w:r w:rsidR="00FD25C7" w:rsidRPr="00C553B7">
        <w:rPr>
          <w:rFonts w:ascii="Times New Roman" w:hAnsi="Times New Roman" w:cs="Times New Roman"/>
        </w:rPr>
        <w:t xml:space="preserve"> que conlleva el </w:t>
      </w:r>
      <w:r w:rsidR="005C05D7">
        <w:rPr>
          <w:rFonts w:ascii="Times New Roman" w:hAnsi="Times New Roman" w:cs="Times New Roman"/>
        </w:rPr>
        <w:t>ejercicio de varias acciones de</w:t>
      </w:r>
      <w:r w:rsidR="00FD25C7" w:rsidRPr="00C553B7">
        <w:rPr>
          <w:rFonts w:ascii="Times New Roman" w:hAnsi="Times New Roman" w:cs="Times New Roman"/>
        </w:rPr>
        <w:t xml:space="preserve"> diferentes legitimados</w:t>
      </w:r>
      <w:r w:rsidR="00C94A26" w:rsidRPr="00C553B7">
        <w:rPr>
          <w:rFonts w:ascii="Times New Roman" w:hAnsi="Times New Roman" w:cs="Times New Roman"/>
        </w:rPr>
        <w:t>.</w:t>
      </w:r>
    </w:p>
    <w:p w14:paraId="5D3BAFD4" w14:textId="3387BE08" w:rsidR="00A45787" w:rsidRPr="00C553B7" w:rsidRDefault="00C94A26" w:rsidP="00BB7EDA">
      <w:pPr>
        <w:pStyle w:val="Textonotapie"/>
        <w:ind w:firstLine="0"/>
        <w:jc w:val="both"/>
        <w:rPr>
          <w:rFonts w:ascii="Times New Roman" w:hAnsi="Times New Roman" w:cs="Times New Roman"/>
        </w:rPr>
      </w:pPr>
      <w:r w:rsidRPr="00C553B7">
        <w:rPr>
          <w:rFonts w:ascii="Times New Roman" w:hAnsi="Times New Roman" w:cs="Times New Roman"/>
        </w:rPr>
        <w:t>Por otra parte</w:t>
      </w:r>
      <w:r w:rsidR="00A45787" w:rsidRPr="00C553B7">
        <w:rPr>
          <w:rFonts w:ascii="Times New Roman" w:hAnsi="Times New Roman" w:cs="Times New Roman"/>
        </w:rPr>
        <w:t>, cuando se habla de intervención adhesiva litisconsorcial se refuerza nuestra tesis al reconocer que el litisconsorcio existe más allá de la demanda y equivale a pluralidad de partes. Además, también es evidente que ciertas acumulaciones sobrevenidas también podrían originar litisconsorcios necesarios (ampliación de la demanda y reconvención), por lo que esa categoría tampoco puede ceñirse a la pluralidad de partes inicial.</w:t>
      </w:r>
    </w:p>
  </w:footnote>
  <w:footnote w:id="14">
    <w:p w14:paraId="72C9037B" w14:textId="0B2A78B7"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 pesar de las diferentes tesis que se han sostenido (imposibilidad de acumular; competencia de uno u otro), prevalece la de que la </w:t>
      </w:r>
      <w:proofErr w:type="spellStart"/>
      <w:r w:rsidRPr="00C553B7">
        <w:rPr>
          <w:rFonts w:ascii="Times New Roman" w:hAnsi="Times New Roman" w:cs="Times New Roman"/>
        </w:rPr>
        <w:t>prejudicialidad</w:t>
      </w:r>
      <w:proofErr w:type="spellEnd"/>
      <w:r w:rsidRPr="00C553B7">
        <w:rPr>
          <w:rFonts w:ascii="Times New Roman" w:hAnsi="Times New Roman" w:cs="Times New Roman"/>
        </w:rPr>
        <w:t xml:space="preserve"> entre las acciones y el carácter solidario de los demandados debe evitar el peregrinaje procesal, art. 24.1 CE (a través de una exégesis “pietista” de los arts. 86 ter LOPJ y 73 LEC), y permite la acu</w:t>
      </w:r>
      <w:r w:rsidR="002638A0">
        <w:rPr>
          <w:rFonts w:ascii="Times New Roman" w:hAnsi="Times New Roman" w:cs="Times New Roman"/>
        </w:rPr>
        <w:t>mulación ante el Juzgado de lo M</w:t>
      </w:r>
      <w:r w:rsidRPr="00C553B7">
        <w:rPr>
          <w:rFonts w:ascii="Times New Roman" w:hAnsi="Times New Roman" w:cs="Times New Roman"/>
        </w:rPr>
        <w:t>ercantil dado que en nin</w:t>
      </w:r>
      <w:r w:rsidR="002638A0">
        <w:rPr>
          <w:rFonts w:ascii="Times New Roman" w:hAnsi="Times New Roman" w:cs="Times New Roman"/>
        </w:rPr>
        <w:t>gún caso pueden conocer los de Primera I</w:t>
      </w:r>
      <w:r w:rsidRPr="00C553B7">
        <w:rPr>
          <w:rFonts w:ascii="Times New Roman" w:hAnsi="Times New Roman" w:cs="Times New Roman"/>
        </w:rPr>
        <w:t>nstancia de la responsabilidad de los administradores y que la acumulación no supone merma alguna de las garantías procesales de las partes (el proceso es el mismo), Autos Audiencia Provincial Madrid, Sección 20ª de 24 de junio de 2005 y Sección 9ª de 14 de julio del mismo año, Sección 19ª, Auto núm. 21</w:t>
      </w:r>
      <w:r w:rsidR="0003107D">
        <w:rPr>
          <w:rFonts w:ascii="Times New Roman" w:hAnsi="Times New Roman" w:cs="Times New Roman"/>
        </w:rPr>
        <w:t>2/2006 de 14 julio</w:t>
      </w:r>
      <w:r w:rsidRPr="00C553B7">
        <w:rPr>
          <w:rFonts w:ascii="Times New Roman" w:hAnsi="Times New Roman" w:cs="Times New Roman"/>
        </w:rPr>
        <w:t>. Criterio refrendado por el TS, SSTS Sala 1ª núm. 539/2012, de 10 de septiembre, recurso núm. 2149/2009; de 23 de mayo de 2013, ECLI: ES</w:t>
      </w:r>
      <w:proofErr w:type="gramStart"/>
      <w:r w:rsidRPr="00C553B7">
        <w:rPr>
          <w:rFonts w:ascii="Times New Roman" w:hAnsi="Times New Roman" w:cs="Times New Roman"/>
        </w:rPr>
        <w:t>:TS:2013:2742</w:t>
      </w:r>
      <w:proofErr w:type="gramEnd"/>
      <w:r w:rsidRPr="00C553B7">
        <w:rPr>
          <w:rFonts w:ascii="Times New Roman" w:hAnsi="Times New Roman" w:cs="Times New Roman"/>
        </w:rPr>
        <w:t xml:space="preserve">, Id </w:t>
      </w:r>
      <w:proofErr w:type="spellStart"/>
      <w:r w:rsidRPr="00C553B7">
        <w:rPr>
          <w:rFonts w:ascii="Times New Roman" w:hAnsi="Times New Roman" w:cs="Times New Roman"/>
        </w:rPr>
        <w:t>Cendoj</w:t>
      </w:r>
      <w:proofErr w:type="spellEnd"/>
      <w:r w:rsidRPr="00C553B7">
        <w:rPr>
          <w:rFonts w:ascii="Times New Roman" w:hAnsi="Times New Roman" w:cs="Times New Roman"/>
        </w:rPr>
        <w:t>: 28079110012013100290 Nº de Recurso: 417/2010, Nº de Resolución:</w:t>
      </w:r>
      <w:r w:rsidR="00C20D85">
        <w:rPr>
          <w:rFonts w:ascii="Times New Roman" w:hAnsi="Times New Roman" w:cs="Times New Roman"/>
        </w:rPr>
        <w:t xml:space="preserve"> </w:t>
      </w:r>
      <w:r w:rsidRPr="00C553B7">
        <w:rPr>
          <w:rFonts w:ascii="Times New Roman" w:hAnsi="Times New Roman" w:cs="Times New Roman"/>
        </w:rPr>
        <w:t xml:space="preserve">315/2013. </w:t>
      </w:r>
    </w:p>
  </w:footnote>
  <w:footnote w:id="15">
    <w:p w14:paraId="0F9EF8B6" w14:textId="1089E3BB" w:rsidR="00D733BB" w:rsidRPr="00C553B7" w:rsidRDefault="00D733BB"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AAP Madrid Auto, Sección Vigesimoquinta,</w:t>
      </w:r>
      <w:r w:rsidR="006451E9" w:rsidRPr="00C553B7">
        <w:rPr>
          <w:rFonts w:ascii="Times New Roman" w:hAnsi="Times New Roman" w:cs="Times New Roman"/>
        </w:rPr>
        <w:t xml:space="preserve"> 17/02/2017,</w:t>
      </w:r>
      <w:r w:rsidRPr="00C553B7">
        <w:rPr>
          <w:rFonts w:ascii="Times New Roman" w:hAnsi="Times New Roman" w:cs="Times New Roman"/>
        </w:rPr>
        <w:t xml:space="preserve"> núm. Sentencia: 52/2017, núm. </w:t>
      </w:r>
      <w:r w:rsidR="0003107D">
        <w:rPr>
          <w:rFonts w:ascii="Times New Roman" w:hAnsi="Times New Roman" w:cs="Times New Roman"/>
        </w:rPr>
        <w:t>Recurso: 860/2016</w:t>
      </w:r>
      <w:r w:rsidRPr="00C553B7">
        <w:rPr>
          <w:rFonts w:ascii="Times New Roman" w:hAnsi="Times New Roman" w:cs="Times New Roman"/>
        </w:rPr>
        <w:t>,</w:t>
      </w:r>
      <w:r w:rsidR="0003107D">
        <w:rPr>
          <w:rFonts w:ascii="Times New Roman" w:hAnsi="Times New Roman" w:cs="Times New Roman"/>
        </w:rPr>
        <w:t xml:space="preserve"> </w:t>
      </w:r>
      <w:r w:rsidRPr="00C553B7">
        <w:rPr>
          <w:rFonts w:ascii="Times New Roman" w:hAnsi="Times New Roman" w:cs="Times New Roman"/>
        </w:rPr>
        <w:t xml:space="preserve"> FD segundo, “Así lo ha entendido esta Sección 25ª en las resoluciones dictadas en los recursos de apelación 34/2012, 528/2011 y 87/2013, siguiendo, además, el criterio sostenido en equivalentes términos por la Sección 28ª en sus Autos de 25 de mayo de 2012 y 27 de noviembre de 2</w:t>
      </w:r>
      <w:r w:rsidR="00C7723A">
        <w:rPr>
          <w:rFonts w:ascii="Times New Roman" w:hAnsi="Times New Roman" w:cs="Times New Roman"/>
        </w:rPr>
        <w:t xml:space="preserve">009.” Y con mayor precisión la </w:t>
      </w:r>
      <w:r w:rsidRPr="00C553B7">
        <w:rPr>
          <w:rFonts w:ascii="Times New Roman" w:hAnsi="Times New Roman" w:cs="Times New Roman"/>
        </w:rPr>
        <w:t>AP Málaga, de 15/11/2016, Sección Quinta, número Sentencia: 375/</w:t>
      </w:r>
      <w:r w:rsidR="0003107D">
        <w:rPr>
          <w:rFonts w:ascii="Times New Roman" w:hAnsi="Times New Roman" w:cs="Times New Roman"/>
        </w:rPr>
        <w:t xml:space="preserve">2016, número Recurso: 493/2015, </w:t>
      </w:r>
      <w:r w:rsidRPr="00C553B7">
        <w:rPr>
          <w:rFonts w:ascii="Times New Roman" w:hAnsi="Times New Roman" w:cs="Times New Roman"/>
        </w:rPr>
        <w:t xml:space="preserve"> FD segundo, explica “A modo de ejemplo señalaremos que según se desprende de las reglas contenidas en los números 5 , 6 y 7 del art. 87 de la L.C ., la declaración del concurso no impide el ejercicio de las acciones contra los fiadores, permitiendo la regla 6 citada la sustitución del titular del crédito en caso de pago por el fiador, de manera que el concurso del deudor solidario no impide al acreedor perseguir separadamente el patrimonio del resto de obligados.”</w:t>
      </w:r>
    </w:p>
  </w:footnote>
  <w:footnote w:id="16">
    <w:p w14:paraId="1B00C131" w14:textId="69E4BE5D" w:rsidR="007B6C74" w:rsidRPr="00C553B7" w:rsidRDefault="007B6C74"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La STSJ de Navarra, 28/04/2016, Sección: Primera, núm. Sentencia: 5/2016, núm</w:t>
      </w:r>
      <w:r w:rsidR="0003107D">
        <w:rPr>
          <w:rFonts w:ascii="Times New Roman" w:hAnsi="Times New Roman" w:cs="Times New Roman"/>
        </w:rPr>
        <w:t>. Recurso: 11/2015</w:t>
      </w:r>
      <w:r w:rsidRPr="00C553B7">
        <w:rPr>
          <w:rFonts w:ascii="Times New Roman" w:hAnsi="Times New Roman" w:cs="Times New Roman"/>
        </w:rPr>
        <w:t>, FD tercero, recoge la jurisprudencia del TS a este respecto y recuerda que también la mantiene como criterio propio, AATS de 18 de noviembre de 2015 y de 23 septiembre de 2014, SSTS de 5 de octubre de 1999 , 30 de marzo de 2000 , 25 de enero de 2001 y 19 de febrero de 2009 , así como en los autos de 27 de marzo de 2001 , 12 de febrero de 2002 , 22 de julio de 2008 , 14 de octubre de 2008 y 24 de febrero</w:t>
      </w:r>
      <w:r w:rsidR="00823931" w:rsidRPr="00C553B7">
        <w:rPr>
          <w:rFonts w:ascii="Times New Roman" w:hAnsi="Times New Roman" w:cs="Times New Roman"/>
        </w:rPr>
        <w:t xml:space="preserve"> de 2009, 19 de febrero de 2011.</w:t>
      </w:r>
      <w:r w:rsidR="000A44EE" w:rsidRPr="00C553B7">
        <w:rPr>
          <w:rFonts w:ascii="Times New Roman" w:hAnsi="Times New Roman" w:cs="Times New Roman"/>
        </w:rPr>
        <w:t xml:space="preserve"> </w:t>
      </w:r>
    </w:p>
  </w:footnote>
  <w:footnote w:id="17">
    <w:p w14:paraId="720BB065" w14:textId="52301E27" w:rsidR="002F457E" w:rsidRPr="00EF612C" w:rsidRDefault="002F457E"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 favor también de la suma, DE ANDRÉS HERRERO, M.A., </w:t>
      </w:r>
      <w:r w:rsidRPr="00C553B7">
        <w:rPr>
          <w:rFonts w:ascii="Times New Roman" w:hAnsi="Times New Roman" w:cs="Times New Roman"/>
          <w:i/>
        </w:rPr>
        <w:t>Enjuiciamiento civil.</w:t>
      </w:r>
      <w:r w:rsidRPr="00C553B7">
        <w:rPr>
          <w:rFonts w:ascii="Times New Roman" w:hAnsi="Times New Roman" w:cs="Times New Roman"/>
        </w:rPr>
        <w:t xml:space="preserve"> </w:t>
      </w:r>
      <w:r w:rsidRPr="00C553B7">
        <w:rPr>
          <w:rFonts w:ascii="Times New Roman" w:hAnsi="Times New Roman" w:cs="Times New Roman"/>
          <w:i/>
        </w:rPr>
        <w:t xml:space="preserve">Comentarios y jurisprudencia, </w:t>
      </w:r>
      <w:r w:rsidRPr="00C553B7">
        <w:rPr>
          <w:rFonts w:ascii="Times New Roman" w:hAnsi="Times New Roman" w:cs="Times New Roman"/>
        </w:rPr>
        <w:t>Coord. XIOL RÍOS, J.A.</w:t>
      </w:r>
      <w:r w:rsidR="00EF612C">
        <w:rPr>
          <w:rFonts w:ascii="Times New Roman" w:hAnsi="Times New Roman" w:cs="Times New Roman"/>
        </w:rPr>
        <w:t xml:space="preserve">, Madrid, 2008, Vol. I, p. 1483; GASCÓN INCHAUSTI, F., </w:t>
      </w:r>
      <w:r w:rsidR="00EF612C">
        <w:rPr>
          <w:rFonts w:ascii="Times New Roman" w:hAnsi="Times New Roman" w:cs="Times New Roman"/>
          <w:i/>
        </w:rPr>
        <w:t xml:space="preserve">La acumulación de acciones y procesos en el proceso civil, </w:t>
      </w:r>
      <w:r w:rsidR="00EF612C">
        <w:rPr>
          <w:rFonts w:ascii="Times New Roman" w:hAnsi="Times New Roman" w:cs="Times New Roman"/>
        </w:rPr>
        <w:t xml:space="preserve">Madrid, 2000, p. 60, y sobre todo GONZÁLEZ GARCÍA, J.M., </w:t>
      </w:r>
      <w:r w:rsidR="00EF612C">
        <w:rPr>
          <w:rFonts w:ascii="Times New Roman" w:hAnsi="Times New Roman" w:cs="Times New Roman"/>
          <w:i/>
        </w:rPr>
        <w:t xml:space="preserve">La determinación del procedimiento por razón de la cuantía, </w:t>
      </w:r>
      <w:r w:rsidR="00EF612C">
        <w:rPr>
          <w:rFonts w:ascii="Times New Roman" w:hAnsi="Times New Roman" w:cs="Times New Roman"/>
        </w:rPr>
        <w:t xml:space="preserve">Granada, 1996, p. 222, donde revisa el criterio imperante en la </w:t>
      </w:r>
      <w:proofErr w:type="spellStart"/>
      <w:r w:rsidR="00EF612C">
        <w:rPr>
          <w:rFonts w:ascii="Times New Roman" w:hAnsi="Times New Roman" w:cs="Times New Roman"/>
        </w:rPr>
        <w:t>Lec</w:t>
      </w:r>
      <w:proofErr w:type="spellEnd"/>
      <w:r w:rsidR="00EF612C">
        <w:rPr>
          <w:rFonts w:ascii="Times New Roman" w:hAnsi="Times New Roman" w:cs="Times New Roman"/>
        </w:rPr>
        <w:t xml:space="preserve"> de 1881 que sumaba también lo inconexo.</w:t>
      </w:r>
    </w:p>
  </w:footnote>
  <w:footnote w:id="18">
    <w:p w14:paraId="1D631611" w14:textId="44FDF98D" w:rsidR="00BD7617" w:rsidRPr="00C553B7" w:rsidRDefault="00BD761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C7723A">
        <w:rPr>
          <w:rFonts w:ascii="Times New Roman" w:hAnsi="Times New Roman" w:cs="Times New Roman"/>
        </w:rPr>
        <w:t xml:space="preserve"> SAP La Coruña, Sección </w:t>
      </w:r>
      <w:r w:rsidRPr="00C553B7">
        <w:rPr>
          <w:rFonts w:ascii="Times New Roman" w:hAnsi="Times New Roman" w:cs="Times New Roman"/>
        </w:rPr>
        <w:t>3</w:t>
      </w:r>
      <w:r w:rsidR="00C7723A">
        <w:rPr>
          <w:rFonts w:ascii="Times New Roman" w:hAnsi="Times New Roman" w:cs="Times New Roman"/>
        </w:rPr>
        <w:t>ª</w:t>
      </w:r>
      <w:r w:rsidRPr="00C553B7">
        <w:rPr>
          <w:rFonts w:ascii="Times New Roman" w:hAnsi="Times New Roman" w:cs="Times New Roman"/>
        </w:rPr>
        <w:t>, de 06/05/2106, núm. 182/2016, núm. recurso: 561</w:t>
      </w:r>
      <w:r w:rsidR="0003107D">
        <w:rPr>
          <w:rFonts w:ascii="Times New Roman" w:hAnsi="Times New Roman" w:cs="Times New Roman"/>
        </w:rPr>
        <w:t xml:space="preserve">/2015, FD tercero. </w:t>
      </w:r>
      <w:r w:rsidRPr="00C553B7">
        <w:rPr>
          <w:rFonts w:ascii="Times New Roman" w:hAnsi="Times New Roman" w:cs="Times New Roman"/>
        </w:rPr>
        <w:t xml:space="preserve"> </w:t>
      </w:r>
    </w:p>
  </w:footnote>
  <w:footnote w:id="19">
    <w:p w14:paraId="62EFB31C" w14:textId="3FD37133"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823931" w:rsidRPr="00C553B7">
        <w:rPr>
          <w:rFonts w:ascii="Times New Roman" w:hAnsi="Times New Roman" w:cs="Times New Roman"/>
        </w:rPr>
        <w:t xml:space="preserve"> S</w:t>
      </w:r>
      <w:r w:rsidRPr="00C553B7">
        <w:rPr>
          <w:rFonts w:ascii="Times New Roman" w:hAnsi="Times New Roman" w:cs="Times New Roman"/>
        </w:rPr>
        <w:t xml:space="preserve">olo se contempla expresamente la solidaridad, regla 6ª, pero </w:t>
      </w:r>
      <w:r w:rsidR="002869E8" w:rsidRPr="00C553B7">
        <w:rPr>
          <w:rFonts w:ascii="Times New Roman" w:hAnsi="Times New Roman" w:cs="Times New Roman"/>
        </w:rPr>
        <w:t xml:space="preserve">la exégesis propuesta </w:t>
      </w:r>
      <w:r w:rsidRPr="00C553B7">
        <w:rPr>
          <w:rFonts w:ascii="Times New Roman" w:hAnsi="Times New Roman" w:cs="Times New Roman"/>
        </w:rPr>
        <w:t>resulta de una interpretación sistemática del precepto: la cuantía del pleito viene determinada (excluyendo la suma de lo inconexo desde la LEC, regla 1ª) por el cómputo a metálico, cuando es necesario, de la tutela solicitada que se necesita para satisfacer el interés legítimo del/os actor/es, salvo las excepciones expresamente previstas (desahucio y reclamación rentas, regla 2ª). Por eso, por ejemplo, si existe una acumulación eventual o subsidiaria solo se toma en cuenta la acción de mayor valor, regla 1ª, o en caso de acumulación de acciones reales no cabe exceder del valor del bien, regla 3ª.</w:t>
      </w:r>
    </w:p>
  </w:footnote>
  <w:footnote w:id="20">
    <w:p w14:paraId="4E4EADB6" w14:textId="27FDBAEA" w:rsidR="00414D01" w:rsidRPr="00C553B7" w:rsidRDefault="00414D01"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“El concepto de título no debe ser interpretado en sentido estricto, sino que debe entenderse que incluye también la causa de pedir, pues el artículo 252.2ª, aplicando criterios sistemáticos, debe ser interpretado en relación con lo dispuesto en el art. 72 LEC”, STS 9 diciembre 2010</w:t>
      </w:r>
    </w:p>
  </w:footnote>
  <w:footnote w:id="21">
    <w:p w14:paraId="5EADCF85" w14:textId="738DF700" w:rsidR="004253DA" w:rsidRPr="00C553B7" w:rsidRDefault="004253DA"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0C6782">
        <w:rPr>
          <w:rFonts w:ascii="Times New Roman" w:hAnsi="Times New Roman" w:cs="Times New Roman"/>
        </w:rPr>
        <w:t>S</w:t>
      </w:r>
      <w:r w:rsidRPr="00C553B7">
        <w:rPr>
          <w:rFonts w:ascii="Times New Roman" w:hAnsi="Times New Roman" w:cs="Times New Roman"/>
        </w:rPr>
        <w:t>AP Ciudad Real, Secció</w:t>
      </w:r>
      <w:r w:rsidR="0048376E" w:rsidRPr="00C553B7">
        <w:rPr>
          <w:rFonts w:ascii="Times New Roman" w:hAnsi="Times New Roman" w:cs="Times New Roman"/>
        </w:rPr>
        <w:t>n Segunda, de 21 de junio de 200</w:t>
      </w:r>
      <w:r w:rsidRPr="00C553B7">
        <w:rPr>
          <w:rFonts w:ascii="Times New Roman" w:hAnsi="Times New Roman" w:cs="Times New Roman"/>
        </w:rPr>
        <w:t xml:space="preserve">6, citada en </w:t>
      </w:r>
      <w:r w:rsidRPr="00C553B7">
        <w:rPr>
          <w:rFonts w:ascii="Times New Roman" w:hAnsi="Times New Roman" w:cs="Times New Roman"/>
          <w:i/>
        </w:rPr>
        <w:t xml:space="preserve">Ley de Enjuiciamiento civil, </w:t>
      </w:r>
      <w:r w:rsidRPr="00C553B7">
        <w:rPr>
          <w:rFonts w:ascii="Times New Roman" w:hAnsi="Times New Roman" w:cs="Times New Roman"/>
        </w:rPr>
        <w:t>4ª ed., Dir. CORDÓN MORENO, F., Navarra, 2018</w:t>
      </w:r>
      <w:r w:rsidR="0048376E" w:rsidRPr="00C553B7">
        <w:rPr>
          <w:rFonts w:ascii="Times New Roman" w:hAnsi="Times New Roman" w:cs="Times New Roman"/>
        </w:rPr>
        <w:t xml:space="preserve"> y en la que se señala que ese es el criterio mayoritario de las Audiencias, FD segundo, “Valencia</w:t>
      </w:r>
      <w:r w:rsidR="00C7723A">
        <w:rPr>
          <w:rFonts w:ascii="Times New Roman" w:hAnsi="Times New Roman" w:cs="Times New Roman"/>
        </w:rPr>
        <w:t xml:space="preserve"> </w:t>
      </w:r>
      <w:r w:rsidR="0048376E" w:rsidRPr="00C553B7">
        <w:rPr>
          <w:rFonts w:ascii="Times New Roman" w:hAnsi="Times New Roman" w:cs="Times New Roman"/>
        </w:rPr>
        <w:t>(Sección Sexta), La Rioja, Murcia</w:t>
      </w:r>
      <w:r w:rsidR="00C7723A">
        <w:rPr>
          <w:rFonts w:ascii="Times New Roman" w:hAnsi="Times New Roman" w:cs="Times New Roman"/>
        </w:rPr>
        <w:t xml:space="preserve"> </w:t>
      </w:r>
      <w:r w:rsidR="0048376E" w:rsidRPr="00C553B7">
        <w:rPr>
          <w:rFonts w:ascii="Times New Roman" w:hAnsi="Times New Roman" w:cs="Times New Roman"/>
        </w:rPr>
        <w:t>(Sección Quinta), B</w:t>
      </w:r>
      <w:r w:rsidR="005317C8">
        <w:rPr>
          <w:rFonts w:ascii="Times New Roman" w:hAnsi="Times New Roman" w:cs="Times New Roman"/>
        </w:rPr>
        <w:t>arcelona, Madrid, Almería, etc.</w:t>
      </w:r>
      <w:r w:rsidR="0048376E" w:rsidRPr="00C553B7">
        <w:rPr>
          <w:rFonts w:ascii="Times New Roman" w:hAnsi="Times New Roman" w:cs="Times New Roman"/>
        </w:rPr>
        <w:t>”</w:t>
      </w:r>
      <w:r w:rsidRPr="00C553B7">
        <w:rPr>
          <w:rFonts w:ascii="Times New Roman" w:hAnsi="Times New Roman" w:cs="Times New Roman"/>
        </w:rPr>
        <w:t xml:space="preserve">. </w:t>
      </w:r>
      <w:r w:rsidR="0048376E" w:rsidRPr="00C553B7">
        <w:rPr>
          <w:rFonts w:ascii="Times New Roman" w:hAnsi="Times New Roman" w:cs="Times New Roman"/>
        </w:rPr>
        <w:t>También en sentido afirmativo, Auto AP Madrid, de Madrid, Sección 12ª, Auto núm. 335/2</w:t>
      </w:r>
      <w:r w:rsidR="000C6782">
        <w:rPr>
          <w:rFonts w:ascii="Times New Roman" w:hAnsi="Times New Roman" w:cs="Times New Roman"/>
        </w:rPr>
        <w:t>005 de 12 mayo</w:t>
      </w:r>
      <w:r w:rsidR="0048376E" w:rsidRPr="00C553B7">
        <w:rPr>
          <w:rFonts w:ascii="Times New Roman" w:hAnsi="Times New Roman" w:cs="Times New Roman"/>
        </w:rPr>
        <w:t>, FD segundo</w:t>
      </w:r>
      <w:r w:rsidR="001F7455" w:rsidRPr="00C553B7">
        <w:rPr>
          <w:rFonts w:ascii="Times New Roman" w:hAnsi="Times New Roman" w:cs="Times New Roman"/>
        </w:rPr>
        <w:t>,</w:t>
      </w:r>
      <w:r w:rsidR="0048376E" w:rsidRPr="00C553B7">
        <w:rPr>
          <w:rFonts w:ascii="Times New Roman" w:hAnsi="Times New Roman" w:cs="Times New Roman"/>
        </w:rPr>
        <w:t xml:space="preserve"> donde recuerda su criterio favorable (</w:t>
      </w:r>
      <w:r w:rsidR="001F7455" w:rsidRPr="00C553B7">
        <w:rPr>
          <w:rFonts w:ascii="Times New Roman" w:hAnsi="Times New Roman" w:cs="Times New Roman"/>
        </w:rPr>
        <w:t>supuesto de solidaridad). Sin embargo, de forma contraria, Auto AP Madrid, Sección 21ª, Auto núm. 175/2</w:t>
      </w:r>
      <w:r w:rsidR="000C6782">
        <w:rPr>
          <w:rFonts w:ascii="Times New Roman" w:hAnsi="Times New Roman" w:cs="Times New Roman"/>
        </w:rPr>
        <w:t>004 de 7 septiembre</w:t>
      </w:r>
      <w:r w:rsidR="001F7455" w:rsidRPr="00C553B7">
        <w:rPr>
          <w:rFonts w:ascii="Times New Roman" w:hAnsi="Times New Roman" w:cs="Times New Roman"/>
        </w:rPr>
        <w:t>, FD cuarto, impide la acumulación si los demandados tienen domicilio en lugares distintos al entender que el fuero imperativo del art. 813 LEC excluye la aplicación del art. 53.2 LEC</w:t>
      </w:r>
      <w:r w:rsidR="001A245D" w:rsidRPr="00C553B7">
        <w:rPr>
          <w:rFonts w:ascii="Times New Roman" w:hAnsi="Times New Roman" w:cs="Times New Roman"/>
        </w:rPr>
        <w:t>.</w:t>
      </w:r>
    </w:p>
    <w:p w14:paraId="0383E7C8" w14:textId="6EBA5D71" w:rsidR="001A245D" w:rsidRPr="00C553B7" w:rsidRDefault="001A245D" w:rsidP="00BB7EDA">
      <w:pPr>
        <w:pStyle w:val="Textonotapie"/>
        <w:ind w:firstLine="0"/>
        <w:jc w:val="both"/>
        <w:rPr>
          <w:rFonts w:ascii="Times New Roman" w:hAnsi="Times New Roman" w:cs="Times New Roman"/>
        </w:rPr>
      </w:pPr>
      <w:r w:rsidRPr="00C553B7">
        <w:rPr>
          <w:rFonts w:ascii="Times New Roman" w:hAnsi="Times New Roman" w:cs="Times New Roman"/>
        </w:rPr>
        <w:t>Respecto a la acumulación de acciones en el monitorio frente a deudor principal y fiadores solidarios, Auto Audiencia Provincial  de Sevilla (Sección 5ª) Auto núm. 113/2006 de 12 m</w:t>
      </w:r>
      <w:r w:rsidR="000C6782">
        <w:rPr>
          <w:rFonts w:ascii="Times New Roman" w:hAnsi="Times New Roman" w:cs="Times New Roman"/>
        </w:rPr>
        <w:t>ayo</w:t>
      </w:r>
      <w:r w:rsidRPr="00C553B7">
        <w:rPr>
          <w:rFonts w:ascii="Times New Roman" w:hAnsi="Times New Roman" w:cs="Times New Roman"/>
        </w:rPr>
        <w:t xml:space="preserve">. </w:t>
      </w:r>
    </w:p>
  </w:footnote>
  <w:footnote w:id="22">
    <w:p w14:paraId="28F51B39" w14:textId="0E52C2E9" w:rsidR="00A21B60" w:rsidRPr="00A21B60" w:rsidRDefault="00A21B60" w:rsidP="00A21B60">
      <w:pPr>
        <w:pStyle w:val="Textonotapie"/>
        <w:ind w:firstLine="0"/>
        <w:rPr>
          <w:rFonts w:ascii="Times New Roman" w:hAnsi="Times New Roman" w:cs="Times New Roman"/>
        </w:rPr>
      </w:pPr>
      <w:r>
        <w:rPr>
          <w:rStyle w:val="Refdenotaalpie"/>
        </w:rPr>
        <w:footnoteRef/>
      </w:r>
      <w:r>
        <w:t xml:space="preserve"> </w:t>
      </w:r>
      <w:r w:rsidRPr="00A21B60">
        <w:rPr>
          <w:rFonts w:ascii="Times New Roman" w:hAnsi="Times New Roman" w:cs="Times New Roman"/>
        </w:rPr>
        <w:t xml:space="preserve">En el Borrador, el Anteproyecto y el Proyecto de Ley también “se exigía un nexo por razón del objeto”, lo que se entendió como </w:t>
      </w:r>
      <w:proofErr w:type="spellStart"/>
      <w:r w:rsidRPr="00A21B60">
        <w:rPr>
          <w:rFonts w:ascii="Times New Roman" w:hAnsi="Times New Roman" w:cs="Times New Roman"/>
          <w:i/>
        </w:rPr>
        <w:t>petitum</w:t>
      </w:r>
      <w:proofErr w:type="spellEnd"/>
      <w:r w:rsidRPr="00A21B60">
        <w:rPr>
          <w:rFonts w:ascii="Times New Roman" w:hAnsi="Times New Roman" w:cs="Times New Roman"/>
          <w:i/>
        </w:rPr>
        <w:t>.</w:t>
      </w:r>
      <w:r w:rsidRPr="00A21B60">
        <w:rPr>
          <w:rFonts w:ascii="Times New Roman" w:hAnsi="Times New Roman" w:cs="Times New Roman"/>
        </w:rPr>
        <w:t xml:space="preserve"> GASCÓN INCHAUSTI, F., </w:t>
      </w:r>
      <w:r w:rsidRPr="00A21B60">
        <w:rPr>
          <w:rFonts w:ascii="Times New Roman" w:hAnsi="Times New Roman" w:cs="Times New Roman"/>
          <w:i/>
        </w:rPr>
        <w:t xml:space="preserve">La acumulación de acciones y de procesos en el proceso civil, </w:t>
      </w:r>
      <w:r w:rsidRPr="00A21B60">
        <w:rPr>
          <w:rFonts w:ascii="Times New Roman" w:hAnsi="Times New Roman" w:cs="Times New Roman"/>
        </w:rPr>
        <w:t>Madrid., 2000, p. 47.</w:t>
      </w:r>
    </w:p>
  </w:footnote>
  <w:footnote w:id="23">
    <w:p w14:paraId="20B71509" w14:textId="77777777"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El actor podía acumular (salvo desahucio por falta de pago), las acciones que ostentaba frente a distintos inquilinos de una misma finca aunque naciesen de diferentes contratos siempre que se fundaran en los mismos hechos.</w:t>
      </w:r>
    </w:p>
  </w:footnote>
  <w:footnote w:id="24">
    <w:p w14:paraId="0E45DC48" w14:textId="225E8963"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Como se sabe, el dilema estriba en si la </w:t>
      </w:r>
      <w:r w:rsidRPr="00C553B7">
        <w:rPr>
          <w:rFonts w:ascii="Times New Roman" w:hAnsi="Times New Roman" w:cs="Times New Roman"/>
          <w:i/>
        </w:rPr>
        <w:t xml:space="preserve">causa </w:t>
      </w:r>
      <w:proofErr w:type="spellStart"/>
      <w:r w:rsidRPr="00C553B7">
        <w:rPr>
          <w:rFonts w:ascii="Times New Roman" w:hAnsi="Times New Roman" w:cs="Times New Roman"/>
          <w:i/>
        </w:rPr>
        <w:t>petendi</w:t>
      </w:r>
      <w:proofErr w:type="spellEnd"/>
      <w:r w:rsidRPr="00C553B7">
        <w:rPr>
          <w:rFonts w:ascii="Times New Roman" w:hAnsi="Times New Roman" w:cs="Times New Roman"/>
          <w:i/>
        </w:rPr>
        <w:t xml:space="preserve"> </w:t>
      </w:r>
      <w:r w:rsidRPr="00C553B7">
        <w:rPr>
          <w:rFonts w:ascii="Times New Roman" w:hAnsi="Times New Roman" w:cs="Times New Roman"/>
        </w:rPr>
        <w:t xml:space="preserve">comprende los hechos (sustanciación) o la relación jurídica (individualización), o bien ambos. Y aquí, ante la ausencia de un límite constitucional preciso, art. 24 CE, estriba la libertad del legislador para optar, en función de criterios de técnica legislativa, por una solución </w:t>
      </w:r>
      <w:r w:rsidR="003D63EB" w:rsidRPr="00C553B7">
        <w:rPr>
          <w:rFonts w:ascii="Times New Roman" w:hAnsi="Times New Roman" w:cs="Times New Roman"/>
        </w:rPr>
        <w:t>u otra. De hecho, en el ámb</w:t>
      </w:r>
      <w:r w:rsidR="00EA72F5" w:rsidRPr="00C553B7">
        <w:rPr>
          <w:rFonts w:ascii="Times New Roman" w:hAnsi="Times New Roman" w:cs="Times New Roman"/>
        </w:rPr>
        <w:t xml:space="preserve">ito europeo, excluyendo a nuestro país, el tribunal tiene libertad para elegir la fundamentación jurídica, (la asunción literal del </w:t>
      </w:r>
      <w:r w:rsidR="00EA72F5" w:rsidRPr="00C553B7">
        <w:rPr>
          <w:rFonts w:ascii="Times New Roman" w:hAnsi="Times New Roman" w:cs="Times New Roman"/>
          <w:i/>
        </w:rPr>
        <w:t xml:space="preserve">da </w:t>
      </w:r>
      <w:proofErr w:type="spellStart"/>
      <w:r w:rsidR="00EA72F5" w:rsidRPr="00C553B7">
        <w:rPr>
          <w:rFonts w:ascii="Times New Roman" w:hAnsi="Times New Roman" w:cs="Times New Roman"/>
          <w:i/>
        </w:rPr>
        <w:t>mihi</w:t>
      </w:r>
      <w:proofErr w:type="spellEnd"/>
      <w:r w:rsidR="00EA72F5" w:rsidRPr="00C553B7">
        <w:rPr>
          <w:rFonts w:ascii="Times New Roman" w:hAnsi="Times New Roman" w:cs="Times New Roman"/>
          <w:i/>
        </w:rPr>
        <w:t xml:space="preserve"> </w:t>
      </w:r>
      <w:proofErr w:type="spellStart"/>
      <w:r w:rsidR="00EA72F5" w:rsidRPr="00C553B7">
        <w:rPr>
          <w:rFonts w:ascii="Times New Roman" w:hAnsi="Times New Roman" w:cs="Times New Roman"/>
          <w:i/>
        </w:rPr>
        <w:t>factum</w:t>
      </w:r>
      <w:proofErr w:type="spellEnd"/>
      <w:r w:rsidR="00EA72F5" w:rsidRPr="00C553B7">
        <w:rPr>
          <w:rFonts w:ascii="Times New Roman" w:hAnsi="Times New Roman" w:cs="Times New Roman"/>
          <w:i/>
        </w:rPr>
        <w:t xml:space="preserve"> </w:t>
      </w:r>
      <w:proofErr w:type="spellStart"/>
      <w:r w:rsidR="00EA72F5" w:rsidRPr="00C553B7">
        <w:rPr>
          <w:rFonts w:ascii="Times New Roman" w:hAnsi="Times New Roman" w:cs="Times New Roman"/>
          <w:i/>
        </w:rPr>
        <w:t>dabo</w:t>
      </w:r>
      <w:proofErr w:type="spellEnd"/>
      <w:r w:rsidR="00EA72F5" w:rsidRPr="00C553B7">
        <w:rPr>
          <w:rFonts w:ascii="Times New Roman" w:hAnsi="Times New Roman" w:cs="Times New Roman"/>
          <w:i/>
        </w:rPr>
        <w:t xml:space="preserve"> tibi </w:t>
      </w:r>
      <w:proofErr w:type="spellStart"/>
      <w:r w:rsidR="00EA72F5" w:rsidRPr="00C553B7">
        <w:rPr>
          <w:rFonts w:ascii="Times New Roman" w:hAnsi="Times New Roman" w:cs="Times New Roman"/>
          <w:i/>
        </w:rPr>
        <w:t>ius</w:t>
      </w:r>
      <w:proofErr w:type="spellEnd"/>
      <w:r w:rsidR="00EA72F5" w:rsidRPr="00C553B7">
        <w:rPr>
          <w:rFonts w:ascii="Times New Roman" w:hAnsi="Times New Roman" w:cs="Times New Roman"/>
        </w:rPr>
        <w:t xml:space="preserve">), ORMAZABAL SÁNCHEZ, G.,  </w:t>
      </w:r>
      <w:proofErr w:type="spellStart"/>
      <w:r w:rsidR="00EA72F5" w:rsidRPr="00C553B7">
        <w:rPr>
          <w:rFonts w:ascii="Times New Roman" w:hAnsi="Times New Roman" w:cs="Times New Roman"/>
          <w:i/>
        </w:rPr>
        <w:t>Iura</w:t>
      </w:r>
      <w:proofErr w:type="spellEnd"/>
      <w:r w:rsidR="00EA72F5" w:rsidRPr="00C553B7">
        <w:rPr>
          <w:rFonts w:ascii="Times New Roman" w:hAnsi="Times New Roman" w:cs="Times New Roman"/>
          <w:i/>
        </w:rPr>
        <w:t xml:space="preserve"> </w:t>
      </w:r>
      <w:proofErr w:type="spellStart"/>
      <w:r w:rsidR="00EA72F5" w:rsidRPr="00C553B7">
        <w:rPr>
          <w:rFonts w:ascii="Times New Roman" w:hAnsi="Times New Roman" w:cs="Times New Roman"/>
          <w:i/>
        </w:rPr>
        <w:t>novit</w:t>
      </w:r>
      <w:proofErr w:type="spellEnd"/>
      <w:r w:rsidR="00EA72F5" w:rsidRPr="00C553B7">
        <w:rPr>
          <w:rFonts w:ascii="Times New Roman" w:hAnsi="Times New Roman" w:cs="Times New Roman"/>
          <w:i/>
        </w:rPr>
        <w:t xml:space="preserve"> curia. La vinculación del juez a la calificación jurídica de la demanda, </w:t>
      </w:r>
      <w:r w:rsidR="00EA72F5" w:rsidRPr="00C553B7">
        <w:rPr>
          <w:rFonts w:ascii="Times New Roman" w:hAnsi="Times New Roman" w:cs="Times New Roman"/>
        </w:rPr>
        <w:t xml:space="preserve">Madrid, 2000, pp. 25 y </w:t>
      </w:r>
      <w:proofErr w:type="spellStart"/>
      <w:r w:rsidR="00EA72F5" w:rsidRPr="00C553B7">
        <w:rPr>
          <w:rFonts w:ascii="Times New Roman" w:hAnsi="Times New Roman" w:cs="Times New Roman"/>
        </w:rPr>
        <w:t>ss</w:t>
      </w:r>
      <w:proofErr w:type="spellEnd"/>
      <w:r w:rsidR="00EA72F5" w:rsidRPr="00C553B7">
        <w:rPr>
          <w:rFonts w:ascii="Times New Roman" w:hAnsi="Times New Roman" w:cs="Times New Roman"/>
        </w:rPr>
        <w:t>; mientras que en EE.UU. la regla es la pasividad del tribunal y su elección entre las perspectivas jurídicas alegadas por las partes,</w:t>
      </w:r>
      <w:r w:rsidR="00780BDA" w:rsidRPr="00C553B7">
        <w:rPr>
          <w:rFonts w:ascii="Times New Roman" w:hAnsi="Times New Roman" w:cs="Times New Roman"/>
        </w:rPr>
        <w:t xml:space="preserve"> sobre todo en primera instancia,</w:t>
      </w:r>
      <w:r w:rsidR="00EA72F5" w:rsidRPr="00C553B7">
        <w:rPr>
          <w:rFonts w:ascii="Times New Roman" w:hAnsi="Times New Roman" w:cs="Times New Roman"/>
        </w:rPr>
        <w:t xml:space="preserve"> aunque ello se deba más a razones pragmáticas y exista la </w:t>
      </w:r>
      <w:proofErr w:type="spellStart"/>
      <w:r w:rsidR="00EA72F5" w:rsidRPr="00C553B7">
        <w:rPr>
          <w:rFonts w:ascii="Times New Roman" w:hAnsi="Times New Roman" w:cs="Times New Roman"/>
          <w:i/>
        </w:rPr>
        <w:t>iudicial</w:t>
      </w:r>
      <w:proofErr w:type="spellEnd"/>
      <w:r w:rsidR="00EA72F5" w:rsidRPr="00C553B7">
        <w:rPr>
          <w:rFonts w:ascii="Times New Roman" w:hAnsi="Times New Roman" w:cs="Times New Roman"/>
          <w:i/>
        </w:rPr>
        <w:t xml:space="preserve"> </w:t>
      </w:r>
      <w:proofErr w:type="spellStart"/>
      <w:r w:rsidR="00EA72F5" w:rsidRPr="00C553B7">
        <w:rPr>
          <w:rFonts w:ascii="Times New Roman" w:hAnsi="Times New Roman" w:cs="Times New Roman"/>
          <w:i/>
        </w:rPr>
        <w:t>notice</w:t>
      </w:r>
      <w:proofErr w:type="spellEnd"/>
      <w:r w:rsidR="00EA72F5" w:rsidRPr="00C553B7">
        <w:rPr>
          <w:rFonts w:ascii="Times New Roman" w:hAnsi="Times New Roman" w:cs="Times New Roman"/>
        </w:rPr>
        <w:t xml:space="preserve">, además de la posibilidad de otorgar una tutela jurídica no solicitada por el actor, </w:t>
      </w:r>
      <w:proofErr w:type="spellStart"/>
      <w:r w:rsidR="00EA72F5" w:rsidRPr="00C553B7">
        <w:rPr>
          <w:rFonts w:ascii="Times New Roman" w:hAnsi="Times New Roman" w:cs="Times New Roman"/>
          <w:i/>
        </w:rPr>
        <w:t>relief</w:t>
      </w:r>
      <w:proofErr w:type="spellEnd"/>
      <w:r w:rsidR="002869E8" w:rsidRPr="00C553B7">
        <w:rPr>
          <w:rFonts w:ascii="Times New Roman" w:hAnsi="Times New Roman" w:cs="Times New Roman"/>
        </w:rPr>
        <w:t>, R.</w:t>
      </w:r>
      <w:r w:rsidR="00EA72F5" w:rsidRPr="00C553B7">
        <w:rPr>
          <w:rFonts w:ascii="Times New Roman" w:hAnsi="Times New Roman" w:cs="Times New Roman"/>
        </w:rPr>
        <w:t xml:space="preserve"> 54 (c FRCP, ORMAZABAL SÁNCHEZ, G., </w:t>
      </w:r>
      <w:r w:rsidR="00EA72F5" w:rsidRPr="00C553B7">
        <w:rPr>
          <w:rFonts w:ascii="Times New Roman" w:hAnsi="Times New Roman" w:cs="Times New Roman"/>
          <w:i/>
        </w:rPr>
        <w:t>La brecha proc</w:t>
      </w:r>
      <w:r w:rsidR="005E63FD" w:rsidRPr="00C553B7">
        <w:rPr>
          <w:rFonts w:ascii="Times New Roman" w:hAnsi="Times New Roman" w:cs="Times New Roman"/>
          <w:i/>
        </w:rPr>
        <w:t xml:space="preserve">esal civil entre EE.UU. </w:t>
      </w:r>
      <w:r w:rsidR="00EA72F5" w:rsidRPr="00C553B7">
        <w:rPr>
          <w:rFonts w:ascii="Times New Roman" w:hAnsi="Times New Roman" w:cs="Times New Roman"/>
          <w:i/>
        </w:rPr>
        <w:t xml:space="preserve">y Europa, </w:t>
      </w:r>
      <w:r w:rsidR="005E63FD" w:rsidRPr="00C553B7">
        <w:rPr>
          <w:rFonts w:ascii="Times New Roman" w:hAnsi="Times New Roman" w:cs="Times New Roman"/>
        </w:rPr>
        <w:t>Valencia, 2016, pp. 24 y ss</w:t>
      </w:r>
      <w:r w:rsidRPr="00C553B7">
        <w:rPr>
          <w:rFonts w:ascii="Times New Roman" w:hAnsi="Times New Roman" w:cs="Times New Roman"/>
        </w:rPr>
        <w:t>. Lo único cierto es que cuanto más amplia o indefinida es la causa de pedir (solo los hechos o la relación jurídica en función del tipo de acción ejercitada) hay mayor margen de maniobra para las partes y el tribunal a la hora de realizar variaciones sobrevenidas (en la medida que el legislador consienta</w:t>
      </w:r>
      <w:r w:rsidR="002869E8" w:rsidRPr="00C553B7">
        <w:rPr>
          <w:rFonts w:ascii="Times New Roman" w:hAnsi="Times New Roman" w:cs="Times New Roman"/>
        </w:rPr>
        <w:t xml:space="preserve"> por uno y otro</w:t>
      </w:r>
      <w:r w:rsidRPr="00C553B7">
        <w:rPr>
          <w:rFonts w:ascii="Times New Roman" w:hAnsi="Times New Roman" w:cs="Times New Roman"/>
        </w:rPr>
        <w:t xml:space="preserve"> la introducción</w:t>
      </w:r>
      <w:r w:rsidR="00EF4EA2">
        <w:rPr>
          <w:rFonts w:ascii="Times New Roman" w:hAnsi="Times New Roman" w:cs="Times New Roman"/>
        </w:rPr>
        <w:t xml:space="preserve"> de estos factores “accidentales</w:t>
      </w:r>
      <w:r w:rsidRPr="00C553B7">
        <w:rPr>
          <w:rFonts w:ascii="Times New Roman" w:hAnsi="Times New Roman" w:cs="Times New Roman"/>
        </w:rPr>
        <w:t>”, arts. 426 y 440 LEC) por cuanto no se estaría modificando el objeto sino introduciendo elementos secundarios. Pero es que el legislador ha sido especialmente claro,</w:t>
      </w:r>
      <w:r w:rsidR="00EC3217" w:rsidRPr="00C553B7">
        <w:rPr>
          <w:rFonts w:ascii="Times New Roman" w:hAnsi="Times New Roman" w:cs="Times New Roman"/>
        </w:rPr>
        <w:t xml:space="preserve"> </w:t>
      </w:r>
      <w:r w:rsidR="009A216D" w:rsidRPr="00C553B7">
        <w:rPr>
          <w:rFonts w:ascii="Times New Roman" w:hAnsi="Times New Roman" w:cs="Times New Roman"/>
        </w:rPr>
        <w:t>art. 218.1.II</w:t>
      </w:r>
      <w:r w:rsidRPr="00C553B7">
        <w:rPr>
          <w:rFonts w:ascii="Times New Roman" w:hAnsi="Times New Roman" w:cs="Times New Roman"/>
        </w:rPr>
        <w:t xml:space="preserve"> LEC: junto a los hechos, la perspectiva jurídica integra el objeto del proceso (lo que refrendaría la proclamación del art. 400 respecto </w:t>
      </w:r>
      <w:r w:rsidR="00EF4EA2">
        <w:rPr>
          <w:rFonts w:ascii="Times New Roman" w:hAnsi="Times New Roman" w:cs="Times New Roman"/>
        </w:rPr>
        <w:t>a la preclusión). Consiguientemente</w:t>
      </w:r>
      <w:r w:rsidRPr="00C553B7">
        <w:rPr>
          <w:rFonts w:ascii="Times New Roman" w:hAnsi="Times New Roman" w:cs="Times New Roman"/>
        </w:rPr>
        <w:t xml:space="preserve"> se matiza mucho más la </w:t>
      </w:r>
      <w:r w:rsidRPr="00C553B7">
        <w:rPr>
          <w:rFonts w:ascii="Times New Roman" w:hAnsi="Times New Roman" w:cs="Times New Roman"/>
          <w:i/>
        </w:rPr>
        <w:t xml:space="preserve">causa </w:t>
      </w:r>
      <w:proofErr w:type="spellStart"/>
      <w:r w:rsidRPr="00C553B7">
        <w:rPr>
          <w:rFonts w:ascii="Times New Roman" w:hAnsi="Times New Roman" w:cs="Times New Roman"/>
          <w:i/>
        </w:rPr>
        <w:t>petendi</w:t>
      </w:r>
      <w:proofErr w:type="spellEnd"/>
      <w:r w:rsidRPr="00C553B7">
        <w:rPr>
          <w:rFonts w:ascii="Times New Roman" w:hAnsi="Times New Roman" w:cs="Times New Roman"/>
        </w:rPr>
        <w:t xml:space="preserve">, limitando la actuación de las partes y el tribunal y se favorece, indirectamente, el derecho de defensa, al impedir “sorpresas” o innovaciones sobrevenidas (hechos principales o nuevas perspectivas jurídicas) que no provocarían la </w:t>
      </w:r>
      <w:proofErr w:type="spellStart"/>
      <w:r w:rsidRPr="00C553B7">
        <w:rPr>
          <w:rFonts w:ascii="Times New Roman" w:hAnsi="Times New Roman" w:cs="Times New Roman"/>
          <w:i/>
        </w:rPr>
        <w:t>mutatio</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libelli</w:t>
      </w:r>
      <w:proofErr w:type="spellEnd"/>
      <w:r w:rsidRPr="00C553B7">
        <w:rPr>
          <w:rFonts w:ascii="Times New Roman" w:hAnsi="Times New Roman" w:cs="Times New Roman"/>
        </w:rPr>
        <w:t>. Así en nuestro país, tanto en lo civil,</w:t>
      </w:r>
      <w:r w:rsidR="0063017E" w:rsidRPr="00C553B7">
        <w:rPr>
          <w:rFonts w:ascii="Times New Roman" w:hAnsi="Times New Roman" w:cs="Times New Roman"/>
        </w:rPr>
        <w:t xml:space="preserve"> </w:t>
      </w:r>
      <w:r w:rsidR="00EF5CF8" w:rsidRPr="00C553B7">
        <w:rPr>
          <w:rFonts w:ascii="Times New Roman" w:hAnsi="Times New Roman" w:cs="Times New Roman"/>
        </w:rPr>
        <w:t>(“…</w:t>
      </w:r>
      <w:r w:rsidR="0063017E" w:rsidRPr="00C553B7">
        <w:rPr>
          <w:rFonts w:ascii="Times New Roman" w:hAnsi="Times New Roman" w:cs="Times New Roman"/>
        </w:rPr>
        <w:t xml:space="preserve">sin que la «causa </w:t>
      </w:r>
      <w:proofErr w:type="spellStart"/>
      <w:r w:rsidR="0063017E" w:rsidRPr="00C553B7">
        <w:rPr>
          <w:rFonts w:ascii="Times New Roman" w:hAnsi="Times New Roman" w:cs="Times New Roman"/>
        </w:rPr>
        <w:t>petendi</w:t>
      </w:r>
      <w:proofErr w:type="spellEnd"/>
      <w:r w:rsidR="0063017E" w:rsidRPr="00C553B7">
        <w:rPr>
          <w:rFonts w:ascii="Times New Roman" w:hAnsi="Times New Roman" w:cs="Times New Roman"/>
        </w:rPr>
        <w:t>» pueda entenderse sólo como un relato histórico de hechos</w:t>
      </w:r>
      <w:r w:rsidR="00EF5CF8" w:rsidRPr="00C553B7">
        <w:rPr>
          <w:rFonts w:ascii="Times New Roman" w:hAnsi="Times New Roman" w:cs="Times New Roman"/>
        </w:rPr>
        <w:t>…”, STS Sala de lo Civil, Sentencia núm. 4</w:t>
      </w:r>
      <w:r w:rsidR="000C6782">
        <w:rPr>
          <w:rFonts w:ascii="Times New Roman" w:hAnsi="Times New Roman" w:cs="Times New Roman"/>
        </w:rPr>
        <w:t>78/1995 de 26 mayo</w:t>
      </w:r>
      <w:r w:rsidR="00EF5CF8" w:rsidRPr="00C553B7">
        <w:rPr>
          <w:rFonts w:ascii="Times New Roman" w:hAnsi="Times New Roman" w:cs="Times New Roman"/>
        </w:rPr>
        <w:t>, FD segundo)</w:t>
      </w:r>
      <w:r w:rsidRPr="00C553B7">
        <w:rPr>
          <w:rFonts w:ascii="Times New Roman" w:hAnsi="Times New Roman" w:cs="Times New Roman"/>
        </w:rPr>
        <w:t xml:space="preserve"> como en lo penal (la teoría normativista matizada a partir de la importancia del bien jurídico protegido o la homogeneidad de los delitos), la causa de pedir también integra la perspectiva jurídica.</w:t>
      </w:r>
      <w:r w:rsidR="006F0BCC" w:rsidRPr="00C553B7">
        <w:rPr>
          <w:rFonts w:ascii="Times New Roman" w:hAnsi="Times New Roman" w:cs="Times New Roman"/>
        </w:rPr>
        <w:t xml:space="preserve"> Se recomienda la lectura de la </w:t>
      </w:r>
      <w:r w:rsidR="00A36F9B" w:rsidRPr="00C553B7">
        <w:rPr>
          <w:rFonts w:ascii="Times New Roman" w:hAnsi="Times New Roman" w:cs="Times New Roman"/>
        </w:rPr>
        <w:t xml:space="preserve"> SAP Madrid, 18/01/2012, Sección: Décima, núm. Sentencia: 51/2012, número Recurso: 666/201</w:t>
      </w:r>
      <w:r w:rsidR="000C6782">
        <w:rPr>
          <w:rFonts w:ascii="Times New Roman" w:hAnsi="Times New Roman" w:cs="Times New Roman"/>
        </w:rPr>
        <w:t>1, FD décimo sexto</w:t>
      </w:r>
      <w:r w:rsidR="006F0BCC" w:rsidRPr="00C553B7">
        <w:rPr>
          <w:rFonts w:ascii="Times New Roman" w:hAnsi="Times New Roman" w:cs="Times New Roman"/>
        </w:rPr>
        <w:t>.</w:t>
      </w:r>
      <w:r w:rsidR="002973F6" w:rsidRPr="00C553B7">
        <w:rPr>
          <w:rFonts w:ascii="Times New Roman" w:hAnsi="Times New Roman" w:cs="Times New Roman"/>
        </w:rPr>
        <w:t xml:space="preserve"> </w:t>
      </w:r>
    </w:p>
  </w:footnote>
  <w:footnote w:id="25">
    <w:p w14:paraId="29206823" w14:textId="4AC899A6" w:rsidR="00A45787" w:rsidRPr="00C553B7" w:rsidRDefault="00A45787"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740C3F" w:rsidRPr="00C553B7">
        <w:rPr>
          <w:rFonts w:ascii="Times New Roman" w:hAnsi="Times New Roman" w:cs="Times New Roman"/>
        </w:rPr>
        <w:t>STS, Sala de lo Civil,</w:t>
      </w:r>
      <w:r w:rsidRPr="00C553B7">
        <w:rPr>
          <w:rFonts w:ascii="Times New Roman" w:hAnsi="Times New Roman" w:cs="Times New Roman"/>
        </w:rPr>
        <w:t xml:space="preserve"> Sentencia núm. 871</w:t>
      </w:r>
      <w:r w:rsidR="000C6782">
        <w:rPr>
          <w:rFonts w:ascii="Times New Roman" w:hAnsi="Times New Roman" w:cs="Times New Roman"/>
        </w:rPr>
        <w:t>/2000 de 3 octubre</w:t>
      </w:r>
      <w:r w:rsidRPr="00C553B7">
        <w:rPr>
          <w:rFonts w:ascii="Times New Roman" w:hAnsi="Times New Roman" w:cs="Times New Roman"/>
        </w:rPr>
        <w:t>, FD segundo</w:t>
      </w:r>
      <w:r w:rsidR="0087749B" w:rsidRPr="00C553B7">
        <w:rPr>
          <w:rFonts w:ascii="Times New Roman" w:hAnsi="Times New Roman" w:cs="Times New Roman"/>
        </w:rPr>
        <w:t>, y con más matices,</w:t>
      </w:r>
      <w:r w:rsidR="00FC4692" w:rsidRPr="00C553B7">
        <w:rPr>
          <w:rFonts w:ascii="Times New Roman" w:hAnsi="Times New Roman" w:cs="Times New Roman"/>
        </w:rPr>
        <w:t xml:space="preserve"> </w:t>
      </w:r>
      <w:r w:rsidR="00740C3F" w:rsidRPr="00C553B7">
        <w:rPr>
          <w:rFonts w:ascii="Times New Roman" w:hAnsi="Times New Roman" w:cs="Times New Roman"/>
        </w:rPr>
        <w:t>SSTS 24-7-96 y 3-10-00,</w:t>
      </w:r>
      <w:r w:rsidR="0087749B" w:rsidRPr="00C553B7">
        <w:rPr>
          <w:rFonts w:ascii="Times New Roman" w:hAnsi="Times New Roman" w:cs="Times New Roman"/>
        </w:rPr>
        <w:t xml:space="preserve"> SSTS  núm. 788/2007, de 10 de julio, STS 4270/2015 - ECLI</w:t>
      </w:r>
      <w:proofErr w:type="gramStart"/>
      <w:r w:rsidR="0087749B" w:rsidRPr="00C553B7">
        <w:rPr>
          <w:rFonts w:ascii="Times New Roman" w:hAnsi="Times New Roman" w:cs="Times New Roman"/>
        </w:rPr>
        <w:t>:ES:TS:2015:4270</w:t>
      </w:r>
      <w:proofErr w:type="gramEnd"/>
      <w:r w:rsidR="0087749B" w:rsidRPr="00C553B7">
        <w:rPr>
          <w:rFonts w:ascii="Times New Roman" w:hAnsi="Times New Roman" w:cs="Times New Roman"/>
        </w:rPr>
        <w:t xml:space="preserve"> Id </w:t>
      </w:r>
      <w:proofErr w:type="spellStart"/>
      <w:r w:rsidR="0087749B" w:rsidRPr="00C553B7">
        <w:rPr>
          <w:rFonts w:ascii="Times New Roman" w:hAnsi="Times New Roman" w:cs="Times New Roman"/>
        </w:rPr>
        <w:t>Cendoj</w:t>
      </w:r>
      <w:proofErr w:type="spellEnd"/>
      <w:r w:rsidR="0087749B" w:rsidRPr="00C553B7">
        <w:rPr>
          <w:rFonts w:ascii="Times New Roman" w:hAnsi="Times New Roman" w:cs="Times New Roman"/>
        </w:rPr>
        <w:t>: 28079110012015100549, FD tercero.</w:t>
      </w:r>
      <w:r w:rsidR="0024519B" w:rsidRPr="00C553B7">
        <w:rPr>
          <w:rFonts w:ascii="Times New Roman" w:hAnsi="Times New Roman" w:cs="Times New Roman"/>
        </w:rPr>
        <w:t xml:space="preserve"> </w:t>
      </w:r>
      <w:r w:rsidR="00740C3F" w:rsidRPr="00C553B7">
        <w:rPr>
          <w:rFonts w:ascii="Times New Roman" w:hAnsi="Times New Roman" w:cs="Times New Roman"/>
        </w:rPr>
        <w:t xml:space="preserve">Lo cierto es que el TS hace propia una distinción que había formulado la doctrina más tradicional, PRIETO CASTRO, FAIRÉN; MONTERO AROCA, J., </w:t>
      </w:r>
      <w:r w:rsidR="00740C3F" w:rsidRPr="00C553B7">
        <w:rPr>
          <w:rFonts w:ascii="Times New Roman" w:hAnsi="Times New Roman" w:cs="Times New Roman"/>
          <w:i/>
        </w:rPr>
        <w:t xml:space="preserve">La intervención…, </w:t>
      </w:r>
      <w:proofErr w:type="spellStart"/>
      <w:r w:rsidR="00740C3F" w:rsidRPr="00C553B7">
        <w:rPr>
          <w:rFonts w:ascii="Times New Roman" w:hAnsi="Times New Roman" w:cs="Times New Roman"/>
          <w:i/>
        </w:rPr>
        <w:t>op</w:t>
      </w:r>
      <w:proofErr w:type="spellEnd"/>
      <w:r w:rsidR="00740C3F" w:rsidRPr="00C553B7">
        <w:rPr>
          <w:rFonts w:ascii="Times New Roman" w:hAnsi="Times New Roman" w:cs="Times New Roman"/>
          <w:i/>
        </w:rPr>
        <w:t>. cit.</w:t>
      </w:r>
      <w:r w:rsidR="00740C3F" w:rsidRPr="00C553B7">
        <w:rPr>
          <w:rFonts w:ascii="Times New Roman" w:hAnsi="Times New Roman" w:cs="Times New Roman"/>
        </w:rPr>
        <w:t xml:space="preserve"> p. 16.</w:t>
      </w:r>
    </w:p>
  </w:footnote>
  <w:footnote w:id="26">
    <w:p w14:paraId="7DAA053C" w14:textId="46D92C29" w:rsidR="002B23F9" w:rsidRPr="00C553B7" w:rsidRDefault="002B23F9"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SSTS 3 de octubre de 2000 (recurso nº 809/97), núm. 788/2007, de 10 de julio, STS 4270/2015 - ECLI</w:t>
      </w:r>
      <w:proofErr w:type="gramStart"/>
      <w:r w:rsidRPr="00C553B7">
        <w:rPr>
          <w:rFonts w:ascii="Times New Roman" w:hAnsi="Times New Roman" w:cs="Times New Roman"/>
        </w:rPr>
        <w:t>:ES:TS:2015:4270</w:t>
      </w:r>
      <w:proofErr w:type="gramEnd"/>
      <w:r w:rsidRPr="00C553B7">
        <w:rPr>
          <w:rFonts w:ascii="Times New Roman" w:hAnsi="Times New Roman" w:cs="Times New Roman"/>
        </w:rPr>
        <w:t xml:space="preserve"> Id </w:t>
      </w:r>
      <w:proofErr w:type="spellStart"/>
      <w:r w:rsidRPr="00C553B7">
        <w:rPr>
          <w:rFonts w:ascii="Times New Roman" w:hAnsi="Times New Roman" w:cs="Times New Roman"/>
        </w:rPr>
        <w:t>Cendoj</w:t>
      </w:r>
      <w:proofErr w:type="spellEnd"/>
      <w:r w:rsidRPr="00C553B7">
        <w:rPr>
          <w:rFonts w:ascii="Times New Roman" w:hAnsi="Times New Roman" w:cs="Times New Roman"/>
        </w:rPr>
        <w:t>: 28079110012015100549, FD tercero.</w:t>
      </w:r>
    </w:p>
  </w:footnote>
  <w:footnote w:id="27">
    <w:p w14:paraId="06E83DA9" w14:textId="7088694A" w:rsidR="006F0BCC" w:rsidRPr="009D5199" w:rsidRDefault="006F0BCC"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CD6CFC" w:rsidRPr="00C553B7">
        <w:rPr>
          <w:rFonts w:ascii="Times New Roman" w:hAnsi="Times New Roman" w:cs="Times New Roman"/>
        </w:rPr>
        <w:t xml:space="preserve">GASCÓN INCHAUSTI, F., </w:t>
      </w:r>
      <w:proofErr w:type="spellStart"/>
      <w:r w:rsidR="00CD6CFC" w:rsidRPr="00C553B7">
        <w:rPr>
          <w:rFonts w:ascii="Times New Roman" w:hAnsi="Times New Roman" w:cs="Times New Roman"/>
          <w:i/>
        </w:rPr>
        <w:t>op</w:t>
      </w:r>
      <w:proofErr w:type="spellEnd"/>
      <w:r w:rsidR="00CD6CFC" w:rsidRPr="00C553B7">
        <w:rPr>
          <w:rFonts w:ascii="Times New Roman" w:hAnsi="Times New Roman" w:cs="Times New Roman"/>
          <w:i/>
        </w:rPr>
        <w:t xml:space="preserve">. cit., </w:t>
      </w:r>
      <w:r w:rsidR="00CD6CFC" w:rsidRPr="00C553B7">
        <w:rPr>
          <w:rFonts w:ascii="Times New Roman" w:hAnsi="Times New Roman" w:cs="Times New Roman"/>
        </w:rPr>
        <w:t xml:space="preserve">pp. 42 y 43, </w:t>
      </w:r>
      <w:r w:rsidRPr="00C553B7">
        <w:rPr>
          <w:rFonts w:ascii="Times New Roman" w:hAnsi="Times New Roman" w:cs="Times New Roman"/>
        </w:rPr>
        <w:t xml:space="preserve">VIDAL PÉREZ, M.F., </w:t>
      </w:r>
      <w:proofErr w:type="spellStart"/>
      <w:r w:rsidRPr="00C553B7">
        <w:rPr>
          <w:rFonts w:ascii="Times New Roman" w:hAnsi="Times New Roman" w:cs="Times New Roman"/>
          <w:i/>
        </w:rPr>
        <w:t>op</w:t>
      </w:r>
      <w:proofErr w:type="spellEnd"/>
      <w:r w:rsidRPr="00C553B7">
        <w:rPr>
          <w:rFonts w:ascii="Times New Roman" w:hAnsi="Times New Roman" w:cs="Times New Roman"/>
          <w:i/>
        </w:rPr>
        <w:t xml:space="preserve">. cit., </w:t>
      </w:r>
      <w:r w:rsidRPr="00C553B7">
        <w:rPr>
          <w:rFonts w:ascii="Times New Roman" w:hAnsi="Times New Roman" w:cs="Times New Roman"/>
        </w:rPr>
        <w:t>pp. 150 a 158, repasa la doctrina al respecto y llega a la misma conclusión.</w:t>
      </w:r>
      <w:r w:rsidR="009D5199">
        <w:rPr>
          <w:rFonts w:ascii="Times New Roman" w:hAnsi="Times New Roman" w:cs="Times New Roman"/>
        </w:rPr>
        <w:t xml:space="preserve"> Sostiene lo mismo, LÓPEZ JIMÉNEZ, R., </w:t>
      </w:r>
      <w:proofErr w:type="spellStart"/>
      <w:r w:rsidR="009D5199">
        <w:rPr>
          <w:rFonts w:ascii="Times New Roman" w:hAnsi="Times New Roman" w:cs="Times New Roman"/>
          <w:i/>
        </w:rPr>
        <w:t>op</w:t>
      </w:r>
      <w:proofErr w:type="spellEnd"/>
      <w:r w:rsidR="009D5199">
        <w:rPr>
          <w:rFonts w:ascii="Times New Roman" w:hAnsi="Times New Roman" w:cs="Times New Roman"/>
          <w:i/>
        </w:rPr>
        <w:t xml:space="preserve">. cit., </w:t>
      </w:r>
      <w:r w:rsidR="009D5199">
        <w:rPr>
          <w:rFonts w:ascii="Times New Roman" w:hAnsi="Times New Roman" w:cs="Times New Roman"/>
        </w:rPr>
        <w:t>pp. 37 y ss., aunque para el no son términos equivalentes y sigue a la jurisprudencia del TS.</w:t>
      </w:r>
    </w:p>
  </w:footnote>
  <w:footnote w:id="28">
    <w:p w14:paraId="7EE9E45C" w14:textId="577C1B16" w:rsidR="00740C3F" w:rsidRPr="00C553B7" w:rsidRDefault="00740C3F"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De esta suerte resultaría: solo lo conexo, en el sentido explicado, se puede acumular subjetivamente y consiguientemente se suma a efectos de calcular la cuantía del pleito (con las excepciones señaladas </w:t>
      </w:r>
      <w:r w:rsidRPr="00C7723A">
        <w:rPr>
          <w:rFonts w:ascii="Times New Roman" w:hAnsi="Times New Roman" w:cs="Times New Roman"/>
          <w:i/>
        </w:rPr>
        <w:t>supra</w:t>
      </w:r>
      <w:r w:rsidRPr="00C553B7">
        <w:rPr>
          <w:rFonts w:ascii="Times New Roman" w:hAnsi="Times New Roman" w:cs="Times New Roman"/>
        </w:rPr>
        <w:t>) y en el juicio verbal solo se consiente acumular lo conexo (acumulación subjetiva y objetiva) porque no se quiere complicar el desarrollo de este con objetos que no guardan relación entre sí</w:t>
      </w:r>
      <w:r w:rsidR="002869E8" w:rsidRPr="00C553B7">
        <w:rPr>
          <w:rFonts w:ascii="Times New Roman" w:hAnsi="Times New Roman" w:cs="Times New Roman"/>
        </w:rPr>
        <w:t>, ni consentir que se eludan sus</w:t>
      </w:r>
      <w:r w:rsidRPr="00C553B7">
        <w:rPr>
          <w:rFonts w:ascii="Times New Roman" w:hAnsi="Times New Roman" w:cs="Times New Roman"/>
        </w:rPr>
        <w:t xml:space="preserve"> límites mediante la suma de lo inconexo.</w:t>
      </w:r>
    </w:p>
  </w:footnote>
  <w:footnote w:id="29">
    <w:p w14:paraId="567E6B3A" w14:textId="44B8BAEF" w:rsidR="00A43D43" w:rsidRPr="00C553B7" w:rsidRDefault="00A43D43"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LÓPEZ FRAGOSO, T., GONZÁLEZ NAVARRO, A., </w:t>
      </w:r>
      <w:r w:rsidR="008223A0">
        <w:rPr>
          <w:rFonts w:ascii="Times New Roman" w:hAnsi="Times New Roman" w:cs="Times New Roman"/>
        </w:rPr>
        <w:t xml:space="preserve">“De la pluralidad de partes”,  </w:t>
      </w:r>
      <w:r w:rsidR="008223A0">
        <w:rPr>
          <w:rFonts w:ascii="Times New Roman" w:hAnsi="Times New Roman" w:cs="Times New Roman"/>
          <w:i/>
        </w:rPr>
        <w:t>Proceso Civil Práctico</w:t>
      </w:r>
      <w:r w:rsidRPr="00C553B7">
        <w:rPr>
          <w:rFonts w:ascii="Times New Roman" w:hAnsi="Times New Roman" w:cs="Times New Roman"/>
        </w:rPr>
        <w:t xml:space="preserve">, Dir. GIMENO SENDRA, V.,  Navarra, 2018. Se considera, siguiendo a la doctrina italiana, en rigor, que la conexión propia acontece si entre los objetos hay identidad en la </w:t>
      </w:r>
      <w:r w:rsidRPr="00C553B7">
        <w:rPr>
          <w:rFonts w:ascii="Times New Roman" w:hAnsi="Times New Roman" w:cs="Times New Roman"/>
          <w:i/>
        </w:rPr>
        <w:t xml:space="preserve">causa </w:t>
      </w:r>
      <w:proofErr w:type="spellStart"/>
      <w:r w:rsidRPr="00C553B7">
        <w:rPr>
          <w:rFonts w:ascii="Times New Roman" w:hAnsi="Times New Roman" w:cs="Times New Roman"/>
          <w:i/>
        </w:rPr>
        <w:t>petendi</w:t>
      </w:r>
      <w:proofErr w:type="spellEnd"/>
      <w:r w:rsidRPr="00C553B7">
        <w:rPr>
          <w:rFonts w:ascii="Times New Roman" w:hAnsi="Times New Roman" w:cs="Times New Roman"/>
          <w:i/>
        </w:rPr>
        <w:t xml:space="preserve"> </w:t>
      </w:r>
      <w:r w:rsidRPr="00C553B7">
        <w:rPr>
          <w:rFonts w:ascii="Times New Roman" w:hAnsi="Times New Roman" w:cs="Times New Roman"/>
        </w:rPr>
        <w:t xml:space="preserve">o </w:t>
      </w:r>
      <w:proofErr w:type="spellStart"/>
      <w:r w:rsidRPr="00C553B7">
        <w:rPr>
          <w:rFonts w:ascii="Times New Roman" w:hAnsi="Times New Roman" w:cs="Times New Roman"/>
          <w:i/>
        </w:rPr>
        <w:t>petitum</w:t>
      </w:r>
      <w:proofErr w:type="spellEnd"/>
      <w:r w:rsidRPr="00C553B7">
        <w:rPr>
          <w:rFonts w:ascii="Times New Roman" w:hAnsi="Times New Roman" w:cs="Times New Roman"/>
          <w:i/>
        </w:rPr>
        <w:t xml:space="preserve"> </w:t>
      </w:r>
      <w:r w:rsidRPr="00C553B7">
        <w:rPr>
          <w:rFonts w:ascii="Times New Roman" w:hAnsi="Times New Roman" w:cs="Times New Roman"/>
        </w:rPr>
        <w:t>mientras que la conexión impropia comporta la afinidad de esos elementos, DÍEZ-PICAZO GIMÉNEZ, I., “La acumulación de acciones en el proceso civil”</w:t>
      </w:r>
      <w:r w:rsidRPr="00C553B7">
        <w:rPr>
          <w:rFonts w:ascii="Times New Roman" w:hAnsi="Times New Roman" w:cs="Times New Roman"/>
          <w:i/>
        </w:rPr>
        <w:t>, Tribunales de Justicia</w:t>
      </w:r>
      <w:r w:rsidRPr="00C553B7">
        <w:rPr>
          <w:rFonts w:ascii="Times New Roman" w:hAnsi="Times New Roman" w:cs="Times New Roman"/>
        </w:rPr>
        <w:t xml:space="preserve">, 1997, nº 2, p. 76. Y sobre la doctrina tradicional española, MONTERO AROCA, J., </w:t>
      </w:r>
      <w:proofErr w:type="spellStart"/>
      <w:r w:rsidRPr="00C553B7">
        <w:rPr>
          <w:rFonts w:ascii="Times New Roman" w:hAnsi="Times New Roman" w:cs="Times New Roman"/>
          <w:i/>
        </w:rPr>
        <w:t>op</w:t>
      </w:r>
      <w:proofErr w:type="spellEnd"/>
      <w:r w:rsidRPr="00C553B7">
        <w:rPr>
          <w:rFonts w:ascii="Times New Roman" w:hAnsi="Times New Roman" w:cs="Times New Roman"/>
          <w:i/>
        </w:rPr>
        <w:t>. cit.</w:t>
      </w:r>
      <w:r w:rsidRPr="00C553B7">
        <w:rPr>
          <w:rFonts w:ascii="Times New Roman" w:hAnsi="Times New Roman" w:cs="Times New Roman"/>
        </w:rPr>
        <w:t xml:space="preserve">, p. 17, quien además indica que a pesar de que no estaba contemplada en el art. 156 </w:t>
      </w:r>
      <w:proofErr w:type="spellStart"/>
      <w:r w:rsidRPr="00C553B7">
        <w:rPr>
          <w:rFonts w:ascii="Times New Roman" w:hAnsi="Times New Roman" w:cs="Times New Roman"/>
        </w:rPr>
        <w:t>Lec</w:t>
      </w:r>
      <w:proofErr w:type="spellEnd"/>
      <w:r w:rsidRPr="00C553B7">
        <w:rPr>
          <w:rFonts w:ascii="Times New Roman" w:hAnsi="Times New Roman" w:cs="Times New Roman"/>
        </w:rPr>
        <w:t xml:space="preserve"> 1881, la impropia, frente al art. 103.1 </w:t>
      </w:r>
      <w:proofErr w:type="spellStart"/>
      <w:r w:rsidRPr="00C553B7">
        <w:rPr>
          <w:rFonts w:ascii="Times New Roman" w:hAnsi="Times New Roman" w:cs="Times New Roman"/>
        </w:rPr>
        <w:t>Cpcivile</w:t>
      </w:r>
      <w:proofErr w:type="spellEnd"/>
      <w:r w:rsidRPr="00C553B7">
        <w:rPr>
          <w:rFonts w:ascii="Times New Roman" w:hAnsi="Times New Roman" w:cs="Times New Roman"/>
        </w:rPr>
        <w:t xml:space="preserve"> italiano y el parágrafo 60 de la ZPO alemana, la jurisprudencia llegó a reconocerla en 1947.</w:t>
      </w:r>
    </w:p>
  </w:footnote>
  <w:footnote w:id="30">
    <w:p w14:paraId="0E841E47" w14:textId="61AD0136" w:rsidR="000E0AA8" w:rsidRPr="00C553B7" w:rsidRDefault="000E0AA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SAP Sección Undécima, Madrid, 216/2017, 2.6</w:t>
      </w:r>
      <w:r w:rsidR="00C064AD">
        <w:rPr>
          <w:rFonts w:ascii="Times New Roman" w:hAnsi="Times New Roman" w:cs="Times New Roman"/>
        </w:rPr>
        <w:t>.</w:t>
      </w:r>
    </w:p>
  </w:footnote>
  <w:footnote w:id="31">
    <w:p w14:paraId="1902C844" w14:textId="5A25CF77" w:rsidR="0032655E" w:rsidRDefault="0032655E" w:rsidP="0032655E">
      <w:pPr>
        <w:pStyle w:val="Textonotapie"/>
        <w:ind w:firstLine="0"/>
      </w:pPr>
      <w:r w:rsidRPr="0032655E">
        <w:rPr>
          <w:rStyle w:val="Refdenotaalpie"/>
          <w:rFonts w:ascii="Times New Roman" w:hAnsi="Times New Roman" w:cs="Times New Roman"/>
        </w:rPr>
        <w:footnoteRef/>
      </w:r>
      <w:r>
        <w:rPr>
          <w:rFonts w:ascii="Times New Roman" w:hAnsi="Times New Roman" w:cs="Times New Roman"/>
        </w:rPr>
        <w:t xml:space="preserve"> STS Sala Primera, Sección primera, de</w:t>
      </w:r>
      <w:r w:rsidRPr="0032655E">
        <w:rPr>
          <w:rFonts w:ascii="Times New Roman" w:hAnsi="Times New Roman" w:cs="Times New Roman"/>
        </w:rPr>
        <w:t xml:space="preserve"> 05/04/2016</w:t>
      </w:r>
      <w:r>
        <w:rPr>
          <w:rFonts w:ascii="Times New Roman" w:hAnsi="Times New Roman" w:cs="Times New Roman"/>
        </w:rPr>
        <w:t>, número</w:t>
      </w:r>
      <w:r w:rsidRPr="0032655E">
        <w:rPr>
          <w:rFonts w:ascii="Times New Roman" w:hAnsi="Times New Roman" w:cs="Times New Roman"/>
        </w:rPr>
        <w:t xml:space="preserve"> Sentencia: 214/2016 Número Recurso: 1793/2014</w:t>
      </w:r>
      <w:r>
        <w:rPr>
          <w:rFonts w:ascii="Times New Roman" w:hAnsi="Times New Roman" w:cs="Times New Roman"/>
        </w:rPr>
        <w:t>, FD cuarto donde recoge la doctrina mantenida en</w:t>
      </w:r>
      <w:r w:rsidRPr="0032655E">
        <w:rPr>
          <w:rFonts w:ascii="Times New Roman" w:hAnsi="Times New Roman" w:cs="Times New Roman"/>
        </w:rPr>
        <w:t xml:space="preserve"> SSTS de 29 de junio de 1990 , 9 de ju</w:t>
      </w:r>
      <w:r>
        <w:rPr>
          <w:rFonts w:ascii="Times New Roman" w:hAnsi="Times New Roman" w:cs="Times New Roman"/>
        </w:rPr>
        <w:t>nio de 1998, RC n.º 1039/1994,</w:t>
      </w:r>
      <w:r w:rsidRPr="0032655E">
        <w:rPr>
          <w:rFonts w:ascii="Times New Roman" w:hAnsi="Times New Roman" w:cs="Times New Roman"/>
        </w:rPr>
        <w:t xml:space="preserve"> de 13 de febrero de 1993, RC n.º 2458/1990 , 8 de marzo de 2006, RC n.º 2586/1999 , 24 de noviembre de 2005, RC n.º 1481/1999 , 3 de marz</w:t>
      </w:r>
      <w:r>
        <w:rPr>
          <w:rFonts w:ascii="Times New Roman" w:hAnsi="Times New Roman" w:cs="Times New Roman"/>
        </w:rPr>
        <w:t>o de 2011 , RIP n.º 1865/2007.</w:t>
      </w:r>
    </w:p>
  </w:footnote>
  <w:footnote w:id="32">
    <w:p w14:paraId="5B47C01C" w14:textId="54964C3C" w:rsidR="0057468D" w:rsidRPr="00C553B7" w:rsidRDefault="0057468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Audiencia Provincial de Soria (Sección 1ª) Sentencia </w:t>
      </w:r>
      <w:r w:rsidR="00C30146">
        <w:rPr>
          <w:rFonts w:ascii="Times New Roman" w:hAnsi="Times New Roman" w:cs="Times New Roman"/>
        </w:rPr>
        <w:t>núm. 131/2012 de 8 noviembre</w:t>
      </w:r>
      <w:r w:rsidRPr="00C553B7">
        <w:rPr>
          <w:rFonts w:ascii="Times New Roman" w:hAnsi="Times New Roman" w:cs="Times New Roman"/>
        </w:rPr>
        <w:t>.</w:t>
      </w:r>
    </w:p>
  </w:footnote>
  <w:footnote w:id="33">
    <w:p w14:paraId="3D3EB809" w14:textId="0072C45D" w:rsidR="007953CD" w:rsidRPr="00C553B7" w:rsidRDefault="007953C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STS núm. 535/2010, de 30 de julio, número de Recurso:</w:t>
      </w:r>
      <w:r w:rsidR="006A7C4A" w:rsidRPr="00C553B7">
        <w:rPr>
          <w:rFonts w:ascii="Times New Roman" w:hAnsi="Times New Roman" w:cs="Times New Roman"/>
        </w:rPr>
        <w:t xml:space="preserve"> </w:t>
      </w:r>
      <w:r w:rsidRPr="00C553B7">
        <w:rPr>
          <w:rFonts w:ascii="Times New Roman" w:hAnsi="Times New Roman" w:cs="Times New Roman"/>
        </w:rPr>
        <w:t>1228/2006, núm. de Resolución:</w:t>
      </w:r>
      <w:r w:rsidR="00466E4D" w:rsidRPr="00C553B7">
        <w:rPr>
          <w:rFonts w:ascii="Times New Roman" w:hAnsi="Times New Roman" w:cs="Times New Roman"/>
        </w:rPr>
        <w:t xml:space="preserve"> </w:t>
      </w:r>
      <w:r w:rsidRPr="00C553B7">
        <w:rPr>
          <w:rFonts w:ascii="Times New Roman" w:hAnsi="Times New Roman" w:cs="Times New Roman"/>
        </w:rPr>
        <w:t>535/2010</w:t>
      </w:r>
      <w:r w:rsidR="00466E4D" w:rsidRPr="00C553B7">
        <w:rPr>
          <w:rFonts w:ascii="Times New Roman" w:hAnsi="Times New Roman" w:cs="Times New Roman"/>
        </w:rPr>
        <w:t>,</w:t>
      </w:r>
      <w:r w:rsidRPr="00C553B7">
        <w:rPr>
          <w:rFonts w:ascii="Times New Roman" w:hAnsi="Times New Roman" w:cs="Times New Roman"/>
        </w:rPr>
        <w:t xml:space="preserve"> FD segundo</w:t>
      </w:r>
      <w:r w:rsidR="00466E4D" w:rsidRPr="00C553B7">
        <w:rPr>
          <w:rFonts w:ascii="Times New Roman" w:hAnsi="Times New Roman" w:cs="Times New Roman"/>
        </w:rPr>
        <w:t>.</w:t>
      </w:r>
    </w:p>
  </w:footnote>
  <w:footnote w:id="34">
    <w:p w14:paraId="6AA1D141" w14:textId="310ABDFC" w:rsidR="0057468D" w:rsidRPr="00C553B7" w:rsidRDefault="0057468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Por eso ya desde un primer momento el TS se centraba en la identidad fáctica, “El Tribunal Supremo en su Sentencia de 27 diciembre 1947 (RJ 1948\9) ya señaló que la conexión causal mencionada en el art. 156 de la Ley de Enjuiciamiento Civil ha de ser reconducida a los fundamentos de hecho aducidos por la parte en cuanto definen el acaecimiento básico de la pretensión, que por razones de economía procesal y de conveniente examen en un solo litigio justifican el tratamiento unitario y la resolución conjunta.” Audiencia Provincial de Barcelona (Sección 14ª) Sentencia </w:t>
      </w:r>
      <w:r w:rsidR="00C7723A">
        <w:rPr>
          <w:rFonts w:ascii="Times New Roman" w:hAnsi="Times New Roman" w:cs="Times New Roman"/>
        </w:rPr>
        <w:t>de 19 octubre 1998</w:t>
      </w:r>
      <w:r w:rsidRPr="00C553B7">
        <w:rPr>
          <w:rFonts w:ascii="Times New Roman" w:hAnsi="Times New Roman" w:cs="Times New Roman"/>
        </w:rPr>
        <w:t>, FD tercero y Audiencia Provincial de Valencia (Sección 9ª) Sentencia núm. 38</w:t>
      </w:r>
      <w:r w:rsidR="00C7723A">
        <w:rPr>
          <w:rFonts w:ascii="Times New Roman" w:hAnsi="Times New Roman" w:cs="Times New Roman"/>
        </w:rPr>
        <w:t>5/1996 de 12 julio</w:t>
      </w:r>
      <w:r w:rsidRPr="00C553B7">
        <w:rPr>
          <w:rFonts w:ascii="Times New Roman" w:hAnsi="Times New Roman" w:cs="Times New Roman"/>
        </w:rPr>
        <w:t>, FD cuarto; Audiencia Provincial de Málaga Sent</w:t>
      </w:r>
      <w:r w:rsidR="00C7723A">
        <w:rPr>
          <w:rFonts w:ascii="Times New Roman" w:hAnsi="Times New Roman" w:cs="Times New Roman"/>
        </w:rPr>
        <w:t>encia de 30 mayo 1992</w:t>
      </w:r>
      <w:r w:rsidRPr="00C553B7">
        <w:rPr>
          <w:rFonts w:ascii="Times New Roman" w:hAnsi="Times New Roman" w:cs="Times New Roman"/>
        </w:rPr>
        <w:t>, FD segundo.</w:t>
      </w:r>
    </w:p>
  </w:footnote>
  <w:footnote w:id="35">
    <w:p w14:paraId="18CFF03F" w14:textId="54C2CE5A" w:rsidR="001B0AB2" w:rsidRPr="00C553B7" w:rsidRDefault="001B0AB2"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Sobre la falta de valor decisivo del allanamiento respecto de un codemandado con intereses contrapuestos, SSTS (Sala de lo Civil) Sentencia núm. 1279/2002 de 26 diciembre, RJ\2003\328, FD segundo. Además existe jurisprudencia que limita el allanamiento en el caso del litisconsorcio voluntario si se considera el objeto inescindible, como sucede en la solidaridad STS 1/2003, de 15 de enero (ROJ STS 74/2003),  FJ 1, STSJ, 02/11/2016, Sección: Primera, Número Sentencia: 69/2016, Número Recurso: 35/20</w:t>
      </w:r>
      <w:r w:rsidR="00765C7D">
        <w:rPr>
          <w:rFonts w:ascii="Times New Roman" w:hAnsi="Times New Roman" w:cs="Times New Roman"/>
        </w:rPr>
        <w:t>16, FD primero bis</w:t>
      </w:r>
      <w:r w:rsidRPr="00C553B7">
        <w:rPr>
          <w:rFonts w:ascii="Times New Roman" w:hAnsi="Times New Roman" w:cs="Times New Roman"/>
        </w:rPr>
        <w:t xml:space="preserve">. Como además resulta que en la renuncia y el allanamiento únicamente existe un acto de disposición sobre el </w:t>
      </w:r>
      <w:proofErr w:type="spellStart"/>
      <w:r w:rsidRPr="00C553B7">
        <w:rPr>
          <w:rFonts w:ascii="Times New Roman" w:hAnsi="Times New Roman" w:cs="Times New Roman"/>
          <w:i/>
        </w:rPr>
        <w:t>petitum</w:t>
      </w:r>
      <w:proofErr w:type="spellEnd"/>
      <w:r w:rsidRPr="00C553B7">
        <w:rPr>
          <w:rFonts w:ascii="Times New Roman" w:hAnsi="Times New Roman" w:cs="Times New Roman"/>
        </w:rPr>
        <w:t xml:space="preserve"> y no sobre la causa </w:t>
      </w:r>
      <w:proofErr w:type="spellStart"/>
      <w:r w:rsidRPr="00C553B7">
        <w:rPr>
          <w:rFonts w:ascii="Times New Roman" w:hAnsi="Times New Roman" w:cs="Times New Roman"/>
          <w:i/>
        </w:rPr>
        <w:t>petendi</w:t>
      </w:r>
      <w:proofErr w:type="spellEnd"/>
      <w:r w:rsidRPr="00C553B7">
        <w:rPr>
          <w:rFonts w:ascii="Times New Roman" w:hAnsi="Times New Roman" w:cs="Times New Roman"/>
        </w:rPr>
        <w:t xml:space="preserve">, ni por ende respecto del material fáctico (porque la fijación de los hechos en el fallo escapa a la voluntad de las partes y es un elemento esencial a la integridad del ejercicio de la potestad jurisdiccional, de forma que el tribunal no se pronuncia sobre los hechos, VARELA GÓMEZ, B., “El allanamiento”, pp. 246 y ss., CATALINA BENAVENTE, M.A., “La renuncia”, p. 300, Tratado sobre la disposición en el proceso civil, Dir. CASTILLEJO MANZANARES, R., Valencia, 2017), entendemos que lo adecuado es reputar que, respecto de cualquier otro litigante, ese acto de disposición no es más que un indicio de que los hechos que servirían de soporte al acto de disposición son de una determinada manera. </w:t>
      </w:r>
    </w:p>
  </w:footnote>
  <w:footnote w:id="36">
    <w:p w14:paraId="6D1F52FB" w14:textId="3453ADDA" w:rsidR="00B159DE" w:rsidRPr="00B159DE" w:rsidRDefault="00B159DE" w:rsidP="00B159DE">
      <w:pPr>
        <w:pStyle w:val="Textonotapie"/>
        <w:ind w:firstLine="0"/>
        <w:rPr>
          <w:rFonts w:ascii="Times New Roman" w:hAnsi="Times New Roman" w:cs="Times New Roman"/>
        </w:rPr>
      </w:pPr>
      <w:r w:rsidRPr="00B159DE">
        <w:rPr>
          <w:rStyle w:val="Refdenotaalpie"/>
          <w:rFonts w:ascii="Times New Roman" w:hAnsi="Times New Roman" w:cs="Times New Roman"/>
        </w:rPr>
        <w:footnoteRef/>
      </w:r>
      <w:r w:rsidRPr="00B159DE">
        <w:rPr>
          <w:rFonts w:ascii="Times New Roman" w:hAnsi="Times New Roman" w:cs="Times New Roman"/>
        </w:rPr>
        <w:t xml:space="preserve"> VIDAL PÉREZ, M.F., </w:t>
      </w:r>
      <w:proofErr w:type="spellStart"/>
      <w:r w:rsidRPr="00B159DE">
        <w:rPr>
          <w:rFonts w:ascii="Times New Roman" w:hAnsi="Times New Roman" w:cs="Times New Roman"/>
          <w:i/>
        </w:rPr>
        <w:t>op</w:t>
      </w:r>
      <w:proofErr w:type="spellEnd"/>
      <w:r w:rsidRPr="00B159DE">
        <w:rPr>
          <w:rFonts w:ascii="Times New Roman" w:hAnsi="Times New Roman" w:cs="Times New Roman"/>
          <w:i/>
        </w:rPr>
        <w:t xml:space="preserve">. cit., </w:t>
      </w:r>
      <w:r w:rsidRPr="00B159DE">
        <w:rPr>
          <w:rFonts w:ascii="Times New Roman" w:hAnsi="Times New Roman" w:cs="Times New Roman"/>
        </w:rPr>
        <w:t xml:space="preserve">p. 317, LÓPEZ JIMÉNEZ, R., </w:t>
      </w:r>
      <w:proofErr w:type="spellStart"/>
      <w:r w:rsidRPr="00B159DE">
        <w:rPr>
          <w:rFonts w:ascii="Times New Roman" w:hAnsi="Times New Roman" w:cs="Times New Roman"/>
          <w:i/>
        </w:rPr>
        <w:t>op</w:t>
      </w:r>
      <w:proofErr w:type="spellEnd"/>
      <w:r w:rsidRPr="00B159DE">
        <w:rPr>
          <w:rFonts w:ascii="Times New Roman" w:hAnsi="Times New Roman" w:cs="Times New Roman"/>
          <w:i/>
        </w:rPr>
        <w:t xml:space="preserve">. cit., </w:t>
      </w:r>
      <w:r w:rsidRPr="00B159DE">
        <w:rPr>
          <w:rFonts w:ascii="Times New Roman" w:hAnsi="Times New Roman" w:cs="Times New Roman"/>
        </w:rPr>
        <w:t>p. 42.</w:t>
      </w:r>
    </w:p>
  </w:footnote>
  <w:footnote w:id="37">
    <w:p w14:paraId="6EF9E693" w14:textId="77777777" w:rsidR="0057468D" w:rsidRPr="00C553B7" w:rsidRDefault="0057468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Siempre cabe entender lo contrario: que el recurso de uno de los litisconsortes impide la firmeza  del fallo al someter a revisión lo que es común (los hechos). Por lo que existiría, en todo caso, una ejecución provisional. </w:t>
      </w:r>
    </w:p>
  </w:footnote>
  <w:footnote w:id="38">
    <w:p w14:paraId="47F486C5" w14:textId="52302B2B" w:rsidR="00383164" w:rsidRPr="00C553B7" w:rsidRDefault="00383164"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Al rubricar esta acumulación como conexión </w:t>
      </w:r>
      <w:r w:rsidRPr="00C553B7">
        <w:rPr>
          <w:rFonts w:ascii="Times New Roman" w:hAnsi="Times New Roman" w:cs="Times New Roman"/>
          <w:i/>
        </w:rPr>
        <w:t>per</w:t>
      </w:r>
      <w:r w:rsidRPr="00C553B7">
        <w:rPr>
          <w:rFonts w:ascii="Times New Roman" w:hAnsi="Times New Roman" w:cs="Times New Roman"/>
        </w:rPr>
        <w:t xml:space="preserve"> </w:t>
      </w:r>
      <w:proofErr w:type="spellStart"/>
      <w:r w:rsidRPr="00C553B7">
        <w:rPr>
          <w:rFonts w:ascii="Times New Roman" w:hAnsi="Times New Roman" w:cs="Times New Roman"/>
          <w:i/>
        </w:rPr>
        <w:t>negotium</w:t>
      </w:r>
      <w:proofErr w:type="spellEnd"/>
      <w:r w:rsidR="00592761">
        <w:rPr>
          <w:rFonts w:ascii="Times New Roman" w:hAnsi="Times New Roman" w:cs="Times New Roman"/>
        </w:rPr>
        <w:t xml:space="preserve"> lo hacemos</w:t>
      </w:r>
      <w:r w:rsidRPr="00C553B7">
        <w:rPr>
          <w:rFonts w:ascii="Times New Roman" w:hAnsi="Times New Roman" w:cs="Times New Roman"/>
        </w:rPr>
        <w:t xml:space="preserve"> para contraponerla a la que hemos denominado </w:t>
      </w:r>
      <w:r w:rsidRPr="00C553B7">
        <w:rPr>
          <w:rFonts w:ascii="Times New Roman" w:hAnsi="Times New Roman" w:cs="Times New Roman"/>
          <w:i/>
        </w:rPr>
        <w:t xml:space="preserve">per </w:t>
      </w:r>
      <w:proofErr w:type="spellStart"/>
      <w:r w:rsidRPr="00C553B7">
        <w:rPr>
          <w:rFonts w:ascii="Times New Roman" w:hAnsi="Times New Roman" w:cs="Times New Roman"/>
          <w:i/>
        </w:rPr>
        <w:t>factum</w:t>
      </w:r>
      <w:proofErr w:type="spellEnd"/>
      <w:r w:rsidRPr="00C553B7">
        <w:rPr>
          <w:rFonts w:ascii="Times New Roman" w:hAnsi="Times New Roman" w:cs="Times New Roman"/>
          <w:i/>
        </w:rPr>
        <w:t>,</w:t>
      </w:r>
      <w:r w:rsidRPr="00C553B7">
        <w:rPr>
          <w:rFonts w:ascii="Times New Roman" w:hAnsi="Times New Roman" w:cs="Times New Roman"/>
        </w:rPr>
        <w:t xml:space="preserve"> en una personalísima variante de la acepción latina en la que se identifica jurídicamente con causa, es decir asunto o cuestión sometida al tribunal, L. M. PALMER, traducción y anotación de VICO, G., </w:t>
      </w:r>
      <w:proofErr w:type="spellStart"/>
      <w:r w:rsidRPr="00C553B7">
        <w:rPr>
          <w:rFonts w:ascii="Times New Roman" w:hAnsi="Times New Roman" w:cs="Times New Roman"/>
          <w:i/>
        </w:rPr>
        <w:t>On</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the</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most</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ancient</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wisdom</w:t>
      </w:r>
      <w:proofErr w:type="spellEnd"/>
      <w:r w:rsidRPr="00C553B7">
        <w:rPr>
          <w:rFonts w:ascii="Times New Roman" w:hAnsi="Times New Roman" w:cs="Times New Roman"/>
          <w:i/>
        </w:rPr>
        <w:t xml:space="preserve"> of </w:t>
      </w:r>
      <w:proofErr w:type="spellStart"/>
      <w:r w:rsidRPr="00C553B7">
        <w:rPr>
          <w:rFonts w:ascii="Times New Roman" w:hAnsi="Times New Roman" w:cs="Times New Roman"/>
          <w:i/>
        </w:rPr>
        <w:t>the</w:t>
      </w:r>
      <w:proofErr w:type="spellEnd"/>
      <w:r w:rsidRPr="00C553B7">
        <w:rPr>
          <w:rFonts w:ascii="Times New Roman" w:hAnsi="Times New Roman" w:cs="Times New Roman"/>
          <w:i/>
        </w:rPr>
        <w:t xml:space="preserve"> </w:t>
      </w:r>
      <w:proofErr w:type="spellStart"/>
      <w:r w:rsidRPr="00C553B7">
        <w:rPr>
          <w:rFonts w:ascii="Times New Roman" w:hAnsi="Times New Roman" w:cs="Times New Roman"/>
          <w:i/>
        </w:rPr>
        <w:t>italians</w:t>
      </w:r>
      <w:proofErr w:type="spellEnd"/>
      <w:r w:rsidR="004F6593" w:rsidRPr="00C553B7">
        <w:rPr>
          <w:rFonts w:ascii="Times New Roman" w:hAnsi="Times New Roman" w:cs="Times New Roman"/>
          <w:i/>
        </w:rPr>
        <w:t xml:space="preserve"> (</w:t>
      </w:r>
      <w:proofErr w:type="spellStart"/>
      <w:r w:rsidR="004F6593" w:rsidRPr="00C553B7">
        <w:rPr>
          <w:rFonts w:ascii="Times New Roman" w:hAnsi="Times New Roman" w:cs="Times New Roman"/>
          <w:i/>
        </w:rPr>
        <w:t>unearthed</w:t>
      </w:r>
      <w:proofErr w:type="spellEnd"/>
      <w:r w:rsidR="004F6593" w:rsidRPr="00C553B7">
        <w:rPr>
          <w:rFonts w:ascii="Times New Roman" w:hAnsi="Times New Roman" w:cs="Times New Roman"/>
          <w:i/>
        </w:rPr>
        <w:t xml:space="preserve"> </w:t>
      </w:r>
      <w:proofErr w:type="spellStart"/>
      <w:r w:rsidR="004F6593" w:rsidRPr="00C553B7">
        <w:rPr>
          <w:rFonts w:ascii="Times New Roman" w:hAnsi="Times New Roman" w:cs="Times New Roman"/>
          <w:i/>
        </w:rPr>
        <w:t>from</w:t>
      </w:r>
      <w:proofErr w:type="spellEnd"/>
      <w:r w:rsidR="004F6593" w:rsidRPr="00C553B7">
        <w:rPr>
          <w:rFonts w:ascii="Times New Roman" w:hAnsi="Times New Roman" w:cs="Times New Roman"/>
          <w:i/>
        </w:rPr>
        <w:t xml:space="preserve"> </w:t>
      </w:r>
      <w:proofErr w:type="spellStart"/>
      <w:r w:rsidR="004F6593" w:rsidRPr="00C553B7">
        <w:rPr>
          <w:rFonts w:ascii="Times New Roman" w:hAnsi="Times New Roman" w:cs="Times New Roman"/>
          <w:i/>
        </w:rPr>
        <w:t>the</w:t>
      </w:r>
      <w:proofErr w:type="spellEnd"/>
      <w:r w:rsidR="004F6593" w:rsidRPr="00C553B7">
        <w:rPr>
          <w:rFonts w:ascii="Times New Roman" w:hAnsi="Times New Roman" w:cs="Times New Roman"/>
          <w:i/>
        </w:rPr>
        <w:t xml:space="preserve"> </w:t>
      </w:r>
      <w:proofErr w:type="spellStart"/>
      <w:r w:rsidR="004F6593" w:rsidRPr="00C553B7">
        <w:rPr>
          <w:rFonts w:ascii="Times New Roman" w:hAnsi="Times New Roman" w:cs="Times New Roman"/>
          <w:i/>
        </w:rPr>
        <w:t>origins</w:t>
      </w:r>
      <w:proofErr w:type="spellEnd"/>
      <w:r w:rsidR="004F6593" w:rsidRPr="00C553B7">
        <w:rPr>
          <w:rFonts w:ascii="Times New Roman" w:hAnsi="Times New Roman" w:cs="Times New Roman"/>
          <w:i/>
        </w:rPr>
        <w:t xml:space="preserve"> of </w:t>
      </w:r>
      <w:proofErr w:type="spellStart"/>
      <w:r w:rsidR="004F6593" w:rsidRPr="00C553B7">
        <w:rPr>
          <w:rFonts w:ascii="Times New Roman" w:hAnsi="Times New Roman" w:cs="Times New Roman"/>
          <w:i/>
        </w:rPr>
        <w:t>the</w:t>
      </w:r>
      <w:proofErr w:type="spellEnd"/>
      <w:r w:rsidR="004F6593" w:rsidRPr="00C553B7">
        <w:rPr>
          <w:rFonts w:ascii="Times New Roman" w:hAnsi="Times New Roman" w:cs="Times New Roman"/>
          <w:i/>
        </w:rPr>
        <w:t xml:space="preserve"> </w:t>
      </w:r>
      <w:proofErr w:type="spellStart"/>
      <w:r w:rsidR="004F6593" w:rsidRPr="00C553B7">
        <w:rPr>
          <w:rFonts w:ascii="Times New Roman" w:hAnsi="Times New Roman" w:cs="Times New Roman"/>
          <w:i/>
        </w:rPr>
        <w:t>latin</w:t>
      </w:r>
      <w:proofErr w:type="spellEnd"/>
      <w:r w:rsidR="004F6593" w:rsidRPr="00C553B7">
        <w:rPr>
          <w:rFonts w:ascii="Times New Roman" w:hAnsi="Times New Roman" w:cs="Times New Roman"/>
          <w:i/>
        </w:rPr>
        <w:t xml:space="preserve"> </w:t>
      </w:r>
      <w:proofErr w:type="spellStart"/>
      <w:r w:rsidR="004F6593" w:rsidRPr="00C553B7">
        <w:rPr>
          <w:rFonts w:ascii="Times New Roman" w:hAnsi="Times New Roman" w:cs="Times New Roman"/>
          <w:i/>
        </w:rPr>
        <w:t>language</w:t>
      </w:r>
      <w:proofErr w:type="spellEnd"/>
      <w:r w:rsidR="004F6593" w:rsidRPr="00C553B7">
        <w:rPr>
          <w:rFonts w:ascii="Times New Roman" w:hAnsi="Times New Roman" w:cs="Times New Roman"/>
          <w:i/>
        </w:rPr>
        <w:t>)</w:t>
      </w:r>
      <w:r w:rsidRPr="00C553B7">
        <w:rPr>
          <w:rFonts w:ascii="Times New Roman" w:hAnsi="Times New Roman" w:cs="Times New Roman"/>
        </w:rPr>
        <w:t xml:space="preserve">, </w:t>
      </w:r>
      <w:proofErr w:type="spellStart"/>
      <w:r w:rsidRPr="00C553B7">
        <w:rPr>
          <w:rFonts w:ascii="Times New Roman" w:hAnsi="Times New Roman" w:cs="Times New Roman"/>
        </w:rPr>
        <w:t>Cornell</w:t>
      </w:r>
      <w:proofErr w:type="spellEnd"/>
      <w:r w:rsidRPr="00C553B7">
        <w:rPr>
          <w:rFonts w:ascii="Times New Roman" w:hAnsi="Times New Roman" w:cs="Times New Roman"/>
        </w:rPr>
        <w:t xml:space="preserve"> </w:t>
      </w:r>
      <w:proofErr w:type="spellStart"/>
      <w:r w:rsidRPr="00C553B7">
        <w:rPr>
          <w:rFonts w:ascii="Times New Roman" w:hAnsi="Times New Roman" w:cs="Times New Roman"/>
        </w:rPr>
        <w:t>University</w:t>
      </w:r>
      <w:proofErr w:type="spellEnd"/>
      <w:r w:rsidRPr="00C553B7">
        <w:rPr>
          <w:rFonts w:ascii="Times New Roman" w:hAnsi="Times New Roman" w:cs="Times New Roman"/>
        </w:rPr>
        <w:t xml:space="preserve"> </w:t>
      </w:r>
      <w:proofErr w:type="spellStart"/>
      <w:r w:rsidRPr="00C553B7">
        <w:rPr>
          <w:rFonts w:ascii="Times New Roman" w:hAnsi="Times New Roman" w:cs="Times New Roman"/>
        </w:rPr>
        <w:t>Press</w:t>
      </w:r>
      <w:proofErr w:type="spellEnd"/>
      <w:r w:rsidRPr="00C553B7">
        <w:rPr>
          <w:rFonts w:ascii="Times New Roman" w:hAnsi="Times New Roman" w:cs="Times New Roman"/>
        </w:rPr>
        <w:t>, Londres 1984,</w:t>
      </w:r>
      <w:r w:rsidR="0005165C" w:rsidRPr="00C553B7">
        <w:rPr>
          <w:rFonts w:ascii="Times New Roman" w:hAnsi="Times New Roman" w:cs="Times New Roman"/>
        </w:rPr>
        <w:t xml:space="preserve"> p. 64. Porque en nuestro idioma</w:t>
      </w:r>
      <w:r w:rsidRPr="00C553B7">
        <w:rPr>
          <w:rFonts w:ascii="Times New Roman" w:hAnsi="Times New Roman" w:cs="Times New Roman"/>
        </w:rPr>
        <w:t xml:space="preserve">, como se sabe, el negocio jurídico implica la concurrencia de la voluntad encaminada a producir determinadas consecuencias jurídicas, lo que no sucedería en los supuestos de responsabilidad extracontractual.  </w:t>
      </w:r>
    </w:p>
  </w:footnote>
  <w:footnote w:id="39">
    <w:p w14:paraId="6F1EE8C6" w14:textId="0C18065F" w:rsidR="009A229D" w:rsidRPr="00C553B7" w:rsidRDefault="009A229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SSTS de 7</w:t>
      </w:r>
      <w:r w:rsidR="00765C7D">
        <w:rPr>
          <w:rFonts w:ascii="Times New Roman" w:hAnsi="Times New Roman" w:cs="Times New Roman"/>
        </w:rPr>
        <w:t xml:space="preserve"> de marzo de 1988</w:t>
      </w:r>
      <w:r w:rsidRPr="00C553B7">
        <w:rPr>
          <w:rFonts w:ascii="Times New Roman" w:hAnsi="Times New Roman" w:cs="Times New Roman"/>
        </w:rPr>
        <w:t xml:space="preserve"> y Sentencia núm. 330/1999 de 23</w:t>
      </w:r>
      <w:r w:rsidR="00765C7D">
        <w:rPr>
          <w:rFonts w:ascii="Times New Roman" w:hAnsi="Times New Roman" w:cs="Times New Roman"/>
        </w:rPr>
        <w:t xml:space="preserve"> abril, </w:t>
      </w:r>
      <w:r w:rsidRPr="00C553B7">
        <w:rPr>
          <w:rFonts w:ascii="Times New Roman" w:hAnsi="Times New Roman" w:cs="Times New Roman"/>
        </w:rPr>
        <w:t>FD primero.</w:t>
      </w:r>
    </w:p>
  </w:footnote>
  <w:footnote w:id="40">
    <w:p w14:paraId="13BCB2FD" w14:textId="44B1F715" w:rsidR="009A229D" w:rsidRPr="00C553B7" w:rsidRDefault="009A229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765C7D">
        <w:rPr>
          <w:rFonts w:ascii="Times New Roman" w:hAnsi="Times New Roman" w:cs="Times New Roman"/>
        </w:rPr>
        <w:t xml:space="preserve"> STS, de 4 junio 1990, </w:t>
      </w:r>
      <w:r w:rsidRPr="00C553B7">
        <w:rPr>
          <w:rFonts w:ascii="Times New Roman" w:hAnsi="Times New Roman" w:cs="Times New Roman"/>
        </w:rPr>
        <w:t>FD cuarto.</w:t>
      </w:r>
    </w:p>
  </w:footnote>
  <w:footnote w:id="41">
    <w:p w14:paraId="040F7DDB" w14:textId="6F93A97D"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La flexibilidad jurisprudencial para consentir la acumulación subjetiva data al menos de mediados del siglo pasado SST</w:t>
      </w:r>
      <w:r w:rsidR="00765C7D">
        <w:rPr>
          <w:rFonts w:ascii="Times New Roman" w:hAnsi="Times New Roman" w:cs="Times New Roman"/>
        </w:rPr>
        <w:t>S de 5 marzo 1956</w:t>
      </w:r>
      <w:r w:rsidRPr="00C553B7">
        <w:rPr>
          <w:rFonts w:ascii="Times New Roman" w:hAnsi="Times New Roman" w:cs="Times New Roman"/>
        </w:rPr>
        <w:t xml:space="preserve"> y 12 junio 1985 y desde entonces se ha venido reafirmando</w:t>
      </w:r>
      <w:r w:rsidR="00C60045" w:rsidRPr="00C553B7">
        <w:rPr>
          <w:rFonts w:ascii="Times New Roman" w:hAnsi="Times New Roman" w:cs="Times New Roman"/>
        </w:rPr>
        <w:t xml:space="preserve"> ininterrumpidamente</w:t>
      </w:r>
      <w:r w:rsidRPr="00C553B7">
        <w:rPr>
          <w:rFonts w:ascii="Times New Roman" w:hAnsi="Times New Roman" w:cs="Times New Roman"/>
        </w:rPr>
        <w:t>, Sentencias de 12 junio 1985, 7-12-87, 27-5-88, 4 junio 1990, 14 octubre 1993,</w:t>
      </w:r>
      <w:r w:rsidR="00765C7D">
        <w:rPr>
          <w:rFonts w:ascii="Times New Roman" w:hAnsi="Times New Roman" w:cs="Times New Roman"/>
        </w:rPr>
        <w:t xml:space="preserve"> 8 noviembre 1995</w:t>
      </w:r>
      <w:r w:rsidRPr="00C553B7">
        <w:rPr>
          <w:rFonts w:ascii="Times New Roman" w:hAnsi="Times New Roman" w:cs="Times New Roman"/>
        </w:rPr>
        <w:t xml:space="preserve">, 19-10-96 y 7 febrero y 17 diciembre 1997 </w:t>
      </w:r>
      <w:r w:rsidR="0060038E" w:rsidRPr="00C553B7">
        <w:rPr>
          <w:rFonts w:ascii="Times New Roman" w:hAnsi="Times New Roman" w:cs="Times New Roman"/>
        </w:rPr>
        <w:t>y 9 de julio de 1999, hasta nuestro</w:t>
      </w:r>
      <w:r w:rsidR="00B57EA5">
        <w:rPr>
          <w:rFonts w:ascii="Times New Roman" w:hAnsi="Times New Roman" w:cs="Times New Roman"/>
        </w:rPr>
        <w:t>s</w:t>
      </w:r>
      <w:r w:rsidR="0060038E" w:rsidRPr="00C553B7">
        <w:rPr>
          <w:rFonts w:ascii="Times New Roman" w:hAnsi="Times New Roman" w:cs="Times New Roman"/>
        </w:rPr>
        <w:t xml:space="preserve"> días.</w:t>
      </w:r>
    </w:p>
  </w:footnote>
  <w:footnote w:id="42">
    <w:p w14:paraId="4F2D9996" w14:textId="28FE75FE" w:rsidR="00BC360E" w:rsidRPr="00C553B7" w:rsidRDefault="00BC360E"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Se reclamaba frente a deudor principal y solidarios por suministro de mercancías, STS Sala de lo Civil, núm. 5</w:t>
      </w:r>
      <w:r w:rsidR="00765C7D">
        <w:rPr>
          <w:rFonts w:ascii="Times New Roman" w:hAnsi="Times New Roman" w:cs="Times New Roman"/>
        </w:rPr>
        <w:t>28/2002 de 4 junio</w:t>
      </w:r>
      <w:r w:rsidRPr="00C553B7">
        <w:rPr>
          <w:rFonts w:ascii="Times New Roman" w:hAnsi="Times New Roman" w:cs="Times New Roman"/>
        </w:rPr>
        <w:t>, FD quin</w:t>
      </w:r>
      <w:r w:rsidR="00427D0A" w:rsidRPr="00C553B7">
        <w:rPr>
          <w:rFonts w:ascii="Times New Roman" w:hAnsi="Times New Roman" w:cs="Times New Roman"/>
        </w:rPr>
        <w:t>to, o bien el letrado accionaba contra la persona física y la persona jurídica de la que aquel era administrador único (unas veces contrataba en nombre propio y otras en el de la sociedad) por las deudas no abonadas, STS Sala de lo Civil, Sentencia de</w:t>
      </w:r>
      <w:r w:rsidR="00B67CBD">
        <w:rPr>
          <w:rFonts w:ascii="Times New Roman" w:hAnsi="Times New Roman" w:cs="Times New Roman"/>
        </w:rPr>
        <w:t xml:space="preserve"> 17 diciembre 1997</w:t>
      </w:r>
      <w:r w:rsidR="00427D0A" w:rsidRPr="00C553B7">
        <w:rPr>
          <w:rFonts w:ascii="Times New Roman" w:hAnsi="Times New Roman" w:cs="Times New Roman"/>
        </w:rPr>
        <w:t>, FD quinto.</w:t>
      </w:r>
    </w:p>
  </w:footnote>
  <w:footnote w:id="43">
    <w:p w14:paraId="2B96766B" w14:textId="7FDB21E8" w:rsidR="00DC1C86" w:rsidRPr="00C553B7" w:rsidRDefault="00DC1C86"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B67CBD">
        <w:rPr>
          <w:rFonts w:ascii="Times New Roman" w:hAnsi="Times New Roman" w:cs="Times New Roman"/>
        </w:rPr>
        <w:t xml:space="preserve"> Tribunal Supremo,</w:t>
      </w:r>
      <w:r w:rsidR="0043104B" w:rsidRPr="00C553B7">
        <w:rPr>
          <w:rFonts w:ascii="Times New Roman" w:hAnsi="Times New Roman" w:cs="Times New Roman"/>
        </w:rPr>
        <w:t xml:space="preserve"> Sentencia nú</w:t>
      </w:r>
      <w:r w:rsidRPr="00C553B7">
        <w:rPr>
          <w:rFonts w:ascii="Times New Roman" w:hAnsi="Times New Roman" w:cs="Times New Roman"/>
        </w:rPr>
        <w:t>m. 67</w:t>
      </w:r>
      <w:r w:rsidR="00B67CBD">
        <w:rPr>
          <w:rFonts w:ascii="Times New Roman" w:hAnsi="Times New Roman" w:cs="Times New Roman"/>
        </w:rPr>
        <w:t>3/1996 de 24 julio</w:t>
      </w:r>
      <w:r w:rsidR="0043104B" w:rsidRPr="00C553B7">
        <w:rPr>
          <w:rFonts w:ascii="Times New Roman" w:hAnsi="Times New Roman" w:cs="Times New Roman"/>
        </w:rPr>
        <w:t>. Recuérdese que la LOE solo prevé la solidaridad del promotor, en el resto de los casos aquella existe en los supuestos señalados en la ley (imposibilidad de individualizar al causante; indeterminación grado intervención de los coautores; actuación conjunta), art</w:t>
      </w:r>
      <w:r w:rsidR="00556B8E" w:rsidRPr="00C553B7">
        <w:rPr>
          <w:rFonts w:ascii="Times New Roman" w:hAnsi="Times New Roman" w:cs="Times New Roman"/>
        </w:rPr>
        <w:t>.</w:t>
      </w:r>
      <w:r w:rsidR="0043104B" w:rsidRPr="00C553B7">
        <w:rPr>
          <w:rFonts w:ascii="Times New Roman" w:hAnsi="Times New Roman" w:cs="Times New Roman"/>
        </w:rPr>
        <w:t>17.3 y 5 LOE.</w:t>
      </w:r>
    </w:p>
  </w:footnote>
  <w:footnote w:id="44">
    <w:p w14:paraId="1C78E274" w14:textId="1C6BC6A6" w:rsidR="0087642A" w:rsidRPr="0087642A" w:rsidRDefault="0087642A" w:rsidP="0087642A">
      <w:pPr>
        <w:pStyle w:val="Textonotapie"/>
        <w:ind w:firstLine="0"/>
        <w:rPr>
          <w:rFonts w:ascii="Times New Roman" w:hAnsi="Times New Roman" w:cs="Times New Roman"/>
        </w:rPr>
      </w:pPr>
      <w:r w:rsidRPr="0087642A">
        <w:rPr>
          <w:rStyle w:val="Refdenotaalpie"/>
          <w:rFonts w:ascii="Times New Roman" w:hAnsi="Times New Roman" w:cs="Times New Roman"/>
        </w:rPr>
        <w:footnoteRef/>
      </w:r>
      <w:r w:rsidR="00B67CBD">
        <w:rPr>
          <w:rFonts w:ascii="Times New Roman" w:hAnsi="Times New Roman" w:cs="Times New Roman"/>
        </w:rPr>
        <w:t xml:space="preserve"> STS</w:t>
      </w:r>
      <w:r w:rsidRPr="0087642A">
        <w:rPr>
          <w:rFonts w:ascii="Times New Roman" w:hAnsi="Times New Roman" w:cs="Times New Roman"/>
        </w:rPr>
        <w:t xml:space="preserve"> Sentencia núm. 424/1996 de 1 junio,  FD primero, los demandados habían incrementado de forma unilateral el precio de las viviendas de los compradores.</w:t>
      </w:r>
    </w:p>
  </w:footnote>
  <w:footnote w:id="45">
    <w:p w14:paraId="279DA9B8" w14:textId="63EE5C47" w:rsidR="00427D0A" w:rsidRPr="00C553B7" w:rsidRDefault="00427D0A"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Quince actores solicitaban la resolución de sus contratos frente a la sociedad que no les había entregado las parcelas</w:t>
      </w:r>
      <w:r w:rsidR="00C5310C" w:rsidRPr="00C553B7">
        <w:rPr>
          <w:rFonts w:ascii="Times New Roman" w:hAnsi="Times New Roman" w:cs="Times New Roman"/>
        </w:rPr>
        <w:t xml:space="preserve">, </w:t>
      </w:r>
      <w:r w:rsidRPr="00C553B7">
        <w:rPr>
          <w:rFonts w:ascii="Times New Roman" w:hAnsi="Times New Roman" w:cs="Times New Roman"/>
        </w:rPr>
        <w:t>STS Sala de lo Civil, Sentencia</w:t>
      </w:r>
      <w:r w:rsidR="00B67CBD">
        <w:rPr>
          <w:rFonts w:ascii="Times New Roman" w:hAnsi="Times New Roman" w:cs="Times New Roman"/>
        </w:rPr>
        <w:t xml:space="preserve"> de 28 junio 1994,</w:t>
      </w:r>
      <w:r w:rsidRPr="00C553B7">
        <w:rPr>
          <w:rFonts w:ascii="Times New Roman" w:hAnsi="Times New Roman" w:cs="Times New Roman"/>
        </w:rPr>
        <w:t xml:space="preserve"> FD </w:t>
      </w:r>
      <w:r w:rsidR="00C5310C" w:rsidRPr="00C553B7">
        <w:rPr>
          <w:rFonts w:ascii="Times New Roman" w:hAnsi="Times New Roman" w:cs="Times New Roman"/>
        </w:rPr>
        <w:t>primero</w:t>
      </w:r>
      <w:r w:rsidRPr="00C553B7">
        <w:rPr>
          <w:rFonts w:ascii="Times New Roman" w:hAnsi="Times New Roman" w:cs="Times New Roman"/>
        </w:rPr>
        <w:t>.</w:t>
      </w:r>
    </w:p>
  </w:footnote>
  <w:footnote w:id="46">
    <w:p w14:paraId="1FFE12FA" w14:textId="1FCFA6CF"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Audiencia Provincial de Valladolid (Sección 1ª) Auto núm.</w:t>
      </w:r>
      <w:r w:rsidR="00B67CBD">
        <w:rPr>
          <w:rFonts w:ascii="Times New Roman" w:hAnsi="Times New Roman" w:cs="Times New Roman"/>
        </w:rPr>
        <w:t xml:space="preserve"> 45/1998 de 15 mayo</w:t>
      </w:r>
      <w:r w:rsidRPr="00C553B7">
        <w:rPr>
          <w:rFonts w:ascii="Times New Roman" w:hAnsi="Times New Roman" w:cs="Times New Roman"/>
        </w:rPr>
        <w:t>, FD segundo.</w:t>
      </w:r>
    </w:p>
  </w:footnote>
  <w:footnote w:id="47">
    <w:p w14:paraId="276696AD" w14:textId="5F13BFAD" w:rsidR="008F2082" w:rsidRPr="00C553B7" w:rsidRDefault="008F2082"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AAP Barcelona, 02/02/2017, Sección: Decimosexta, núm. Sentencia: 27/2017, núm.</w:t>
      </w:r>
      <w:r w:rsidR="00B67CBD">
        <w:rPr>
          <w:rFonts w:ascii="Times New Roman" w:hAnsi="Times New Roman" w:cs="Times New Roman"/>
        </w:rPr>
        <w:t xml:space="preserve"> Recurso: 739/2016</w:t>
      </w:r>
      <w:r w:rsidRPr="00C553B7">
        <w:rPr>
          <w:rFonts w:ascii="Times New Roman" w:hAnsi="Times New Roman" w:cs="Times New Roman"/>
        </w:rPr>
        <w:t>, FD segundo.</w:t>
      </w:r>
    </w:p>
  </w:footnote>
  <w:footnote w:id="48">
    <w:p w14:paraId="712AC321" w14:textId="49874E26"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Si la comunidad reclama cuotas impagadas a los propietarios Audiencia Provincial de Las Palmas (Sección 2ª) Auto núm. </w:t>
      </w:r>
      <w:r w:rsidR="00B67CBD">
        <w:rPr>
          <w:rFonts w:ascii="Times New Roman" w:hAnsi="Times New Roman" w:cs="Times New Roman"/>
        </w:rPr>
        <w:t>8/1999 de 4 febrero,</w:t>
      </w:r>
      <w:r w:rsidRPr="00C553B7">
        <w:rPr>
          <w:rFonts w:ascii="Times New Roman" w:hAnsi="Times New Roman" w:cs="Times New Roman"/>
        </w:rPr>
        <w:t xml:space="preserve">  (antes de que se implantara el primer monitorio en nuestro país en 1999, precisamente en este ámbito) y en el mismo sentido Audiencia Provincial de Madrid (Sección 21ª) Sentencia d</w:t>
      </w:r>
      <w:r w:rsidR="00B67CBD">
        <w:rPr>
          <w:rFonts w:ascii="Times New Roman" w:hAnsi="Times New Roman" w:cs="Times New Roman"/>
        </w:rPr>
        <w:t>e 16 enero 2001</w:t>
      </w:r>
      <w:r w:rsidRPr="00C553B7">
        <w:rPr>
          <w:rFonts w:ascii="Times New Roman" w:hAnsi="Times New Roman" w:cs="Times New Roman"/>
        </w:rPr>
        <w:t>, FD quinto.</w:t>
      </w:r>
    </w:p>
  </w:footnote>
  <w:footnote w:id="49">
    <w:p w14:paraId="06978288" w14:textId="6CB8F125" w:rsidR="0053519C" w:rsidRPr="00C553B7" w:rsidRDefault="0053519C"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“las diferencias entre los demandantes y el tipo de producto contratado son no sustanciales. Siendo similares las formas de contratación, el tipo de producto adquirido, la secuencia temporal de su adquisición, el perfil de los contratantes e incluso el tipo de información que se les suministró.”  Audiencia Provincial  de Soria (Sección 1ª) Sentencia núm. 131/2</w:t>
      </w:r>
      <w:r w:rsidR="00B67CBD">
        <w:rPr>
          <w:rFonts w:ascii="Times New Roman" w:hAnsi="Times New Roman" w:cs="Times New Roman"/>
        </w:rPr>
        <w:t>012 de 8 noviembre</w:t>
      </w:r>
      <w:r w:rsidRPr="00C553B7">
        <w:rPr>
          <w:rFonts w:ascii="Times New Roman" w:hAnsi="Times New Roman" w:cs="Times New Roman"/>
        </w:rPr>
        <w:t>.</w:t>
      </w:r>
    </w:p>
  </w:footnote>
  <w:footnote w:id="50">
    <w:p w14:paraId="108CBFAE" w14:textId="0E6E549B"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D67625" w:rsidRPr="00C553B7">
        <w:rPr>
          <w:rFonts w:ascii="Times New Roman" w:hAnsi="Times New Roman" w:cs="Times New Roman"/>
        </w:rPr>
        <w:t xml:space="preserve"> TS</w:t>
      </w:r>
      <w:r w:rsidRPr="00C553B7">
        <w:rPr>
          <w:rFonts w:ascii="Times New Roman" w:hAnsi="Times New Roman" w:cs="Times New Roman"/>
        </w:rPr>
        <w:t xml:space="preserve"> Sentencia núm. 60/1997 de 7 febre</w:t>
      </w:r>
      <w:r w:rsidR="00B67CBD">
        <w:rPr>
          <w:rFonts w:ascii="Times New Roman" w:hAnsi="Times New Roman" w:cs="Times New Roman"/>
        </w:rPr>
        <w:t>ro</w:t>
      </w:r>
      <w:r w:rsidR="00304E06">
        <w:rPr>
          <w:rFonts w:ascii="Times New Roman" w:hAnsi="Times New Roman" w:cs="Times New Roman"/>
        </w:rPr>
        <w:t>, FFDD tercero y cuarto.</w:t>
      </w:r>
    </w:p>
  </w:footnote>
  <w:footnote w:id="51">
    <w:p w14:paraId="65436060" w14:textId="725C88D9" w:rsidR="00153233" w:rsidRPr="00C553B7" w:rsidRDefault="00153233"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53519C" w:rsidRPr="00C553B7">
        <w:rPr>
          <w:rFonts w:ascii="Times New Roman" w:hAnsi="Times New Roman" w:cs="Times New Roman"/>
        </w:rPr>
        <w:t>“lo determinante no es si existen o no diferentes relaciones jurídicas con algunos aspectos diferenciales, sino si existe una conexión entre las cuestiones controvertidas objeto de las acciones acumuladas en su aspecto fáctico con relevancia respecto de las pretensiones ejercitadas, que justifique el conocimiento conjunto de las acciones ejercitadas y evite de este modo la existencia de sentencias injustificadamente discordantes”</w:t>
      </w:r>
      <w:r w:rsidRPr="00C553B7">
        <w:rPr>
          <w:rFonts w:ascii="Times New Roman" w:hAnsi="Times New Roman" w:cs="Times New Roman"/>
        </w:rPr>
        <w:t xml:space="preserve"> TS, Sala de lo Civil, Sección 1ª Sentencia núm. 564/2015 de 21 octubre, Recurso de </w:t>
      </w:r>
      <w:r w:rsidR="0066314E">
        <w:rPr>
          <w:rFonts w:ascii="Times New Roman" w:hAnsi="Times New Roman" w:cs="Times New Roman"/>
        </w:rPr>
        <w:t>Casación 2671/2012</w:t>
      </w:r>
      <w:r w:rsidRPr="00C553B7">
        <w:rPr>
          <w:rFonts w:ascii="Times New Roman" w:hAnsi="Times New Roman" w:cs="Times New Roman"/>
        </w:rPr>
        <w:t>, FD tercero.</w:t>
      </w:r>
    </w:p>
  </w:footnote>
  <w:footnote w:id="52">
    <w:p w14:paraId="4ED95475" w14:textId="2852F1D4" w:rsidR="00BB52B6" w:rsidRPr="00C553B7" w:rsidRDefault="00BB52B6"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53519C" w:rsidRPr="00C553B7">
        <w:rPr>
          <w:rFonts w:ascii="Times New Roman" w:hAnsi="Times New Roman" w:cs="Times New Roman"/>
        </w:rPr>
        <w:t xml:space="preserve"> Así se ha afirmado,  “[...] aun cuando puedan registrarse diferencias en los hechos que conciernen a los distintos reclamantes cuyas pretensiones aparecen acumuladas, esta diferencia se refiere a aspectos accesorios (intensidad y circunstancias de los daños sufridos) y no altera la uniformidad en los hechos en los que se fundament</w:t>
      </w:r>
      <w:r w:rsidR="0066314E">
        <w:rPr>
          <w:rFonts w:ascii="Times New Roman" w:hAnsi="Times New Roman" w:cs="Times New Roman"/>
        </w:rPr>
        <w:t xml:space="preserve">an las distintas pretensiones” </w:t>
      </w:r>
      <w:r w:rsidRPr="00C553B7">
        <w:rPr>
          <w:rFonts w:ascii="Times New Roman" w:hAnsi="Times New Roman" w:cs="Times New Roman"/>
        </w:rPr>
        <w:t>SSTS núm. 545/2010, de 9 de diciembre  y 405/2015, de 2 de julio.</w:t>
      </w:r>
    </w:p>
  </w:footnote>
  <w:footnote w:id="53">
    <w:p w14:paraId="74749399" w14:textId="68404026" w:rsidR="00520201" w:rsidRPr="00C553B7" w:rsidRDefault="00520201"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Se afirma “(…) la improcedencia de la acumulación subjetiva de acciones causadas en la instancia del proceso, dada la concurrencia de necesidades alimenticias distintas en cada uno de los demandantes y al ser diferenciados los títulos o facultad jurídica de pedir y la causa o razón de hacerlo (…)”</w:t>
      </w:r>
      <w:r w:rsidR="00437B3B">
        <w:rPr>
          <w:rFonts w:ascii="Times New Roman" w:hAnsi="Times New Roman" w:cs="Times New Roman"/>
        </w:rPr>
        <w:t xml:space="preserve"> SAP</w:t>
      </w:r>
      <w:r w:rsidRPr="00C553B7">
        <w:rPr>
          <w:rFonts w:ascii="Times New Roman" w:hAnsi="Times New Roman" w:cs="Times New Roman"/>
        </w:rPr>
        <w:t xml:space="preserve"> de Barcelona</w:t>
      </w:r>
      <w:r w:rsidR="0066314E">
        <w:rPr>
          <w:rFonts w:ascii="Times New Roman" w:hAnsi="Times New Roman" w:cs="Times New Roman"/>
        </w:rPr>
        <w:t>,  de 19 abril 1995</w:t>
      </w:r>
      <w:r w:rsidRPr="00C553B7">
        <w:rPr>
          <w:rFonts w:ascii="Times New Roman" w:hAnsi="Times New Roman" w:cs="Times New Roman"/>
        </w:rPr>
        <w:t>, FD segundo.</w:t>
      </w:r>
    </w:p>
  </w:footnote>
  <w:footnote w:id="54">
    <w:p w14:paraId="542FE359" w14:textId="3A3B4A9B" w:rsidR="00BB52B6" w:rsidRPr="00C553B7" w:rsidRDefault="00BB52B6"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SAP Madrid, Sección 21 bis, 31 de mayo de 2012, refrendada por la Audiencia Provincial  de Soria (Sección 1ª) Sentencia núm. 131/2</w:t>
      </w:r>
      <w:r w:rsidR="0066314E">
        <w:rPr>
          <w:rFonts w:ascii="Times New Roman" w:hAnsi="Times New Roman" w:cs="Times New Roman"/>
        </w:rPr>
        <w:t>012 de 8 noviembre</w:t>
      </w:r>
      <w:r w:rsidRPr="00C553B7">
        <w:rPr>
          <w:rFonts w:ascii="Times New Roman" w:hAnsi="Times New Roman" w:cs="Times New Roman"/>
        </w:rPr>
        <w:t>.</w:t>
      </w:r>
    </w:p>
  </w:footnote>
  <w:footnote w:id="55">
    <w:p w14:paraId="6865A50A" w14:textId="198B500F" w:rsidR="005163D2" w:rsidRPr="00C553B7" w:rsidRDefault="005163D2"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Se trataba de un desahucio que afectaba a todo un pueblo, </w:t>
      </w:r>
      <w:proofErr w:type="spellStart"/>
      <w:r w:rsidRPr="00C553B7">
        <w:rPr>
          <w:rFonts w:ascii="Times New Roman" w:hAnsi="Times New Roman" w:cs="Times New Roman"/>
        </w:rPr>
        <w:t>Primout</w:t>
      </w:r>
      <w:proofErr w:type="spellEnd"/>
      <w:r w:rsidRPr="00C553B7">
        <w:rPr>
          <w:rFonts w:ascii="Times New Roman" w:hAnsi="Times New Roman" w:cs="Times New Roman"/>
        </w:rPr>
        <w:t xml:space="preserve">, y los actores presentaban 30 títulos de adquisición (“8 son donaciones -7 producidas en 1993- en las que los donantes no justifican su derecho de propiedad; 8 corresponden a contratos privados de compraventa; 1 a contrato de compraventa en escritura pública -otorgada en 1993- sin justificar el vendedor su propiedad; y el resto corresponden a título de herencia”) frente a más de cuarenta personas, </w:t>
      </w:r>
      <w:r w:rsidR="00437B3B">
        <w:rPr>
          <w:rFonts w:ascii="Times New Roman" w:hAnsi="Times New Roman" w:cs="Times New Roman"/>
        </w:rPr>
        <w:t>S</w:t>
      </w:r>
      <w:r w:rsidRPr="00C553B7">
        <w:rPr>
          <w:rFonts w:ascii="Times New Roman" w:hAnsi="Times New Roman" w:cs="Times New Roman"/>
        </w:rPr>
        <w:t>A</w:t>
      </w:r>
      <w:r w:rsidR="00437B3B">
        <w:rPr>
          <w:rFonts w:ascii="Times New Roman" w:hAnsi="Times New Roman" w:cs="Times New Roman"/>
        </w:rPr>
        <w:t>P de León</w:t>
      </w:r>
      <w:r w:rsidRPr="00C553B7">
        <w:rPr>
          <w:rFonts w:ascii="Times New Roman" w:hAnsi="Times New Roman" w:cs="Times New Roman"/>
        </w:rPr>
        <w:t xml:space="preserve"> de 5 abril 1995, FD tercero.</w:t>
      </w:r>
    </w:p>
  </w:footnote>
  <w:footnote w:id="56">
    <w:p w14:paraId="394318E8" w14:textId="415C64FF" w:rsidR="00BB52B6" w:rsidRPr="00C553B7" w:rsidRDefault="00BB52B6"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C064AD">
        <w:rPr>
          <w:rFonts w:ascii="Times New Roman" w:hAnsi="Times New Roman" w:cs="Times New Roman"/>
        </w:rPr>
        <w:t xml:space="preserve"> </w:t>
      </w:r>
      <w:r w:rsidR="00C064AD" w:rsidRPr="00C064AD">
        <w:rPr>
          <w:rFonts w:ascii="Times New Roman" w:hAnsi="Times New Roman" w:cs="Times New Roman"/>
        </w:rPr>
        <w:t>“Este criterio flexible ha determinado que esta Sala haya considerado correcto que se conozcan en un mismo litigio las acciones acumuladas ejercitadas por las personas afectadas por un medicamento o producto de uso médico defectuoso, aunque cada uno de ellos haya adquirido o se le haya suministrado el medicamento en ocasiones diferentes y las circunstancias de salud de los demandantes y los efectos que en ellos hayan podido tener esos productos sean dispares; o las acciones por defectos constructivos ejercitadas por los diversos adquirentes de inmuebles de una misma promoción, pese a que en unos casos los inmuebles adquiridos sean locales y en otros viviendas, unos compradores sean consumidores y otros no, y los defectos de los distintos locales y viviendas puedan ser de naturaleza diversa; y en supuestos de similar naturaleza, en cuanto a la conexión de la causa de pedir, que los expresados.”</w:t>
      </w:r>
      <w:r w:rsidRPr="00C553B7">
        <w:rPr>
          <w:rFonts w:ascii="Times New Roman" w:hAnsi="Times New Roman" w:cs="Times New Roman"/>
        </w:rPr>
        <w:t xml:space="preserve"> </w:t>
      </w:r>
      <w:r w:rsidR="00C064AD">
        <w:rPr>
          <w:rFonts w:ascii="Times New Roman" w:hAnsi="Times New Roman" w:cs="Times New Roman"/>
        </w:rPr>
        <w:t>S</w:t>
      </w:r>
      <w:r w:rsidRPr="00C553B7">
        <w:rPr>
          <w:rFonts w:ascii="Times New Roman" w:hAnsi="Times New Roman" w:cs="Times New Roman"/>
        </w:rPr>
        <w:t xml:space="preserve">TS Sala de lo Civil, Sección 1ª, Sentencia núm. 564/2015 de 21 octubre, Recurso de </w:t>
      </w:r>
      <w:r w:rsidR="0066314E">
        <w:rPr>
          <w:rFonts w:ascii="Times New Roman" w:hAnsi="Times New Roman" w:cs="Times New Roman"/>
        </w:rPr>
        <w:t>Casación 2671/2012</w:t>
      </w:r>
      <w:r w:rsidRPr="00C553B7">
        <w:rPr>
          <w:rFonts w:ascii="Times New Roman" w:hAnsi="Times New Roman" w:cs="Times New Roman"/>
        </w:rPr>
        <w:t xml:space="preserve">, FD tercero. En este fallo se casa la sentencia mencionada </w:t>
      </w:r>
      <w:r w:rsidRPr="00C553B7">
        <w:rPr>
          <w:rFonts w:ascii="Times New Roman" w:hAnsi="Times New Roman" w:cs="Times New Roman"/>
          <w:i/>
        </w:rPr>
        <w:t>supra</w:t>
      </w:r>
      <w:r w:rsidRPr="00C553B7">
        <w:rPr>
          <w:rFonts w:ascii="Times New Roman" w:hAnsi="Times New Roman" w:cs="Times New Roman"/>
        </w:rPr>
        <w:t xml:space="preserve"> de la AP Madrid, Sección 21 bis.</w:t>
      </w:r>
    </w:p>
  </w:footnote>
  <w:footnote w:id="57">
    <w:p w14:paraId="1C311746" w14:textId="2BEFEDCE" w:rsidR="00BB52B6" w:rsidRPr="00C553B7" w:rsidRDefault="00BB52B6"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500FA2" w:rsidRPr="00C553B7">
        <w:rPr>
          <w:rFonts w:ascii="Times New Roman" w:hAnsi="Times New Roman" w:cs="Times New Roman"/>
        </w:rPr>
        <w:t xml:space="preserve">“Pese a que efectivamente existen algunas diferencias entre las circunstancias concurrentes en las acciones acumuladas (cuantía de la inversión, emisor del concreto producto adquirido, algunas diferencias en la forma de contratar, etc.), los hechos que se alegan como más relevantes para fundar las pretensiones ejercitadas presentan una coincidencia que, unida a la uniformidad de las peticiones realizadas por los demandantes y a que están dirigidas frente a una misma entidad bancaria, cuya conducta incumplidora se considera por los demandantes como determinante para el éxito de las acciones ejercitadas, lleva a la conclusión de que, pese a encontrarnos ciertamente ante un caso límite, concurre el requisito de conexidad de la causa de pedir que justifica la acumulación subjetiva de acciones.” </w:t>
      </w:r>
      <w:r w:rsidR="00C064AD">
        <w:rPr>
          <w:rFonts w:ascii="Times New Roman" w:hAnsi="Times New Roman" w:cs="Times New Roman"/>
        </w:rPr>
        <w:t>S</w:t>
      </w:r>
      <w:r w:rsidRPr="00C553B7">
        <w:rPr>
          <w:rFonts w:ascii="Times New Roman" w:hAnsi="Times New Roman" w:cs="Times New Roman"/>
        </w:rPr>
        <w:t>TS, Sala de lo Civil, Sección 1ª, Sentencia núm. 564/2015 de 21 octubre, Recurso de Casación 2671/2012, FD tercero.</w:t>
      </w:r>
    </w:p>
  </w:footnote>
  <w:footnote w:id="58">
    <w:p w14:paraId="262D09F5" w14:textId="28D1CC6F" w:rsidR="00400575" w:rsidRPr="00C553B7" w:rsidRDefault="00400575"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En el Auto AP de Madrid, de 18/01/2017, Sección Vigesimoquinta, Número Recurso: 684/2016,  FD tercero,  se considera “acreditada la conexión de las causas de pedir establecidas en las pretensiones ejercitadas en la demanda, al sustentarse todas ellas en la representación equivocada de la situación patrimonial y de la capacidad de obtención de beneficios de </w:t>
      </w:r>
      <w:proofErr w:type="spellStart"/>
      <w:r w:rsidRPr="00C553B7">
        <w:rPr>
          <w:rFonts w:ascii="Times New Roman" w:hAnsi="Times New Roman" w:cs="Times New Roman"/>
        </w:rPr>
        <w:t>Bankia</w:t>
      </w:r>
      <w:proofErr w:type="spellEnd"/>
      <w:r w:rsidRPr="00C553B7">
        <w:rPr>
          <w:rFonts w:ascii="Times New Roman" w:hAnsi="Times New Roman" w:cs="Times New Roman"/>
        </w:rPr>
        <w:t xml:space="preserve">, por las inexactitudes que sobre su situación financiera y solvencia económica había ofrecido dicha entidad en la información facilitada para su salida a bolsa.”. Se trataba de una acumulación inicial, madre y dos hijos, por nulidad de los contratos suscritos por cada uno de ellos para la adquisición de acciones, rechazada en primera instancia. </w:t>
      </w:r>
    </w:p>
  </w:footnote>
  <w:footnote w:id="59">
    <w:p w14:paraId="7521B4A5" w14:textId="7350E073" w:rsidR="00F02912" w:rsidRPr="00C553B7" w:rsidRDefault="00F02912" w:rsidP="00BB7EDA">
      <w:pPr>
        <w:ind w:firstLine="0"/>
        <w:jc w:val="both"/>
        <w:rPr>
          <w:rFonts w:ascii="Times New Roman" w:hAnsi="Times New Roman" w:cs="Times New Roman"/>
          <w:sz w:val="20"/>
          <w:szCs w:val="20"/>
        </w:rPr>
      </w:pPr>
      <w:r w:rsidRPr="00C553B7">
        <w:rPr>
          <w:rStyle w:val="Refdenotaalpie"/>
          <w:rFonts w:ascii="Times New Roman" w:hAnsi="Times New Roman" w:cs="Times New Roman"/>
          <w:sz w:val="20"/>
          <w:szCs w:val="20"/>
        </w:rPr>
        <w:footnoteRef/>
      </w:r>
      <w:r w:rsidRPr="00C553B7">
        <w:rPr>
          <w:rFonts w:ascii="Times New Roman" w:hAnsi="Times New Roman" w:cs="Times New Roman"/>
          <w:sz w:val="20"/>
          <w:szCs w:val="20"/>
        </w:rPr>
        <w:t xml:space="preserve"> En el caso de que se trate de personas indeterminadas o difícil determinación  la intervención únicamente es posible, art. 15.3 LEC, en el plazo de dos meses desde la admisión de la demanda por lo que, dada la suspensión del procedimiento, no hay problema para realizar las oportunas alegaciones. Si son fácilmente determinables la intervención es factible en cualquier momento, arts. 13 y 15.2 LEC, por lo que si acontece tras la audiencia previa del juicio ordinario o una vez contestada la demanda del juicio verbal ya no habrá posibilidad de formular una pretensión complementaria, una nueva perspectiva jurídica. El problema acontece con la nueva versión ofrecida por el TJUE y el TS: si el consumidor</w:t>
      </w:r>
      <w:r w:rsidR="00CE6998" w:rsidRPr="00C553B7">
        <w:rPr>
          <w:rFonts w:ascii="Times New Roman" w:hAnsi="Times New Roman" w:cs="Times New Roman"/>
          <w:sz w:val="20"/>
          <w:szCs w:val="20"/>
        </w:rPr>
        <w:t xml:space="preserve"> individual</w:t>
      </w:r>
      <w:r w:rsidRPr="00C553B7">
        <w:rPr>
          <w:rFonts w:ascii="Times New Roman" w:hAnsi="Times New Roman" w:cs="Times New Roman"/>
          <w:sz w:val="20"/>
          <w:szCs w:val="20"/>
        </w:rPr>
        <w:t xml:space="preserve"> ejercita una acción con contenido diferente a la colectiva e interviene en un momento ulterior al de poder formular su propia pretensión (o bien aun pudiendo hacerlo no la ejerce expresamente), aunque fuera con carácter complementario, </w:t>
      </w:r>
      <w:r w:rsidR="00470CF4">
        <w:rPr>
          <w:rFonts w:ascii="Times New Roman" w:hAnsi="Times New Roman" w:cs="Times New Roman"/>
          <w:sz w:val="20"/>
          <w:szCs w:val="20"/>
        </w:rPr>
        <w:t xml:space="preserve"> </w:t>
      </w:r>
      <w:r w:rsidRPr="00C553B7">
        <w:rPr>
          <w:rFonts w:ascii="Times New Roman" w:hAnsi="Times New Roman" w:cs="Times New Roman"/>
          <w:sz w:val="20"/>
          <w:szCs w:val="20"/>
        </w:rPr>
        <w:t xml:space="preserve">no </w:t>
      </w:r>
      <w:r w:rsidR="00470CF4">
        <w:rPr>
          <w:rFonts w:ascii="Times New Roman" w:hAnsi="Times New Roman" w:cs="Times New Roman"/>
          <w:sz w:val="20"/>
          <w:szCs w:val="20"/>
        </w:rPr>
        <w:t>añadiría</w:t>
      </w:r>
      <w:r w:rsidRPr="00C553B7">
        <w:rPr>
          <w:rFonts w:ascii="Times New Roman" w:hAnsi="Times New Roman" w:cs="Times New Roman"/>
          <w:sz w:val="20"/>
          <w:szCs w:val="20"/>
        </w:rPr>
        <w:t xml:space="preserve"> objeto alguno, simplemente coadyuvaría a que triunfara el</w:t>
      </w:r>
      <w:r w:rsidR="00470CF4">
        <w:rPr>
          <w:rFonts w:ascii="Times New Roman" w:hAnsi="Times New Roman" w:cs="Times New Roman"/>
          <w:sz w:val="20"/>
          <w:szCs w:val="20"/>
        </w:rPr>
        <w:t xml:space="preserve"> planteado por la asociación o e</w:t>
      </w:r>
      <w:r w:rsidRPr="00C553B7">
        <w:rPr>
          <w:rFonts w:ascii="Times New Roman" w:hAnsi="Times New Roman" w:cs="Times New Roman"/>
          <w:sz w:val="20"/>
          <w:szCs w:val="20"/>
        </w:rPr>
        <w:t>l grupo. Estaríamos entonces ante una intervención ad</w:t>
      </w:r>
      <w:r w:rsidR="00CE6998" w:rsidRPr="00C553B7">
        <w:rPr>
          <w:rFonts w:ascii="Times New Roman" w:hAnsi="Times New Roman" w:cs="Times New Roman"/>
          <w:sz w:val="20"/>
          <w:szCs w:val="20"/>
        </w:rPr>
        <w:t xml:space="preserve">hesiva simple. Por otra parte </w:t>
      </w:r>
      <w:r w:rsidRPr="00C553B7">
        <w:rPr>
          <w:rFonts w:ascii="Times New Roman" w:hAnsi="Times New Roman" w:cs="Times New Roman"/>
          <w:sz w:val="20"/>
          <w:szCs w:val="20"/>
        </w:rPr>
        <w:t>el caso de las acciones de cesación en las que la legitimación correspondería exclusivamente a ciertas ent</w:t>
      </w:r>
      <w:r w:rsidR="00CE6998" w:rsidRPr="00C553B7">
        <w:rPr>
          <w:rFonts w:ascii="Times New Roman" w:hAnsi="Times New Roman" w:cs="Times New Roman"/>
          <w:sz w:val="20"/>
          <w:szCs w:val="20"/>
        </w:rPr>
        <w:t>idades, art. 11.4 LEC, presenta</w:t>
      </w:r>
      <w:r w:rsidRPr="00C553B7">
        <w:rPr>
          <w:rFonts w:ascii="Times New Roman" w:hAnsi="Times New Roman" w:cs="Times New Roman"/>
          <w:sz w:val="20"/>
          <w:szCs w:val="20"/>
        </w:rPr>
        <w:t xml:space="preserve"> el problema de que a dicha acción (de condena a no hacer) se pueden acumular otras, art. 53 LGDCU, cuya titularidad también corresponde a los consumidores así como</w:t>
      </w:r>
      <w:r w:rsidR="00C553B7">
        <w:rPr>
          <w:rFonts w:ascii="Times New Roman" w:hAnsi="Times New Roman" w:cs="Times New Roman"/>
          <w:sz w:val="20"/>
          <w:szCs w:val="20"/>
        </w:rPr>
        <w:t xml:space="preserve"> a los grupos y asociaciones quienes</w:t>
      </w:r>
      <w:r w:rsidRPr="00C553B7">
        <w:rPr>
          <w:rFonts w:ascii="Times New Roman" w:hAnsi="Times New Roman" w:cs="Times New Roman"/>
          <w:sz w:val="20"/>
          <w:szCs w:val="20"/>
        </w:rPr>
        <w:t xml:space="preserve"> también podrían intervenir y plantear su propio objeto (si eso fuera posi</w:t>
      </w:r>
      <w:r w:rsidR="00C553B7">
        <w:rPr>
          <w:rFonts w:ascii="Times New Roman" w:hAnsi="Times New Roman" w:cs="Times New Roman"/>
          <w:sz w:val="20"/>
          <w:szCs w:val="20"/>
        </w:rPr>
        <w:t>ble según el momento procesal).</w:t>
      </w:r>
    </w:p>
  </w:footnote>
  <w:footnote w:id="60">
    <w:p w14:paraId="22A2A7CF" w14:textId="0D16B5F9"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“Sentencia de 28 junio 1994 (RJ 1994\5330), que si hay una razón jurídica común que con apoyo en algunos hechos compartidos, actúe como nexo de las «acciones», no importa que los pedimentos aparezcan individualizados y no sean idénticos.” </w:t>
      </w:r>
      <w:r w:rsidR="00470CF4">
        <w:rPr>
          <w:rFonts w:ascii="Times New Roman" w:hAnsi="Times New Roman" w:cs="Times New Roman"/>
        </w:rPr>
        <w:t xml:space="preserve">STS Sala de lo Civil, </w:t>
      </w:r>
      <w:r w:rsidRPr="00C553B7">
        <w:rPr>
          <w:rFonts w:ascii="Times New Roman" w:hAnsi="Times New Roman" w:cs="Times New Roman"/>
        </w:rPr>
        <w:t>Sentencia núm. 5</w:t>
      </w:r>
      <w:r w:rsidR="0066314E">
        <w:rPr>
          <w:rFonts w:ascii="Times New Roman" w:hAnsi="Times New Roman" w:cs="Times New Roman"/>
        </w:rPr>
        <w:t>37/1998 de 30 mayo</w:t>
      </w:r>
      <w:r w:rsidRPr="00C553B7">
        <w:rPr>
          <w:rFonts w:ascii="Times New Roman" w:hAnsi="Times New Roman" w:cs="Times New Roman"/>
        </w:rPr>
        <w:t>, FD tercero.</w:t>
      </w:r>
    </w:p>
  </w:footnote>
  <w:footnote w:id="61">
    <w:p w14:paraId="550C85D7" w14:textId="15031F7D"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En este tipo de acciones caben tres posibilidades: 1) el ejercicio exclusivo de la acción de nulidad con intervención del notario en el proceso (intervención adhesiva simple) al padecer una eficacia material indirecta o refleja del fallo (posibilidad de impetrar su responsab</w:t>
      </w:r>
      <w:r w:rsidR="00C553B7">
        <w:rPr>
          <w:rFonts w:ascii="Times New Roman" w:hAnsi="Times New Roman" w:cs="Times New Roman"/>
        </w:rPr>
        <w:t>ilidad). Una intervención que</w:t>
      </w:r>
      <w:r w:rsidRPr="00C553B7">
        <w:rPr>
          <w:rFonts w:ascii="Times New Roman" w:hAnsi="Times New Roman" w:cs="Times New Roman"/>
        </w:rPr>
        <w:t xml:space="preserve"> podría </w:t>
      </w:r>
      <w:r w:rsidR="00C553B7">
        <w:rPr>
          <w:rFonts w:ascii="Times New Roman" w:hAnsi="Times New Roman" w:cs="Times New Roman"/>
        </w:rPr>
        <w:t>ser</w:t>
      </w:r>
      <w:r w:rsidRPr="00C553B7">
        <w:rPr>
          <w:rFonts w:ascii="Times New Roman" w:hAnsi="Times New Roman" w:cs="Times New Roman"/>
        </w:rPr>
        <w:t xml:space="preserve"> voluntaria, art. 13 LEC, o provocada, </w:t>
      </w:r>
      <w:proofErr w:type="spellStart"/>
      <w:r w:rsidRPr="00C553B7">
        <w:rPr>
          <w:rFonts w:ascii="Times New Roman" w:hAnsi="Times New Roman" w:cs="Times New Roman"/>
        </w:rPr>
        <w:t>litisdenunciación</w:t>
      </w:r>
      <w:proofErr w:type="spellEnd"/>
      <w:r w:rsidRPr="00C553B7">
        <w:rPr>
          <w:rFonts w:ascii="Times New Roman" w:hAnsi="Times New Roman" w:cs="Times New Roman"/>
        </w:rPr>
        <w:t xml:space="preserve"> del tri</w:t>
      </w:r>
      <w:r w:rsidR="00C553B7">
        <w:rPr>
          <w:rFonts w:ascii="Times New Roman" w:hAnsi="Times New Roman" w:cs="Times New Roman"/>
        </w:rPr>
        <w:t>bunal, art. 150</w:t>
      </w:r>
      <w:r w:rsidR="0074434D">
        <w:rPr>
          <w:rFonts w:ascii="Times New Roman" w:hAnsi="Times New Roman" w:cs="Times New Roman"/>
        </w:rPr>
        <w:t>.2</w:t>
      </w:r>
      <w:r w:rsidR="00C553B7">
        <w:rPr>
          <w:rFonts w:ascii="Times New Roman" w:hAnsi="Times New Roman" w:cs="Times New Roman"/>
        </w:rPr>
        <w:t xml:space="preserve"> LEC, al no existir</w:t>
      </w:r>
      <w:r w:rsidRPr="00C553B7">
        <w:rPr>
          <w:rFonts w:ascii="Times New Roman" w:hAnsi="Times New Roman" w:cs="Times New Roman"/>
        </w:rPr>
        <w:t xml:space="preserve"> previsión legal específica</w:t>
      </w:r>
      <w:r w:rsidR="00C553B7">
        <w:rPr>
          <w:rFonts w:ascii="Times New Roman" w:hAnsi="Times New Roman" w:cs="Times New Roman"/>
        </w:rPr>
        <w:t>,</w:t>
      </w:r>
      <w:r w:rsidRPr="00C553B7">
        <w:rPr>
          <w:rFonts w:ascii="Times New Roman" w:hAnsi="Times New Roman" w:cs="Times New Roman"/>
        </w:rPr>
        <w:t xml:space="preserve"> art. 14</w:t>
      </w:r>
      <w:r w:rsidR="0074434D">
        <w:rPr>
          <w:rFonts w:ascii="Times New Roman" w:hAnsi="Times New Roman" w:cs="Times New Roman"/>
        </w:rPr>
        <w:t>.1</w:t>
      </w:r>
      <w:r w:rsidRPr="00C553B7">
        <w:rPr>
          <w:rFonts w:ascii="Times New Roman" w:hAnsi="Times New Roman" w:cs="Times New Roman"/>
        </w:rPr>
        <w:t xml:space="preserve"> LEC. Si ha existido la </w:t>
      </w:r>
      <w:proofErr w:type="spellStart"/>
      <w:r w:rsidRPr="00C553B7">
        <w:rPr>
          <w:rFonts w:ascii="Times New Roman" w:hAnsi="Times New Roman" w:cs="Times New Roman"/>
        </w:rPr>
        <w:t>litisdenunciación</w:t>
      </w:r>
      <w:proofErr w:type="spellEnd"/>
      <w:r w:rsidRPr="00C553B7">
        <w:rPr>
          <w:rFonts w:ascii="Times New Roman" w:hAnsi="Times New Roman" w:cs="Times New Roman"/>
        </w:rPr>
        <w:t xml:space="preserve"> o intervención el valor procesal del primer fallo oscilaría desde una eficacia de cosa juzgada (no intervino; intervino y en el pleito no hubo actos de disposición de las partes; a pesar de existir actos de disposición no se opuso) hasta la eficacia procesal reducida (se opuso a los actos de disposición de las partes</w:t>
      </w:r>
      <w:r w:rsidR="00C553B7">
        <w:rPr>
          <w:rFonts w:ascii="Times New Roman" w:hAnsi="Times New Roman" w:cs="Times New Roman"/>
        </w:rPr>
        <w:t xml:space="preserve"> o quiso recurrir</w:t>
      </w:r>
      <w:r w:rsidRPr="00C553B7">
        <w:rPr>
          <w:rFonts w:ascii="Times New Roman" w:hAnsi="Times New Roman" w:cs="Times New Roman"/>
        </w:rPr>
        <w:t>)</w:t>
      </w:r>
      <w:r w:rsidR="0074434D">
        <w:rPr>
          <w:rFonts w:ascii="Times New Roman" w:hAnsi="Times New Roman" w:cs="Times New Roman"/>
        </w:rPr>
        <w:t xml:space="preserve"> </w:t>
      </w:r>
      <w:proofErr w:type="spellStart"/>
      <w:r w:rsidR="0074434D">
        <w:rPr>
          <w:rFonts w:ascii="Times New Roman" w:hAnsi="Times New Roman" w:cs="Times New Roman"/>
        </w:rPr>
        <w:t>cupiendo</w:t>
      </w:r>
      <w:proofErr w:type="spellEnd"/>
      <w:r w:rsidR="0074434D">
        <w:rPr>
          <w:rFonts w:ascii="Times New Roman" w:hAnsi="Times New Roman" w:cs="Times New Roman"/>
        </w:rPr>
        <w:t xml:space="preserve"> la </w:t>
      </w:r>
      <w:proofErr w:type="spellStart"/>
      <w:r w:rsidR="0074434D">
        <w:rPr>
          <w:rFonts w:ascii="Times New Roman" w:hAnsi="Times New Roman" w:cs="Times New Roman"/>
          <w:i/>
        </w:rPr>
        <w:t>exceptio</w:t>
      </w:r>
      <w:proofErr w:type="spellEnd"/>
      <w:r w:rsidR="0074434D">
        <w:rPr>
          <w:rFonts w:ascii="Times New Roman" w:hAnsi="Times New Roman" w:cs="Times New Roman"/>
          <w:i/>
        </w:rPr>
        <w:t xml:space="preserve"> </w:t>
      </w:r>
      <w:proofErr w:type="spellStart"/>
      <w:r w:rsidR="0074434D">
        <w:rPr>
          <w:rFonts w:ascii="Times New Roman" w:hAnsi="Times New Roman" w:cs="Times New Roman"/>
          <w:i/>
        </w:rPr>
        <w:t>male</w:t>
      </w:r>
      <w:proofErr w:type="spellEnd"/>
      <w:r w:rsidR="0074434D">
        <w:rPr>
          <w:rFonts w:ascii="Times New Roman" w:hAnsi="Times New Roman" w:cs="Times New Roman"/>
          <w:i/>
        </w:rPr>
        <w:t xml:space="preserve"> </w:t>
      </w:r>
      <w:proofErr w:type="spellStart"/>
      <w:r w:rsidR="0074434D">
        <w:rPr>
          <w:rFonts w:ascii="Times New Roman" w:hAnsi="Times New Roman" w:cs="Times New Roman"/>
          <w:i/>
        </w:rPr>
        <w:t>gesti</w:t>
      </w:r>
      <w:proofErr w:type="spellEnd"/>
      <w:r w:rsidRPr="00C553B7">
        <w:rPr>
          <w:rFonts w:ascii="Times New Roman" w:hAnsi="Times New Roman" w:cs="Times New Roman"/>
        </w:rPr>
        <w:t>; 2) ejercicio exclusivo de la acción de nulidad sin intervención del notario</w:t>
      </w:r>
      <w:r w:rsidR="00C553B7">
        <w:rPr>
          <w:rFonts w:ascii="Times New Roman" w:hAnsi="Times New Roman" w:cs="Times New Roman"/>
        </w:rPr>
        <w:t>, no hubo</w:t>
      </w:r>
      <w:r w:rsidRPr="00C553B7">
        <w:rPr>
          <w:rFonts w:ascii="Times New Roman" w:hAnsi="Times New Roman" w:cs="Times New Roman"/>
        </w:rPr>
        <w:t xml:space="preserve"> </w:t>
      </w:r>
      <w:proofErr w:type="spellStart"/>
      <w:r w:rsidRPr="00C553B7">
        <w:rPr>
          <w:rFonts w:ascii="Times New Roman" w:hAnsi="Times New Roman" w:cs="Times New Roman"/>
        </w:rPr>
        <w:t>litisdenunciación</w:t>
      </w:r>
      <w:proofErr w:type="spellEnd"/>
      <w:r w:rsidRPr="00C553B7">
        <w:rPr>
          <w:rFonts w:ascii="Times New Roman" w:hAnsi="Times New Roman" w:cs="Times New Roman"/>
        </w:rPr>
        <w:t xml:space="preserve">, en cuyo caso el primer fallo produce eficacia procesal reducida respecto a </w:t>
      </w:r>
      <w:proofErr w:type="spellStart"/>
      <w:r w:rsidRPr="00C553B7">
        <w:rPr>
          <w:rFonts w:ascii="Times New Roman" w:hAnsi="Times New Roman" w:cs="Times New Roman"/>
        </w:rPr>
        <w:t>el</w:t>
      </w:r>
      <w:proofErr w:type="spellEnd"/>
      <w:r w:rsidR="0074434D">
        <w:rPr>
          <w:rFonts w:ascii="Times New Roman" w:hAnsi="Times New Roman" w:cs="Times New Roman"/>
        </w:rPr>
        <w:t xml:space="preserve">, permitiendo su oposición a través de la </w:t>
      </w:r>
      <w:proofErr w:type="spellStart"/>
      <w:r w:rsidR="0074434D">
        <w:rPr>
          <w:rFonts w:ascii="Times New Roman" w:hAnsi="Times New Roman" w:cs="Times New Roman"/>
          <w:i/>
        </w:rPr>
        <w:t>exceptio</w:t>
      </w:r>
      <w:proofErr w:type="spellEnd"/>
      <w:r w:rsidR="0074434D">
        <w:rPr>
          <w:rFonts w:ascii="Times New Roman" w:hAnsi="Times New Roman" w:cs="Times New Roman"/>
          <w:i/>
        </w:rPr>
        <w:t xml:space="preserve"> </w:t>
      </w:r>
      <w:proofErr w:type="spellStart"/>
      <w:r w:rsidR="0074434D">
        <w:rPr>
          <w:rFonts w:ascii="Times New Roman" w:hAnsi="Times New Roman" w:cs="Times New Roman"/>
          <w:i/>
        </w:rPr>
        <w:t>male</w:t>
      </w:r>
      <w:proofErr w:type="spellEnd"/>
      <w:r w:rsidR="0074434D">
        <w:rPr>
          <w:rFonts w:ascii="Times New Roman" w:hAnsi="Times New Roman" w:cs="Times New Roman"/>
          <w:i/>
        </w:rPr>
        <w:t xml:space="preserve"> </w:t>
      </w:r>
      <w:proofErr w:type="spellStart"/>
      <w:r w:rsidR="0074434D">
        <w:rPr>
          <w:rFonts w:ascii="Times New Roman" w:hAnsi="Times New Roman" w:cs="Times New Roman"/>
          <w:i/>
        </w:rPr>
        <w:t>iudicati</w:t>
      </w:r>
      <w:proofErr w:type="spellEnd"/>
      <w:r w:rsidRPr="00C553B7">
        <w:rPr>
          <w:rFonts w:ascii="Times New Roman" w:hAnsi="Times New Roman" w:cs="Times New Roman"/>
        </w:rPr>
        <w:t>; 3) acumulación subjetiva</w:t>
      </w:r>
      <w:r w:rsidR="00C553B7">
        <w:rPr>
          <w:rFonts w:ascii="Times New Roman" w:hAnsi="Times New Roman" w:cs="Times New Roman"/>
        </w:rPr>
        <w:t xml:space="preserve"> (accesoria o sucesiva)</w:t>
      </w:r>
      <w:r w:rsidRPr="00C553B7">
        <w:rPr>
          <w:rFonts w:ascii="Times New Roman" w:hAnsi="Times New Roman" w:cs="Times New Roman"/>
        </w:rPr>
        <w:t xml:space="preserve"> de las dos acciones.</w:t>
      </w:r>
    </w:p>
  </w:footnote>
  <w:footnote w:id="62">
    <w:p w14:paraId="5C777A8C" w14:textId="180D9174"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3B714E" w:rsidRPr="00C553B7">
        <w:rPr>
          <w:rFonts w:ascii="Times New Roman" w:hAnsi="Times New Roman" w:cs="Times New Roman"/>
        </w:rPr>
        <w:t>S</w:t>
      </w:r>
      <w:r w:rsidRPr="00C553B7">
        <w:rPr>
          <w:rFonts w:ascii="Times New Roman" w:hAnsi="Times New Roman" w:cs="Times New Roman"/>
        </w:rPr>
        <w:t>T</w:t>
      </w:r>
      <w:r w:rsidR="003B714E" w:rsidRPr="00C553B7">
        <w:rPr>
          <w:rFonts w:ascii="Times New Roman" w:hAnsi="Times New Roman" w:cs="Times New Roman"/>
        </w:rPr>
        <w:t>S Sala de lo Civil,</w:t>
      </w:r>
      <w:r w:rsidRPr="00C553B7">
        <w:rPr>
          <w:rFonts w:ascii="Times New Roman" w:hAnsi="Times New Roman" w:cs="Times New Roman"/>
        </w:rPr>
        <w:t xml:space="preserve"> Sentencia núm. 5</w:t>
      </w:r>
      <w:r w:rsidR="0066314E">
        <w:rPr>
          <w:rFonts w:ascii="Times New Roman" w:hAnsi="Times New Roman" w:cs="Times New Roman"/>
        </w:rPr>
        <w:t>37/1998 de 30 mayo</w:t>
      </w:r>
      <w:r w:rsidRPr="00C553B7">
        <w:rPr>
          <w:rFonts w:ascii="Times New Roman" w:hAnsi="Times New Roman" w:cs="Times New Roman"/>
        </w:rPr>
        <w:t>.</w:t>
      </w:r>
    </w:p>
  </w:footnote>
  <w:footnote w:id="63">
    <w:p w14:paraId="6EA526D9" w14:textId="23BDFD5F"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3B714E" w:rsidRPr="00C553B7">
        <w:rPr>
          <w:rFonts w:ascii="Times New Roman" w:hAnsi="Times New Roman" w:cs="Times New Roman"/>
        </w:rPr>
        <w:t>STS Sala de lo Civil</w:t>
      </w:r>
      <w:r w:rsidRPr="00C553B7">
        <w:rPr>
          <w:rFonts w:ascii="Times New Roman" w:hAnsi="Times New Roman" w:cs="Times New Roman"/>
        </w:rPr>
        <w:t xml:space="preserve"> Sentencia d</w:t>
      </w:r>
      <w:r w:rsidR="0066314E">
        <w:rPr>
          <w:rFonts w:ascii="Times New Roman" w:hAnsi="Times New Roman" w:cs="Times New Roman"/>
        </w:rPr>
        <w:t>e 7 diciembre 1987</w:t>
      </w:r>
      <w:r w:rsidRPr="00C553B7">
        <w:rPr>
          <w:rFonts w:ascii="Times New Roman" w:hAnsi="Times New Roman" w:cs="Times New Roman"/>
        </w:rPr>
        <w:t>, FD cuarto.</w:t>
      </w:r>
    </w:p>
  </w:footnote>
  <w:footnote w:id="64">
    <w:p w14:paraId="53E60A50" w14:textId="79D8C2F2" w:rsidR="00C13E8F" w:rsidRPr="00C553B7" w:rsidRDefault="00C13E8F"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w:t>
      </w:r>
      <w:r w:rsidR="003B714E" w:rsidRPr="00C553B7">
        <w:rPr>
          <w:rFonts w:ascii="Times New Roman" w:hAnsi="Times New Roman" w:cs="Times New Roman"/>
        </w:rPr>
        <w:t>STS Sala de lo Civil</w:t>
      </w:r>
      <w:r w:rsidRPr="00C553B7">
        <w:rPr>
          <w:rFonts w:ascii="Times New Roman" w:hAnsi="Times New Roman" w:cs="Times New Roman"/>
        </w:rPr>
        <w:t xml:space="preserve"> Sentencia núm. 1279/2</w:t>
      </w:r>
      <w:r w:rsidR="0066314E">
        <w:rPr>
          <w:rFonts w:ascii="Times New Roman" w:hAnsi="Times New Roman" w:cs="Times New Roman"/>
        </w:rPr>
        <w:t>002 de 26 diciembre</w:t>
      </w:r>
      <w:r w:rsidRPr="00C553B7">
        <w:rPr>
          <w:rFonts w:ascii="Times New Roman" w:hAnsi="Times New Roman" w:cs="Times New Roman"/>
        </w:rPr>
        <w:t>, FD segundo.</w:t>
      </w:r>
    </w:p>
  </w:footnote>
  <w:footnote w:id="65">
    <w:p w14:paraId="50D03271" w14:textId="4BAEA600"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0074434D">
        <w:rPr>
          <w:rFonts w:ascii="Times New Roman" w:hAnsi="Times New Roman" w:cs="Times New Roman"/>
        </w:rPr>
        <w:t xml:space="preserve"> SAP de</w:t>
      </w:r>
      <w:r w:rsidRPr="00C553B7">
        <w:rPr>
          <w:rFonts w:ascii="Times New Roman" w:hAnsi="Times New Roman" w:cs="Times New Roman"/>
        </w:rPr>
        <w:t xml:space="preserve"> Pont</w:t>
      </w:r>
      <w:r w:rsidR="0074434D">
        <w:rPr>
          <w:rFonts w:ascii="Times New Roman" w:hAnsi="Times New Roman" w:cs="Times New Roman"/>
        </w:rPr>
        <w:t>evedra Sección 1ª,</w:t>
      </w:r>
      <w:r w:rsidR="00C13E8F" w:rsidRPr="00C553B7">
        <w:rPr>
          <w:rFonts w:ascii="Times New Roman" w:hAnsi="Times New Roman" w:cs="Times New Roman"/>
        </w:rPr>
        <w:t xml:space="preserve"> Sentencia nú</w:t>
      </w:r>
      <w:r w:rsidRPr="00C553B7">
        <w:rPr>
          <w:rFonts w:ascii="Times New Roman" w:hAnsi="Times New Roman" w:cs="Times New Roman"/>
        </w:rPr>
        <w:t>m. 58/2</w:t>
      </w:r>
      <w:r w:rsidR="0066314E">
        <w:rPr>
          <w:rFonts w:ascii="Times New Roman" w:hAnsi="Times New Roman" w:cs="Times New Roman"/>
        </w:rPr>
        <w:t>000 de 15 febrero,</w:t>
      </w:r>
      <w:r w:rsidRPr="00C553B7">
        <w:rPr>
          <w:rFonts w:ascii="Times New Roman" w:hAnsi="Times New Roman" w:cs="Times New Roman"/>
        </w:rPr>
        <w:t xml:space="preserve"> FD tercero.</w:t>
      </w:r>
    </w:p>
  </w:footnote>
  <w:footnote w:id="66">
    <w:p w14:paraId="66010C15" w14:textId="343F8E99" w:rsidR="00173E3D" w:rsidRPr="00C553B7" w:rsidRDefault="00173E3D"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STS Sala de lo Civil, Sentencia de</w:t>
      </w:r>
      <w:r w:rsidR="0066314E">
        <w:rPr>
          <w:rFonts w:ascii="Times New Roman" w:hAnsi="Times New Roman" w:cs="Times New Roman"/>
        </w:rPr>
        <w:t xml:space="preserve"> 20 diciembre 1995</w:t>
      </w:r>
      <w:r w:rsidRPr="00C553B7">
        <w:rPr>
          <w:rFonts w:ascii="Times New Roman" w:hAnsi="Times New Roman" w:cs="Times New Roman"/>
        </w:rPr>
        <w:t>, FD tercero.</w:t>
      </w:r>
    </w:p>
  </w:footnote>
  <w:footnote w:id="67">
    <w:p w14:paraId="00AB4FDE" w14:textId="40A9F5C6" w:rsidR="00B17D71" w:rsidRPr="00C553B7" w:rsidRDefault="00B17D71"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SAP Madrid, 13/12/2017, Sección: Undécima, S</w:t>
      </w:r>
      <w:r w:rsidR="0066314E">
        <w:rPr>
          <w:rFonts w:ascii="Times New Roman" w:hAnsi="Times New Roman" w:cs="Times New Roman"/>
        </w:rPr>
        <w:t>entencia: 417/2017</w:t>
      </w:r>
      <w:r w:rsidRPr="00C553B7">
        <w:rPr>
          <w:rFonts w:ascii="Times New Roman" w:hAnsi="Times New Roman" w:cs="Times New Roman"/>
        </w:rPr>
        <w:t>, FD primero.</w:t>
      </w:r>
    </w:p>
  </w:footnote>
  <w:footnote w:id="68">
    <w:p w14:paraId="008CA6E7" w14:textId="1BA27CF5" w:rsidR="00855FE3" w:rsidRPr="00C553B7" w:rsidRDefault="00855FE3"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SAP de Lleida (Sección 2ª) Sentencia núm. 467/199</w:t>
      </w:r>
      <w:r w:rsidR="0066314E">
        <w:rPr>
          <w:rFonts w:ascii="Times New Roman" w:hAnsi="Times New Roman" w:cs="Times New Roman"/>
        </w:rPr>
        <w:t>9 de 10 septiembre</w:t>
      </w:r>
      <w:r w:rsidRPr="00C553B7">
        <w:rPr>
          <w:rFonts w:ascii="Times New Roman" w:hAnsi="Times New Roman" w:cs="Times New Roman"/>
        </w:rPr>
        <w:t>, FD segundo.</w:t>
      </w:r>
    </w:p>
  </w:footnote>
  <w:footnote w:id="69">
    <w:p w14:paraId="5E2BEA32" w14:textId="60748C2B" w:rsidR="00747EF8" w:rsidRPr="00C553B7" w:rsidRDefault="00747EF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Aunque a veces de forma un tanto simplista se afirme la identidad de los hechos, sosteniendo  que ambas acciones “obedecen o arrancan del hecho del impago y no resultan incompatibles entre sí.” </w:t>
      </w:r>
      <w:r w:rsidR="0074434D">
        <w:rPr>
          <w:rFonts w:ascii="Times New Roman" w:hAnsi="Times New Roman" w:cs="Times New Roman"/>
        </w:rPr>
        <w:t>SAP  de Asturias Sección 4ª,</w:t>
      </w:r>
      <w:r w:rsidRPr="00C553B7">
        <w:rPr>
          <w:rFonts w:ascii="Times New Roman" w:hAnsi="Times New Roman" w:cs="Times New Roman"/>
        </w:rPr>
        <w:t xml:space="preserve"> Sentencia núm. 527/</w:t>
      </w:r>
      <w:r w:rsidR="0066314E">
        <w:rPr>
          <w:rFonts w:ascii="Times New Roman" w:hAnsi="Times New Roman" w:cs="Times New Roman"/>
        </w:rPr>
        <w:t>1996 de 28 octubre</w:t>
      </w:r>
      <w:r w:rsidRPr="00C553B7">
        <w:rPr>
          <w:rFonts w:ascii="Times New Roman" w:hAnsi="Times New Roman" w:cs="Times New Roman"/>
        </w:rPr>
        <w:t xml:space="preserve">, FD primero. </w:t>
      </w:r>
      <w:r w:rsidR="002A03DC" w:rsidRPr="00C553B7">
        <w:rPr>
          <w:rFonts w:ascii="Times New Roman" w:hAnsi="Times New Roman" w:cs="Times New Roman"/>
        </w:rPr>
        <w:t>Mientras que en otros supuestos se ha rechazado la acumulación por entender que se trata de títulos o causas distintos, SAP de Barcelona</w:t>
      </w:r>
      <w:r w:rsidR="0066314E">
        <w:rPr>
          <w:rFonts w:ascii="Times New Roman" w:hAnsi="Times New Roman" w:cs="Times New Roman"/>
        </w:rPr>
        <w:t>, de 21 julio 1993</w:t>
      </w:r>
      <w:r w:rsidR="002A03DC" w:rsidRPr="00C553B7">
        <w:rPr>
          <w:rFonts w:ascii="Times New Roman" w:hAnsi="Times New Roman" w:cs="Times New Roman"/>
        </w:rPr>
        <w:t>, FD cuarto.</w:t>
      </w:r>
    </w:p>
  </w:footnote>
  <w:footnote w:id="70">
    <w:p w14:paraId="0FEDF7E5" w14:textId="28699892" w:rsidR="00006158" w:rsidRPr="00C553B7" w:rsidRDefault="00006158"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Sentencia de 7 de diciembre de 1987, cita</w:t>
      </w:r>
      <w:r w:rsidR="0074434D">
        <w:rPr>
          <w:rFonts w:ascii="Times New Roman" w:hAnsi="Times New Roman" w:cs="Times New Roman"/>
        </w:rPr>
        <w:t>da en el FD tercero de la STS  Sala de lo Civil, Sección Única,</w:t>
      </w:r>
      <w:r w:rsidRPr="00C553B7">
        <w:rPr>
          <w:rFonts w:ascii="Times New Roman" w:hAnsi="Times New Roman" w:cs="Times New Roman"/>
        </w:rPr>
        <w:t xml:space="preserve"> Sentencia núm. 38</w:t>
      </w:r>
      <w:r w:rsidR="0066314E">
        <w:rPr>
          <w:rFonts w:ascii="Times New Roman" w:hAnsi="Times New Roman" w:cs="Times New Roman"/>
        </w:rPr>
        <w:t>3/2003 de 10 abril</w:t>
      </w:r>
      <w:r w:rsidRPr="00C553B7">
        <w:rPr>
          <w:rFonts w:ascii="Times New Roman" w:hAnsi="Times New Roman" w:cs="Times New Roman"/>
        </w:rPr>
        <w:t>.</w:t>
      </w:r>
    </w:p>
  </w:footnote>
  <w:footnote w:id="71">
    <w:p w14:paraId="0BDC5529" w14:textId="0A7C5AF5" w:rsidR="00611F87" w:rsidRPr="00611F87" w:rsidRDefault="00611F87" w:rsidP="00611F87">
      <w:pPr>
        <w:pStyle w:val="Textonotapie"/>
        <w:ind w:firstLine="0"/>
        <w:rPr>
          <w:rFonts w:ascii="Times New Roman" w:hAnsi="Times New Roman" w:cs="Times New Roman"/>
        </w:rPr>
      </w:pPr>
      <w:r w:rsidRPr="00611F87">
        <w:rPr>
          <w:rStyle w:val="Refdenotaalpie"/>
          <w:rFonts w:ascii="Times New Roman" w:hAnsi="Times New Roman" w:cs="Times New Roman"/>
        </w:rPr>
        <w:footnoteRef/>
      </w:r>
      <w:r w:rsidRPr="00611F87">
        <w:rPr>
          <w:rFonts w:ascii="Times New Roman" w:hAnsi="Times New Roman" w:cs="Times New Roman"/>
        </w:rPr>
        <w:t xml:space="preserve"> SAP de Valladolid Sección 3ª, Sentencia núm. 269/2000 d</w:t>
      </w:r>
      <w:r w:rsidR="00C7723A">
        <w:rPr>
          <w:rFonts w:ascii="Times New Roman" w:hAnsi="Times New Roman" w:cs="Times New Roman"/>
        </w:rPr>
        <w:t>e 13 septiembre</w:t>
      </w:r>
      <w:r w:rsidRPr="00611F87">
        <w:rPr>
          <w:rFonts w:ascii="Times New Roman" w:hAnsi="Times New Roman" w:cs="Times New Roman"/>
        </w:rPr>
        <w:t xml:space="preserve">, FD tercero. </w:t>
      </w:r>
    </w:p>
  </w:footnote>
  <w:footnote w:id="72">
    <w:p w14:paraId="3DF67993" w14:textId="5AD38630" w:rsidR="00D90566" w:rsidRPr="00C553B7" w:rsidRDefault="00D90566"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STS Sala de lo Civil, Sentencia núm. 871</w:t>
      </w:r>
      <w:r w:rsidR="0066314E">
        <w:rPr>
          <w:rFonts w:ascii="Times New Roman" w:hAnsi="Times New Roman" w:cs="Times New Roman"/>
        </w:rPr>
        <w:t>/2000 de 3 octubre</w:t>
      </w:r>
      <w:r w:rsidRPr="00C553B7">
        <w:rPr>
          <w:rFonts w:ascii="Times New Roman" w:hAnsi="Times New Roman" w:cs="Times New Roman"/>
        </w:rPr>
        <w:t>, FD segundo.</w:t>
      </w:r>
    </w:p>
  </w:footnote>
  <w:footnote w:id="73">
    <w:p w14:paraId="3D2C46B2" w14:textId="4362CB02" w:rsidR="005834E6" w:rsidRPr="005834E6" w:rsidRDefault="005834E6" w:rsidP="005834E6">
      <w:pPr>
        <w:pStyle w:val="Textonotapie"/>
        <w:ind w:firstLine="0"/>
        <w:rPr>
          <w:rFonts w:ascii="Times New Roman" w:hAnsi="Times New Roman" w:cs="Times New Roman"/>
        </w:rPr>
      </w:pPr>
      <w:r w:rsidRPr="005834E6">
        <w:rPr>
          <w:rStyle w:val="Refdenotaalpie"/>
          <w:rFonts w:ascii="Times New Roman" w:hAnsi="Times New Roman" w:cs="Times New Roman"/>
        </w:rPr>
        <w:footnoteRef/>
      </w:r>
      <w:r w:rsidRPr="005834E6">
        <w:rPr>
          <w:rFonts w:ascii="Times New Roman" w:hAnsi="Times New Roman" w:cs="Times New Roman"/>
        </w:rPr>
        <w:t xml:space="preserve"> STS Sala de lo Civil, Sentencia núm. 953/</w:t>
      </w:r>
      <w:r w:rsidR="0066314E">
        <w:rPr>
          <w:rFonts w:ascii="Times New Roman" w:hAnsi="Times New Roman" w:cs="Times New Roman"/>
        </w:rPr>
        <w:t>1993 de 14 octubre</w:t>
      </w:r>
      <w:r w:rsidRPr="005834E6">
        <w:rPr>
          <w:rFonts w:ascii="Times New Roman" w:hAnsi="Times New Roman" w:cs="Times New Roman"/>
        </w:rPr>
        <w:t>, FD primero.</w:t>
      </w:r>
    </w:p>
  </w:footnote>
  <w:footnote w:id="74">
    <w:p w14:paraId="5EB05617" w14:textId="0263E845" w:rsidR="00267603" w:rsidRPr="00C553B7" w:rsidRDefault="00267603"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En sentido parecido, se solicita la disolución y liquidación de sociedad irregular, la rendición de cuentas, la participación en beneficios, SAP de Soria, núm. 183/1999 de 18 octubre, FD segundo.</w:t>
      </w:r>
    </w:p>
  </w:footnote>
  <w:footnote w:id="75">
    <w:p w14:paraId="3F227D6D" w14:textId="38F9D034" w:rsidR="0039737C" w:rsidRPr="00C553B7" w:rsidRDefault="0039737C" w:rsidP="00BB7EDA">
      <w:pPr>
        <w:pStyle w:val="Textonotapie"/>
        <w:ind w:firstLine="0"/>
        <w:jc w:val="both"/>
        <w:rPr>
          <w:rFonts w:ascii="Times New Roman" w:hAnsi="Times New Roman" w:cs="Times New Roman"/>
        </w:rPr>
      </w:pPr>
      <w:r w:rsidRPr="00C553B7">
        <w:rPr>
          <w:rStyle w:val="Refdenotaalpie"/>
          <w:rFonts w:ascii="Times New Roman" w:hAnsi="Times New Roman" w:cs="Times New Roman"/>
        </w:rPr>
        <w:footnoteRef/>
      </w:r>
      <w:r w:rsidRPr="00C553B7">
        <w:rPr>
          <w:rFonts w:ascii="Times New Roman" w:hAnsi="Times New Roman" w:cs="Times New Roman"/>
        </w:rPr>
        <w:t xml:space="preserve"> STS Sala de lo Civil Sentencia núm. 953/1993 de 14 octubre,  FD primero.</w:t>
      </w:r>
    </w:p>
  </w:footnote>
  <w:footnote w:id="76">
    <w:p w14:paraId="48DB6ED9" w14:textId="52FB17A8" w:rsidR="002A03DC" w:rsidRDefault="002A03DC" w:rsidP="00BB7EDA">
      <w:pPr>
        <w:pStyle w:val="Textonotapie"/>
        <w:ind w:firstLine="0"/>
      </w:pPr>
      <w:r w:rsidRPr="00C553B7">
        <w:rPr>
          <w:rStyle w:val="Refdenotaalpie"/>
          <w:rFonts w:ascii="Times New Roman" w:hAnsi="Times New Roman" w:cs="Times New Roman"/>
        </w:rPr>
        <w:footnoteRef/>
      </w:r>
      <w:r w:rsidRPr="00C553B7">
        <w:rPr>
          <w:rFonts w:ascii="Times New Roman" w:hAnsi="Times New Roman" w:cs="Times New Roman"/>
        </w:rPr>
        <w:t xml:space="preserve"> S AP de Barcelona (Sección 12ª)</w:t>
      </w:r>
      <w:r w:rsidR="0066314E">
        <w:rPr>
          <w:rFonts w:ascii="Times New Roman" w:hAnsi="Times New Roman" w:cs="Times New Roman"/>
        </w:rPr>
        <w:t>, de 14 julio 1995</w:t>
      </w:r>
      <w:r w:rsidRPr="00C553B7">
        <w:rPr>
          <w:rFonts w:ascii="Times New Roman" w:hAnsi="Times New Roman" w:cs="Times New Roman"/>
        </w:rPr>
        <w:t>, FD segundo.</w:t>
      </w:r>
    </w:p>
  </w:footnote>
  <w:footnote w:id="77">
    <w:p w14:paraId="39E6F8EB" w14:textId="663D786E" w:rsidR="009F629E" w:rsidRPr="00611F87" w:rsidRDefault="009F629E" w:rsidP="009F629E">
      <w:pPr>
        <w:pStyle w:val="Textonotapie"/>
        <w:ind w:firstLine="0"/>
        <w:rPr>
          <w:rFonts w:ascii="Times New Roman" w:hAnsi="Times New Roman" w:cs="Times New Roman"/>
        </w:rPr>
      </w:pPr>
      <w:r w:rsidRPr="00611F87">
        <w:rPr>
          <w:rStyle w:val="Refdenotaalpie"/>
          <w:rFonts w:ascii="Times New Roman" w:hAnsi="Times New Roman" w:cs="Times New Roman"/>
        </w:rPr>
        <w:footnoteRef/>
      </w:r>
      <w:r w:rsidRPr="00611F87">
        <w:rPr>
          <w:rFonts w:ascii="Times New Roman" w:hAnsi="Times New Roman" w:cs="Times New Roman"/>
        </w:rPr>
        <w:t xml:space="preserve"> La SAP Valencia Sección 8ª Sentencia núm. 551/2013 de 12 </w:t>
      </w:r>
      <w:r w:rsidR="0066314E">
        <w:rPr>
          <w:rFonts w:ascii="Times New Roman" w:hAnsi="Times New Roman" w:cs="Times New Roman"/>
        </w:rPr>
        <w:t>diciembre</w:t>
      </w:r>
      <w:r w:rsidRPr="00611F87">
        <w:rPr>
          <w:rFonts w:ascii="Times New Roman" w:hAnsi="Times New Roman" w:cs="Times New Roman"/>
        </w:rPr>
        <w:t xml:space="preserve">, FD segundo, repudia que analizada la cuestión en la audiencia previa se pospusiese su resolución hasta la sentencia.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411"/>
    <w:multiLevelType w:val="hybridMultilevel"/>
    <w:tmpl w:val="A6DCB8EA"/>
    <w:lvl w:ilvl="0" w:tplc="F0B29842">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
    <w:nsid w:val="033942C2"/>
    <w:multiLevelType w:val="hybridMultilevel"/>
    <w:tmpl w:val="DDE88E60"/>
    <w:lvl w:ilvl="0" w:tplc="FAB4769C">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
    <w:nsid w:val="0C1125CF"/>
    <w:multiLevelType w:val="hybridMultilevel"/>
    <w:tmpl w:val="3BD231A4"/>
    <w:lvl w:ilvl="0" w:tplc="21F2BC66">
      <w:start w:val="3"/>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
    <w:nsid w:val="136B1298"/>
    <w:multiLevelType w:val="hybridMultilevel"/>
    <w:tmpl w:val="AF40C904"/>
    <w:lvl w:ilvl="0" w:tplc="DB5020EE">
      <w:start w:val="3"/>
      <w:numFmt w:val="decimal"/>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4">
    <w:nsid w:val="14DA211A"/>
    <w:multiLevelType w:val="hybridMultilevel"/>
    <w:tmpl w:val="F99671C0"/>
    <w:lvl w:ilvl="0" w:tplc="325A19E6">
      <w:start w:val="1"/>
      <w:numFmt w:val="bullet"/>
      <w:lvlText w:val="-"/>
      <w:lvlJc w:val="left"/>
      <w:pPr>
        <w:ind w:left="1077" w:hanging="360"/>
      </w:pPr>
      <w:rPr>
        <w:rFonts w:ascii="Calibri" w:eastAsiaTheme="minorHAnsi" w:hAnsi="Calibri" w:cs="Calibri"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
    <w:nsid w:val="16711FB9"/>
    <w:multiLevelType w:val="hybridMultilevel"/>
    <w:tmpl w:val="2C062DB2"/>
    <w:lvl w:ilvl="0" w:tplc="CA440F3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6">
    <w:nsid w:val="1A6A77CB"/>
    <w:multiLevelType w:val="hybridMultilevel"/>
    <w:tmpl w:val="A9083D4E"/>
    <w:lvl w:ilvl="0" w:tplc="A95CCCCE">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7">
    <w:nsid w:val="21BC4FA8"/>
    <w:multiLevelType w:val="hybridMultilevel"/>
    <w:tmpl w:val="5D924324"/>
    <w:lvl w:ilvl="0" w:tplc="5F98B38A">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7D6C2F"/>
    <w:multiLevelType w:val="hybridMultilevel"/>
    <w:tmpl w:val="F2EAA2BC"/>
    <w:lvl w:ilvl="0" w:tplc="7BDC07B4">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34445A82"/>
    <w:multiLevelType w:val="hybridMultilevel"/>
    <w:tmpl w:val="35B0E80C"/>
    <w:lvl w:ilvl="0" w:tplc="2E164DAC">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0">
    <w:nsid w:val="359C55E5"/>
    <w:multiLevelType w:val="hybridMultilevel"/>
    <w:tmpl w:val="75C44D84"/>
    <w:lvl w:ilvl="0" w:tplc="77A45000">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1">
    <w:nsid w:val="40E37EC2"/>
    <w:multiLevelType w:val="hybridMultilevel"/>
    <w:tmpl w:val="9A56403E"/>
    <w:lvl w:ilvl="0" w:tplc="3B465A4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2">
    <w:nsid w:val="41E4130F"/>
    <w:multiLevelType w:val="hybridMultilevel"/>
    <w:tmpl w:val="DD92DA98"/>
    <w:lvl w:ilvl="0" w:tplc="7F44FC70">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3">
    <w:nsid w:val="41E702E4"/>
    <w:multiLevelType w:val="hybridMultilevel"/>
    <w:tmpl w:val="35C07C9E"/>
    <w:lvl w:ilvl="0" w:tplc="5962695A">
      <w:start w:val="1"/>
      <w:numFmt w:val="upperRoman"/>
      <w:lvlText w:val="%1."/>
      <w:lvlJc w:val="left"/>
      <w:pPr>
        <w:ind w:left="1077" w:hanging="720"/>
      </w:pPr>
      <w:rPr>
        <w:rFonts w:hint="default"/>
        <w:b/>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4">
    <w:nsid w:val="47F82D3E"/>
    <w:multiLevelType w:val="hybridMultilevel"/>
    <w:tmpl w:val="C4AC7DB6"/>
    <w:lvl w:ilvl="0" w:tplc="9B06E1AA">
      <w:numFmt w:val="bullet"/>
      <w:lvlText w:val=""/>
      <w:lvlJc w:val="left"/>
      <w:pPr>
        <w:ind w:left="717" w:hanging="360"/>
      </w:pPr>
      <w:rPr>
        <w:rFonts w:ascii="Symbol" w:eastAsiaTheme="minorHAnsi" w:hAnsi="Symbol" w:cstheme="minorBidi"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nsid w:val="4E5B4C97"/>
    <w:multiLevelType w:val="hybridMultilevel"/>
    <w:tmpl w:val="6B669E5A"/>
    <w:lvl w:ilvl="0" w:tplc="96746170">
      <w:start w:val="7"/>
      <w:numFmt w:val="upperRoman"/>
      <w:lvlText w:val="%1."/>
      <w:lvlJc w:val="left"/>
      <w:pPr>
        <w:ind w:left="1077" w:hanging="72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6">
    <w:nsid w:val="4F5946B7"/>
    <w:multiLevelType w:val="hybridMultilevel"/>
    <w:tmpl w:val="9AA2BD7E"/>
    <w:lvl w:ilvl="0" w:tplc="CB4A53D6">
      <w:start w:val="8"/>
      <w:numFmt w:val="upperRoman"/>
      <w:lvlText w:val="%1."/>
      <w:lvlJc w:val="left"/>
      <w:pPr>
        <w:ind w:left="1077" w:hanging="720"/>
      </w:pPr>
      <w:rPr>
        <w:rFonts w:hint="default"/>
        <w:b/>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7">
    <w:nsid w:val="5CE637D2"/>
    <w:multiLevelType w:val="hybridMultilevel"/>
    <w:tmpl w:val="A59E456C"/>
    <w:lvl w:ilvl="0" w:tplc="648A9F10">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8">
    <w:nsid w:val="5E00650D"/>
    <w:multiLevelType w:val="hybridMultilevel"/>
    <w:tmpl w:val="06E82BF0"/>
    <w:lvl w:ilvl="0" w:tplc="1DEEBBA4">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61361437"/>
    <w:multiLevelType w:val="hybridMultilevel"/>
    <w:tmpl w:val="19BA48F2"/>
    <w:lvl w:ilvl="0" w:tplc="97169030">
      <w:start w:val="7"/>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73111518"/>
    <w:multiLevelType w:val="hybridMultilevel"/>
    <w:tmpl w:val="580E831E"/>
    <w:lvl w:ilvl="0" w:tplc="D1461112">
      <w:start w:val="1"/>
      <w:numFmt w:val="upp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1">
    <w:nsid w:val="7D9C137F"/>
    <w:multiLevelType w:val="hybridMultilevel"/>
    <w:tmpl w:val="452C1B46"/>
    <w:lvl w:ilvl="0" w:tplc="9676C7D2">
      <w:start w:val="2"/>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4"/>
  </w:num>
  <w:num w:numId="2">
    <w:abstractNumId w:val="10"/>
  </w:num>
  <w:num w:numId="3">
    <w:abstractNumId w:val="5"/>
  </w:num>
  <w:num w:numId="4">
    <w:abstractNumId w:val="0"/>
  </w:num>
  <w:num w:numId="5">
    <w:abstractNumId w:val="6"/>
  </w:num>
  <w:num w:numId="6">
    <w:abstractNumId w:val="14"/>
  </w:num>
  <w:num w:numId="7">
    <w:abstractNumId w:val="17"/>
  </w:num>
  <w:num w:numId="8">
    <w:abstractNumId w:val="11"/>
  </w:num>
  <w:num w:numId="9">
    <w:abstractNumId w:val="21"/>
  </w:num>
  <w:num w:numId="10">
    <w:abstractNumId w:val="2"/>
  </w:num>
  <w:num w:numId="11">
    <w:abstractNumId w:val="12"/>
  </w:num>
  <w:num w:numId="12">
    <w:abstractNumId w:val="9"/>
  </w:num>
  <w:num w:numId="13">
    <w:abstractNumId w:val="1"/>
  </w:num>
  <w:num w:numId="14">
    <w:abstractNumId w:val="18"/>
  </w:num>
  <w:num w:numId="15">
    <w:abstractNumId w:val="8"/>
  </w:num>
  <w:num w:numId="16">
    <w:abstractNumId w:val="3"/>
  </w:num>
  <w:num w:numId="17">
    <w:abstractNumId w:val="7"/>
  </w:num>
  <w:num w:numId="18">
    <w:abstractNumId w:val="19"/>
  </w:num>
  <w:num w:numId="19">
    <w:abstractNumId w:val="15"/>
  </w:num>
  <w:num w:numId="20">
    <w:abstractNumId w:val="20"/>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87"/>
    <w:rsid w:val="00006158"/>
    <w:rsid w:val="0001656D"/>
    <w:rsid w:val="00021126"/>
    <w:rsid w:val="0003107D"/>
    <w:rsid w:val="00032C6B"/>
    <w:rsid w:val="00035415"/>
    <w:rsid w:val="0005165C"/>
    <w:rsid w:val="00052A4B"/>
    <w:rsid w:val="00055170"/>
    <w:rsid w:val="0007073C"/>
    <w:rsid w:val="00076F8A"/>
    <w:rsid w:val="00080490"/>
    <w:rsid w:val="00085926"/>
    <w:rsid w:val="000A0427"/>
    <w:rsid w:val="000A44EE"/>
    <w:rsid w:val="000A50AA"/>
    <w:rsid w:val="000B489F"/>
    <w:rsid w:val="000C13FC"/>
    <w:rsid w:val="000C302D"/>
    <w:rsid w:val="000C4CB7"/>
    <w:rsid w:val="000C6782"/>
    <w:rsid w:val="000D632D"/>
    <w:rsid w:val="000E0AA8"/>
    <w:rsid w:val="000E4EE4"/>
    <w:rsid w:val="000F3778"/>
    <w:rsid w:val="000F73F3"/>
    <w:rsid w:val="001050AE"/>
    <w:rsid w:val="001116AA"/>
    <w:rsid w:val="00136FDC"/>
    <w:rsid w:val="00141AD3"/>
    <w:rsid w:val="00153233"/>
    <w:rsid w:val="00173E3D"/>
    <w:rsid w:val="00175115"/>
    <w:rsid w:val="00186249"/>
    <w:rsid w:val="00195ABB"/>
    <w:rsid w:val="001A245D"/>
    <w:rsid w:val="001B0AB2"/>
    <w:rsid w:val="001C40E7"/>
    <w:rsid w:val="001C6703"/>
    <w:rsid w:val="001D7E99"/>
    <w:rsid w:val="001E52C2"/>
    <w:rsid w:val="001F7455"/>
    <w:rsid w:val="00211702"/>
    <w:rsid w:val="00214182"/>
    <w:rsid w:val="00216683"/>
    <w:rsid w:val="0022385E"/>
    <w:rsid w:val="00223F1C"/>
    <w:rsid w:val="002330F4"/>
    <w:rsid w:val="00235D11"/>
    <w:rsid w:val="00240E3A"/>
    <w:rsid w:val="0024519B"/>
    <w:rsid w:val="00247988"/>
    <w:rsid w:val="002638A0"/>
    <w:rsid w:val="002653AE"/>
    <w:rsid w:val="00267603"/>
    <w:rsid w:val="00270D9F"/>
    <w:rsid w:val="00276E8A"/>
    <w:rsid w:val="00284D20"/>
    <w:rsid w:val="002869E8"/>
    <w:rsid w:val="00287919"/>
    <w:rsid w:val="002952B1"/>
    <w:rsid w:val="00295911"/>
    <w:rsid w:val="002973F6"/>
    <w:rsid w:val="002A03DC"/>
    <w:rsid w:val="002B23F9"/>
    <w:rsid w:val="002C009D"/>
    <w:rsid w:val="002D364C"/>
    <w:rsid w:val="002F3B85"/>
    <w:rsid w:val="002F457E"/>
    <w:rsid w:val="00304E06"/>
    <w:rsid w:val="00311DD1"/>
    <w:rsid w:val="00311DE3"/>
    <w:rsid w:val="00313607"/>
    <w:rsid w:val="0032655E"/>
    <w:rsid w:val="003300E9"/>
    <w:rsid w:val="00336D4B"/>
    <w:rsid w:val="00361210"/>
    <w:rsid w:val="00381B9D"/>
    <w:rsid w:val="00383164"/>
    <w:rsid w:val="00384EE3"/>
    <w:rsid w:val="003851BC"/>
    <w:rsid w:val="003919E7"/>
    <w:rsid w:val="003931B1"/>
    <w:rsid w:val="00394A59"/>
    <w:rsid w:val="003957CD"/>
    <w:rsid w:val="00397175"/>
    <w:rsid w:val="0039737C"/>
    <w:rsid w:val="003A4DA5"/>
    <w:rsid w:val="003B4894"/>
    <w:rsid w:val="003B714E"/>
    <w:rsid w:val="003C2CDF"/>
    <w:rsid w:val="003D109A"/>
    <w:rsid w:val="003D63EB"/>
    <w:rsid w:val="003E369B"/>
    <w:rsid w:val="003E6C06"/>
    <w:rsid w:val="00400575"/>
    <w:rsid w:val="00414D01"/>
    <w:rsid w:val="00425012"/>
    <w:rsid w:val="004253DA"/>
    <w:rsid w:val="00427D0A"/>
    <w:rsid w:val="0043104B"/>
    <w:rsid w:val="004344D7"/>
    <w:rsid w:val="00437B3B"/>
    <w:rsid w:val="00444C98"/>
    <w:rsid w:val="004514AF"/>
    <w:rsid w:val="00451F8B"/>
    <w:rsid w:val="00451FE0"/>
    <w:rsid w:val="00460083"/>
    <w:rsid w:val="0046207A"/>
    <w:rsid w:val="00466E4D"/>
    <w:rsid w:val="00470CF4"/>
    <w:rsid w:val="00475FA2"/>
    <w:rsid w:val="0048335B"/>
    <w:rsid w:val="0048376E"/>
    <w:rsid w:val="004914FB"/>
    <w:rsid w:val="00491DA9"/>
    <w:rsid w:val="00497B7F"/>
    <w:rsid w:val="004B6C5E"/>
    <w:rsid w:val="004B7882"/>
    <w:rsid w:val="004D2A7E"/>
    <w:rsid w:val="004D78E8"/>
    <w:rsid w:val="004E0B77"/>
    <w:rsid w:val="004E70CD"/>
    <w:rsid w:val="004F1EF8"/>
    <w:rsid w:val="004F6593"/>
    <w:rsid w:val="00500E39"/>
    <w:rsid w:val="00500FA2"/>
    <w:rsid w:val="00514EB8"/>
    <w:rsid w:val="0051572B"/>
    <w:rsid w:val="005163D2"/>
    <w:rsid w:val="00520201"/>
    <w:rsid w:val="00525C5D"/>
    <w:rsid w:val="005317C8"/>
    <w:rsid w:val="0053519C"/>
    <w:rsid w:val="00541158"/>
    <w:rsid w:val="00545996"/>
    <w:rsid w:val="00546F75"/>
    <w:rsid w:val="00555773"/>
    <w:rsid w:val="00556B8E"/>
    <w:rsid w:val="00557C05"/>
    <w:rsid w:val="00560B48"/>
    <w:rsid w:val="00560C4E"/>
    <w:rsid w:val="005731AA"/>
    <w:rsid w:val="0057468D"/>
    <w:rsid w:val="005834E6"/>
    <w:rsid w:val="00592761"/>
    <w:rsid w:val="00593048"/>
    <w:rsid w:val="005A6CAE"/>
    <w:rsid w:val="005C05D7"/>
    <w:rsid w:val="005C0FB9"/>
    <w:rsid w:val="005E0E13"/>
    <w:rsid w:val="005E63FD"/>
    <w:rsid w:val="005F3F9A"/>
    <w:rsid w:val="0060038E"/>
    <w:rsid w:val="0060195A"/>
    <w:rsid w:val="00611F87"/>
    <w:rsid w:val="006220E8"/>
    <w:rsid w:val="00626358"/>
    <w:rsid w:val="0063017E"/>
    <w:rsid w:val="00633C66"/>
    <w:rsid w:val="00633C9B"/>
    <w:rsid w:val="00635CB4"/>
    <w:rsid w:val="006429C0"/>
    <w:rsid w:val="006451E9"/>
    <w:rsid w:val="00645F07"/>
    <w:rsid w:val="00655A36"/>
    <w:rsid w:val="00656077"/>
    <w:rsid w:val="00656796"/>
    <w:rsid w:val="00657C0B"/>
    <w:rsid w:val="0066314E"/>
    <w:rsid w:val="0066415C"/>
    <w:rsid w:val="00665C4E"/>
    <w:rsid w:val="00684E4E"/>
    <w:rsid w:val="006912A8"/>
    <w:rsid w:val="006A4958"/>
    <w:rsid w:val="006A6F80"/>
    <w:rsid w:val="006A7C4A"/>
    <w:rsid w:val="006C6881"/>
    <w:rsid w:val="006D0C61"/>
    <w:rsid w:val="006E17D7"/>
    <w:rsid w:val="006E5DB6"/>
    <w:rsid w:val="006E7669"/>
    <w:rsid w:val="006F0BCC"/>
    <w:rsid w:val="006F1595"/>
    <w:rsid w:val="006F54FE"/>
    <w:rsid w:val="00713BFD"/>
    <w:rsid w:val="007177F9"/>
    <w:rsid w:val="00720544"/>
    <w:rsid w:val="0072437C"/>
    <w:rsid w:val="0073131A"/>
    <w:rsid w:val="00740C3F"/>
    <w:rsid w:val="0074434D"/>
    <w:rsid w:val="00747EF8"/>
    <w:rsid w:val="0075739E"/>
    <w:rsid w:val="0076549B"/>
    <w:rsid w:val="00765C7D"/>
    <w:rsid w:val="00770039"/>
    <w:rsid w:val="007738D2"/>
    <w:rsid w:val="00780BDA"/>
    <w:rsid w:val="007858D9"/>
    <w:rsid w:val="00791B2C"/>
    <w:rsid w:val="007953CD"/>
    <w:rsid w:val="007B6C74"/>
    <w:rsid w:val="007C042B"/>
    <w:rsid w:val="007C26DA"/>
    <w:rsid w:val="007D3FF7"/>
    <w:rsid w:val="007D5710"/>
    <w:rsid w:val="007D5982"/>
    <w:rsid w:val="007F454D"/>
    <w:rsid w:val="00820A3F"/>
    <w:rsid w:val="008223A0"/>
    <w:rsid w:val="00823931"/>
    <w:rsid w:val="00852D77"/>
    <w:rsid w:val="00853FA6"/>
    <w:rsid w:val="00855FE3"/>
    <w:rsid w:val="00863734"/>
    <w:rsid w:val="0087642A"/>
    <w:rsid w:val="0087749B"/>
    <w:rsid w:val="00887745"/>
    <w:rsid w:val="0089331F"/>
    <w:rsid w:val="00894DC4"/>
    <w:rsid w:val="00897E61"/>
    <w:rsid w:val="008A1361"/>
    <w:rsid w:val="008A70F3"/>
    <w:rsid w:val="008B6064"/>
    <w:rsid w:val="008C056E"/>
    <w:rsid w:val="008C7FD8"/>
    <w:rsid w:val="008D3489"/>
    <w:rsid w:val="008D3711"/>
    <w:rsid w:val="008E483E"/>
    <w:rsid w:val="008E4985"/>
    <w:rsid w:val="008E4F6A"/>
    <w:rsid w:val="008F2082"/>
    <w:rsid w:val="008F4498"/>
    <w:rsid w:val="0091759E"/>
    <w:rsid w:val="00922778"/>
    <w:rsid w:val="00923D78"/>
    <w:rsid w:val="009268F2"/>
    <w:rsid w:val="0094030C"/>
    <w:rsid w:val="009439E3"/>
    <w:rsid w:val="00947509"/>
    <w:rsid w:val="00961F51"/>
    <w:rsid w:val="00970711"/>
    <w:rsid w:val="0097098F"/>
    <w:rsid w:val="009739C0"/>
    <w:rsid w:val="00980BCE"/>
    <w:rsid w:val="009836DC"/>
    <w:rsid w:val="009A1F4E"/>
    <w:rsid w:val="009A216D"/>
    <w:rsid w:val="009A229D"/>
    <w:rsid w:val="009B209A"/>
    <w:rsid w:val="009C2090"/>
    <w:rsid w:val="009D5199"/>
    <w:rsid w:val="009D5603"/>
    <w:rsid w:val="009D585C"/>
    <w:rsid w:val="009E5B15"/>
    <w:rsid w:val="009F629E"/>
    <w:rsid w:val="00A15CD5"/>
    <w:rsid w:val="00A165C4"/>
    <w:rsid w:val="00A171BD"/>
    <w:rsid w:val="00A21B60"/>
    <w:rsid w:val="00A27A08"/>
    <w:rsid w:val="00A326A5"/>
    <w:rsid w:val="00A36F9B"/>
    <w:rsid w:val="00A43D43"/>
    <w:rsid w:val="00A4457D"/>
    <w:rsid w:val="00A45787"/>
    <w:rsid w:val="00A4637E"/>
    <w:rsid w:val="00A47F3B"/>
    <w:rsid w:val="00A502B9"/>
    <w:rsid w:val="00A518B6"/>
    <w:rsid w:val="00A54624"/>
    <w:rsid w:val="00A5617E"/>
    <w:rsid w:val="00A67771"/>
    <w:rsid w:val="00A75342"/>
    <w:rsid w:val="00A92C85"/>
    <w:rsid w:val="00A95DC2"/>
    <w:rsid w:val="00AA2B77"/>
    <w:rsid w:val="00AA4E94"/>
    <w:rsid w:val="00AB0504"/>
    <w:rsid w:val="00AB2A5F"/>
    <w:rsid w:val="00AC22F7"/>
    <w:rsid w:val="00AD52BA"/>
    <w:rsid w:val="00AF3ACF"/>
    <w:rsid w:val="00B07BB0"/>
    <w:rsid w:val="00B1065C"/>
    <w:rsid w:val="00B152A7"/>
    <w:rsid w:val="00B159DE"/>
    <w:rsid w:val="00B175C3"/>
    <w:rsid w:val="00B17D71"/>
    <w:rsid w:val="00B27B49"/>
    <w:rsid w:val="00B376DF"/>
    <w:rsid w:val="00B37E81"/>
    <w:rsid w:val="00B417EF"/>
    <w:rsid w:val="00B42E96"/>
    <w:rsid w:val="00B52FDB"/>
    <w:rsid w:val="00B57EA5"/>
    <w:rsid w:val="00B60E0E"/>
    <w:rsid w:val="00B61391"/>
    <w:rsid w:val="00B65867"/>
    <w:rsid w:val="00B67CBD"/>
    <w:rsid w:val="00B70CC4"/>
    <w:rsid w:val="00B83BC9"/>
    <w:rsid w:val="00B85536"/>
    <w:rsid w:val="00B95CE7"/>
    <w:rsid w:val="00BB52B6"/>
    <w:rsid w:val="00BB5F74"/>
    <w:rsid w:val="00BB7AA6"/>
    <w:rsid w:val="00BB7EDA"/>
    <w:rsid w:val="00BC143F"/>
    <w:rsid w:val="00BC360E"/>
    <w:rsid w:val="00BC3682"/>
    <w:rsid w:val="00BD7617"/>
    <w:rsid w:val="00BE226B"/>
    <w:rsid w:val="00BF63BA"/>
    <w:rsid w:val="00C064AD"/>
    <w:rsid w:val="00C06D8C"/>
    <w:rsid w:val="00C079EE"/>
    <w:rsid w:val="00C12E06"/>
    <w:rsid w:val="00C13E8F"/>
    <w:rsid w:val="00C13F2A"/>
    <w:rsid w:val="00C1465A"/>
    <w:rsid w:val="00C20D85"/>
    <w:rsid w:val="00C24684"/>
    <w:rsid w:val="00C265BB"/>
    <w:rsid w:val="00C30146"/>
    <w:rsid w:val="00C413FB"/>
    <w:rsid w:val="00C43A81"/>
    <w:rsid w:val="00C50299"/>
    <w:rsid w:val="00C5310C"/>
    <w:rsid w:val="00C54B35"/>
    <w:rsid w:val="00C553B7"/>
    <w:rsid w:val="00C60045"/>
    <w:rsid w:val="00C66D11"/>
    <w:rsid w:val="00C742C6"/>
    <w:rsid w:val="00C7723A"/>
    <w:rsid w:val="00C826A8"/>
    <w:rsid w:val="00C94A26"/>
    <w:rsid w:val="00CA37D3"/>
    <w:rsid w:val="00CC3E4D"/>
    <w:rsid w:val="00CC4F1F"/>
    <w:rsid w:val="00CD6CFC"/>
    <w:rsid w:val="00CE2C92"/>
    <w:rsid w:val="00CE6998"/>
    <w:rsid w:val="00CF46E3"/>
    <w:rsid w:val="00D015A5"/>
    <w:rsid w:val="00D04689"/>
    <w:rsid w:val="00D06CDB"/>
    <w:rsid w:val="00D10F45"/>
    <w:rsid w:val="00D22679"/>
    <w:rsid w:val="00D33F2A"/>
    <w:rsid w:val="00D47521"/>
    <w:rsid w:val="00D5292A"/>
    <w:rsid w:val="00D67625"/>
    <w:rsid w:val="00D705E2"/>
    <w:rsid w:val="00D733BB"/>
    <w:rsid w:val="00D80379"/>
    <w:rsid w:val="00D81967"/>
    <w:rsid w:val="00D90566"/>
    <w:rsid w:val="00D953FA"/>
    <w:rsid w:val="00D977BD"/>
    <w:rsid w:val="00DA4018"/>
    <w:rsid w:val="00DA4C0C"/>
    <w:rsid w:val="00DC1C86"/>
    <w:rsid w:val="00DC4FEE"/>
    <w:rsid w:val="00DC7235"/>
    <w:rsid w:val="00DE5BD1"/>
    <w:rsid w:val="00DE67ED"/>
    <w:rsid w:val="00DF159C"/>
    <w:rsid w:val="00DF1E2B"/>
    <w:rsid w:val="00E00B77"/>
    <w:rsid w:val="00E010DB"/>
    <w:rsid w:val="00E02D42"/>
    <w:rsid w:val="00E06E20"/>
    <w:rsid w:val="00E110D7"/>
    <w:rsid w:val="00E14994"/>
    <w:rsid w:val="00E35C34"/>
    <w:rsid w:val="00E35E06"/>
    <w:rsid w:val="00E43DC2"/>
    <w:rsid w:val="00E469E8"/>
    <w:rsid w:val="00E60F79"/>
    <w:rsid w:val="00E620AD"/>
    <w:rsid w:val="00E70BF8"/>
    <w:rsid w:val="00E85D12"/>
    <w:rsid w:val="00E87CA9"/>
    <w:rsid w:val="00E93AEE"/>
    <w:rsid w:val="00E945E9"/>
    <w:rsid w:val="00E95C31"/>
    <w:rsid w:val="00EA0CBA"/>
    <w:rsid w:val="00EA72F5"/>
    <w:rsid w:val="00EB0772"/>
    <w:rsid w:val="00EC3217"/>
    <w:rsid w:val="00EC78ED"/>
    <w:rsid w:val="00ED745C"/>
    <w:rsid w:val="00EE791F"/>
    <w:rsid w:val="00EF4EA2"/>
    <w:rsid w:val="00EF5CF8"/>
    <w:rsid w:val="00EF612C"/>
    <w:rsid w:val="00F02912"/>
    <w:rsid w:val="00F02A2B"/>
    <w:rsid w:val="00F03728"/>
    <w:rsid w:val="00F11EC7"/>
    <w:rsid w:val="00F23BF0"/>
    <w:rsid w:val="00F24446"/>
    <w:rsid w:val="00F333AD"/>
    <w:rsid w:val="00F55307"/>
    <w:rsid w:val="00F5553B"/>
    <w:rsid w:val="00F6232A"/>
    <w:rsid w:val="00F84FDB"/>
    <w:rsid w:val="00FB3275"/>
    <w:rsid w:val="00FC1D3D"/>
    <w:rsid w:val="00FC4692"/>
    <w:rsid w:val="00FD25C7"/>
    <w:rsid w:val="00FF1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87"/>
    <w:pPr>
      <w:spacing w:line="240" w:lineRule="auto"/>
      <w:ind w:firstLine="357"/>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45787"/>
    <w:pPr>
      <w:spacing w:after="0"/>
    </w:pPr>
    <w:rPr>
      <w:sz w:val="20"/>
      <w:szCs w:val="20"/>
    </w:rPr>
  </w:style>
  <w:style w:type="character" w:customStyle="1" w:styleId="TextonotapieCar">
    <w:name w:val="Texto nota pie Car"/>
    <w:basedOn w:val="Fuentedeprrafopredeter"/>
    <w:link w:val="Textonotapie"/>
    <w:uiPriority w:val="99"/>
    <w:rsid w:val="00A45787"/>
    <w:rPr>
      <w:sz w:val="20"/>
      <w:szCs w:val="20"/>
    </w:rPr>
  </w:style>
  <w:style w:type="character" w:styleId="Refdenotaalpie">
    <w:name w:val="footnote reference"/>
    <w:basedOn w:val="Fuentedeprrafopredeter"/>
    <w:uiPriority w:val="99"/>
    <w:semiHidden/>
    <w:unhideWhenUsed/>
    <w:rsid w:val="00A45787"/>
    <w:rPr>
      <w:vertAlign w:val="superscript"/>
    </w:rPr>
  </w:style>
  <w:style w:type="character" w:styleId="Refdecomentario">
    <w:name w:val="annotation reference"/>
    <w:basedOn w:val="Fuentedeprrafopredeter"/>
    <w:uiPriority w:val="99"/>
    <w:semiHidden/>
    <w:unhideWhenUsed/>
    <w:rsid w:val="00747EF8"/>
    <w:rPr>
      <w:sz w:val="16"/>
      <w:szCs w:val="16"/>
    </w:rPr>
  </w:style>
  <w:style w:type="paragraph" w:styleId="Textocomentario">
    <w:name w:val="annotation text"/>
    <w:basedOn w:val="Normal"/>
    <w:link w:val="TextocomentarioCar"/>
    <w:uiPriority w:val="99"/>
    <w:semiHidden/>
    <w:unhideWhenUsed/>
    <w:rsid w:val="00747EF8"/>
    <w:rPr>
      <w:sz w:val="20"/>
      <w:szCs w:val="20"/>
    </w:rPr>
  </w:style>
  <w:style w:type="character" w:customStyle="1" w:styleId="TextocomentarioCar">
    <w:name w:val="Texto comentario Car"/>
    <w:basedOn w:val="Fuentedeprrafopredeter"/>
    <w:link w:val="Textocomentario"/>
    <w:uiPriority w:val="99"/>
    <w:semiHidden/>
    <w:rsid w:val="00747EF8"/>
    <w:rPr>
      <w:sz w:val="20"/>
      <w:szCs w:val="20"/>
    </w:rPr>
  </w:style>
  <w:style w:type="paragraph" w:styleId="Textodeglobo">
    <w:name w:val="Balloon Text"/>
    <w:basedOn w:val="Normal"/>
    <w:link w:val="TextodegloboCar"/>
    <w:uiPriority w:val="99"/>
    <w:semiHidden/>
    <w:unhideWhenUsed/>
    <w:rsid w:val="00747EF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EF8"/>
    <w:rPr>
      <w:rFonts w:ascii="Segoe UI" w:hAnsi="Segoe UI" w:cs="Segoe UI"/>
      <w:sz w:val="18"/>
      <w:szCs w:val="18"/>
    </w:rPr>
  </w:style>
  <w:style w:type="paragraph" w:styleId="Prrafodelista">
    <w:name w:val="List Paragraph"/>
    <w:basedOn w:val="Normal"/>
    <w:uiPriority w:val="34"/>
    <w:qFormat/>
    <w:rsid w:val="00FB3275"/>
    <w:pPr>
      <w:ind w:left="720"/>
      <w:contextualSpacing/>
    </w:pPr>
  </w:style>
  <w:style w:type="paragraph" w:styleId="Encabezado">
    <w:name w:val="header"/>
    <w:basedOn w:val="Normal"/>
    <w:link w:val="EncabezadoCar"/>
    <w:uiPriority w:val="99"/>
    <w:unhideWhenUsed/>
    <w:rsid w:val="00B1065C"/>
    <w:pPr>
      <w:tabs>
        <w:tab w:val="center" w:pos="4252"/>
        <w:tab w:val="right" w:pos="8504"/>
      </w:tabs>
      <w:spacing w:after="0"/>
    </w:pPr>
  </w:style>
  <w:style w:type="character" w:customStyle="1" w:styleId="EncabezadoCar">
    <w:name w:val="Encabezado Car"/>
    <w:basedOn w:val="Fuentedeprrafopredeter"/>
    <w:link w:val="Encabezado"/>
    <w:uiPriority w:val="99"/>
    <w:rsid w:val="00B1065C"/>
  </w:style>
  <w:style w:type="paragraph" w:styleId="Piedepgina">
    <w:name w:val="footer"/>
    <w:basedOn w:val="Normal"/>
    <w:link w:val="PiedepginaCar"/>
    <w:uiPriority w:val="99"/>
    <w:unhideWhenUsed/>
    <w:rsid w:val="00B1065C"/>
    <w:pPr>
      <w:tabs>
        <w:tab w:val="center" w:pos="4252"/>
        <w:tab w:val="right" w:pos="8504"/>
      </w:tabs>
      <w:spacing w:after="0"/>
    </w:pPr>
  </w:style>
  <w:style w:type="character" w:customStyle="1" w:styleId="PiedepginaCar">
    <w:name w:val="Pie de página Car"/>
    <w:basedOn w:val="Fuentedeprrafopredeter"/>
    <w:link w:val="Piedepgina"/>
    <w:uiPriority w:val="99"/>
    <w:rsid w:val="00B1065C"/>
  </w:style>
  <w:style w:type="paragraph" w:styleId="Asuntodelcomentario">
    <w:name w:val="annotation subject"/>
    <w:basedOn w:val="Textocomentario"/>
    <w:next w:val="Textocomentario"/>
    <w:link w:val="AsuntodelcomentarioCar"/>
    <w:uiPriority w:val="99"/>
    <w:semiHidden/>
    <w:unhideWhenUsed/>
    <w:rsid w:val="007F454D"/>
    <w:rPr>
      <w:b/>
      <w:bCs/>
    </w:rPr>
  </w:style>
  <w:style w:type="character" w:customStyle="1" w:styleId="AsuntodelcomentarioCar">
    <w:name w:val="Asunto del comentario Car"/>
    <w:basedOn w:val="TextocomentarioCar"/>
    <w:link w:val="Asuntodelcomentario"/>
    <w:uiPriority w:val="99"/>
    <w:semiHidden/>
    <w:rsid w:val="007F454D"/>
    <w:rPr>
      <w:b/>
      <w:bCs/>
      <w:sz w:val="20"/>
      <w:szCs w:val="20"/>
    </w:rPr>
  </w:style>
  <w:style w:type="paragraph" w:styleId="Revisin">
    <w:name w:val="Revision"/>
    <w:hidden/>
    <w:uiPriority w:val="99"/>
    <w:semiHidden/>
    <w:rsid w:val="00C30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87"/>
    <w:pPr>
      <w:spacing w:line="240" w:lineRule="auto"/>
      <w:ind w:firstLine="357"/>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45787"/>
    <w:pPr>
      <w:spacing w:after="0"/>
    </w:pPr>
    <w:rPr>
      <w:sz w:val="20"/>
      <w:szCs w:val="20"/>
    </w:rPr>
  </w:style>
  <w:style w:type="character" w:customStyle="1" w:styleId="TextonotapieCar">
    <w:name w:val="Texto nota pie Car"/>
    <w:basedOn w:val="Fuentedeprrafopredeter"/>
    <w:link w:val="Textonotapie"/>
    <w:uiPriority w:val="99"/>
    <w:rsid w:val="00A45787"/>
    <w:rPr>
      <w:sz w:val="20"/>
      <w:szCs w:val="20"/>
    </w:rPr>
  </w:style>
  <w:style w:type="character" w:styleId="Refdenotaalpie">
    <w:name w:val="footnote reference"/>
    <w:basedOn w:val="Fuentedeprrafopredeter"/>
    <w:uiPriority w:val="99"/>
    <w:semiHidden/>
    <w:unhideWhenUsed/>
    <w:rsid w:val="00A45787"/>
    <w:rPr>
      <w:vertAlign w:val="superscript"/>
    </w:rPr>
  </w:style>
  <w:style w:type="character" w:styleId="Refdecomentario">
    <w:name w:val="annotation reference"/>
    <w:basedOn w:val="Fuentedeprrafopredeter"/>
    <w:uiPriority w:val="99"/>
    <w:semiHidden/>
    <w:unhideWhenUsed/>
    <w:rsid w:val="00747EF8"/>
    <w:rPr>
      <w:sz w:val="16"/>
      <w:szCs w:val="16"/>
    </w:rPr>
  </w:style>
  <w:style w:type="paragraph" w:styleId="Textocomentario">
    <w:name w:val="annotation text"/>
    <w:basedOn w:val="Normal"/>
    <w:link w:val="TextocomentarioCar"/>
    <w:uiPriority w:val="99"/>
    <w:semiHidden/>
    <w:unhideWhenUsed/>
    <w:rsid w:val="00747EF8"/>
    <w:rPr>
      <w:sz w:val="20"/>
      <w:szCs w:val="20"/>
    </w:rPr>
  </w:style>
  <w:style w:type="character" w:customStyle="1" w:styleId="TextocomentarioCar">
    <w:name w:val="Texto comentario Car"/>
    <w:basedOn w:val="Fuentedeprrafopredeter"/>
    <w:link w:val="Textocomentario"/>
    <w:uiPriority w:val="99"/>
    <w:semiHidden/>
    <w:rsid w:val="00747EF8"/>
    <w:rPr>
      <w:sz w:val="20"/>
      <w:szCs w:val="20"/>
    </w:rPr>
  </w:style>
  <w:style w:type="paragraph" w:styleId="Textodeglobo">
    <w:name w:val="Balloon Text"/>
    <w:basedOn w:val="Normal"/>
    <w:link w:val="TextodegloboCar"/>
    <w:uiPriority w:val="99"/>
    <w:semiHidden/>
    <w:unhideWhenUsed/>
    <w:rsid w:val="00747EF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EF8"/>
    <w:rPr>
      <w:rFonts w:ascii="Segoe UI" w:hAnsi="Segoe UI" w:cs="Segoe UI"/>
      <w:sz w:val="18"/>
      <w:szCs w:val="18"/>
    </w:rPr>
  </w:style>
  <w:style w:type="paragraph" w:styleId="Prrafodelista">
    <w:name w:val="List Paragraph"/>
    <w:basedOn w:val="Normal"/>
    <w:uiPriority w:val="34"/>
    <w:qFormat/>
    <w:rsid w:val="00FB3275"/>
    <w:pPr>
      <w:ind w:left="720"/>
      <w:contextualSpacing/>
    </w:pPr>
  </w:style>
  <w:style w:type="paragraph" w:styleId="Encabezado">
    <w:name w:val="header"/>
    <w:basedOn w:val="Normal"/>
    <w:link w:val="EncabezadoCar"/>
    <w:uiPriority w:val="99"/>
    <w:unhideWhenUsed/>
    <w:rsid w:val="00B1065C"/>
    <w:pPr>
      <w:tabs>
        <w:tab w:val="center" w:pos="4252"/>
        <w:tab w:val="right" w:pos="8504"/>
      </w:tabs>
      <w:spacing w:after="0"/>
    </w:pPr>
  </w:style>
  <w:style w:type="character" w:customStyle="1" w:styleId="EncabezadoCar">
    <w:name w:val="Encabezado Car"/>
    <w:basedOn w:val="Fuentedeprrafopredeter"/>
    <w:link w:val="Encabezado"/>
    <w:uiPriority w:val="99"/>
    <w:rsid w:val="00B1065C"/>
  </w:style>
  <w:style w:type="paragraph" w:styleId="Piedepgina">
    <w:name w:val="footer"/>
    <w:basedOn w:val="Normal"/>
    <w:link w:val="PiedepginaCar"/>
    <w:uiPriority w:val="99"/>
    <w:unhideWhenUsed/>
    <w:rsid w:val="00B1065C"/>
    <w:pPr>
      <w:tabs>
        <w:tab w:val="center" w:pos="4252"/>
        <w:tab w:val="right" w:pos="8504"/>
      </w:tabs>
      <w:spacing w:after="0"/>
    </w:pPr>
  </w:style>
  <w:style w:type="character" w:customStyle="1" w:styleId="PiedepginaCar">
    <w:name w:val="Pie de página Car"/>
    <w:basedOn w:val="Fuentedeprrafopredeter"/>
    <w:link w:val="Piedepgina"/>
    <w:uiPriority w:val="99"/>
    <w:rsid w:val="00B1065C"/>
  </w:style>
  <w:style w:type="paragraph" w:styleId="Asuntodelcomentario">
    <w:name w:val="annotation subject"/>
    <w:basedOn w:val="Textocomentario"/>
    <w:next w:val="Textocomentario"/>
    <w:link w:val="AsuntodelcomentarioCar"/>
    <w:uiPriority w:val="99"/>
    <w:semiHidden/>
    <w:unhideWhenUsed/>
    <w:rsid w:val="007F454D"/>
    <w:rPr>
      <w:b/>
      <w:bCs/>
    </w:rPr>
  </w:style>
  <w:style w:type="character" w:customStyle="1" w:styleId="AsuntodelcomentarioCar">
    <w:name w:val="Asunto del comentario Car"/>
    <w:basedOn w:val="TextocomentarioCar"/>
    <w:link w:val="Asuntodelcomentario"/>
    <w:uiPriority w:val="99"/>
    <w:semiHidden/>
    <w:rsid w:val="007F454D"/>
    <w:rPr>
      <w:b/>
      <w:bCs/>
      <w:sz w:val="20"/>
      <w:szCs w:val="20"/>
    </w:rPr>
  </w:style>
  <w:style w:type="paragraph" w:styleId="Revisin">
    <w:name w:val="Revision"/>
    <w:hidden/>
    <w:uiPriority w:val="99"/>
    <w:semiHidden/>
    <w:rsid w:val="00C30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0746">
      <w:bodyDiv w:val="1"/>
      <w:marLeft w:val="0"/>
      <w:marRight w:val="0"/>
      <w:marTop w:val="0"/>
      <w:marBottom w:val="0"/>
      <w:divBdr>
        <w:top w:val="none" w:sz="0" w:space="0" w:color="auto"/>
        <w:left w:val="none" w:sz="0" w:space="0" w:color="auto"/>
        <w:bottom w:val="none" w:sz="0" w:space="0" w:color="auto"/>
        <w:right w:val="none" w:sz="0" w:space="0" w:color="auto"/>
      </w:divBdr>
      <w:divsChild>
        <w:div w:id="196355879">
          <w:marLeft w:val="0"/>
          <w:marRight w:val="0"/>
          <w:marTop w:val="0"/>
          <w:marBottom w:val="0"/>
          <w:divBdr>
            <w:top w:val="none" w:sz="0" w:space="0" w:color="auto"/>
            <w:left w:val="none" w:sz="0" w:space="0" w:color="auto"/>
            <w:bottom w:val="none" w:sz="0" w:space="0" w:color="auto"/>
            <w:right w:val="none" w:sz="0" w:space="0" w:color="auto"/>
          </w:divBdr>
        </w:div>
        <w:div w:id="244460474">
          <w:marLeft w:val="0"/>
          <w:marRight w:val="0"/>
          <w:marTop w:val="0"/>
          <w:marBottom w:val="0"/>
          <w:divBdr>
            <w:top w:val="none" w:sz="0" w:space="0" w:color="auto"/>
            <w:left w:val="none" w:sz="0" w:space="0" w:color="auto"/>
            <w:bottom w:val="none" w:sz="0" w:space="0" w:color="auto"/>
            <w:right w:val="none" w:sz="0" w:space="0" w:color="auto"/>
          </w:divBdr>
        </w:div>
        <w:div w:id="482159177">
          <w:marLeft w:val="0"/>
          <w:marRight w:val="0"/>
          <w:marTop w:val="0"/>
          <w:marBottom w:val="0"/>
          <w:divBdr>
            <w:top w:val="none" w:sz="0" w:space="0" w:color="auto"/>
            <w:left w:val="none" w:sz="0" w:space="0" w:color="auto"/>
            <w:bottom w:val="none" w:sz="0" w:space="0" w:color="auto"/>
            <w:right w:val="none" w:sz="0" w:space="0" w:color="auto"/>
          </w:divBdr>
        </w:div>
        <w:div w:id="533348434">
          <w:marLeft w:val="0"/>
          <w:marRight w:val="0"/>
          <w:marTop w:val="0"/>
          <w:marBottom w:val="0"/>
          <w:divBdr>
            <w:top w:val="none" w:sz="0" w:space="0" w:color="auto"/>
            <w:left w:val="none" w:sz="0" w:space="0" w:color="auto"/>
            <w:bottom w:val="none" w:sz="0" w:space="0" w:color="auto"/>
            <w:right w:val="none" w:sz="0" w:space="0" w:color="auto"/>
          </w:divBdr>
        </w:div>
        <w:div w:id="632905393">
          <w:marLeft w:val="0"/>
          <w:marRight w:val="0"/>
          <w:marTop w:val="0"/>
          <w:marBottom w:val="0"/>
          <w:divBdr>
            <w:top w:val="none" w:sz="0" w:space="0" w:color="auto"/>
            <w:left w:val="none" w:sz="0" w:space="0" w:color="auto"/>
            <w:bottom w:val="none" w:sz="0" w:space="0" w:color="auto"/>
            <w:right w:val="none" w:sz="0" w:space="0" w:color="auto"/>
          </w:divBdr>
        </w:div>
        <w:div w:id="757478498">
          <w:marLeft w:val="0"/>
          <w:marRight w:val="0"/>
          <w:marTop w:val="0"/>
          <w:marBottom w:val="0"/>
          <w:divBdr>
            <w:top w:val="none" w:sz="0" w:space="0" w:color="auto"/>
            <w:left w:val="none" w:sz="0" w:space="0" w:color="auto"/>
            <w:bottom w:val="none" w:sz="0" w:space="0" w:color="auto"/>
            <w:right w:val="none" w:sz="0" w:space="0" w:color="auto"/>
          </w:divBdr>
        </w:div>
        <w:div w:id="869731293">
          <w:marLeft w:val="0"/>
          <w:marRight w:val="0"/>
          <w:marTop w:val="0"/>
          <w:marBottom w:val="0"/>
          <w:divBdr>
            <w:top w:val="none" w:sz="0" w:space="0" w:color="auto"/>
            <w:left w:val="none" w:sz="0" w:space="0" w:color="auto"/>
            <w:bottom w:val="none" w:sz="0" w:space="0" w:color="auto"/>
            <w:right w:val="none" w:sz="0" w:space="0" w:color="auto"/>
          </w:divBdr>
        </w:div>
        <w:div w:id="1039741819">
          <w:marLeft w:val="0"/>
          <w:marRight w:val="0"/>
          <w:marTop w:val="0"/>
          <w:marBottom w:val="0"/>
          <w:divBdr>
            <w:top w:val="none" w:sz="0" w:space="0" w:color="auto"/>
            <w:left w:val="none" w:sz="0" w:space="0" w:color="auto"/>
            <w:bottom w:val="none" w:sz="0" w:space="0" w:color="auto"/>
            <w:right w:val="none" w:sz="0" w:space="0" w:color="auto"/>
          </w:divBdr>
        </w:div>
        <w:div w:id="1096561514">
          <w:marLeft w:val="0"/>
          <w:marRight w:val="0"/>
          <w:marTop w:val="0"/>
          <w:marBottom w:val="0"/>
          <w:divBdr>
            <w:top w:val="none" w:sz="0" w:space="0" w:color="auto"/>
            <w:left w:val="none" w:sz="0" w:space="0" w:color="auto"/>
            <w:bottom w:val="none" w:sz="0" w:space="0" w:color="auto"/>
            <w:right w:val="none" w:sz="0" w:space="0" w:color="auto"/>
          </w:divBdr>
        </w:div>
        <w:div w:id="1358309300">
          <w:marLeft w:val="0"/>
          <w:marRight w:val="0"/>
          <w:marTop w:val="0"/>
          <w:marBottom w:val="0"/>
          <w:divBdr>
            <w:top w:val="none" w:sz="0" w:space="0" w:color="auto"/>
            <w:left w:val="none" w:sz="0" w:space="0" w:color="auto"/>
            <w:bottom w:val="none" w:sz="0" w:space="0" w:color="auto"/>
            <w:right w:val="none" w:sz="0" w:space="0" w:color="auto"/>
          </w:divBdr>
        </w:div>
        <w:div w:id="1474718704">
          <w:marLeft w:val="0"/>
          <w:marRight w:val="0"/>
          <w:marTop w:val="0"/>
          <w:marBottom w:val="0"/>
          <w:divBdr>
            <w:top w:val="none" w:sz="0" w:space="0" w:color="auto"/>
            <w:left w:val="none" w:sz="0" w:space="0" w:color="auto"/>
            <w:bottom w:val="none" w:sz="0" w:space="0" w:color="auto"/>
            <w:right w:val="none" w:sz="0" w:space="0" w:color="auto"/>
          </w:divBdr>
        </w:div>
        <w:div w:id="1592809284">
          <w:marLeft w:val="0"/>
          <w:marRight w:val="0"/>
          <w:marTop w:val="0"/>
          <w:marBottom w:val="0"/>
          <w:divBdr>
            <w:top w:val="none" w:sz="0" w:space="0" w:color="auto"/>
            <w:left w:val="none" w:sz="0" w:space="0" w:color="auto"/>
            <w:bottom w:val="none" w:sz="0" w:space="0" w:color="auto"/>
            <w:right w:val="none" w:sz="0" w:space="0" w:color="auto"/>
          </w:divBdr>
        </w:div>
        <w:div w:id="1929657300">
          <w:marLeft w:val="0"/>
          <w:marRight w:val="0"/>
          <w:marTop w:val="0"/>
          <w:marBottom w:val="0"/>
          <w:divBdr>
            <w:top w:val="none" w:sz="0" w:space="0" w:color="auto"/>
            <w:left w:val="none" w:sz="0" w:space="0" w:color="auto"/>
            <w:bottom w:val="none" w:sz="0" w:space="0" w:color="auto"/>
            <w:right w:val="none" w:sz="0" w:space="0" w:color="auto"/>
          </w:divBdr>
        </w:div>
        <w:div w:id="2044287449">
          <w:marLeft w:val="0"/>
          <w:marRight w:val="0"/>
          <w:marTop w:val="0"/>
          <w:marBottom w:val="0"/>
          <w:divBdr>
            <w:top w:val="none" w:sz="0" w:space="0" w:color="auto"/>
            <w:left w:val="none" w:sz="0" w:space="0" w:color="auto"/>
            <w:bottom w:val="none" w:sz="0" w:space="0" w:color="auto"/>
            <w:right w:val="none" w:sz="0" w:space="0" w:color="auto"/>
          </w:divBdr>
        </w:div>
        <w:div w:id="2077967359">
          <w:marLeft w:val="0"/>
          <w:marRight w:val="0"/>
          <w:marTop w:val="0"/>
          <w:marBottom w:val="0"/>
          <w:divBdr>
            <w:top w:val="none" w:sz="0" w:space="0" w:color="auto"/>
            <w:left w:val="none" w:sz="0" w:space="0" w:color="auto"/>
            <w:bottom w:val="none" w:sz="0" w:space="0" w:color="auto"/>
            <w:right w:val="none" w:sz="0" w:space="0" w:color="auto"/>
          </w:divBdr>
        </w:div>
      </w:divsChild>
    </w:div>
    <w:div w:id="862472558">
      <w:bodyDiv w:val="1"/>
      <w:marLeft w:val="0"/>
      <w:marRight w:val="0"/>
      <w:marTop w:val="0"/>
      <w:marBottom w:val="0"/>
      <w:divBdr>
        <w:top w:val="none" w:sz="0" w:space="0" w:color="auto"/>
        <w:left w:val="none" w:sz="0" w:space="0" w:color="auto"/>
        <w:bottom w:val="none" w:sz="0" w:space="0" w:color="auto"/>
        <w:right w:val="none" w:sz="0" w:space="0" w:color="auto"/>
      </w:divBdr>
      <w:divsChild>
        <w:div w:id="289626129">
          <w:marLeft w:val="0"/>
          <w:marRight w:val="0"/>
          <w:marTop w:val="0"/>
          <w:marBottom w:val="0"/>
          <w:divBdr>
            <w:top w:val="none" w:sz="0" w:space="0" w:color="auto"/>
            <w:left w:val="none" w:sz="0" w:space="0" w:color="auto"/>
            <w:bottom w:val="none" w:sz="0" w:space="0" w:color="auto"/>
            <w:right w:val="none" w:sz="0" w:space="0" w:color="auto"/>
          </w:divBdr>
        </w:div>
        <w:div w:id="1450930951">
          <w:marLeft w:val="0"/>
          <w:marRight w:val="0"/>
          <w:marTop w:val="0"/>
          <w:marBottom w:val="0"/>
          <w:divBdr>
            <w:top w:val="none" w:sz="0" w:space="0" w:color="auto"/>
            <w:left w:val="none" w:sz="0" w:space="0" w:color="auto"/>
            <w:bottom w:val="none" w:sz="0" w:space="0" w:color="auto"/>
            <w:right w:val="none" w:sz="0" w:space="0" w:color="auto"/>
          </w:divBdr>
        </w:div>
        <w:div w:id="1948268311">
          <w:marLeft w:val="0"/>
          <w:marRight w:val="0"/>
          <w:marTop w:val="0"/>
          <w:marBottom w:val="0"/>
          <w:divBdr>
            <w:top w:val="none" w:sz="0" w:space="0" w:color="auto"/>
            <w:left w:val="none" w:sz="0" w:space="0" w:color="auto"/>
            <w:bottom w:val="none" w:sz="0" w:space="0" w:color="auto"/>
            <w:right w:val="none" w:sz="0" w:space="0" w:color="auto"/>
          </w:divBdr>
        </w:div>
      </w:divsChild>
    </w:div>
    <w:div w:id="1104957491">
      <w:bodyDiv w:val="1"/>
      <w:marLeft w:val="0"/>
      <w:marRight w:val="0"/>
      <w:marTop w:val="0"/>
      <w:marBottom w:val="0"/>
      <w:divBdr>
        <w:top w:val="none" w:sz="0" w:space="0" w:color="auto"/>
        <w:left w:val="none" w:sz="0" w:space="0" w:color="auto"/>
        <w:bottom w:val="none" w:sz="0" w:space="0" w:color="auto"/>
        <w:right w:val="none" w:sz="0" w:space="0" w:color="auto"/>
      </w:divBdr>
      <w:divsChild>
        <w:div w:id="1200052807">
          <w:marLeft w:val="0"/>
          <w:marRight w:val="0"/>
          <w:marTop w:val="0"/>
          <w:marBottom w:val="0"/>
          <w:divBdr>
            <w:top w:val="none" w:sz="0" w:space="0" w:color="auto"/>
            <w:left w:val="none" w:sz="0" w:space="0" w:color="auto"/>
            <w:bottom w:val="none" w:sz="0" w:space="0" w:color="auto"/>
            <w:right w:val="none" w:sz="0" w:space="0" w:color="auto"/>
          </w:divBdr>
        </w:div>
        <w:div w:id="1821192268">
          <w:marLeft w:val="0"/>
          <w:marRight w:val="0"/>
          <w:marTop w:val="0"/>
          <w:marBottom w:val="0"/>
          <w:divBdr>
            <w:top w:val="none" w:sz="0" w:space="0" w:color="auto"/>
            <w:left w:val="none" w:sz="0" w:space="0" w:color="auto"/>
            <w:bottom w:val="none" w:sz="0" w:space="0" w:color="auto"/>
            <w:right w:val="none" w:sz="0" w:space="0" w:color="auto"/>
          </w:divBdr>
        </w:div>
        <w:div w:id="1911963280">
          <w:marLeft w:val="0"/>
          <w:marRight w:val="0"/>
          <w:marTop w:val="0"/>
          <w:marBottom w:val="0"/>
          <w:divBdr>
            <w:top w:val="none" w:sz="0" w:space="0" w:color="auto"/>
            <w:left w:val="none" w:sz="0" w:space="0" w:color="auto"/>
            <w:bottom w:val="none" w:sz="0" w:space="0" w:color="auto"/>
            <w:right w:val="none" w:sz="0" w:space="0" w:color="auto"/>
          </w:divBdr>
        </w:div>
      </w:divsChild>
    </w:div>
    <w:div w:id="11303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46E0-F2F4-4736-BD6A-2DB7D82F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10488</Words>
  <Characters>57684</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Usuario</cp:lastModifiedBy>
  <cp:revision>6</cp:revision>
  <cp:lastPrinted>2018-07-18T12:49:00Z</cp:lastPrinted>
  <dcterms:created xsi:type="dcterms:W3CDTF">2018-09-11T12:39:00Z</dcterms:created>
  <dcterms:modified xsi:type="dcterms:W3CDTF">2018-09-17T09:27:00Z</dcterms:modified>
</cp:coreProperties>
</file>