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24BD" w14:textId="77777777" w:rsidR="00782E9D" w:rsidRDefault="00782E9D" w:rsidP="00110CBA">
      <w:pPr>
        <w:jc w:val="center"/>
        <w:rPr>
          <w:b/>
        </w:rPr>
      </w:pPr>
    </w:p>
    <w:p w14:paraId="1B59FC20" w14:textId="77777777" w:rsidR="00BA6D11" w:rsidRPr="00BA6D11" w:rsidRDefault="00BA6D11" w:rsidP="00BA6D11">
      <w:pPr>
        <w:jc w:val="center"/>
        <w:rPr>
          <w:b/>
          <w:sz w:val="28"/>
          <w:szCs w:val="28"/>
          <w:lang w:val="en-US"/>
        </w:rPr>
      </w:pPr>
      <w:r w:rsidRPr="00BA6D11">
        <w:rPr>
          <w:b/>
          <w:sz w:val="28"/>
          <w:szCs w:val="28"/>
          <w:lang w:val="en-US"/>
        </w:rPr>
        <w:t xml:space="preserve">Digital service innovation: A paradigm shift in technological </w:t>
      </w:r>
      <w:proofErr w:type="gramStart"/>
      <w:r w:rsidRPr="00BA6D11">
        <w:rPr>
          <w:b/>
          <w:sz w:val="28"/>
          <w:szCs w:val="28"/>
          <w:lang w:val="en-US"/>
        </w:rPr>
        <w:t>innovation</w:t>
      </w:r>
      <w:proofErr w:type="gramEnd"/>
    </w:p>
    <w:p w14:paraId="662A203A" w14:textId="77777777" w:rsidR="00BA6D11" w:rsidRPr="00BA6D11" w:rsidRDefault="00BA6D11" w:rsidP="00BA6D11">
      <w:pPr>
        <w:jc w:val="center"/>
        <w:rPr>
          <w:b/>
          <w:lang w:val="en-US"/>
        </w:rPr>
      </w:pPr>
    </w:p>
    <w:p w14:paraId="792351A5" w14:textId="77777777" w:rsidR="00BA6D11" w:rsidRPr="00BA6D11" w:rsidRDefault="00BA6D11" w:rsidP="00BA6D11">
      <w:pPr>
        <w:jc w:val="center"/>
        <w:rPr>
          <w:bCs/>
          <w:lang w:val="en-US"/>
        </w:rPr>
      </w:pPr>
      <w:r w:rsidRPr="00BA6D11">
        <w:rPr>
          <w:bCs/>
          <w:lang w:val="en-US"/>
        </w:rPr>
        <w:t xml:space="preserve">Marco </w:t>
      </w:r>
      <w:proofErr w:type="spellStart"/>
      <w:r w:rsidRPr="00BA6D11">
        <w:rPr>
          <w:bCs/>
          <w:lang w:val="en-US"/>
        </w:rPr>
        <w:t>Opazo-Basaez</w:t>
      </w:r>
      <w:proofErr w:type="spellEnd"/>
    </w:p>
    <w:p w14:paraId="5B001B74" w14:textId="77777777" w:rsidR="00BA6D11" w:rsidRPr="00BA6D11" w:rsidRDefault="00BA6D11" w:rsidP="00BA6D11">
      <w:pPr>
        <w:jc w:val="center"/>
        <w:rPr>
          <w:bCs/>
          <w:i/>
          <w:iCs/>
          <w:lang w:val="en-US"/>
        </w:rPr>
      </w:pPr>
      <w:r w:rsidRPr="00BA6D11">
        <w:rPr>
          <w:bCs/>
          <w:i/>
          <w:iCs/>
          <w:lang w:val="en-US"/>
        </w:rPr>
        <w:t>Assistant Professor in Marketing</w:t>
      </w:r>
    </w:p>
    <w:p w14:paraId="2E2A1C5D" w14:textId="77777777" w:rsidR="00BA6D11" w:rsidRPr="00BA6D11" w:rsidRDefault="00BA6D11" w:rsidP="00BA6D11">
      <w:pPr>
        <w:jc w:val="center"/>
        <w:rPr>
          <w:bCs/>
          <w:i/>
          <w:iCs/>
          <w:lang w:val="en-US"/>
        </w:rPr>
      </w:pPr>
      <w:proofErr w:type="spellStart"/>
      <w:r w:rsidRPr="00BA6D11">
        <w:rPr>
          <w:bCs/>
          <w:i/>
          <w:iCs/>
          <w:lang w:val="en-US"/>
        </w:rPr>
        <w:t>Deusto</w:t>
      </w:r>
      <w:proofErr w:type="spellEnd"/>
      <w:r w:rsidRPr="00BA6D11">
        <w:rPr>
          <w:bCs/>
          <w:i/>
          <w:iCs/>
          <w:lang w:val="en-US"/>
        </w:rPr>
        <w:t xml:space="preserve"> Business School, University of </w:t>
      </w:r>
      <w:proofErr w:type="spellStart"/>
      <w:r w:rsidRPr="00BA6D11">
        <w:rPr>
          <w:bCs/>
          <w:i/>
          <w:iCs/>
          <w:lang w:val="en-US"/>
        </w:rPr>
        <w:t>Deusto</w:t>
      </w:r>
      <w:proofErr w:type="spellEnd"/>
    </w:p>
    <w:p w14:paraId="208EF2DB" w14:textId="77777777" w:rsidR="00BA6D11" w:rsidRPr="00BA6D11" w:rsidRDefault="00BA6D11" w:rsidP="00BA6D11">
      <w:pPr>
        <w:jc w:val="center"/>
        <w:rPr>
          <w:bCs/>
          <w:i/>
          <w:iCs/>
        </w:rPr>
      </w:pPr>
      <w:r w:rsidRPr="00BA6D11">
        <w:rPr>
          <w:bCs/>
          <w:i/>
          <w:iCs/>
        </w:rPr>
        <w:t xml:space="preserve">Hermanos Aguirre </w:t>
      </w:r>
      <w:proofErr w:type="spellStart"/>
      <w:r w:rsidRPr="00BA6D11">
        <w:rPr>
          <w:bCs/>
          <w:i/>
          <w:iCs/>
        </w:rPr>
        <w:t>Kalea</w:t>
      </w:r>
      <w:proofErr w:type="spellEnd"/>
      <w:r w:rsidRPr="00BA6D11">
        <w:rPr>
          <w:bCs/>
          <w:i/>
          <w:iCs/>
        </w:rPr>
        <w:t xml:space="preserve">, 2, 48014 Bilbao, </w:t>
      </w:r>
      <w:proofErr w:type="spellStart"/>
      <w:r w:rsidRPr="00BA6D11">
        <w:rPr>
          <w:bCs/>
          <w:i/>
          <w:iCs/>
        </w:rPr>
        <w:t>Spain</w:t>
      </w:r>
      <w:proofErr w:type="spellEnd"/>
    </w:p>
    <w:p w14:paraId="27077195" w14:textId="77777777" w:rsidR="00BA6D11" w:rsidRPr="00BA6D11" w:rsidRDefault="00BA6D11" w:rsidP="00BA6D11">
      <w:pPr>
        <w:jc w:val="center"/>
        <w:rPr>
          <w:bCs/>
          <w:i/>
          <w:iCs/>
        </w:rPr>
      </w:pPr>
      <w:r w:rsidRPr="00BA6D11">
        <w:rPr>
          <w:bCs/>
          <w:i/>
          <w:iCs/>
        </w:rPr>
        <w:t>Tel. +34 944 13 90 00</w:t>
      </w:r>
    </w:p>
    <w:p w14:paraId="639D398B" w14:textId="77777777" w:rsidR="00BA6D11" w:rsidRPr="00BA6D11" w:rsidRDefault="00BA6D11" w:rsidP="00BA6D11">
      <w:pPr>
        <w:jc w:val="center"/>
        <w:rPr>
          <w:bCs/>
          <w:i/>
          <w:iCs/>
        </w:rPr>
      </w:pPr>
      <w:r w:rsidRPr="00BA6D11">
        <w:rPr>
          <w:bCs/>
          <w:i/>
          <w:iCs/>
        </w:rPr>
        <w:t>Email: marco.opazo@deusto.es</w:t>
      </w:r>
    </w:p>
    <w:p w14:paraId="21B5703A" w14:textId="77777777" w:rsidR="00BA6D11" w:rsidRPr="00BA6D11" w:rsidRDefault="00BA6D11" w:rsidP="00BA6D11">
      <w:pPr>
        <w:jc w:val="center"/>
        <w:rPr>
          <w:bCs/>
        </w:rPr>
      </w:pPr>
    </w:p>
    <w:p w14:paraId="489F15AB" w14:textId="77777777" w:rsidR="00BA6D11" w:rsidRPr="00BA6D11" w:rsidRDefault="00BA6D11" w:rsidP="00BA6D11">
      <w:pPr>
        <w:jc w:val="center"/>
        <w:rPr>
          <w:bCs/>
        </w:rPr>
      </w:pPr>
      <w:r w:rsidRPr="00BA6D11">
        <w:rPr>
          <w:bCs/>
        </w:rPr>
        <w:t>Ferran Vendrell-Herrero</w:t>
      </w:r>
    </w:p>
    <w:p w14:paraId="1A0F2E98" w14:textId="77777777" w:rsidR="00BA6D11" w:rsidRPr="00BA6D11" w:rsidRDefault="00BA6D11" w:rsidP="00BA6D11">
      <w:pPr>
        <w:jc w:val="center"/>
        <w:rPr>
          <w:bCs/>
          <w:i/>
          <w:iCs/>
          <w:lang w:val="en-US"/>
        </w:rPr>
      </w:pPr>
      <w:r w:rsidRPr="00BA6D11">
        <w:rPr>
          <w:bCs/>
          <w:i/>
          <w:iCs/>
          <w:lang w:val="en-US"/>
        </w:rPr>
        <w:t>Senior Lecturer in Business Economics</w:t>
      </w:r>
    </w:p>
    <w:p w14:paraId="537B3F28" w14:textId="77777777" w:rsidR="00BA6D11" w:rsidRPr="00BA6D11" w:rsidRDefault="00BA6D11" w:rsidP="00BA6D11">
      <w:pPr>
        <w:jc w:val="center"/>
        <w:rPr>
          <w:bCs/>
          <w:i/>
          <w:iCs/>
          <w:lang w:val="en-US"/>
        </w:rPr>
      </w:pPr>
      <w:r w:rsidRPr="00BA6D11">
        <w:rPr>
          <w:bCs/>
          <w:i/>
          <w:iCs/>
          <w:lang w:val="en-US"/>
        </w:rPr>
        <w:t xml:space="preserve">Birmingham Business School, University of Birmingham </w:t>
      </w:r>
    </w:p>
    <w:p w14:paraId="3A32B560" w14:textId="77777777" w:rsidR="00BA6D11" w:rsidRPr="00BA6D11" w:rsidRDefault="00BA6D11" w:rsidP="00BA6D11">
      <w:pPr>
        <w:jc w:val="center"/>
        <w:rPr>
          <w:bCs/>
          <w:i/>
          <w:iCs/>
          <w:lang w:val="en-US"/>
        </w:rPr>
      </w:pPr>
      <w:proofErr w:type="spellStart"/>
      <w:r w:rsidRPr="00BA6D11">
        <w:rPr>
          <w:bCs/>
          <w:i/>
          <w:iCs/>
          <w:lang w:val="en-US"/>
        </w:rPr>
        <w:t>Edgbaston</w:t>
      </w:r>
      <w:proofErr w:type="spellEnd"/>
      <w:r w:rsidRPr="00BA6D11">
        <w:rPr>
          <w:bCs/>
          <w:i/>
          <w:iCs/>
          <w:lang w:val="en-US"/>
        </w:rPr>
        <w:t>, B15 2TT, Birmingham, UK</w:t>
      </w:r>
    </w:p>
    <w:p w14:paraId="46650788" w14:textId="77777777" w:rsidR="00BA6D11" w:rsidRPr="00BA6D11" w:rsidRDefault="00BA6D11" w:rsidP="00BA6D11">
      <w:pPr>
        <w:jc w:val="center"/>
        <w:rPr>
          <w:bCs/>
          <w:i/>
          <w:iCs/>
          <w:lang w:val="en-US"/>
        </w:rPr>
      </w:pPr>
      <w:r w:rsidRPr="00BA6D11">
        <w:rPr>
          <w:bCs/>
          <w:i/>
          <w:iCs/>
          <w:lang w:val="en-US"/>
        </w:rPr>
        <w:t>Tel.     +44 (0) 121 414 8563</w:t>
      </w:r>
    </w:p>
    <w:p w14:paraId="2CDEB636" w14:textId="77777777" w:rsidR="00BA6D11" w:rsidRPr="00BA6D11" w:rsidRDefault="00BA6D11" w:rsidP="00BA6D11">
      <w:pPr>
        <w:jc w:val="center"/>
        <w:rPr>
          <w:bCs/>
          <w:i/>
          <w:iCs/>
          <w:lang w:val="en-US"/>
        </w:rPr>
      </w:pPr>
      <w:r w:rsidRPr="00BA6D11">
        <w:rPr>
          <w:bCs/>
          <w:i/>
          <w:iCs/>
          <w:lang w:val="en-US"/>
        </w:rPr>
        <w:t xml:space="preserve">Email: f.vendrell-herrero@bham.ac.uk </w:t>
      </w:r>
    </w:p>
    <w:p w14:paraId="77010C3B" w14:textId="77777777" w:rsidR="00BA6D11" w:rsidRPr="00BA6D11" w:rsidRDefault="00BA6D11" w:rsidP="00BA6D11">
      <w:pPr>
        <w:jc w:val="center"/>
        <w:rPr>
          <w:bCs/>
          <w:lang w:val="en-US"/>
        </w:rPr>
      </w:pPr>
    </w:p>
    <w:p w14:paraId="7E3F32BC" w14:textId="77777777" w:rsidR="00BA6D11" w:rsidRPr="00BA6D11" w:rsidRDefault="00BA6D11" w:rsidP="00BA6D11">
      <w:pPr>
        <w:jc w:val="center"/>
        <w:rPr>
          <w:bCs/>
          <w:lang w:val="en-US"/>
        </w:rPr>
      </w:pPr>
      <w:r w:rsidRPr="00BA6D11">
        <w:rPr>
          <w:bCs/>
          <w:lang w:val="en-US"/>
        </w:rPr>
        <w:t xml:space="preserve">Oscar F. </w:t>
      </w:r>
      <w:proofErr w:type="spellStart"/>
      <w:r w:rsidRPr="00BA6D11">
        <w:rPr>
          <w:bCs/>
          <w:lang w:val="en-US"/>
        </w:rPr>
        <w:t>Bustinza</w:t>
      </w:r>
      <w:proofErr w:type="spellEnd"/>
    </w:p>
    <w:p w14:paraId="598A4783" w14:textId="77777777" w:rsidR="00BA6D11" w:rsidRPr="00BA6D11" w:rsidRDefault="00BA6D11" w:rsidP="00BA6D11">
      <w:pPr>
        <w:jc w:val="center"/>
        <w:rPr>
          <w:bCs/>
          <w:i/>
          <w:iCs/>
          <w:lang w:val="en-US"/>
        </w:rPr>
      </w:pPr>
      <w:r w:rsidRPr="00BA6D11">
        <w:rPr>
          <w:bCs/>
          <w:i/>
          <w:iCs/>
          <w:lang w:val="en-US"/>
        </w:rPr>
        <w:t>Professor of Management</w:t>
      </w:r>
    </w:p>
    <w:p w14:paraId="28E6581D" w14:textId="77777777" w:rsidR="00BA6D11" w:rsidRPr="00BA6D11" w:rsidRDefault="00BA6D11" w:rsidP="00BA6D11">
      <w:pPr>
        <w:jc w:val="center"/>
        <w:rPr>
          <w:bCs/>
          <w:i/>
          <w:iCs/>
        </w:rPr>
      </w:pPr>
      <w:r w:rsidRPr="00BA6D11">
        <w:rPr>
          <w:bCs/>
          <w:i/>
          <w:iCs/>
        </w:rPr>
        <w:t xml:space="preserve">Facultad de Ciencias Económicas y Empresariales </w:t>
      </w:r>
    </w:p>
    <w:p w14:paraId="27CF1D1D" w14:textId="77777777" w:rsidR="00BA6D11" w:rsidRPr="00BA6D11" w:rsidRDefault="00BA6D11" w:rsidP="00BA6D11">
      <w:pPr>
        <w:jc w:val="center"/>
        <w:rPr>
          <w:bCs/>
          <w:i/>
          <w:iCs/>
          <w:lang w:val="en-US"/>
        </w:rPr>
      </w:pPr>
      <w:r w:rsidRPr="00BA6D11">
        <w:rPr>
          <w:bCs/>
          <w:i/>
          <w:iCs/>
          <w:lang w:val="en-US"/>
        </w:rPr>
        <w:t>Department of Management I, Universidad de Granada</w:t>
      </w:r>
    </w:p>
    <w:p w14:paraId="4F9CAD70" w14:textId="77777777" w:rsidR="00BA6D11" w:rsidRPr="00BA6D11" w:rsidRDefault="00BA6D11" w:rsidP="00BA6D11">
      <w:pPr>
        <w:jc w:val="center"/>
        <w:rPr>
          <w:bCs/>
          <w:i/>
          <w:iCs/>
        </w:rPr>
      </w:pPr>
      <w:r w:rsidRPr="00BA6D11">
        <w:rPr>
          <w:bCs/>
          <w:i/>
          <w:iCs/>
        </w:rPr>
        <w:t xml:space="preserve">Campus Universitario de Cartuja C.P. 18071 (Granada), </w:t>
      </w:r>
      <w:proofErr w:type="spellStart"/>
      <w:r w:rsidRPr="00BA6D11">
        <w:rPr>
          <w:bCs/>
          <w:i/>
          <w:iCs/>
        </w:rPr>
        <w:t>Spain</w:t>
      </w:r>
      <w:proofErr w:type="spellEnd"/>
    </w:p>
    <w:p w14:paraId="48B67B9A" w14:textId="77777777" w:rsidR="00BA6D11" w:rsidRPr="00BA6D11" w:rsidRDefault="00BA6D11" w:rsidP="00BA6D11">
      <w:pPr>
        <w:jc w:val="center"/>
        <w:rPr>
          <w:bCs/>
          <w:i/>
          <w:iCs/>
          <w:lang w:val="en-US"/>
        </w:rPr>
      </w:pPr>
      <w:r w:rsidRPr="00BA6D11">
        <w:rPr>
          <w:bCs/>
          <w:i/>
          <w:iCs/>
          <w:lang w:val="en-US"/>
        </w:rPr>
        <w:t>Tel. +34 958241000 ext. 20177</w:t>
      </w:r>
    </w:p>
    <w:p w14:paraId="738D593B" w14:textId="1BB09B97" w:rsidR="00DC04EC" w:rsidRPr="00BA6D11" w:rsidRDefault="00BA6D11" w:rsidP="00BA6D11">
      <w:pPr>
        <w:jc w:val="center"/>
        <w:rPr>
          <w:bCs/>
          <w:i/>
          <w:iCs/>
          <w:lang w:val="en-GB"/>
        </w:rPr>
      </w:pPr>
      <w:r w:rsidRPr="00BA6D11">
        <w:rPr>
          <w:bCs/>
          <w:i/>
          <w:iCs/>
          <w:lang w:val="en-US"/>
        </w:rPr>
        <w:t>Email: oscarfb@ugr.es</w:t>
      </w:r>
    </w:p>
    <w:p w14:paraId="10A51663" w14:textId="77777777" w:rsidR="00DC04EC" w:rsidRPr="00782E9D" w:rsidRDefault="00DC04EC" w:rsidP="00B007FB">
      <w:pPr>
        <w:rPr>
          <w:b/>
          <w:lang w:val="en-US"/>
        </w:rPr>
      </w:pPr>
    </w:p>
    <w:p w14:paraId="2858814C" w14:textId="77777777" w:rsidR="00DC04EC" w:rsidRPr="00782E9D" w:rsidRDefault="00DC04EC" w:rsidP="00B007FB">
      <w:pPr>
        <w:rPr>
          <w:b/>
          <w:lang w:val="en-US"/>
        </w:rPr>
      </w:pPr>
    </w:p>
    <w:p w14:paraId="6C5F9421" w14:textId="127EB21E" w:rsidR="00B007FB" w:rsidRPr="00BA6D11" w:rsidRDefault="00A90C1F" w:rsidP="00B007FB">
      <w:pPr>
        <w:rPr>
          <w:b/>
          <w:bCs/>
          <w:lang w:val="en-US"/>
        </w:rPr>
      </w:pPr>
      <w:r w:rsidRPr="00BA6D11">
        <w:rPr>
          <w:b/>
          <w:bCs/>
          <w:lang w:val="en-US"/>
        </w:rPr>
        <w:t>Abstract</w:t>
      </w:r>
      <w:r w:rsidR="00E5781C" w:rsidRPr="00BA6D11">
        <w:rPr>
          <w:b/>
          <w:bCs/>
          <w:lang w:val="en-US"/>
        </w:rPr>
        <w:br/>
      </w:r>
      <w:r w:rsidRPr="00BA6D11">
        <w:rPr>
          <w:b/>
          <w:bCs/>
          <w:lang w:val="en-US"/>
        </w:rPr>
        <w:t>Purpose</w:t>
      </w:r>
      <w:r w:rsidRPr="00BA6D11">
        <w:rPr>
          <w:bCs/>
          <w:lang w:val="en-US"/>
        </w:rPr>
        <w:t xml:space="preserve"> – </w:t>
      </w:r>
      <w:r w:rsidR="0036003D" w:rsidRPr="00BA6D11">
        <w:rPr>
          <w:bCs/>
          <w:lang w:val="en-US"/>
        </w:rPr>
        <w:t xml:space="preserve">Existing theory frameworks suggest that manufacturing firms have traditionally developed a </w:t>
      </w:r>
      <w:r w:rsidR="007E10FB" w:rsidRPr="00BA6D11">
        <w:rPr>
          <w:bCs/>
          <w:lang w:val="en-US"/>
        </w:rPr>
        <w:t xml:space="preserve">complementary </w:t>
      </w:r>
      <w:r w:rsidR="0036003D" w:rsidRPr="00BA6D11">
        <w:rPr>
          <w:bCs/>
          <w:lang w:val="en-US"/>
        </w:rPr>
        <w:t>model</w:t>
      </w:r>
      <w:r w:rsidR="00E5781C" w:rsidRPr="00BA6D11">
        <w:rPr>
          <w:bCs/>
          <w:lang w:val="en-US"/>
        </w:rPr>
        <w:t xml:space="preserve"> of technological innovations comprising </w:t>
      </w:r>
      <w:r w:rsidR="0036003D" w:rsidRPr="00BA6D11">
        <w:rPr>
          <w:bCs/>
          <w:lang w:val="en-US"/>
        </w:rPr>
        <w:t>process and product innovations</w:t>
      </w:r>
      <w:r w:rsidR="0029250D" w:rsidRPr="00BA6D11">
        <w:rPr>
          <w:lang w:val="en-US"/>
        </w:rPr>
        <w:t xml:space="preserve">. </w:t>
      </w:r>
      <w:r w:rsidRPr="00BA6D11">
        <w:rPr>
          <w:lang w:val="en-US"/>
        </w:rPr>
        <w:t xml:space="preserve">This paper </w:t>
      </w:r>
      <w:r w:rsidR="00415F12" w:rsidRPr="00BA6D11">
        <w:rPr>
          <w:lang w:val="en-US"/>
        </w:rPr>
        <w:t>presents</w:t>
      </w:r>
      <w:r w:rsidR="0036003D" w:rsidRPr="00BA6D11">
        <w:rPr>
          <w:lang w:val="en-US"/>
        </w:rPr>
        <w:t xml:space="preserve"> d</w:t>
      </w:r>
      <w:r w:rsidRPr="00BA6D11">
        <w:rPr>
          <w:lang w:val="en-US"/>
        </w:rPr>
        <w:t xml:space="preserve">igital </w:t>
      </w:r>
      <w:proofErr w:type="spellStart"/>
      <w:r w:rsidRPr="00BA6D11">
        <w:rPr>
          <w:lang w:val="en-US"/>
        </w:rPr>
        <w:t>servitization</w:t>
      </w:r>
      <w:proofErr w:type="spellEnd"/>
      <w:r w:rsidRPr="00BA6D11">
        <w:rPr>
          <w:lang w:val="en-US"/>
        </w:rPr>
        <w:t xml:space="preserve"> </w:t>
      </w:r>
      <w:r w:rsidR="0036003D" w:rsidRPr="00BA6D11">
        <w:rPr>
          <w:lang w:val="en-US"/>
        </w:rPr>
        <w:t>as a novel</w:t>
      </w:r>
      <w:r w:rsidR="004F3D3A" w:rsidRPr="00BA6D11">
        <w:rPr>
          <w:lang w:val="en-US"/>
        </w:rPr>
        <w:t xml:space="preserve"> </w:t>
      </w:r>
      <w:r w:rsidR="00415F12" w:rsidRPr="00BA6D11">
        <w:rPr>
          <w:lang w:val="en-US"/>
        </w:rPr>
        <w:t xml:space="preserve">form of technological innovation </w:t>
      </w:r>
      <w:r w:rsidR="0036003D" w:rsidRPr="00BA6D11">
        <w:rPr>
          <w:lang w:val="en-US"/>
        </w:rPr>
        <w:t>capable of enhancing</w:t>
      </w:r>
      <w:r w:rsidR="00415F12" w:rsidRPr="00BA6D11">
        <w:rPr>
          <w:lang w:val="en-US"/>
        </w:rPr>
        <w:t xml:space="preserve"> </w:t>
      </w:r>
      <w:r w:rsidR="00A55272" w:rsidRPr="00BA6D11">
        <w:rPr>
          <w:lang w:val="en-US"/>
        </w:rPr>
        <w:t xml:space="preserve">manufacturing </w:t>
      </w:r>
      <w:r w:rsidR="00B00F98" w:rsidRPr="00BA6D11">
        <w:rPr>
          <w:lang w:val="en-US"/>
        </w:rPr>
        <w:t>firms’</w:t>
      </w:r>
      <w:r w:rsidR="00D621EA" w:rsidRPr="00BA6D11">
        <w:rPr>
          <w:lang w:val="en-US"/>
        </w:rPr>
        <w:t xml:space="preserve"> performance</w:t>
      </w:r>
      <w:r w:rsidR="00415F12" w:rsidRPr="00BA6D11">
        <w:rPr>
          <w:lang w:val="en-US"/>
        </w:rPr>
        <w:t>.</w:t>
      </w:r>
      <w:bookmarkStart w:id="0" w:name="_i2"/>
      <w:bookmarkEnd w:id="0"/>
      <w:r w:rsidR="00E5781C" w:rsidRPr="00BA6D11">
        <w:rPr>
          <w:b/>
          <w:bCs/>
          <w:lang w:val="en-US"/>
        </w:rPr>
        <w:br/>
      </w:r>
    </w:p>
    <w:p w14:paraId="295F1AD1" w14:textId="795CA2F0" w:rsidR="00B007FB" w:rsidRPr="00BA6D11" w:rsidRDefault="00B007FB" w:rsidP="00B007FB">
      <w:pPr>
        <w:rPr>
          <w:b/>
          <w:bCs/>
          <w:lang w:val="en-US"/>
        </w:rPr>
      </w:pPr>
      <w:r w:rsidRPr="00BA6D11">
        <w:rPr>
          <w:b/>
          <w:bCs/>
          <w:lang w:val="en-US"/>
        </w:rPr>
        <w:t xml:space="preserve">Design/methodology/approach – </w:t>
      </w:r>
      <w:r w:rsidRPr="00BA6D11">
        <w:rPr>
          <w:lang w:val="en-US"/>
        </w:rPr>
        <w:t xml:space="preserve">Drawing on technological innovation research, the present study argues that within manufacturing contexts—NAICS 31, NAICS 32, and NAICS 33—digital </w:t>
      </w:r>
      <w:proofErr w:type="spellStart"/>
      <w:r w:rsidRPr="00BA6D11">
        <w:rPr>
          <w:lang w:val="en-US"/>
        </w:rPr>
        <w:t>servitization</w:t>
      </w:r>
      <w:proofErr w:type="spellEnd"/>
      <w:r w:rsidRPr="00BA6D11">
        <w:rPr>
          <w:lang w:val="en-US"/>
        </w:rPr>
        <w:t xml:space="preserve"> constitutes a service innovation that complements traditional sources of technological innovation and</w:t>
      </w:r>
      <w:r w:rsidR="00E90562" w:rsidRPr="00BA6D11">
        <w:rPr>
          <w:lang w:val="en-US"/>
        </w:rPr>
        <w:t xml:space="preserve"> </w:t>
      </w:r>
      <w:r w:rsidRPr="00BA6D11">
        <w:rPr>
          <w:lang w:val="en-US"/>
        </w:rPr>
        <w:t>accordingly</w:t>
      </w:r>
      <w:r w:rsidR="00F2480B" w:rsidRPr="00BA6D11">
        <w:rPr>
          <w:lang w:val="en-US"/>
        </w:rPr>
        <w:t>,</w:t>
      </w:r>
      <w:r w:rsidRPr="00BA6D11">
        <w:rPr>
          <w:lang w:val="en-US"/>
        </w:rPr>
        <w:t xml:space="preserve"> enhances firms' profit margin</w:t>
      </w:r>
      <w:r w:rsidR="00C54B13" w:rsidRPr="00BA6D11">
        <w:rPr>
          <w:lang w:val="en-US"/>
        </w:rPr>
        <w:t>s</w:t>
      </w:r>
      <w:r w:rsidR="00C717B8" w:rsidRPr="00BA6D11">
        <w:rPr>
          <w:lang w:val="en-US"/>
        </w:rPr>
        <w:t xml:space="preserve">. </w:t>
      </w:r>
      <w:r w:rsidRPr="00BA6D11">
        <w:rPr>
          <w:lang w:val="en-US"/>
        </w:rPr>
        <w:t>This</w:t>
      </w:r>
      <w:r w:rsidR="00505A46" w:rsidRPr="00BA6D11">
        <w:rPr>
          <w:lang w:val="en-US"/>
        </w:rPr>
        <w:t xml:space="preserve"> effect is particularly significant </w:t>
      </w:r>
      <w:r w:rsidRPr="00BA6D11">
        <w:rPr>
          <w:lang w:val="en-US"/>
        </w:rPr>
        <w:t xml:space="preserve">in manufacturing sectors with stronger industrial </w:t>
      </w:r>
      <w:r w:rsidR="00A55272" w:rsidRPr="00BA6D11">
        <w:rPr>
          <w:lang w:val="en-US"/>
        </w:rPr>
        <w:t>focus</w:t>
      </w:r>
      <w:r w:rsidR="003C2A60" w:rsidRPr="00BA6D11">
        <w:rPr>
          <w:lang w:val="en-US"/>
        </w:rPr>
        <w:t>, referred</w:t>
      </w:r>
      <w:r w:rsidR="00C54B13" w:rsidRPr="00BA6D11">
        <w:rPr>
          <w:lang w:val="en-US"/>
        </w:rPr>
        <w:t xml:space="preserve"> to</w:t>
      </w:r>
      <w:r w:rsidR="003C2A60" w:rsidRPr="00BA6D11">
        <w:rPr>
          <w:lang w:val="en-US"/>
        </w:rPr>
        <w:t xml:space="preserve"> in this </w:t>
      </w:r>
      <w:r w:rsidR="00802BCE" w:rsidRPr="00BA6D11">
        <w:rPr>
          <w:lang w:val="en-US"/>
        </w:rPr>
        <w:t xml:space="preserve">study </w:t>
      </w:r>
      <w:r w:rsidR="003C2A60" w:rsidRPr="00BA6D11">
        <w:rPr>
          <w:lang w:val="en-US"/>
        </w:rPr>
        <w:t xml:space="preserve">as </w:t>
      </w:r>
      <w:r w:rsidRPr="00BA6D11">
        <w:rPr>
          <w:lang w:val="en-US"/>
        </w:rPr>
        <w:t xml:space="preserve">heavy manufacturing </w:t>
      </w:r>
      <w:r w:rsidR="003C2A60" w:rsidRPr="00BA6D11">
        <w:rPr>
          <w:lang w:val="en-US"/>
        </w:rPr>
        <w:t>an</w:t>
      </w:r>
      <w:r w:rsidR="00F745F8" w:rsidRPr="00BA6D11">
        <w:rPr>
          <w:lang w:val="en-US"/>
        </w:rPr>
        <w:t>d</w:t>
      </w:r>
      <w:r w:rsidR="003C2A60" w:rsidRPr="00BA6D11">
        <w:rPr>
          <w:lang w:val="en-US"/>
        </w:rPr>
        <w:t xml:space="preserve"> operationalized as firms operating in metal, </w:t>
      </w:r>
      <w:proofErr w:type="gramStart"/>
      <w:r w:rsidR="003C2A60" w:rsidRPr="00BA6D11">
        <w:rPr>
          <w:lang w:val="en-US"/>
        </w:rPr>
        <w:t>machinery</w:t>
      </w:r>
      <w:proofErr w:type="gramEnd"/>
      <w:r w:rsidR="003C2A60" w:rsidRPr="00BA6D11">
        <w:rPr>
          <w:lang w:val="en-US"/>
        </w:rPr>
        <w:t xml:space="preserve"> and hardware industries </w:t>
      </w:r>
      <w:r w:rsidRPr="00BA6D11">
        <w:rPr>
          <w:lang w:val="en-US"/>
        </w:rPr>
        <w:t>(NAICS 33)</w:t>
      </w:r>
      <w:r w:rsidR="003C2A60" w:rsidRPr="00BA6D11">
        <w:rPr>
          <w:lang w:val="en-US"/>
        </w:rPr>
        <w:t>. We argue that those industries</w:t>
      </w:r>
      <w:r w:rsidRPr="00BA6D11">
        <w:rPr>
          <w:lang w:val="en-US"/>
        </w:rPr>
        <w:t xml:space="preserve"> </w:t>
      </w:r>
      <w:r w:rsidR="003C2A60" w:rsidRPr="00BA6D11">
        <w:rPr>
          <w:lang w:val="en-US"/>
        </w:rPr>
        <w:t>benefit from a</w:t>
      </w:r>
      <w:r w:rsidRPr="00BA6D11">
        <w:rPr>
          <w:lang w:val="en-US"/>
        </w:rPr>
        <w:t xml:space="preserve"> broad presence of </w:t>
      </w:r>
      <w:proofErr w:type="gramStart"/>
      <w:r w:rsidRPr="00BA6D11">
        <w:rPr>
          <w:lang w:val="en-US"/>
        </w:rPr>
        <w:t>digitally-enabled</w:t>
      </w:r>
      <w:proofErr w:type="gramEnd"/>
      <w:r w:rsidRPr="00BA6D11">
        <w:rPr>
          <w:lang w:val="en-US"/>
        </w:rPr>
        <w:t xml:space="preserve"> services to support </w:t>
      </w:r>
      <w:r w:rsidR="003C2A60" w:rsidRPr="00BA6D11">
        <w:rPr>
          <w:lang w:val="en-US"/>
        </w:rPr>
        <w:t xml:space="preserve">value capture </w:t>
      </w:r>
      <w:r w:rsidR="00A55272" w:rsidRPr="00BA6D11">
        <w:rPr>
          <w:lang w:val="en-US"/>
        </w:rPr>
        <w:t xml:space="preserve">of </w:t>
      </w:r>
      <w:r w:rsidR="003C2A60" w:rsidRPr="00BA6D11">
        <w:rPr>
          <w:lang w:val="en-US"/>
        </w:rPr>
        <w:t>product and process</w:t>
      </w:r>
      <w:r w:rsidR="00A55272" w:rsidRPr="00BA6D11">
        <w:rPr>
          <w:lang w:val="en-US"/>
        </w:rPr>
        <w:t xml:space="preserve"> innovations</w:t>
      </w:r>
      <w:r w:rsidRPr="00BA6D11">
        <w:rPr>
          <w:lang w:val="en-US"/>
        </w:rPr>
        <w:t>. We test our predictions on a unique sample of 423 Spanish manufacturing firms using a fuzzy-set qualitative comparative analysis (</w:t>
      </w:r>
      <w:proofErr w:type="spellStart"/>
      <w:r w:rsidRPr="00BA6D11">
        <w:rPr>
          <w:lang w:val="en-US"/>
        </w:rPr>
        <w:t>fsQCA</w:t>
      </w:r>
      <w:proofErr w:type="spellEnd"/>
      <w:r w:rsidRPr="00BA6D11">
        <w:rPr>
          <w:lang w:val="en-US"/>
        </w:rPr>
        <w:t>).</w:t>
      </w:r>
      <w:r w:rsidRPr="00BA6D11">
        <w:rPr>
          <w:lang w:val="en-US"/>
        </w:rPr>
        <w:br/>
      </w:r>
    </w:p>
    <w:p w14:paraId="1E5BB210" w14:textId="4EBFEDF6" w:rsidR="00B007FB" w:rsidRPr="00BA6D11" w:rsidRDefault="00A90C1F" w:rsidP="00B007FB">
      <w:pPr>
        <w:rPr>
          <w:b/>
          <w:lang w:val="en-US"/>
        </w:rPr>
      </w:pPr>
      <w:r w:rsidRPr="00BA6D11">
        <w:rPr>
          <w:b/>
          <w:bCs/>
          <w:lang w:val="en-US"/>
        </w:rPr>
        <w:t xml:space="preserve">Findings – </w:t>
      </w:r>
      <w:r w:rsidR="00413A8C" w:rsidRPr="00BA6D11">
        <w:rPr>
          <w:lang w:val="en-US"/>
        </w:rPr>
        <w:t xml:space="preserve">Our analysis </w:t>
      </w:r>
      <w:proofErr w:type="gramStart"/>
      <w:r w:rsidR="00413A8C" w:rsidRPr="00BA6D11">
        <w:rPr>
          <w:lang w:val="en-US"/>
        </w:rPr>
        <w:t>evidences</w:t>
      </w:r>
      <w:proofErr w:type="gramEnd"/>
      <w:r w:rsidR="00244598" w:rsidRPr="00BA6D11">
        <w:rPr>
          <w:lang w:val="en-US"/>
        </w:rPr>
        <w:t xml:space="preserve"> that a necessary </w:t>
      </w:r>
      <w:r w:rsidR="002D7641" w:rsidRPr="00BA6D11">
        <w:rPr>
          <w:lang w:val="en-US"/>
        </w:rPr>
        <w:t xml:space="preserve">condition for </w:t>
      </w:r>
      <w:r w:rsidR="00244598" w:rsidRPr="00BA6D11">
        <w:rPr>
          <w:lang w:val="en-US"/>
        </w:rPr>
        <w:t>manufacturing firms</w:t>
      </w:r>
      <w:r w:rsidR="00C54B13" w:rsidRPr="00BA6D11">
        <w:rPr>
          <w:lang w:val="en-US"/>
        </w:rPr>
        <w:t>’</w:t>
      </w:r>
      <w:r w:rsidR="00244598" w:rsidRPr="00BA6D11">
        <w:rPr>
          <w:lang w:val="en-US"/>
        </w:rPr>
        <w:t xml:space="preserve"> </w:t>
      </w:r>
      <w:r w:rsidR="002D7641" w:rsidRPr="00BA6D11">
        <w:rPr>
          <w:lang w:val="en-US"/>
        </w:rPr>
        <w:t>profit</w:t>
      </w:r>
      <w:r w:rsidR="00DB7E8C" w:rsidRPr="00BA6D11">
        <w:rPr>
          <w:lang w:val="en-US"/>
        </w:rPr>
        <w:t xml:space="preserve"> gains</w:t>
      </w:r>
      <w:r w:rsidR="002D7641" w:rsidRPr="00BA6D11">
        <w:rPr>
          <w:lang w:val="en-US"/>
        </w:rPr>
        <w:t xml:space="preserve"> </w:t>
      </w:r>
      <w:r w:rsidR="0029250D" w:rsidRPr="00BA6D11">
        <w:rPr>
          <w:lang w:val="en-US"/>
        </w:rPr>
        <w:t>is to deploy sim</w:t>
      </w:r>
      <w:r w:rsidR="00F07BE7" w:rsidRPr="00BA6D11">
        <w:rPr>
          <w:lang w:val="en-US"/>
        </w:rPr>
        <w:t>ultaneous process and product</w:t>
      </w:r>
      <w:r w:rsidR="0029250D" w:rsidRPr="00BA6D11">
        <w:rPr>
          <w:lang w:val="en-US"/>
        </w:rPr>
        <w:t xml:space="preserve"> innovation</w:t>
      </w:r>
      <w:r w:rsidR="00DB7E8C" w:rsidRPr="00BA6D11">
        <w:rPr>
          <w:lang w:val="en-US"/>
        </w:rPr>
        <w:t>s</w:t>
      </w:r>
      <w:r w:rsidR="0029250D" w:rsidRPr="00BA6D11">
        <w:rPr>
          <w:lang w:val="en-US"/>
        </w:rPr>
        <w:t>. Additionally,</w:t>
      </w:r>
      <w:r w:rsidR="00413A8C" w:rsidRPr="00BA6D11">
        <w:rPr>
          <w:lang w:val="en-US"/>
        </w:rPr>
        <w:t xml:space="preserve"> it reveals that</w:t>
      </w:r>
      <w:r w:rsidR="00E90562" w:rsidRPr="00BA6D11">
        <w:rPr>
          <w:lang w:val="en-US"/>
        </w:rPr>
        <w:t>,</w:t>
      </w:r>
      <w:r w:rsidR="0029250D" w:rsidRPr="00BA6D11">
        <w:rPr>
          <w:lang w:val="en-US"/>
        </w:rPr>
        <w:t xml:space="preserve"> </w:t>
      </w:r>
      <w:r w:rsidR="006F0531" w:rsidRPr="00BA6D11">
        <w:rPr>
          <w:lang w:val="en-US"/>
        </w:rPr>
        <w:t xml:space="preserve">particularly </w:t>
      </w:r>
      <w:r w:rsidR="0029250D" w:rsidRPr="00BA6D11">
        <w:rPr>
          <w:lang w:val="en-US"/>
        </w:rPr>
        <w:t xml:space="preserve">in </w:t>
      </w:r>
      <w:r w:rsidR="00D6634E" w:rsidRPr="00BA6D11">
        <w:rPr>
          <w:lang w:val="en-US"/>
        </w:rPr>
        <w:t xml:space="preserve">heavy manufacturing industries, </w:t>
      </w:r>
      <w:r w:rsidR="0029250D" w:rsidRPr="00BA6D11">
        <w:rPr>
          <w:lang w:val="en-US"/>
        </w:rPr>
        <w:t>the optimal configura</w:t>
      </w:r>
      <w:r w:rsidR="00D6634E" w:rsidRPr="00BA6D11">
        <w:rPr>
          <w:lang w:val="en-US"/>
        </w:rPr>
        <w:t xml:space="preserve">tion </w:t>
      </w:r>
      <w:r w:rsidR="00D60275" w:rsidRPr="00BA6D11">
        <w:rPr>
          <w:lang w:val="en-US"/>
        </w:rPr>
        <w:t xml:space="preserve">requires undertaking digital </w:t>
      </w:r>
      <w:r w:rsidR="00D6634E" w:rsidRPr="00BA6D11">
        <w:rPr>
          <w:lang w:val="en-US"/>
        </w:rPr>
        <w:t>service innovation</w:t>
      </w:r>
      <w:r w:rsidR="00E90562" w:rsidRPr="00BA6D11">
        <w:rPr>
          <w:lang w:val="en-US"/>
        </w:rPr>
        <w:t>. I</w:t>
      </w:r>
      <w:r w:rsidR="00F07BE7" w:rsidRPr="00BA6D11">
        <w:rPr>
          <w:lang w:val="en-US"/>
        </w:rPr>
        <w:t>n this way</w:t>
      </w:r>
      <w:r w:rsidR="00D6634E" w:rsidRPr="00BA6D11">
        <w:rPr>
          <w:lang w:val="en-US"/>
        </w:rPr>
        <w:t xml:space="preserve"> </w:t>
      </w:r>
      <w:r w:rsidR="00413A8C" w:rsidRPr="00BA6D11">
        <w:rPr>
          <w:lang w:val="en-US"/>
        </w:rPr>
        <w:t xml:space="preserve">all technological sources </w:t>
      </w:r>
      <w:r w:rsidR="00D6634E" w:rsidRPr="00BA6D11">
        <w:rPr>
          <w:lang w:val="en-US"/>
        </w:rPr>
        <w:t xml:space="preserve">of </w:t>
      </w:r>
      <w:r w:rsidR="0029250D" w:rsidRPr="00BA6D11">
        <w:rPr>
          <w:lang w:val="en-US"/>
        </w:rPr>
        <w:t>innovation (</w:t>
      </w:r>
      <w:r w:rsidR="00413A8C" w:rsidRPr="00BA6D11">
        <w:rPr>
          <w:lang w:val="en-US"/>
        </w:rPr>
        <w:t>i.e.</w:t>
      </w:r>
      <w:r w:rsidR="00F07BE7" w:rsidRPr="00BA6D11">
        <w:rPr>
          <w:lang w:val="en-US"/>
        </w:rPr>
        <w:t xml:space="preserve"> </w:t>
      </w:r>
      <w:r w:rsidR="0029250D" w:rsidRPr="00BA6D11">
        <w:rPr>
          <w:lang w:val="en-US"/>
        </w:rPr>
        <w:t>process</w:t>
      </w:r>
      <w:r w:rsidR="00F07BE7" w:rsidRPr="00BA6D11">
        <w:rPr>
          <w:lang w:val="en-US"/>
        </w:rPr>
        <w:t>, product,</w:t>
      </w:r>
      <w:r w:rsidR="00E5781C" w:rsidRPr="00BA6D11">
        <w:rPr>
          <w:lang w:val="en-US"/>
        </w:rPr>
        <w:t xml:space="preserve"> and service)</w:t>
      </w:r>
      <w:r w:rsidR="00C717B8" w:rsidRPr="00BA6D11">
        <w:rPr>
          <w:lang w:val="en-US"/>
        </w:rPr>
        <w:t xml:space="preserve"> </w:t>
      </w:r>
      <w:r w:rsidR="00E90562" w:rsidRPr="00BA6D11">
        <w:rPr>
          <w:lang w:val="en-US"/>
        </w:rPr>
        <w:t xml:space="preserve">are </w:t>
      </w:r>
      <w:r w:rsidR="003B5258" w:rsidRPr="00BA6D11">
        <w:rPr>
          <w:lang w:val="en-US"/>
        </w:rPr>
        <w:t>brought together</w:t>
      </w:r>
      <w:r w:rsidR="00E90562" w:rsidRPr="00BA6D11">
        <w:rPr>
          <w:lang w:val="en-US"/>
        </w:rPr>
        <w:t xml:space="preserve"> </w:t>
      </w:r>
      <w:proofErr w:type="gramStart"/>
      <w:r w:rsidR="00C717B8" w:rsidRPr="00BA6D11">
        <w:rPr>
          <w:lang w:val="en-US"/>
        </w:rPr>
        <w:t>in order to</w:t>
      </w:r>
      <w:proofErr w:type="gramEnd"/>
      <w:r w:rsidR="00C717B8" w:rsidRPr="00BA6D11">
        <w:rPr>
          <w:lang w:val="en-US"/>
        </w:rPr>
        <w:t xml:space="preserve"> </w:t>
      </w:r>
      <w:r w:rsidR="003C2A60" w:rsidRPr="00BA6D11">
        <w:rPr>
          <w:lang w:val="en-US"/>
        </w:rPr>
        <w:t xml:space="preserve">reach the highest levels of firm performance. Our evidence suggests that digital </w:t>
      </w:r>
      <w:proofErr w:type="spellStart"/>
      <w:r w:rsidR="003C2A60" w:rsidRPr="00BA6D11">
        <w:rPr>
          <w:lang w:val="en-US"/>
        </w:rPr>
        <w:t>servitization</w:t>
      </w:r>
      <w:proofErr w:type="spellEnd"/>
      <w:r w:rsidR="003C2A60" w:rsidRPr="00BA6D11">
        <w:rPr>
          <w:lang w:val="en-US"/>
        </w:rPr>
        <w:t xml:space="preserve"> should not be </w:t>
      </w:r>
      <w:proofErr w:type="spellStart"/>
      <w:r w:rsidR="000C5D9D" w:rsidRPr="00BA6D11">
        <w:rPr>
          <w:lang w:val="en-US"/>
        </w:rPr>
        <w:t>analysed</w:t>
      </w:r>
      <w:proofErr w:type="spellEnd"/>
      <w:r w:rsidR="003C2A60" w:rsidRPr="00BA6D11">
        <w:rPr>
          <w:lang w:val="en-US"/>
        </w:rPr>
        <w:t xml:space="preserve"> in isolation </w:t>
      </w:r>
      <w:r w:rsidR="00802BCE" w:rsidRPr="00BA6D11">
        <w:rPr>
          <w:lang w:val="en-US"/>
        </w:rPr>
        <w:t xml:space="preserve">from </w:t>
      </w:r>
      <w:r w:rsidR="003C2A60" w:rsidRPr="00BA6D11">
        <w:rPr>
          <w:lang w:val="en-US"/>
        </w:rPr>
        <w:t>other forms of innovation.</w:t>
      </w:r>
    </w:p>
    <w:p w14:paraId="30BAACC0" w14:textId="155ABDA7" w:rsidR="00A90C1F" w:rsidRPr="00BA6D11" w:rsidRDefault="00A90C1F" w:rsidP="00B007FB">
      <w:pPr>
        <w:rPr>
          <w:lang w:val="en-US"/>
        </w:rPr>
      </w:pPr>
      <w:r w:rsidRPr="00BA6D11">
        <w:rPr>
          <w:b/>
          <w:lang w:val="en-US"/>
        </w:rPr>
        <w:lastRenderedPageBreak/>
        <w:t>Originality</w:t>
      </w:r>
      <w:r w:rsidR="00447347" w:rsidRPr="00BA6D11">
        <w:rPr>
          <w:lang w:val="en-US"/>
        </w:rPr>
        <w:t xml:space="preserve"> - The originality and value of this study </w:t>
      </w:r>
      <w:r w:rsidR="00C54B13" w:rsidRPr="00BA6D11">
        <w:rPr>
          <w:lang w:val="en-US"/>
        </w:rPr>
        <w:t xml:space="preserve">lie </w:t>
      </w:r>
      <w:r w:rsidR="00447347" w:rsidRPr="00BA6D11">
        <w:rPr>
          <w:lang w:val="en-US"/>
        </w:rPr>
        <w:t>in revealing the existence of firms that incorporate</w:t>
      </w:r>
      <w:r w:rsidR="003C2A60" w:rsidRPr="00BA6D11">
        <w:rPr>
          <w:lang w:val="en-US"/>
        </w:rPr>
        <w:t xml:space="preserve"> digital</w:t>
      </w:r>
      <w:r w:rsidR="00447347" w:rsidRPr="00BA6D11">
        <w:rPr>
          <w:lang w:val="en-US"/>
        </w:rPr>
        <w:t xml:space="preserve"> service</w:t>
      </w:r>
      <w:r w:rsidR="00505A46" w:rsidRPr="00BA6D11">
        <w:rPr>
          <w:lang w:val="en-US"/>
        </w:rPr>
        <w:t xml:space="preserve"> </w:t>
      </w:r>
      <w:r w:rsidR="00447347" w:rsidRPr="00BA6D11">
        <w:rPr>
          <w:lang w:val="en-US"/>
        </w:rPr>
        <w:t>inn</w:t>
      </w:r>
      <w:r w:rsidR="00B00F98" w:rsidRPr="00BA6D11">
        <w:rPr>
          <w:lang w:val="en-US"/>
        </w:rPr>
        <w:t xml:space="preserve">ovation as a complement to </w:t>
      </w:r>
      <w:r w:rsidR="00447347" w:rsidRPr="00BA6D11">
        <w:rPr>
          <w:lang w:val="en-US"/>
        </w:rPr>
        <w:t>traditional technological innovation sources</w:t>
      </w:r>
      <w:r w:rsidR="00B00F98" w:rsidRPr="00BA6D11">
        <w:rPr>
          <w:lang w:val="en-US"/>
        </w:rPr>
        <w:t>, namely process and product innovation</w:t>
      </w:r>
      <w:r w:rsidR="00447347" w:rsidRPr="00BA6D11">
        <w:rPr>
          <w:lang w:val="en-US"/>
        </w:rPr>
        <w:t xml:space="preserve">, as well as </w:t>
      </w:r>
      <w:r w:rsidR="00A02D4F" w:rsidRPr="00BA6D11">
        <w:rPr>
          <w:lang w:val="en-US"/>
        </w:rPr>
        <w:t xml:space="preserve">in </w:t>
      </w:r>
      <w:r w:rsidR="00447347" w:rsidRPr="00BA6D11">
        <w:rPr>
          <w:lang w:val="en-US"/>
        </w:rPr>
        <w:t xml:space="preserve">conceptualizing and testing empirically the value-adding role of digital </w:t>
      </w:r>
      <w:proofErr w:type="spellStart"/>
      <w:r w:rsidR="00447347" w:rsidRPr="00BA6D11">
        <w:rPr>
          <w:lang w:val="en-US"/>
        </w:rPr>
        <w:t>servitization</w:t>
      </w:r>
      <w:proofErr w:type="spellEnd"/>
      <w:r w:rsidR="00447347" w:rsidRPr="00BA6D11">
        <w:rPr>
          <w:lang w:val="en-US"/>
        </w:rPr>
        <w:t xml:space="preserve"> within firms´ technological innovation portfolio</w:t>
      </w:r>
      <w:r w:rsidR="007C6AAF" w:rsidRPr="00BA6D11">
        <w:rPr>
          <w:lang w:val="en-US"/>
        </w:rPr>
        <w:t>s</w:t>
      </w:r>
      <w:r w:rsidR="00447347" w:rsidRPr="00BA6D11">
        <w:rPr>
          <w:lang w:val="en-US"/>
        </w:rPr>
        <w:t>.</w:t>
      </w:r>
      <w:r w:rsidR="003C2A60" w:rsidRPr="00BA6D11">
        <w:rPr>
          <w:lang w:val="en-US"/>
        </w:rPr>
        <w:t xml:space="preserve"> </w:t>
      </w:r>
    </w:p>
    <w:p w14:paraId="04821333" w14:textId="6F113E89" w:rsidR="00A90C1F" w:rsidRPr="00BA6D11" w:rsidRDefault="00A90C1F" w:rsidP="00E5781C">
      <w:pPr>
        <w:spacing w:line="360" w:lineRule="auto"/>
        <w:jc w:val="both"/>
        <w:rPr>
          <w:lang w:val="en-US"/>
        </w:rPr>
      </w:pPr>
      <w:r w:rsidRPr="00BA6D11">
        <w:rPr>
          <w:b/>
          <w:lang w:val="en-US"/>
        </w:rPr>
        <w:t>Keywords</w:t>
      </w:r>
      <w:r w:rsidRPr="00BA6D11">
        <w:rPr>
          <w:lang w:val="en-US"/>
        </w:rPr>
        <w:t> - </w:t>
      </w:r>
      <w:r w:rsidR="009E4598" w:rsidRPr="00BA6D11">
        <w:rPr>
          <w:lang w:val="en-US"/>
        </w:rPr>
        <w:t>Technological</w:t>
      </w:r>
      <w:r w:rsidRPr="00BA6D11">
        <w:rPr>
          <w:lang w:val="en-US"/>
        </w:rPr>
        <w:t xml:space="preserve"> </w:t>
      </w:r>
      <w:r w:rsidR="000C5D9D" w:rsidRPr="00BA6D11">
        <w:rPr>
          <w:lang w:val="en-US"/>
        </w:rPr>
        <w:t>i</w:t>
      </w:r>
      <w:r w:rsidRPr="00BA6D11">
        <w:rPr>
          <w:lang w:val="en-US"/>
        </w:rPr>
        <w:t>nnovation</w:t>
      </w:r>
      <w:r w:rsidR="000C5D9D" w:rsidRPr="00BA6D11">
        <w:rPr>
          <w:lang w:val="en-US"/>
        </w:rPr>
        <w:t xml:space="preserve">, </w:t>
      </w:r>
      <w:proofErr w:type="spellStart"/>
      <w:r w:rsidR="000C5D9D" w:rsidRPr="00BA6D11">
        <w:rPr>
          <w:lang w:val="en-US"/>
        </w:rPr>
        <w:t>S</w:t>
      </w:r>
      <w:r w:rsidR="009E4598" w:rsidRPr="00BA6D11">
        <w:rPr>
          <w:lang w:val="en-US"/>
        </w:rPr>
        <w:t>ervitiza</w:t>
      </w:r>
      <w:r w:rsidR="00042AC5" w:rsidRPr="00BA6D11">
        <w:rPr>
          <w:lang w:val="en-US"/>
        </w:rPr>
        <w:t>tion</w:t>
      </w:r>
      <w:proofErr w:type="spellEnd"/>
      <w:r w:rsidR="000C5D9D" w:rsidRPr="00BA6D11">
        <w:rPr>
          <w:lang w:val="en-US"/>
        </w:rPr>
        <w:t xml:space="preserve">, </w:t>
      </w:r>
      <w:r w:rsidR="0027180F" w:rsidRPr="00BA6D11">
        <w:rPr>
          <w:lang w:val="en-US"/>
        </w:rPr>
        <w:t>D</w:t>
      </w:r>
      <w:r w:rsidR="00042AC5" w:rsidRPr="00BA6D11">
        <w:rPr>
          <w:lang w:val="en-US"/>
        </w:rPr>
        <w:t>igitalization</w:t>
      </w:r>
      <w:r w:rsidR="000C5D9D" w:rsidRPr="00BA6D11">
        <w:rPr>
          <w:lang w:val="en-US"/>
        </w:rPr>
        <w:t>, F</w:t>
      </w:r>
      <w:r w:rsidR="00042AC5" w:rsidRPr="00BA6D11">
        <w:rPr>
          <w:lang w:val="en-US"/>
        </w:rPr>
        <w:t>uzzy set</w:t>
      </w:r>
      <w:r w:rsidRPr="00BA6D11">
        <w:rPr>
          <w:lang w:val="en-US"/>
        </w:rPr>
        <w:t>.</w:t>
      </w:r>
    </w:p>
    <w:p w14:paraId="0D275004" w14:textId="0C38F019" w:rsidR="00A90C1F" w:rsidRPr="00BA6D11" w:rsidRDefault="00A90C1F" w:rsidP="00E5781C">
      <w:pPr>
        <w:spacing w:line="360" w:lineRule="auto"/>
        <w:jc w:val="both"/>
        <w:rPr>
          <w:lang w:val="en-US"/>
        </w:rPr>
      </w:pPr>
      <w:r w:rsidRPr="00BA6D11">
        <w:rPr>
          <w:b/>
          <w:lang w:val="en-US"/>
        </w:rPr>
        <w:t>Paper type</w:t>
      </w:r>
      <w:r w:rsidRPr="00BA6D11">
        <w:rPr>
          <w:lang w:val="en-US"/>
        </w:rPr>
        <w:t> </w:t>
      </w:r>
      <w:r w:rsidR="00F048B2" w:rsidRPr="00BA6D11">
        <w:rPr>
          <w:lang w:val="en-US"/>
        </w:rPr>
        <w:t>–</w:t>
      </w:r>
      <w:r w:rsidRPr="00BA6D11">
        <w:rPr>
          <w:lang w:val="en-US"/>
        </w:rPr>
        <w:t> </w:t>
      </w:r>
      <w:r w:rsidR="00F048B2" w:rsidRPr="00BA6D11">
        <w:rPr>
          <w:lang w:val="en-US"/>
        </w:rPr>
        <w:t>Research article</w:t>
      </w:r>
      <w:r w:rsidRPr="00BA6D11">
        <w:rPr>
          <w:lang w:val="en-US"/>
        </w:rPr>
        <w:t>.</w:t>
      </w:r>
    </w:p>
    <w:p w14:paraId="55257EEE" w14:textId="77777777" w:rsidR="005445A8" w:rsidRDefault="005445A8">
      <w:pPr>
        <w:spacing w:line="480" w:lineRule="auto"/>
        <w:rPr>
          <w:lang w:val="en-US"/>
        </w:rPr>
      </w:pPr>
    </w:p>
    <w:p w14:paraId="3ADDF70F" w14:textId="77777777" w:rsidR="00BA6D11" w:rsidRPr="00BA6D11" w:rsidRDefault="00BA6D11" w:rsidP="00BA6D11">
      <w:pPr>
        <w:spacing w:after="160" w:line="360" w:lineRule="auto"/>
        <w:rPr>
          <w:rFonts w:eastAsiaTheme="minorHAnsi"/>
          <w:b/>
          <w:bCs/>
          <w:lang w:val="en-GB" w:eastAsia="en-US"/>
        </w:rPr>
      </w:pPr>
      <w:r w:rsidRPr="00BA6D11">
        <w:rPr>
          <w:rFonts w:eastAsiaTheme="minorHAnsi"/>
          <w:b/>
          <w:bCs/>
          <w:lang w:val="en-GB" w:eastAsia="en-US"/>
        </w:rPr>
        <w:t>Acknowledgments</w:t>
      </w:r>
    </w:p>
    <w:p w14:paraId="705BCF57" w14:textId="77777777" w:rsidR="00BA6D11" w:rsidRPr="00BA6D11" w:rsidRDefault="00BA6D11" w:rsidP="00BA6D11">
      <w:pPr>
        <w:spacing w:after="160" w:line="360" w:lineRule="auto"/>
        <w:rPr>
          <w:rFonts w:eastAsiaTheme="minorHAnsi"/>
          <w:sz w:val="22"/>
          <w:szCs w:val="22"/>
          <w:lang w:eastAsia="en-US"/>
        </w:rPr>
      </w:pPr>
      <w:r w:rsidRPr="00BA6D11">
        <w:rPr>
          <w:rFonts w:eastAsiaTheme="minorHAnsi"/>
          <w:sz w:val="22"/>
          <w:szCs w:val="22"/>
          <w:lang w:val="en-GB" w:eastAsia="en-US"/>
        </w:rPr>
        <w:t xml:space="preserve">The authors thank three anonymous reviewers for their valuable suggestions. </w:t>
      </w:r>
      <w:r w:rsidRPr="00BA6D11">
        <w:rPr>
          <w:rFonts w:eastAsiaTheme="minorHAnsi"/>
          <w:sz w:val="22"/>
          <w:szCs w:val="22"/>
          <w:lang w:eastAsia="en-US"/>
        </w:rPr>
        <w:t>Marco Opazo-</w:t>
      </w:r>
      <w:proofErr w:type="spellStart"/>
      <w:r w:rsidRPr="00BA6D11">
        <w:rPr>
          <w:rFonts w:eastAsiaTheme="minorHAnsi"/>
          <w:sz w:val="22"/>
          <w:szCs w:val="22"/>
          <w:lang w:eastAsia="en-US"/>
        </w:rPr>
        <w:t>Basaez</w:t>
      </w:r>
      <w:proofErr w:type="spellEnd"/>
      <w:r w:rsidRPr="00BA6D11">
        <w:rPr>
          <w:rFonts w:eastAsiaTheme="minorHAnsi"/>
          <w:sz w:val="22"/>
          <w:szCs w:val="22"/>
          <w:lang w:eastAsia="en-US"/>
        </w:rPr>
        <w:t xml:space="preserve">, Ferran Vendrell-Herrero and Oscar F. Bustinza </w:t>
      </w:r>
      <w:proofErr w:type="spellStart"/>
      <w:r w:rsidRPr="00BA6D11">
        <w:rPr>
          <w:rFonts w:eastAsiaTheme="minorHAnsi"/>
          <w:sz w:val="22"/>
          <w:szCs w:val="22"/>
          <w:lang w:eastAsia="en-US"/>
        </w:rPr>
        <w:t>acknowledge</w:t>
      </w:r>
      <w:proofErr w:type="spellEnd"/>
      <w:r w:rsidRPr="00BA6D11">
        <w:rPr>
          <w:rFonts w:eastAsiaTheme="minorHAnsi"/>
          <w:sz w:val="22"/>
          <w:szCs w:val="22"/>
          <w:lang w:eastAsia="en-US"/>
        </w:rPr>
        <w:t xml:space="preserve"> </w:t>
      </w:r>
      <w:proofErr w:type="spellStart"/>
      <w:r w:rsidRPr="00BA6D11">
        <w:rPr>
          <w:rFonts w:eastAsiaTheme="minorHAnsi"/>
          <w:sz w:val="22"/>
          <w:szCs w:val="22"/>
          <w:lang w:eastAsia="en-US"/>
        </w:rPr>
        <w:t>support</w:t>
      </w:r>
      <w:proofErr w:type="spellEnd"/>
      <w:r w:rsidRPr="00BA6D11">
        <w:rPr>
          <w:rFonts w:eastAsiaTheme="minorHAnsi"/>
          <w:sz w:val="22"/>
          <w:szCs w:val="22"/>
          <w:lang w:eastAsia="en-US"/>
        </w:rPr>
        <w:t xml:space="preserve"> </w:t>
      </w:r>
      <w:proofErr w:type="spellStart"/>
      <w:r w:rsidRPr="00BA6D11">
        <w:rPr>
          <w:rFonts w:eastAsiaTheme="minorHAnsi"/>
          <w:sz w:val="22"/>
          <w:szCs w:val="22"/>
          <w:lang w:eastAsia="en-US"/>
        </w:rPr>
        <w:t>from</w:t>
      </w:r>
      <w:proofErr w:type="spellEnd"/>
      <w:r w:rsidRPr="00BA6D11">
        <w:rPr>
          <w:rFonts w:eastAsiaTheme="minorHAnsi"/>
          <w:sz w:val="22"/>
          <w:szCs w:val="22"/>
          <w:lang w:eastAsia="en-US"/>
        </w:rPr>
        <w:t xml:space="preserve"> FEDER/Ministerio de Ciencia, </w:t>
      </w:r>
      <w:proofErr w:type="spellStart"/>
      <w:r w:rsidRPr="00BA6D11">
        <w:rPr>
          <w:rFonts w:eastAsiaTheme="minorHAnsi"/>
          <w:sz w:val="22"/>
          <w:szCs w:val="22"/>
          <w:lang w:eastAsia="en-US"/>
        </w:rPr>
        <w:t>Innovacion</w:t>
      </w:r>
      <w:proofErr w:type="spellEnd"/>
      <w:r w:rsidRPr="00BA6D11">
        <w:rPr>
          <w:rFonts w:eastAsiaTheme="minorHAnsi"/>
          <w:sz w:val="22"/>
          <w:szCs w:val="22"/>
          <w:lang w:eastAsia="en-US"/>
        </w:rPr>
        <w:t xml:space="preserve"> y Universidades – Agencia Estatal de </w:t>
      </w:r>
      <w:proofErr w:type="spellStart"/>
      <w:r w:rsidRPr="00BA6D11">
        <w:rPr>
          <w:rFonts w:eastAsiaTheme="minorHAnsi"/>
          <w:sz w:val="22"/>
          <w:szCs w:val="22"/>
          <w:lang w:eastAsia="en-US"/>
        </w:rPr>
        <w:t>Investigacion</w:t>
      </w:r>
      <w:proofErr w:type="spellEnd"/>
      <w:r w:rsidRPr="00BA6D11">
        <w:rPr>
          <w:rFonts w:eastAsiaTheme="minorHAnsi"/>
          <w:sz w:val="22"/>
          <w:szCs w:val="22"/>
          <w:lang w:eastAsia="en-US"/>
        </w:rPr>
        <w:t xml:space="preserve">, </w:t>
      </w:r>
      <w:proofErr w:type="spellStart"/>
      <w:r w:rsidRPr="00BA6D11">
        <w:rPr>
          <w:rFonts w:eastAsiaTheme="minorHAnsi"/>
          <w:sz w:val="22"/>
          <w:szCs w:val="22"/>
          <w:lang w:eastAsia="en-US"/>
        </w:rPr>
        <w:t>Spain</w:t>
      </w:r>
      <w:proofErr w:type="spellEnd"/>
      <w:r w:rsidRPr="00BA6D11">
        <w:rPr>
          <w:rFonts w:eastAsiaTheme="minorHAnsi"/>
          <w:sz w:val="22"/>
          <w:szCs w:val="22"/>
          <w:lang w:eastAsia="en-US"/>
        </w:rPr>
        <w:t xml:space="preserve"> (</w:t>
      </w:r>
      <w:proofErr w:type="spellStart"/>
      <w:r w:rsidRPr="00BA6D11">
        <w:rPr>
          <w:rFonts w:eastAsiaTheme="minorHAnsi"/>
          <w:sz w:val="22"/>
          <w:szCs w:val="22"/>
          <w:lang w:eastAsia="en-US"/>
        </w:rPr>
        <w:t>grant</w:t>
      </w:r>
      <w:proofErr w:type="spellEnd"/>
      <w:r w:rsidRPr="00BA6D11">
        <w:rPr>
          <w:rFonts w:eastAsiaTheme="minorHAnsi"/>
          <w:sz w:val="22"/>
          <w:szCs w:val="22"/>
          <w:lang w:eastAsia="en-US"/>
        </w:rPr>
        <w:t xml:space="preserve"> </w:t>
      </w:r>
      <w:proofErr w:type="spellStart"/>
      <w:r w:rsidRPr="00BA6D11">
        <w:rPr>
          <w:rFonts w:eastAsiaTheme="minorHAnsi"/>
          <w:sz w:val="22"/>
          <w:szCs w:val="22"/>
          <w:lang w:eastAsia="en-US"/>
        </w:rPr>
        <w:t>number</w:t>
      </w:r>
      <w:proofErr w:type="spellEnd"/>
      <w:r w:rsidRPr="00BA6D11">
        <w:rPr>
          <w:rFonts w:eastAsiaTheme="minorHAnsi"/>
          <w:sz w:val="22"/>
          <w:szCs w:val="22"/>
          <w:lang w:eastAsia="en-US"/>
        </w:rPr>
        <w:t xml:space="preserve"> PGC2018-101022-A-100).</w:t>
      </w:r>
    </w:p>
    <w:p w14:paraId="6FA06AA5" w14:textId="7828303A" w:rsidR="00782E9D" w:rsidRPr="00BA6D11" w:rsidRDefault="00782E9D">
      <w:pPr>
        <w:spacing w:line="480" w:lineRule="auto"/>
        <w:rPr>
          <w:b/>
        </w:rPr>
      </w:pPr>
    </w:p>
    <w:p w14:paraId="38CF1DAD" w14:textId="77777777" w:rsidR="00782E9D" w:rsidRPr="00BA6D11" w:rsidRDefault="00782E9D">
      <w:pPr>
        <w:spacing w:line="480" w:lineRule="auto"/>
        <w:rPr>
          <w:b/>
        </w:rPr>
      </w:pPr>
    </w:p>
    <w:p w14:paraId="1387135B" w14:textId="77777777" w:rsidR="001F3C30" w:rsidRPr="00DB646B" w:rsidRDefault="001F3C30" w:rsidP="001F3C30">
      <w:pPr>
        <w:spacing w:line="360" w:lineRule="auto"/>
        <w:rPr>
          <w:b/>
          <w:lang w:val="en-US"/>
        </w:rPr>
      </w:pPr>
      <w:r w:rsidRPr="00DB646B">
        <w:rPr>
          <w:b/>
          <w:lang w:val="en-US"/>
        </w:rPr>
        <w:t xml:space="preserve">1. Introduction </w:t>
      </w:r>
    </w:p>
    <w:p w14:paraId="3FFE5836" w14:textId="4353A96B" w:rsidR="001F3C30" w:rsidRPr="00662061" w:rsidRDefault="001F3C30" w:rsidP="001F3C30">
      <w:pPr>
        <w:spacing w:line="360" w:lineRule="auto"/>
        <w:rPr>
          <w:color w:val="000000" w:themeColor="text1"/>
          <w:lang w:val="en-US"/>
        </w:rPr>
      </w:pPr>
      <w:r w:rsidRPr="00662061">
        <w:rPr>
          <w:color w:val="000000" w:themeColor="text1"/>
          <w:lang w:val="en-US"/>
        </w:rPr>
        <w:t>Technological innovation</w:t>
      </w:r>
      <w:r w:rsidR="00C02288" w:rsidRPr="00662061">
        <w:rPr>
          <w:color w:val="000000" w:themeColor="text1"/>
          <w:lang w:val="en-US"/>
        </w:rPr>
        <w:t xml:space="preserve"> </w:t>
      </w:r>
      <w:r w:rsidR="00AE5AA3" w:rsidRPr="00662061">
        <w:rPr>
          <w:color w:val="000000" w:themeColor="text1"/>
          <w:lang w:val="en-US"/>
        </w:rPr>
        <w:t xml:space="preserve">studies </w:t>
      </w:r>
      <w:r w:rsidR="007C6AAF" w:rsidRPr="00662061">
        <w:rPr>
          <w:color w:val="000000" w:themeColor="text1"/>
          <w:lang w:val="en-US"/>
        </w:rPr>
        <w:t xml:space="preserve">have </w:t>
      </w:r>
      <w:r w:rsidRPr="00662061">
        <w:rPr>
          <w:color w:val="000000" w:themeColor="text1"/>
          <w:lang w:val="en-US"/>
        </w:rPr>
        <w:t xml:space="preserve">traditionally </w:t>
      </w:r>
      <w:r w:rsidR="007C6AAF" w:rsidRPr="00662061">
        <w:rPr>
          <w:color w:val="000000" w:themeColor="text1"/>
          <w:lang w:val="en-US"/>
        </w:rPr>
        <w:t xml:space="preserve">focused on examining </w:t>
      </w:r>
      <w:r w:rsidRPr="00662061">
        <w:rPr>
          <w:color w:val="000000" w:themeColor="text1"/>
          <w:lang w:val="en-US"/>
        </w:rPr>
        <w:t xml:space="preserve">the dynamics of innovation deployment in manufacturing firms, predominantly evaluating the existing interactions between process and product innovations </w:t>
      </w:r>
      <w:r w:rsidRPr="00662061">
        <w:rPr>
          <w:lang w:val="en-US"/>
        </w:rPr>
        <w:t>(</w:t>
      </w:r>
      <w:r w:rsidR="003C2A60" w:rsidRPr="00662061">
        <w:rPr>
          <w:lang w:val="en-US"/>
        </w:rPr>
        <w:t>Martinez-Ros, 2019</w:t>
      </w:r>
      <w:r w:rsidRPr="00662061">
        <w:rPr>
          <w:lang w:val="en-US"/>
        </w:rPr>
        <w:t>)</w:t>
      </w:r>
      <w:r w:rsidR="007C6AAF" w:rsidRPr="00662061">
        <w:rPr>
          <w:lang w:val="en-US"/>
        </w:rPr>
        <w:t>.</w:t>
      </w:r>
      <w:r w:rsidRPr="00662061">
        <w:rPr>
          <w:lang w:val="en-US"/>
        </w:rPr>
        <w:t xml:space="preserve"> </w:t>
      </w:r>
      <w:r w:rsidR="007C6AAF" w:rsidRPr="00662061">
        <w:rPr>
          <w:color w:val="000000" w:themeColor="text1"/>
          <w:lang w:val="en-US"/>
        </w:rPr>
        <w:t xml:space="preserve">They </w:t>
      </w:r>
      <w:r w:rsidR="00F2480B" w:rsidRPr="00662061">
        <w:rPr>
          <w:color w:val="000000" w:themeColor="text1"/>
          <w:lang w:val="en-US"/>
        </w:rPr>
        <w:t xml:space="preserve">have </w:t>
      </w:r>
      <w:r w:rsidR="007C6AAF" w:rsidRPr="00662061">
        <w:rPr>
          <w:color w:val="000000" w:themeColor="text1"/>
          <w:lang w:val="en-US"/>
        </w:rPr>
        <w:t>therefore neglected</w:t>
      </w:r>
      <w:r w:rsidR="009B2950" w:rsidRPr="00662061">
        <w:rPr>
          <w:color w:val="000000" w:themeColor="text1"/>
          <w:lang w:val="en-US"/>
        </w:rPr>
        <w:t>, by some means,</w:t>
      </w:r>
      <w:r w:rsidR="007C6AAF" w:rsidRPr="00662061">
        <w:rPr>
          <w:color w:val="000000" w:themeColor="text1"/>
          <w:lang w:val="en-US"/>
        </w:rPr>
        <w:t xml:space="preserve"> </w:t>
      </w:r>
      <w:r w:rsidRPr="00662061">
        <w:rPr>
          <w:color w:val="000000" w:themeColor="text1"/>
          <w:lang w:val="en-US"/>
        </w:rPr>
        <w:t>the increasingly important role of service innovation in product firms to deliver performance improvements (</w:t>
      </w:r>
      <w:r w:rsidR="004931E9">
        <w:rPr>
          <w:color w:val="000000" w:themeColor="text1"/>
          <w:lang w:val="en-US"/>
        </w:rPr>
        <w:t xml:space="preserve">Benedettini and Neely, 2020; Feng </w:t>
      </w:r>
      <w:r w:rsidR="004931E9">
        <w:rPr>
          <w:i/>
          <w:iCs/>
          <w:color w:val="000000" w:themeColor="text1"/>
          <w:lang w:val="en-US"/>
        </w:rPr>
        <w:t>et al.</w:t>
      </w:r>
      <w:r w:rsidR="004931E9">
        <w:rPr>
          <w:color w:val="000000" w:themeColor="text1"/>
          <w:lang w:val="en-US"/>
        </w:rPr>
        <w:t xml:space="preserve">, 2020; </w:t>
      </w:r>
      <w:r w:rsidR="00433727" w:rsidRPr="00662061">
        <w:rPr>
          <w:color w:val="000000" w:themeColor="text1"/>
          <w:lang w:val="en-US"/>
        </w:rPr>
        <w:t xml:space="preserve">Sjödin </w:t>
      </w:r>
      <w:r w:rsidR="00433727" w:rsidRPr="00E877E0">
        <w:rPr>
          <w:i/>
          <w:iCs/>
          <w:color w:val="000000" w:themeColor="text1"/>
          <w:lang w:val="en-US"/>
        </w:rPr>
        <w:t>et al.</w:t>
      </w:r>
      <w:r w:rsidR="00433727" w:rsidRPr="00662061">
        <w:rPr>
          <w:color w:val="000000" w:themeColor="text1"/>
          <w:lang w:val="en-US"/>
        </w:rPr>
        <w:t>, 2019</w:t>
      </w:r>
      <w:r w:rsidRPr="00662061">
        <w:rPr>
          <w:color w:val="000000" w:themeColor="text1"/>
          <w:lang w:val="en-US"/>
        </w:rPr>
        <w:t>).</w:t>
      </w:r>
    </w:p>
    <w:p w14:paraId="1B8AD467" w14:textId="7EDAB1EF" w:rsidR="001F3C30" w:rsidRPr="00662061" w:rsidRDefault="00BB3D6E" w:rsidP="001F3C30">
      <w:pPr>
        <w:spacing w:line="360" w:lineRule="auto"/>
        <w:ind w:firstLine="425"/>
        <w:rPr>
          <w:color w:val="000000" w:themeColor="text1"/>
          <w:lang w:val="en-US"/>
        </w:rPr>
      </w:pPr>
      <w:r w:rsidRPr="00662061">
        <w:rPr>
          <w:color w:val="000000" w:themeColor="text1"/>
          <w:lang w:val="en-US"/>
        </w:rPr>
        <w:t>Digital servi</w:t>
      </w:r>
      <w:r w:rsidR="000C5DEF" w:rsidRPr="00662061">
        <w:rPr>
          <w:color w:val="000000" w:themeColor="text1"/>
          <w:lang w:val="en-US"/>
        </w:rPr>
        <w:t xml:space="preserve">tization, however, represents a </w:t>
      </w:r>
      <w:r w:rsidRPr="00662061">
        <w:rPr>
          <w:color w:val="000000" w:themeColor="text1"/>
          <w:lang w:val="en-US"/>
        </w:rPr>
        <w:t xml:space="preserve">service innovation strategy that encompasses the provision of digitally enhanced profitable and value-creating services (Vendrell-Herrero </w:t>
      </w:r>
      <w:r w:rsidRPr="00E877E0">
        <w:rPr>
          <w:i/>
          <w:iCs/>
          <w:color w:val="000000" w:themeColor="text1"/>
          <w:lang w:val="en-US"/>
        </w:rPr>
        <w:t>et al.</w:t>
      </w:r>
      <w:r w:rsidRPr="00662061">
        <w:rPr>
          <w:color w:val="000000" w:themeColor="text1"/>
          <w:lang w:val="en-US"/>
        </w:rPr>
        <w:t xml:space="preserve">, 2017). Derived from the mainstream servitization of manufacturing (Visnjic-Kastalli and Van Looy, 2013), it embodies a maturing technological innovation adopted by </w:t>
      </w:r>
      <w:r w:rsidR="00F745F8" w:rsidRPr="00662061">
        <w:rPr>
          <w:color w:val="000000" w:themeColor="text1"/>
          <w:lang w:val="en-US"/>
        </w:rPr>
        <w:t xml:space="preserve">manufacturing </w:t>
      </w:r>
      <w:r w:rsidRPr="00662061">
        <w:rPr>
          <w:color w:val="000000" w:themeColor="text1"/>
          <w:lang w:val="en-US"/>
        </w:rPr>
        <w:t xml:space="preserve">firms looking for performance improvements in innovative </w:t>
      </w:r>
      <w:r w:rsidR="008F7DD1" w:rsidRPr="00662061">
        <w:rPr>
          <w:color w:val="000000" w:themeColor="text1"/>
          <w:lang w:val="en-US"/>
        </w:rPr>
        <w:t>contexts (</w:t>
      </w:r>
      <w:r w:rsidR="00CC1A3B" w:rsidRPr="00662061">
        <w:rPr>
          <w:color w:val="000000" w:themeColor="text1"/>
          <w:lang w:val="en-US"/>
        </w:rPr>
        <w:t xml:space="preserve">Cenamor </w:t>
      </w:r>
      <w:r w:rsidR="00CC1A3B" w:rsidRPr="00E877E0">
        <w:rPr>
          <w:i/>
          <w:iCs/>
          <w:color w:val="000000" w:themeColor="text1"/>
          <w:lang w:val="en-US"/>
        </w:rPr>
        <w:t>et al.</w:t>
      </w:r>
      <w:r w:rsidR="00CC1A3B" w:rsidRPr="00662061">
        <w:rPr>
          <w:color w:val="000000" w:themeColor="text1"/>
          <w:lang w:val="en-US"/>
        </w:rPr>
        <w:t>, 2017</w:t>
      </w:r>
      <w:r w:rsidR="008F7DD1" w:rsidRPr="00662061">
        <w:rPr>
          <w:color w:val="000000" w:themeColor="text1"/>
          <w:lang w:val="en-US"/>
        </w:rPr>
        <w:t>).</w:t>
      </w:r>
    </w:p>
    <w:p w14:paraId="38034384" w14:textId="1611F820" w:rsidR="001F3C30" w:rsidRPr="00BA6D11" w:rsidRDefault="001F3C30" w:rsidP="001F3C30">
      <w:pPr>
        <w:spacing w:line="360" w:lineRule="auto"/>
        <w:ind w:firstLine="425"/>
        <w:rPr>
          <w:lang w:val="en-US"/>
        </w:rPr>
      </w:pPr>
      <w:r w:rsidRPr="00662061">
        <w:rPr>
          <w:color w:val="000000" w:themeColor="text1"/>
          <w:lang w:val="en-US"/>
        </w:rPr>
        <w:t xml:space="preserve">While </w:t>
      </w:r>
      <w:r w:rsidR="00510661" w:rsidRPr="00662061">
        <w:rPr>
          <w:color w:val="000000" w:themeColor="text1"/>
          <w:lang w:val="en-US"/>
        </w:rPr>
        <w:t xml:space="preserve">the literature on </w:t>
      </w:r>
      <w:r w:rsidRPr="00662061">
        <w:rPr>
          <w:color w:val="000000" w:themeColor="text1"/>
          <w:lang w:val="en-US"/>
        </w:rPr>
        <w:t>technological innovation suggests that jointly deployed</w:t>
      </w:r>
      <w:r w:rsidR="000C6CB7" w:rsidRPr="00662061">
        <w:rPr>
          <w:color w:val="000000" w:themeColor="text1"/>
          <w:lang w:val="en-US"/>
        </w:rPr>
        <w:t xml:space="preserve"> innovations</w:t>
      </w:r>
      <w:r w:rsidRPr="00662061">
        <w:rPr>
          <w:color w:val="000000" w:themeColor="text1"/>
          <w:lang w:val="en-US"/>
        </w:rPr>
        <w:t xml:space="preserve"> mutually reinforce one another, </w:t>
      </w:r>
      <w:r w:rsidR="000C6CB7" w:rsidRPr="00662061">
        <w:rPr>
          <w:color w:val="000000" w:themeColor="text1"/>
          <w:lang w:val="en-US"/>
        </w:rPr>
        <w:t xml:space="preserve">and </w:t>
      </w:r>
      <w:r w:rsidRPr="00662061">
        <w:rPr>
          <w:color w:val="000000" w:themeColor="text1"/>
          <w:lang w:val="en-US"/>
        </w:rPr>
        <w:t>in turn have positive effects on firm performance (Prajogo, 2016), s</w:t>
      </w:r>
      <w:r w:rsidR="00B800A1" w:rsidRPr="00662061">
        <w:rPr>
          <w:color w:val="000000" w:themeColor="text1"/>
          <w:lang w:val="en-US"/>
        </w:rPr>
        <w:t xml:space="preserve">ervitization research has largely </w:t>
      </w:r>
      <w:r w:rsidRPr="00662061">
        <w:rPr>
          <w:color w:val="000000" w:themeColor="text1"/>
          <w:lang w:val="en-US"/>
        </w:rPr>
        <w:t>analyzed service innovation outcomes as an isolated ph</w:t>
      </w:r>
      <w:r w:rsidR="00B800A1" w:rsidRPr="00662061">
        <w:rPr>
          <w:color w:val="000000" w:themeColor="text1"/>
          <w:lang w:val="en-US"/>
        </w:rPr>
        <w:t xml:space="preserve">enomenon in manufacturing firms without considering it </w:t>
      </w:r>
      <w:r w:rsidRPr="00662061">
        <w:rPr>
          <w:color w:val="000000" w:themeColor="text1"/>
          <w:lang w:val="en-US"/>
        </w:rPr>
        <w:t>as part of a synergistic and complementary system of innovations</w:t>
      </w:r>
      <w:r w:rsidR="00716CEC" w:rsidRPr="00662061">
        <w:rPr>
          <w:color w:val="000000" w:themeColor="text1"/>
          <w:lang w:val="en-US"/>
        </w:rPr>
        <w:t xml:space="preserve"> (</w:t>
      </w:r>
      <w:r w:rsidR="00A23443" w:rsidRPr="00662061">
        <w:rPr>
          <w:color w:val="000000" w:themeColor="text1"/>
          <w:lang w:val="en-US"/>
        </w:rPr>
        <w:t>e.g. see Visnjic-Kastalli and Van Looy, 2013</w:t>
      </w:r>
      <w:r w:rsidR="00716CEC" w:rsidRPr="00662061">
        <w:rPr>
          <w:color w:val="000000" w:themeColor="text1"/>
          <w:lang w:val="en-US"/>
        </w:rPr>
        <w:t>)</w:t>
      </w:r>
      <w:r w:rsidRPr="00662061">
        <w:rPr>
          <w:color w:val="000000" w:themeColor="text1"/>
          <w:lang w:val="en-US"/>
        </w:rPr>
        <w:t xml:space="preserve">. The aim of this research is therefore to fill this gap in the literature by </w:t>
      </w:r>
      <w:r w:rsidRPr="00662061">
        <w:rPr>
          <w:color w:val="000000" w:themeColor="text1"/>
          <w:lang w:val="en-US"/>
        </w:rPr>
        <w:lastRenderedPageBreak/>
        <w:t>uncovering the existence of complementarity between technological innovations, namely process, product</w:t>
      </w:r>
      <w:r w:rsidR="000C5D9D">
        <w:rPr>
          <w:color w:val="000000" w:themeColor="text1"/>
          <w:lang w:val="en-US"/>
        </w:rPr>
        <w:t>,</w:t>
      </w:r>
      <w:r w:rsidRPr="00662061">
        <w:rPr>
          <w:color w:val="000000" w:themeColor="text1"/>
          <w:lang w:val="en-US"/>
        </w:rPr>
        <w:t xml:space="preserve"> and service innova</w:t>
      </w:r>
      <w:r w:rsidR="00B800A1" w:rsidRPr="00662061">
        <w:rPr>
          <w:color w:val="000000" w:themeColor="text1"/>
          <w:lang w:val="en-US"/>
        </w:rPr>
        <w:t>tion</w:t>
      </w:r>
      <w:r w:rsidR="000C6CB7" w:rsidRPr="00662061">
        <w:rPr>
          <w:color w:val="000000" w:themeColor="text1"/>
          <w:lang w:val="en-US"/>
        </w:rPr>
        <w:t>,</w:t>
      </w:r>
      <w:r w:rsidR="00B800A1" w:rsidRPr="00662061">
        <w:rPr>
          <w:color w:val="000000" w:themeColor="text1"/>
          <w:lang w:val="en-US"/>
        </w:rPr>
        <w:t xml:space="preserve"> and its effect on firm</w:t>
      </w:r>
      <w:r w:rsidRPr="00662061">
        <w:rPr>
          <w:color w:val="000000" w:themeColor="text1"/>
          <w:lang w:val="en-US"/>
        </w:rPr>
        <w:t xml:space="preserve"> performance.</w:t>
      </w:r>
    </w:p>
    <w:p w14:paraId="7041FF75" w14:textId="19EB4D8A" w:rsidR="001F3C30" w:rsidRPr="00BA6D11" w:rsidRDefault="001F3C30" w:rsidP="001F3C30">
      <w:pPr>
        <w:spacing w:line="360" w:lineRule="auto"/>
        <w:ind w:firstLine="425"/>
        <w:rPr>
          <w:lang w:val="en-US"/>
        </w:rPr>
      </w:pPr>
      <w:r w:rsidRPr="00BA6D11">
        <w:rPr>
          <w:lang w:val="en-US"/>
        </w:rPr>
        <w:t>To this purpose, the present study draws from a sample of</w:t>
      </w:r>
      <w:r w:rsidR="00B800A1" w:rsidRPr="00BA6D11">
        <w:rPr>
          <w:lang w:val="en-US"/>
        </w:rPr>
        <w:t xml:space="preserve"> 423</w:t>
      </w:r>
      <w:r w:rsidRPr="00BA6D11">
        <w:rPr>
          <w:lang w:val="en-US"/>
        </w:rPr>
        <w:t xml:space="preserve"> </w:t>
      </w:r>
      <w:r w:rsidR="00716CEC" w:rsidRPr="00BA6D11">
        <w:rPr>
          <w:lang w:val="en-US"/>
        </w:rPr>
        <w:t xml:space="preserve">medium-sized </w:t>
      </w:r>
      <w:r w:rsidR="008E3FAD" w:rsidRPr="00BA6D11">
        <w:rPr>
          <w:lang w:val="en-US"/>
        </w:rPr>
        <w:t xml:space="preserve">Spanish </w:t>
      </w:r>
      <w:r w:rsidR="0060170D" w:rsidRPr="00BA6D11">
        <w:rPr>
          <w:lang w:val="en-US"/>
        </w:rPr>
        <w:t xml:space="preserve">industrial </w:t>
      </w:r>
      <w:r w:rsidR="00716CEC" w:rsidRPr="00BA6D11">
        <w:rPr>
          <w:lang w:val="en-US"/>
        </w:rPr>
        <w:t xml:space="preserve">firms </w:t>
      </w:r>
      <w:r w:rsidRPr="00BA6D11">
        <w:rPr>
          <w:lang w:val="en-US"/>
        </w:rPr>
        <w:t xml:space="preserve">operating in manufacturing contexts (NAICS 31, NAICS 32, and NAICS 33), and </w:t>
      </w:r>
      <w:r w:rsidR="0060170D" w:rsidRPr="00BA6D11">
        <w:rPr>
          <w:lang w:val="en-US"/>
        </w:rPr>
        <w:t>uses</w:t>
      </w:r>
      <w:r w:rsidRPr="00BA6D11">
        <w:rPr>
          <w:lang w:val="en-US"/>
        </w:rPr>
        <w:t xml:space="preserve"> a non-parametric method </w:t>
      </w:r>
      <w:r w:rsidR="0060170D" w:rsidRPr="00BA6D11">
        <w:rPr>
          <w:lang w:val="en-US"/>
        </w:rPr>
        <w:t xml:space="preserve">as an empirical approach </w:t>
      </w:r>
      <w:r w:rsidRPr="00BA6D11">
        <w:rPr>
          <w:lang w:val="en-US"/>
        </w:rPr>
        <w:t xml:space="preserve">to study the optimal </w:t>
      </w:r>
      <w:r w:rsidR="00F048B2" w:rsidRPr="00BA6D11">
        <w:rPr>
          <w:lang w:val="en-US"/>
        </w:rPr>
        <w:t>innovation portfolios</w:t>
      </w:r>
      <w:r w:rsidRPr="00BA6D11">
        <w:rPr>
          <w:lang w:val="en-US"/>
        </w:rPr>
        <w:t>, i.e., fuzzy-set qualitative comparative analysis (</w:t>
      </w:r>
      <w:proofErr w:type="spellStart"/>
      <w:r w:rsidRPr="00BA6D11">
        <w:rPr>
          <w:lang w:val="en-US"/>
        </w:rPr>
        <w:t>fsQCA</w:t>
      </w:r>
      <w:proofErr w:type="spellEnd"/>
      <w:r w:rsidRPr="00BA6D11">
        <w:rPr>
          <w:lang w:val="en-US"/>
        </w:rPr>
        <w:t>).</w:t>
      </w:r>
    </w:p>
    <w:p w14:paraId="2EF229E9" w14:textId="4A17B24B" w:rsidR="001F3C30" w:rsidRPr="00BA6D11" w:rsidRDefault="001F3C30" w:rsidP="001F3C30">
      <w:pPr>
        <w:spacing w:line="360" w:lineRule="auto"/>
        <w:ind w:firstLine="425"/>
        <w:rPr>
          <w:lang w:val="en-US"/>
        </w:rPr>
      </w:pPr>
      <w:r w:rsidRPr="00BA6D11">
        <w:rPr>
          <w:lang w:val="en-US"/>
        </w:rPr>
        <w:t>This study makes three important contributions. First, it responds to a call for studies to assess the synchronized deployment of various innovation types (</w:t>
      </w:r>
      <w:proofErr w:type="spellStart"/>
      <w:r w:rsidRPr="00BA6D11">
        <w:rPr>
          <w:lang w:val="en-US"/>
        </w:rPr>
        <w:t>Damanpour</w:t>
      </w:r>
      <w:proofErr w:type="spellEnd"/>
      <w:r w:rsidRPr="00BA6D11">
        <w:rPr>
          <w:lang w:val="en-US"/>
        </w:rPr>
        <w:t xml:space="preserve">, 2014). Second, it </w:t>
      </w:r>
      <w:r w:rsidR="00E90562" w:rsidRPr="00BA6D11">
        <w:rPr>
          <w:lang w:val="en-US"/>
        </w:rPr>
        <w:t xml:space="preserve">explains </w:t>
      </w:r>
      <w:r w:rsidRPr="00BA6D11">
        <w:rPr>
          <w:lang w:val="en-US"/>
        </w:rPr>
        <w:t xml:space="preserve">that a necessary condition for firms’ performance gains is to </w:t>
      </w:r>
      <w:r w:rsidR="00510661" w:rsidRPr="00BA6D11">
        <w:rPr>
          <w:lang w:val="en-US"/>
        </w:rPr>
        <w:t xml:space="preserve">jointly </w:t>
      </w:r>
      <w:r w:rsidRPr="00BA6D11">
        <w:rPr>
          <w:lang w:val="en-US"/>
        </w:rPr>
        <w:t xml:space="preserve">deploy process and product innovations. Lastly, it demonstrates that </w:t>
      </w:r>
      <w:r w:rsidR="00A23443" w:rsidRPr="00BA6D11">
        <w:rPr>
          <w:lang w:val="en-US"/>
        </w:rPr>
        <w:t xml:space="preserve">in contexts with high industrial focus (NAICS 33) the </w:t>
      </w:r>
      <w:r w:rsidRPr="00BA6D11">
        <w:rPr>
          <w:lang w:val="en-US"/>
        </w:rPr>
        <w:t>optimal configuration for performance enhancement lies in the complementarity of service innovation with process and product innovation</w:t>
      </w:r>
      <w:r w:rsidR="00A23443" w:rsidRPr="00BA6D11">
        <w:rPr>
          <w:lang w:val="en-US"/>
        </w:rPr>
        <w:t xml:space="preserve">. </w:t>
      </w:r>
      <w:r w:rsidRPr="00BA6D11">
        <w:rPr>
          <w:lang w:val="en-US"/>
        </w:rPr>
        <w:t xml:space="preserve"> </w:t>
      </w:r>
    </w:p>
    <w:p w14:paraId="34799C1F" w14:textId="15CD1B03" w:rsidR="001F3C30" w:rsidRPr="00BA6D11" w:rsidRDefault="001F3C30" w:rsidP="001F3C30">
      <w:pPr>
        <w:spacing w:line="360" w:lineRule="auto"/>
        <w:ind w:firstLine="425"/>
        <w:rPr>
          <w:lang w:val="en-US"/>
        </w:rPr>
      </w:pPr>
      <w:r w:rsidRPr="00BA6D11">
        <w:rPr>
          <w:lang w:val="en-US"/>
        </w:rPr>
        <w:t>The paper is organized as follows: the Introduction, Section two</w:t>
      </w:r>
      <w:r w:rsidR="008E3FAD" w:rsidRPr="00BA6D11">
        <w:rPr>
          <w:lang w:val="en-US"/>
        </w:rPr>
        <w:t>, which</w:t>
      </w:r>
      <w:r w:rsidRPr="00BA6D11">
        <w:rPr>
          <w:lang w:val="en-US"/>
        </w:rPr>
        <w:t xml:space="preserve"> presents a literature review and sets out </w:t>
      </w:r>
      <w:r w:rsidR="00F745F8" w:rsidRPr="00BA6D11">
        <w:rPr>
          <w:lang w:val="en-US"/>
        </w:rPr>
        <w:t>testable propositions</w:t>
      </w:r>
      <w:r w:rsidRPr="00BA6D11">
        <w:rPr>
          <w:lang w:val="en-US"/>
        </w:rPr>
        <w:t>; Section three</w:t>
      </w:r>
      <w:r w:rsidR="008E3FAD" w:rsidRPr="00BA6D11">
        <w:rPr>
          <w:lang w:val="en-US"/>
        </w:rPr>
        <w:t>, which</w:t>
      </w:r>
      <w:r w:rsidRPr="00BA6D11">
        <w:rPr>
          <w:lang w:val="en-US"/>
        </w:rPr>
        <w:t xml:space="preserve"> describes the empirical research; Section four</w:t>
      </w:r>
      <w:r w:rsidR="008E3FAD" w:rsidRPr="00BA6D11">
        <w:rPr>
          <w:lang w:val="en-US"/>
        </w:rPr>
        <w:t>, which</w:t>
      </w:r>
      <w:r w:rsidR="0081732A" w:rsidRPr="00BA6D11">
        <w:rPr>
          <w:lang w:val="en-US"/>
        </w:rPr>
        <w:t xml:space="preserve"> shows the results</w:t>
      </w:r>
      <w:r w:rsidRPr="00BA6D11">
        <w:rPr>
          <w:lang w:val="en-US"/>
        </w:rPr>
        <w:t>;</w:t>
      </w:r>
      <w:r w:rsidR="000C6CB7" w:rsidRPr="00BA6D11">
        <w:rPr>
          <w:lang w:val="en-US"/>
        </w:rPr>
        <w:t xml:space="preserve"> and</w:t>
      </w:r>
      <w:r w:rsidRPr="00BA6D11">
        <w:rPr>
          <w:lang w:val="en-US"/>
        </w:rPr>
        <w:t xml:space="preserve"> Section five</w:t>
      </w:r>
      <w:r w:rsidR="00E90562" w:rsidRPr="00BA6D11">
        <w:rPr>
          <w:lang w:val="en-US"/>
        </w:rPr>
        <w:t>,</w:t>
      </w:r>
      <w:r w:rsidR="0081732A" w:rsidRPr="00BA6D11">
        <w:rPr>
          <w:lang w:val="en-US"/>
        </w:rPr>
        <w:t xml:space="preserve"> </w:t>
      </w:r>
      <w:r w:rsidR="008E3FAD" w:rsidRPr="00BA6D11">
        <w:rPr>
          <w:lang w:val="en-US"/>
        </w:rPr>
        <w:t xml:space="preserve">which </w:t>
      </w:r>
      <w:r w:rsidR="0081732A" w:rsidRPr="00BA6D11">
        <w:rPr>
          <w:lang w:val="en-US"/>
        </w:rPr>
        <w:t xml:space="preserve">discusses the </w:t>
      </w:r>
      <w:r w:rsidRPr="00BA6D11">
        <w:rPr>
          <w:lang w:val="en-US"/>
        </w:rPr>
        <w:t>conclusions and their implications.</w:t>
      </w:r>
    </w:p>
    <w:p w14:paraId="21D0BB92" w14:textId="77777777" w:rsidR="00433727" w:rsidRPr="00662061" w:rsidRDefault="00433727" w:rsidP="001F3C30">
      <w:pPr>
        <w:spacing w:line="360" w:lineRule="auto"/>
        <w:rPr>
          <w:b/>
          <w:lang w:val="en-US"/>
        </w:rPr>
      </w:pPr>
    </w:p>
    <w:p w14:paraId="7802E411" w14:textId="38672841" w:rsidR="009E4598" w:rsidRPr="00BA6D11" w:rsidRDefault="00E61B6B" w:rsidP="001F3C30">
      <w:pPr>
        <w:spacing w:line="360" w:lineRule="auto"/>
        <w:rPr>
          <w:lang w:val="en-US"/>
        </w:rPr>
      </w:pPr>
      <w:r w:rsidRPr="00662061">
        <w:rPr>
          <w:b/>
          <w:lang w:val="en-US"/>
        </w:rPr>
        <w:t xml:space="preserve">2. </w:t>
      </w:r>
      <w:r w:rsidR="009E4598" w:rsidRPr="00662061">
        <w:rPr>
          <w:b/>
          <w:lang w:val="en-US"/>
        </w:rPr>
        <w:t>Literature review</w:t>
      </w:r>
    </w:p>
    <w:p w14:paraId="7F64EFBA" w14:textId="7FF4789A" w:rsidR="009E4598" w:rsidRPr="00662061" w:rsidRDefault="00E61B6B" w:rsidP="00DB646B">
      <w:pPr>
        <w:spacing w:line="360" w:lineRule="auto"/>
        <w:rPr>
          <w:i/>
          <w:lang w:val="en-US"/>
        </w:rPr>
      </w:pPr>
      <w:r w:rsidRPr="00662061">
        <w:rPr>
          <w:i/>
          <w:lang w:val="en-US"/>
        </w:rPr>
        <w:t xml:space="preserve">2.1. </w:t>
      </w:r>
      <w:r w:rsidR="00646B85" w:rsidRPr="00662061">
        <w:rPr>
          <w:i/>
          <w:lang w:val="en-US"/>
        </w:rPr>
        <w:t xml:space="preserve">Technological innovation </w:t>
      </w:r>
    </w:p>
    <w:p w14:paraId="3A81BEDC" w14:textId="5619B51F" w:rsidR="001A3CD9" w:rsidRPr="00662061" w:rsidRDefault="001A3CD9" w:rsidP="00DB646B">
      <w:pPr>
        <w:spacing w:line="360" w:lineRule="auto"/>
        <w:rPr>
          <w:rFonts w:eastAsia="Calibri"/>
          <w:lang w:val="en-US"/>
        </w:rPr>
      </w:pPr>
      <w:r w:rsidRPr="00662061">
        <w:rPr>
          <w:rFonts w:eastAsia="Calibri"/>
          <w:lang w:val="en-US"/>
        </w:rPr>
        <w:t>Technological innovation in industrial contexts has been widely categorized into</w:t>
      </w:r>
      <w:r w:rsidR="002C0EE2" w:rsidRPr="00662061">
        <w:rPr>
          <w:rFonts w:eastAsia="Calibri"/>
          <w:lang w:val="en-US"/>
        </w:rPr>
        <w:t xml:space="preserve"> process and product innovation</w:t>
      </w:r>
      <w:r w:rsidRPr="00662061">
        <w:rPr>
          <w:rFonts w:eastAsia="Calibri"/>
          <w:lang w:val="en-US"/>
        </w:rPr>
        <w:t xml:space="preserve">, in agreement with the notion that both innovation types possess meaningful strategic values for providing firms </w:t>
      </w:r>
      <w:r w:rsidR="000C6CB7" w:rsidRPr="00662061">
        <w:rPr>
          <w:rFonts w:eastAsia="Calibri"/>
          <w:lang w:val="en-US"/>
        </w:rPr>
        <w:t xml:space="preserve">with </w:t>
      </w:r>
      <w:r w:rsidRPr="00662061">
        <w:rPr>
          <w:rFonts w:eastAsia="Calibri"/>
          <w:lang w:val="en-US"/>
        </w:rPr>
        <w:t>a com</w:t>
      </w:r>
      <w:r w:rsidR="00433727" w:rsidRPr="00662061">
        <w:rPr>
          <w:rFonts w:eastAsia="Calibri"/>
          <w:lang w:val="en-US"/>
        </w:rPr>
        <w:t xml:space="preserve">petitive edge (Damanpour, 2010; </w:t>
      </w:r>
      <w:r w:rsidRPr="00662061">
        <w:rPr>
          <w:rFonts w:eastAsia="Calibri"/>
          <w:lang w:val="en-US"/>
        </w:rPr>
        <w:t xml:space="preserve">Onufrey and Bergek, 2020). </w:t>
      </w:r>
    </w:p>
    <w:p w14:paraId="35BCA517" w14:textId="0143D490" w:rsidR="00010C6C" w:rsidRPr="00662061" w:rsidRDefault="001A3CD9" w:rsidP="00DB646B">
      <w:pPr>
        <w:spacing w:line="360" w:lineRule="auto"/>
        <w:ind w:firstLine="425"/>
        <w:rPr>
          <w:rFonts w:eastAsia="Calibri"/>
          <w:lang w:val="en-US"/>
        </w:rPr>
      </w:pPr>
      <w:r w:rsidRPr="00662061">
        <w:rPr>
          <w:rFonts w:eastAsia="Calibri"/>
          <w:lang w:val="en-US"/>
        </w:rPr>
        <w:t>Process innovation is regarded as the implementation of new or significantly enhanced production or delivery methods, through the introduction of substantial changes in techniques, equipment and/or software (OECD</w:t>
      </w:r>
      <w:r w:rsidR="00E877E0">
        <w:rPr>
          <w:rFonts w:eastAsia="Calibri"/>
          <w:lang w:val="en-US"/>
        </w:rPr>
        <w:t>,</w:t>
      </w:r>
      <w:r w:rsidRPr="00662061">
        <w:rPr>
          <w:rFonts w:eastAsia="Calibri"/>
          <w:lang w:val="en-US"/>
        </w:rPr>
        <w:t xml:space="preserve"> 2005).</w:t>
      </w:r>
      <w:r w:rsidRPr="00662061">
        <w:rPr>
          <w:lang w:val="en-US"/>
        </w:rPr>
        <w:t xml:space="preserve"> </w:t>
      </w:r>
      <w:r w:rsidRPr="00662061">
        <w:rPr>
          <w:rFonts w:eastAsia="Calibri"/>
          <w:lang w:val="en-US"/>
        </w:rPr>
        <w:t>This type of innovation has proven to upgrade firms´ operating processes, leading to enhanced efficienc</w:t>
      </w:r>
      <w:r w:rsidR="00716CEC" w:rsidRPr="00662061">
        <w:rPr>
          <w:rFonts w:eastAsia="Calibri"/>
          <w:lang w:val="en-US"/>
        </w:rPr>
        <w:t>y (e.g.</w:t>
      </w:r>
      <w:r w:rsidRPr="00662061">
        <w:rPr>
          <w:rFonts w:eastAsia="Calibri"/>
          <w:lang w:val="en-US"/>
        </w:rPr>
        <w:t xml:space="preserve"> time savings), quality (e.g., defect reduction), and profitability in production</w:t>
      </w:r>
      <w:r w:rsidRPr="00662061">
        <w:rPr>
          <w:lang w:val="en-US"/>
        </w:rPr>
        <w:t xml:space="preserve"> </w:t>
      </w:r>
      <w:r w:rsidRPr="00662061">
        <w:rPr>
          <w:rFonts w:eastAsia="Calibri"/>
          <w:lang w:val="en-US"/>
        </w:rPr>
        <w:t xml:space="preserve">(e.g., cost optimization) (Chai </w:t>
      </w:r>
      <w:r w:rsidRPr="00E877E0">
        <w:rPr>
          <w:rFonts w:eastAsia="Calibri"/>
          <w:i/>
          <w:iCs/>
          <w:lang w:val="en-US"/>
        </w:rPr>
        <w:t>et al.</w:t>
      </w:r>
      <w:r w:rsidRPr="00662061">
        <w:rPr>
          <w:rFonts w:eastAsia="Calibri"/>
          <w:lang w:val="en-US"/>
        </w:rPr>
        <w:t xml:space="preserve">, 2020). Through process innovation firms accumulate technology and knowledge, which </w:t>
      </w:r>
      <w:r w:rsidR="003C6F31" w:rsidRPr="00662061">
        <w:rPr>
          <w:rFonts w:eastAsia="Calibri"/>
          <w:lang w:val="en-US"/>
        </w:rPr>
        <w:t xml:space="preserve">boosts </w:t>
      </w:r>
      <w:r w:rsidRPr="00662061">
        <w:rPr>
          <w:rFonts w:eastAsia="Calibri"/>
          <w:lang w:val="en-US"/>
        </w:rPr>
        <w:t xml:space="preserve">the development of new products and thereby </w:t>
      </w:r>
      <w:r w:rsidR="00E90562" w:rsidRPr="00662061">
        <w:rPr>
          <w:rFonts w:eastAsia="Calibri"/>
          <w:lang w:val="en-US"/>
        </w:rPr>
        <w:t xml:space="preserve">affords </w:t>
      </w:r>
      <w:r w:rsidRPr="00662061">
        <w:rPr>
          <w:rFonts w:eastAsia="Calibri"/>
          <w:lang w:val="en-US"/>
        </w:rPr>
        <w:t xml:space="preserve">further opportunities to expand market share (Lisboa </w:t>
      </w:r>
      <w:r w:rsidRPr="00E877E0">
        <w:rPr>
          <w:rFonts w:eastAsia="Calibri"/>
          <w:i/>
          <w:iCs/>
          <w:lang w:val="en-US"/>
        </w:rPr>
        <w:t>et al.</w:t>
      </w:r>
      <w:r w:rsidRPr="00662061">
        <w:rPr>
          <w:rFonts w:eastAsia="Calibri"/>
          <w:lang w:val="en-US"/>
        </w:rPr>
        <w:t xml:space="preserve">, 2011). Furthermore, process innovation materializes at </w:t>
      </w:r>
      <w:r w:rsidR="009C434C" w:rsidRPr="00662061">
        <w:rPr>
          <w:rFonts w:eastAsia="Calibri"/>
          <w:lang w:val="en-US"/>
        </w:rPr>
        <w:t xml:space="preserve">an </w:t>
      </w:r>
      <w:r w:rsidRPr="00662061">
        <w:rPr>
          <w:rFonts w:eastAsia="Calibri"/>
          <w:lang w:val="en-US"/>
        </w:rPr>
        <w:t xml:space="preserve">internal level, which makes </w:t>
      </w:r>
      <w:r w:rsidR="009C434C" w:rsidRPr="00662061">
        <w:rPr>
          <w:rFonts w:eastAsia="Calibri"/>
          <w:lang w:val="en-US"/>
        </w:rPr>
        <w:t xml:space="preserve">replication </w:t>
      </w:r>
      <w:r w:rsidRPr="00662061">
        <w:rPr>
          <w:rFonts w:eastAsia="Calibri"/>
          <w:lang w:val="en-US"/>
        </w:rPr>
        <w:t>difficult, erecting higher entry barriers for competitors</w:t>
      </w:r>
      <w:r w:rsidR="00E90562" w:rsidRPr="00662061">
        <w:rPr>
          <w:rFonts w:eastAsia="Calibri"/>
          <w:lang w:val="en-US"/>
        </w:rPr>
        <w:t xml:space="preserve"> and </w:t>
      </w:r>
      <w:r w:rsidRPr="00662061">
        <w:rPr>
          <w:rFonts w:eastAsia="Calibri"/>
          <w:lang w:val="en-US"/>
        </w:rPr>
        <w:t>thus, protecting the firms' market advantage (Prajogo, 2016)</w:t>
      </w:r>
      <w:r w:rsidR="00200BD0" w:rsidRPr="00662061">
        <w:rPr>
          <w:rFonts w:eastAsia="Calibri"/>
          <w:lang w:val="en-US"/>
        </w:rPr>
        <w:t xml:space="preserve">. </w:t>
      </w:r>
      <w:r w:rsidR="00010C6C" w:rsidRPr="00662061">
        <w:rPr>
          <w:rFonts w:eastAsia="Calibri"/>
          <w:lang w:val="en-US"/>
        </w:rPr>
        <w:t xml:space="preserve">One example of process innovation </w:t>
      </w:r>
      <w:r w:rsidR="009C434C" w:rsidRPr="00662061">
        <w:rPr>
          <w:rFonts w:eastAsia="Calibri"/>
          <w:lang w:val="en-US"/>
        </w:rPr>
        <w:t xml:space="preserve">can be observed </w:t>
      </w:r>
      <w:r w:rsidR="00010C6C" w:rsidRPr="00662061">
        <w:rPr>
          <w:rFonts w:eastAsia="Calibri"/>
          <w:lang w:val="en-US"/>
        </w:rPr>
        <w:t>at</w:t>
      </w:r>
      <w:r w:rsidR="00DC2F14" w:rsidRPr="00662061">
        <w:rPr>
          <w:rFonts w:eastAsia="Calibri"/>
          <w:lang w:val="en-US"/>
        </w:rPr>
        <w:t xml:space="preserve"> </w:t>
      </w:r>
      <w:r w:rsidR="008E3FAD" w:rsidRPr="00662061">
        <w:rPr>
          <w:rFonts w:eastAsia="Calibri"/>
          <w:lang w:val="en-US"/>
        </w:rPr>
        <w:t xml:space="preserve">the </w:t>
      </w:r>
      <w:r w:rsidR="00DC2F14" w:rsidRPr="00662061">
        <w:rPr>
          <w:rFonts w:eastAsia="Calibri"/>
          <w:lang w:val="en-US"/>
        </w:rPr>
        <w:t>Zara Group,</w:t>
      </w:r>
      <w:r w:rsidR="00DC2F14" w:rsidRPr="00BA6D11">
        <w:rPr>
          <w:lang w:val="en-US"/>
        </w:rPr>
        <w:t xml:space="preserve"> </w:t>
      </w:r>
      <w:r w:rsidR="00DC2F14" w:rsidRPr="00662061">
        <w:rPr>
          <w:rFonts w:eastAsia="Calibri"/>
          <w:lang w:val="en-US"/>
        </w:rPr>
        <w:t xml:space="preserve">the star brand of the Inditex holding, </w:t>
      </w:r>
      <w:r w:rsidR="009C434C" w:rsidRPr="00662061">
        <w:rPr>
          <w:rFonts w:eastAsia="Calibri"/>
          <w:lang w:val="en-US"/>
        </w:rPr>
        <w:t xml:space="preserve">which </w:t>
      </w:r>
      <w:r w:rsidR="00200BD0" w:rsidRPr="00662061">
        <w:rPr>
          <w:rFonts w:eastAsia="Calibri"/>
          <w:lang w:val="en-US"/>
        </w:rPr>
        <w:lastRenderedPageBreak/>
        <w:t xml:space="preserve">implemented </w:t>
      </w:r>
      <w:r w:rsidR="00DC2F14" w:rsidRPr="00662061">
        <w:rPr>
          <w:rFonts w:eastAsia="Calibri"/>
          <w:lang w:val="en-US"/>
        </w:rPr>
        <w:t xml:space="preserve">an information system </w:t>
      </w:r>
      <w:r w:rsidR="00010C6C" w:rsidRPr="00662061">
        <w:rPr>
          <w:rFonts w:eastAsia="Calibri"/>
          <w:lang w:val="en-US"/>
        </w:rPr>
        <w:t xml:space="preserve">to provide its operations analysts </w:t>
      </w:r>
      <w:r w:rsidR="009C434C" w:rsidRPr="00662061">
        <w:rPr>
          <w:rFonts w:eastAsia="Calibri"/>
          <w:lang w:val="en-US"/>
        </w:rPr>
        <w:t xml:space="preserve">with </w:t>
      </w:r>
      <w:r w:rsidR="00010C6C" w:rsidRPr="00662061">
        <w:rPr>
          <w:rFonts w:eastAsia="Calibri"/>
          <w:lang w:val="en-US"/>
        </w:rPr>
        <w:t xml:space="preserve">real-time access to </w:t>
      </w:r>
      <w:r w:rsidR="00DC2F14" w:rsidRPr="00662061">
        <w:rPr>
          <w:rFonts w:eastAsia="Calibri"/>
          <w:lang w:val="en-US"/>
        </w:rPr>
        <w:t xml:space="preserve">all its retail outlets around the world to </w:t>
      </w:r>
      <w:r w:rsidR="00010C6C" w:rsidRPr="00662061">
        <w:rPr>
          <w:rFonts w:eastAsia="Calibri"/>
          <w:lang w:val="en-US"/>
        </w:rPr>
        <w:t>control,</w:t>
      </w:r>
      <w:r w:rsidR="00DC2F14" w:rsidRPr="00662061">
        <w:rPr>
          <w:rFonts w:eastAsia="Calibri"/>
          <w:lang w:val="en-US"/>
        </w:rPr>
        <w:t xml:space="preserve"> evaluate,</w:t>
      </w:r>
      <w:r w:rsidR="00010C6C" w:rsidRPr="00662061">
        <w:rPr>
          <w:rFonts w:eastAsia="Calibri"/>
          <w:lang w:val="en-US"/>
        </w:rPr>
        <w:t xml:space="preserve"> and decide </w:t>
      </w:r>
      <w:r w:rsidR="009C434C" w:rsidRPr="00662061">
        <w:rPr>
          <w:rFonts w:eastAsia="Calibri"/>
          <w:lang w:val="en-US"/>
        </w:rPr>
        <w:t xml:space="preserve">on </w:t>
      </w:r>
      <w:r w:rsidR="00DC2F14" w:rsidRPr="00662061">
        <w:rPr>
          <w:rFonts w:eastAsia="Calibri"/>
          <w:lang w:val="en-US"/>
        </w:rPr>
        <w:t>the necessary production level</w:t>
      </w:r>
      <w:r w:rsidR="00200BD0" w:rsidRPr="00662061">
        <w:rPr>
          <w:rFonts w:eastAsia="Calibri"/>
          <w:lang w:val="en-US"/>
        </w:rPr>
        <w:t xml:space="preserve">s to </w:t>
      </w:r>
      <w:r w:rsidR="00DC2F14" w:rsidRPr="00662061">
        <w:rPr>
          <w:rFonts w:eastAsia="Calibri"/>
          <w:lang w:val="en-US"/>
        </w:rPr>
        <w:t>suppl</w:t>
      </w:r>
      <w:r w:rsidR="00200BD0" w:rsidRPr="00662061">
        <w:rPr>
          <w:rFonts w:eastAsia="Calibri"/>
          <w:lang w:val="en-US"/>
        </w:rPr>
        <w:t>y them</w:t>
      </w:r>
      <w:r w:rsidR="00117EF6" w:rsidRPr="00BA6D11">
        <w:rPr>
          <w:lang w:val="en-US"/>
        </w:rPr>
        <w:t xml:space="preserve"> </w:t>
      </w:r>
      <w:r w:rsidR="00117EF6" w:rsidRPr="00662061">
        <w:rPr>
          <w:rFonts w:eastAsia="Calibri"/>
          <w:lang w:val="en-US"/>
        </w:rPr>
        <w:t>seamlessly,</w:t>
      </w:r>
      <w:r w:rsidR="00BE7C80" w:rsidRPr="00662061">
        <w:rPr>
          <w:rFonts w:eastAsia="Calibri"/>
          <w:lang w:val="en-US"/>
        </w:rPr>
        <w:t xml:space="preserve"> </w:t>
      </w:r>
      <w:r w:rsidR="009C434C" w:rsidRPr="00662061">
        <w:rPr>
          <w:rFonts w:eastAsia="Calibri"/>
          <w:lang w:val="en-US"/>
        </w:rPr>
        <w:t xml:space="preserve">hence </w:t>
      </w:r>
      <w:r w:rsidR="00D020DC" w:rsidRPr="00662061">
        <w:rPr>
          <w:rFonts w:eastAsia="Calibri"/>
          <w:lang w:val="en-US"/>
        </w:rPr>
        <w:t xml:space="preserve">greatly reducing product inventory </w:t>
      </w:r>
      <w:r w:rsidR="00200BD0" w:rsidRPr="00662061">
        <w:rPr>
          <w:rFonts w:eastAsia="Calibri"/>
          <w:lang w:val="en-US"/>
        </w:rPr>
        <w:t>(Garc</w:t>
      </w:r>
      <w:r w:rsidR="00C91C0D">
        <w:rPr>
          <w:rFonts w:eastAsia="Calibri"/>
          <w:lang w:val="en-US"/>
        </w:rPr>
        <w:t>i</w:t>
      </w:r>
      <w:r w:rsidR="00200BD0" w:rsidRPr="00662061">
        <w:rPr>
          <w:rFonts w:eastAsia="Calibri"/>
          <w:lang w:val="en-US"/>
        </w:rPr>
        <w:t>a-</w:t>
      </w:r>
      <w:r w:rsidR="00C91C0D">
        <w:rPr>
          <w:rFonts w:eastAsia="Calibri"/>
          <w:lang w:val="en-US"/>
        </w:rPr>
        <w:t>A</w:t>
      </w:r>
      <w:r w:rsidR="00200BD0" w:rsidRPr="00662061">
        <w:rPr>
          <w:rFonts w:eastAsia="Calibri"/>
          <w:lang w:val="en-US"/>
        </w:rPr>
        <w:t xml:space="preserve">lvarez, 2015). </w:t>
      </w:r>
    </w:p>
    <w:p w14:paraId="062149FB" w14:textId="785A923C" w:rsidR="00A8586B" w:rsidRPr="00662061" w:rsidRDefault="001A3CD9" w:rsidP="00DB646B">
      <w:pPr>
        <w:spacing w:line="360" w:lineRule="auto"/>
        <w:ind w:firstLine="425"/>
        <w:rPr>
          <w:rFonts w:eastAsia="Calibri"/>
          <w:lang w:val="en-US"/>
        </w:rPr>
      </w:pPr>
      <w:r w:rsidRPr="00662061">
        <w:rPr>
          <w:rFonts w:eastAsia="Calibri"/>
          <w:lang w:val="en-US"/>
        </w:rPr>
        <w:t xml:space="preserve">Product innovation, on the other </w:t>
      </w:r>
      <w:r w:rsidR="00E90562" w:rsidRPr="00662061">
        <w:rPr>
          <w:rFonts w:eastAsia="Calibri"/>
          <w:lang w:val="en-US"/>
        </w:rPr>
        <w:t>hand</w:t>
      </w:r>
      <w:r w:rsidRPr="00662061">
        <w:rPr>
          <w:rFonts w:eastAsia="Calibri"/>
          <w:lang w:val="en-US"/>
        </w:rPr>
        <w:t>, implies the introduction of technical specifications, components and materials, software technologies, or other functional features in products or services for meeting market demands (OECD</w:t>
      </w:r>
      <w:r w:rsidR="00E877E0">
        <w:rPr>
          <w:rFonts w:eastAsia="Calibri"/>
          <w:lang w:val="en-US"/>
        </w:rPr>
        <w:t>,</w:t>
      </w:r>
      <w:r w:rsidRPr="00662061">
        <w:rPr>
          <w:rFonts w:eastAsia="Calibri"/>
          <w:lang w:val="en-US"/>
        </w:rPr>
        <w:t xml:space="preserve"> 2005).</w:t>
      </w:r>
      <w:r w:rsidRPr="00662061">
        <w:rPr>
          <w:lang w:val="en-US"/>
        </w:rPr>
        <w:t xml:space="preserve"> </w:t>
      </w:r>
      <w:r w:rsidRPr="00662061">
        <w:rPr>
          <w:rFonts w:eastAsia="Calibri"/>
          <w:lang w:val="en-US"/>
        </w:rPr>
        <w:t xml:space="preserve">This type </w:t>
      </w:r>
      <w:r w:rsidR="009C434C" w:rsidRPr="00662061">
        <w:rPr>
          <w:rFonts w:eastAsia="Calibri"/>
          <w:lang w:val="en-US"/>
        </w:rPr>
        <w:t xml:space="preserve">of </w:t>
      </w:r>
      <w:r w:rsidRPr="00662061">
        <w:rPr>
          <w:rFonts w:eastAsia="Calibri"/>
          <w:lang w:val="en-US"/>
        </w:rPr>
        <w:t>innovation has shown to enhance the value delivered by products</w:t>
      </w:r>
      <w:r w:rsidR="00C75FAB" w:rsidRPr="00662061">
        <w:rPr>
          <w:rFonts w:eastAsia="Calibri"/>
          <w:lang w:val="en-US"/>
        </w:rPr>
        <w:t>/services</w:t>
      </w:r>
      <w:r w:rsidRPr="00662061">
        <w:rPr>
          <w:rFonts w:eastAsia="Calibri"/>
          <w:lang w:val="en-US"/>
        </w:rPr>
        <w:t xml:space="preserve"> for meeting customers´ needs (Sok and O'Cass, 2015), increasing customer experience (Foroudi </w:t>
      </w:r>
      <w:r w:rsidRPr="00C91C0D">
        <w:rPr>
          <w:rFonts w:eastAsia="Calibri"/>
          <w:i/>
          <w:iCs/>
          <w:lang w:val="en-US"/>
        </w:rPr>
        <w:t>et al.</w:t>
      </w:r>
      <w:r w:rsidRPr="00662061">
        <w:rPr>
          <w:rFonts w:eastAsia="Calibri"/>
          <w:lang w:val="en-US"/>
        </w:rPr>
        <w:t>, 2016)</w:t>
      </w:r>
      <w:r w:rsidR="00E90562" w:rsidRPr="00662061">
        <w:rPr>
          <w:rFonts w:eastAsia="Calibri"/>
          <w:lang w:val="en-US"/>
        </w:rPr>
        <w:t>,</w:t>
      </w:r>
      <w:r w:rsidRPr="00662061">
        <w:rPr>
          <w:rFonts w:eastAsia="Calibri"/>
          <w:lang w:val="en-US"/>
        </w:rPr>
        <w:t xml:space="preserve"> and hereby achieving further product</w:t>
      </w:r>
      <w:r w:rsidR="00C75FAB" w:rsidRPr="00662061">
        <w:rPr>
          <w:rFonts w:eastAsia="Calibri"/>
          <w:lang w:val="en-US"/>
        </w:rPr>
        <w:t>/service</w:t>
      </w:r>
      <w:r w:rsidRPr="00662061">
        <w:rPr>
          <w:rFonts w:eastAsia="Calibri"/>
          <w:lang w:val="en-US"/>
        </w:rPr>
        <w:t xml:space="preserve"> differentiation (Aliasghar </w:t>
      </w:r>
      <w:r w:rsidRPr="00C91C0D">
        <w:rPr>
          <w:rFonts w:eastAsia="Calibri"/>
          <w:i/>
          <w:iCs/>
          <w:lang w:val="en-US"/>
        </w:rPr>
        <w:t>et al.</w:t>
      </w:r>
      <w:r w:rsidRPr="00662061">
        <w:rPr>
          <w:rFonts w:eastAsia="Calibri"/>
          <w:lang w:val="en-US"/>
        </w:rPr>
        <w:t xml:space="preserve">, 2019). </w:t>
      </w:r>
      <w:proofErr w:type="gramStart"/>
      <w:r w:rsidRPr="00662061">
        <w:rPr>
          <w:rFonts w:eastAsia="Calibri"/>
          <w:lang w:val="en-US"/>
        </w:rPr>
        <w:t>Through the use of</w:t>
      </w:r>
      <w:proofErr w:type="gramEnd"/>
      <w:r w:rsidRPr="00662061">
        <w:rPr>
          <w:rFonts w:eastAsia="Calibri"/>
          <w:lang w:val="en-US"/>
        </w:rPr>
        <w:t xml:space="preserve"> new technologies and knowledge (or </w:t>
      </w:r>
      <w:r w:rsidR="009C434C" w:rsidRPr="00662061">
        <w:rPr>
          <w:rFonts w:eastAsia="Calibri"/>
          <w:lang w:val="en-US"/>
        </w:rPr>
        <w:t xml:space="preserve">a combination </w:t>
      </w:r>
      <w:r w:rsidRPr="00662061">
        <w:rPr>
          <w:rFonts w:eastAsia="Calibri"/>
          <w:lang w:val="en-US"/>
        </w:rPr>
        <w:t xml:space="preserve">of </w:t>
      </w:r>
      <w:r w:rsidR="003B5258" w:rsidRPr="00662061">
        <w:rPr>
          <w:rFonts w:eastAsia="Calibri"/>
          <w:lang w:val="en-US"/>
        </w:rPr>
        <w:t>the two</w:t>
      </w:r>
      <w:r w:rsidRPr="00662061">
        <w:rPr>
          <w:rFonts w:eastAsia="Calibri"/>
          <w:lang w:val="en-US"/>
        </w:rPr>
        <w:t xml:space="preserve">), product innovation provides a consistent means </w:t>
      </w:r>
      <w:r w:rsidR="00510661" w:rsidRPr="00662061">
        <w:rPr>
          <w:rFonts w:eastAsia="Calibri"/>
          <w:lang w:val="en-US"/>
        </w:rPr>
        <w:t xml:space="preserve">of </w:t>
      </w:r>
      <w:r w:rsidRPr="00662061">
        <w:rPr>
          <w:rFonts w:eastAsia="Calibri"/>
          <w:lang w:val="en-US"/>
        </w:rPr>
        <w:t>improving competitiveness, gaining higher profits and market shares</w:t>
      </w:r>
      <w:r w:rsidRPr="00662061">
        <w:rPr>
          <w:lang w:val="en-US"/>
        </w:rPr>
        <w:t xml:space="preserve"> (</w:t>
      </w:r>
      <w:r w:rsidR="000D45D8" w:rsidRPr="00662061">
        <w:rPr>
          <w:lang w:val="en-US"/>
        </w:rPr>
        <w:t>Martinez-Ros, 2019</w:t>
      </w:r>
      <w:r w:rsidRPr="00662061">
        <w:rPr>
          <w:rFonts w:eastAsia="Calibri"/>
          <w:lang w:val="en-US"/>
        </w:rPr>
        <w:t>). Moreover, product innovation increases the potential of firms´ product</w:t>
      </w:r>
      <w:r w:rsidR="00C75FAB" w:rsidRPr="00662061">
        <w:rPr>
          <w:rFonts w:eastAsia="Calibri"/>
          <w:lang w:val="en-US"/>
        </w:rPr>
        <w:t>/service</w:t>
      </w:r>
      <w:r w:rsidRPr="00662061">
        <w:rPr>
          <w:rFonts w:eastAsia="Calibri"/>
          <w:lang w:val="en-US"/>
        </w:rPr>
        <w:t xml:space="preserve"> portfolio</w:t>
      </w:r>
      <w:r w:rsidR="009C434C" w:rsidRPr="00662061">
        <w:rPr>
          <w:rFonts w:eastAsia="Calibri"/>
          <w:lang w:val="en-US"/>
        </w:rPr>
        <w:t>s</w:t>
      </w:r>
      <w:r w:rsidRPr="00662061">
        <w:rPr>
          <w:rFonts w:eastAsia="Calibri"/>
          <w:lang w:val="en-US"/>
        </w:rPr>
        <w:t xml:space="preserve">, </w:t>
      </w:r>
      <w:proofErr w:type="gramStart"/>
      <w:r w:rsidRPr="00662061">
        <w:rPr>
          <w:rFonts w:eastAsia="Calibri"/>
          <w:lang w:val="en-US"/>
        </w:rPr>
        <w:t>opening up</w:t>
      </w:r>
      <w:proofErr w:type="gramEnd"/>
      <w:r w:rsidRPr="00662061">
        <w:rPr>
          <w:rFonts w:eastAsia="Calibri"/>
          <w:lang w:val="en-US"/>
        </w:rPr>
        <w:t xml:space="preserve"> possibilities to seize unexploited market niches (Cormican and O’Sullivan, 2004), thus contributing to the achievement of competitive advantage as well as superior growth performance (Chapman and Hyland, 2004)</w:t>
      </w:r>
      <w:r w:rsidR="00802ABF" w:rsidRPr="00662061">
        <w:rPr>
          <w:rFonts w:eastAsia="Calibri"/>
          <w:lang w:val="en-US"/>
        </w:rPr>
        <w:t xml:space="preserve">. A noted example of product innovation is </w:t>
      </w:r>
      <w:r w:rsidR="004F2551" w:rsidRPr="00662061">
        <w:rPr>
          <w:rFonts w:eastAsia="Calibri"/>
          <w:lang w:val="en-US"/>
        </w:rPr>
        <w:t>Nespresso, the Nestlé Gourmet Coffee division,</w:t>
      </w:r>
      <w:r w:rsidR="00802ABF" w:rsidRPr="00BA6D11">
        <w:rPr>
          <w:lang w:val="en-US"/>
        </w:rPr>
        <w:t xml:space="preserve"> </w:t>
      </w:r>
      <w:r w:rsidR="009C434C" w:rsidRPr="00BA6D11">
        <w:rPr>
          <w:lang w:val="en-US"/>
        </w:rPr>
        <w:t xml:space="preserve">which </w:t>
      </w:r>
      <w:r w:rsidR="00802ABF" w:rsidRPr="00662061">
        <w:rPr>
          <w:rFonts w:eastAsia="Calibri"/>
          <w:lang w:val="en-US"/>
        </w:rPr>
        <w:t>developed its own coffee machine with electroni</w:t>
      </w:r>
      <w:r w:rsidR="00010C6C" w:rsidRPr="00662061">
        <w:rPr>
          <w:rFonts w:eastAsia="Calibri"/>
          <w:lang w:val="en-US"/>
        </w:rPr>
        <w:t xml:space="preserve">c water temperature control and an </w:t>
      </w:r>
      <w:r w:rsidR="00802ABF" w:rsidRPr="00662061">
        <w:rPr>
          <w:rFonts w:eastAsia="Calibri"/>
          <w:lang w:val="en-US"/>
        </w:rPr>
        <w:t>extraction and brewing system</w:t>
      </w:r>
      <w:r w:rsidR="00010C6C" w:rsidRPr="00662061">
        <w:rPr>
          <w:rFonts w:eastAsia="Calibri"/>
          <w:lang w:val="en-US"/>
        </w:rPr>
        <w:t>;</w:t>
      </w:r>
      <w:r w:rsidR="008D3F8A" w:rsidRPr="00662061">
        <w:rPr>
          <w:rFonts w:eastAsia="Calibri"/>
          <w:lang w:val="en-US"/>
        </w:rPr>
        <w:t xml:space="preserve"> to be operated using</w:t>
      </w:r>
      <w:r w:rsidR="006A7A6E" w:rsidRPr="00BA6D11">
        <w:rPr>
          <w:lang w:val="en-US"/>
        </w:rPr>
        <w:t xml:space="preserve"> </w:t>
      </w:r>
      <w:r w:rsidR="006A7A6E" w:rsidRPr="00662061">
        <w:rPr>
          <w:rFonts w:eastAsia="Calibri"/>
          <w:lang w:val="en-US"/>
        </w:rPr>
        <w:t xml:space="preserve">the brand’s own </w:t>
      </w:r>
      <w:r w:rsidR="008D3F8A" w:rsidRPr="00662061">
        <w:rPr>
          <w:rFonts w:eastAsia="Calibri"/>
          <w:lang w:val="en-US"/>
        </w:rPr>
        <w:t xml:space="preserve">vacuum-packed capsules. With </w:t>
      </w:r>
      <w:r w:rsidR="007E10FB" w:rsidRPr="00662061">
        <w:rPr>
          <w:rFonts w:eastAsia="Calibri"/>
          <w:lang w:val="en-US"/>
        </w:rPr>
        <w:t>an</w:t>
      </w:r>
      <w:r w:rsidR="008D3F8A" w:rsidRPr="00662061">
        <w:rPr>
          <w:rFonts w:eastAsia="Calibri"/>
          <w:lang w:val="en-US"/>
        </w:rPr>
        <w:t xml:space="preserve"> average growth of 30 percent per year;</w:t>
      </w:r>
      <w:r w:rsidR="007E10FB" w:rsidRPr="00662061">
        <w:rPr>
          <w:rFonts w:eastAsia="Calibri"/>
          <w:lang w:val="en-US"/>
        </w:rPr>
        <w:t xml:space="preserve"> Nespresso has become </w:t>
      </w:r>
      <w:r w:rsidR="006A7A6E" w:rsidRPr="00662061">
        <w:rPr>
          <w:rFonts w:eastAsia="Calibri"/>
          <w:lang w:val="en-US"/>
        </w:rPr>
        <w:t>Nestlé’s product portfolio</w:t>
      </w:r>
      <w:r w:rsidR="00EC7CC1" w:rsidRPr="00662061">
        <w:rPr>
          <w:rFonts w:eastAsia="Calibri"/>
          <w:lang w:val="en-US"/>
        </w:rPr>
        <w:t xml:space="preserve">’s </w:t>
      </w:r>
      <w:r w:rsidR="007E10FB" w:rsidRPr="00662061">
        <w:rPr>
          <w:rFonts w:eastAsia="Calibri"/>
          <w:lang w:val="en-US"/>
        </w:rPr>
        <w:t>fastest growing business unit (</w:t>
      </w:r>
      <w:r w:rsidR="006A7A6E" w:rsidRPr="00662061">
        <w:rPr>
          <w:rFonts w:eastAsia="Calibri"/>
          <w:lang w:val="en-US"/>
        </w:rPr>
        <w:t xml:space="preserve">Brem </w:t>
      </w:r>
      <w:r w:rsidR="006A7A6E" w:rsidRPr="00C91C0D">
        <w:rPr>
          <w:rFonts w:eastAsia="Calibri"/>
          <w:i/>
          <w:iCs/>
          <w:lang w:val="en-US"/>
        </w:rPr>
        <w:t>et al.</w:t>
      </w:r>
      <w:r w:rsidR="006A7A6E" w:rsidRPr="00662061">
        <w:rPr>
          <w:rFonts w:eastAsia="Calibri"/>
          <w:lang w:val="en-US"/>
        </w:rPr>
        <w:t xml:space="preserve">, 2016). </w:t>
      </w:r>
      <w:r w:rsidR="00903DC3" w:rsidRPr="00662061">
        <w:rPr>
          <w:rFonts w:eastAsia="Calibri"/>
          <w:lang w:val="en-US"/>
        </w:rPr>
        <w:t xml:space="preserve"> </w:t>
      </w:r>
    </w:p>
    <w:p w14:paraId="21796800" w14:textId="40854D17" w:rsidR="001E77ED" w:rsidRPr="00662061" w:rsidRDefault="0060508E" w:rsidP="00DB646B">
      <w:pPr>
        <w:spacing w:line="360" w:lineRule="auto"/>
        <w:ind w:firstLine="425"/>
        <w:rPr>
          <w:rFonts w:eastAsia="Calibri"/>
          <w:lang w:val="en-US"/>
        </w:rPr>
      </w:pPr>
      <w:proofErr w:type="gramStart"/>
      <w:r w:rsidRPr="00662061">
        <w:rPr>
          <w:rFonts w:eastAsia="Calibri"/>
          <w:lang w:val="en-US"/>
        </w:rPr>
        <w:t>Despite the fact that</w:t>
      </w:r>
      <w:proofErr w:type="gramEnd"/>
      <w:r w:rsidRPr="00662061">
        <w:rPr>
          <w:rFonts w:eastAsia="Calibri"/>
          <w:lang w:val="en-US"/>
        </w:rPr>
        <w:t xml:space="preserve"> </w:t>
      </w:r>
      <w:r w:rsidR="005067E7" w:rsidRPr="00662061">
        <w:rPr>
          <w:rFonts w:eastAsia="Calibri"/>
          <w:lang w:val="en-US"/>
        </w:rPr>
        <w:t xml:space="preserve">technological </w:t>
      </w:r>
      <w:r w:rsidR="00903DC3" w:rsidRPr="00662061">
        <w:rPr>
          <w:rFonts w:eastAsia="Calibri"/>
          <w:lang w:val="en-US"/>
        </w:rPr>
        <w:t xml:space="preserve">innovation has </w:t>
      </w:r>
      <w:r w:rsidRPr="00662061">
        <w:rPr>
          <w:rFonts w:eastAsia="Calibri"/>
          <w:lang w:val="en-US"/>
        </w:rPr>
        <w:t>substantiated positive effect</w:t>
      </w:r>
      <w:r w:rsidR="00903DC3" w:rsidRPr="00662061">
        <w:rPr>
          <w:rFonts w:eastAsia="Calibri"/>
          <w:lang w:val="en-US"/>
        </w:rPr>
        <w:t>s</w:t>
      </w:r>
      <w:r w:rsidRPr="00662061">
        <w:rPr>
          <w:rFonts w:eastAsia="Calibri"/>
          <w:lang w:val="en-US"/>
        </w:rPr>
        <w:t xml:space="preserve"> on business performance (</w:t>
      </w:r>
      <w:r w:rsidR="00A8586B" w:rsidRPr="00662061">
        <w:rPr>
          <w:rFonts w:eastAsia="Calibri"/>
          <w:lang w:val="en-US"/>
        </w:rPr>
        <w:t>Damanpour, 2010</w:t>
      </w:r>
      <w:r w:rsidRPr="00662061">
        <w:rPr>
          <w:rFonts w:eastAsia="Calibri"/>
          <w:lang w:val="en-US"/>
        </w:rPr>
        <w:t>), and that both</w:t>
      </w:r>
      <w:r w:rsidR="00665307" w:rsidRPr="00662061">
        <w:rPr>
          <w:rFonts w:eastAsia="Calibri"/>
          <w:lang w:val="en-US"/>
        </w:rPr>
        <w:t xml:space="preserve"> process and product</w:t>
      </w:r>
      <w:r w:rsidR="00C75FAB" w:rsidRPr="00662061">
        <w:rPr>
          <w:rFonts w:eastAsia="Calibri"/>
          <w:lang w:val="en-US"/>
        </w:rPr>
        <w:t xml:space="preserve"> innovations</w:t>
      </w:r>
      <w:r w:rsidR="00665307" w:rsidRPr="00662061">
        <w:rPr>
          <w:rFonts w:eastAsia="Calibri"/>
          <w:lang w:val="en-US"/>
        </w:rPr>
        <w:t xml:space="preserve"> </w:t>
      </w:r>
      <w:r w:rsidRPr="00662061">
        <w:rPr>
          <w:rFonts w:eastAsia="Calibri"/>
          <w:lang w:val="en-US"/>
        </w:rPr>
        <w:t>are considered to be equal drivers of innovation activities (</w:t>
      </w:r>
      <w:r w:rsidR="00A90748" w:rsidRPr="00662061">
        <w:rPr>
          <w:rFonts w:eastAsia="Calibri"/>
          <w:lang w:val="en-US"/>
        </w:rPr>
        <w:t>Onufrey and Bergek, 2020</w:t>
      </w:r>
      <w:r w:rsidRPr="00662061">
        <w:rPr>
          <w:rFonts w:eastAsia="Calibri"/>
          <w:lang w:val="en-US"/>
        </w:rPr>
        <w:t>)</w:t>
      </w:r>
      <w:r w:rsidR="00A8586B" w:rsidRPr="00662061">
        <w:rPr>
          <w:rFonts w:eastAsia="Calibri"/>
          <w:lang w:val="en-US"/>
        </w:rPr>
        <w:t>,</w:t>
      </w:r>
      <w:r w:rsidRPr="00662061">
        <w:rPr>
          <w:rFonts w:eastAsia="Calibri"/>
          <w:lang w:val="en-US"/>
        </w:rPr>
        <w:t xml:space="preserve"> </w:t>
      </w:r>
      <w:r w:rsidR="00A8586B" w:rsidRPr="00662061">
        <w:rPr>
          <w:rFonts w:eastAsia="Calibri"/>
          <w:lang w:val="en-US"/>
        </w:rPr>
        <w:t>t</w:t>
      </w:r>
      <w:r w:rsidR="00130C49" w:rsidRPr="00662061">
        <w:rPr>
          <w:rFonts w:eastAsia="Calibri"/>
          <w:lang w:val="en-US"/>
        </w:rPr>
        <w:t>he</w:t>
      </w:r>
      <w:r w:rsidR="005067E7" w:rsidRPr="00662061">
        <w:rPr>
          <w:rFonts w:eastAsia="Calibri"/>
          <w:lang w:val="en-US"/>
        </w:rPr>
        <w:t xml:space="preserve"> </w:t>
      </w:r>
      <w:r w:rsidR="000C6090" w:rsidRPr="00662061">
        <w:rPr>
          <w:rFonts w:eastAsia="Calibri"/>
          <w:lang w:val="en-US"/>
        </w:rPr>
        <w:t xml:space="preserve">deployment </w:t>
      </w:r>
      <w:r w:rsidR="00C75FAB" w:rsidRPr="00662061">
        <w:rPr>
          <w:rFonts w:eastAsia="Calibri"/>
          <w:lang w:val="en-US"/>
        </w:rPr>
        <w:t xml:space="preserve">of these </w:t>
      </w:r>
      <w:r w:rsidR="000C6090" w:rsidRPr="00662061">
        <w:rPr>
          <w:rFonts w:eastAsia="Calibri"/>
          <w:lang w:val="en-US"/>
        </w:rPr>
        <w:t>innovation</w:t>
      </w:r>
      <w:r w:rsidR="00C75FAB" w:rsidRPr="00662061">
        <w:rPr>
          <w:rFonts w:eastAsia="Calibri"/>
          <w:lang w:val="en-US"/>
        </w:rPr>
        <w:t>s</w:t>
      </w:r>
      <w:r w:rsidR="000C6090" w:rsidRPr="00662061">
        <w:rPr>
          <w:rFonts w:eastAsia="Calibri"/>
          <w:lang w:val="en-US"/>
        </w:rPr>
        <w:t xml:space="preserve"> separately </w:t>
      </w:r>
      <w:r w:rsidR="00A8586B" w:rsidRPr="00662061">
        <w:rPr>
          <w:rFonts w:eastAsia="Calibri"/>
          <w:lang w:val="en-US"/>
        </w:rPr>
        <w:t xml:space="preserve">is considered to </w:t>
      </w:r>
      <w:r w:rsidR="005067E7" w:rsidRPr="00662061">
        <w:rPr>
          <w:rFonts w:eastAsia="Calibri"/>
          <w:lang w:val="en-US"/>
        </w:rPr>
        <w:t xml:space="preserve">be insufficient </w:t>
      </w:r>
      <w:r w:rsidRPr="00662061">
        <w:rPr>
          <w:rFonts w:eastAsia="Calibri"/>
          <w:lang w:val="en-US"/>
        </w:rPr>
        <w:t>to sustain competitiveness</w:t>
      </w:r>
      <w:r w:rsidR="00130C49" w:rsidRPr="00662061">
        <w:rPr>
          <w:rFonts w:eastAsia="Calibri"/>
          <w:lang w:val="en-US"/>
        </w:rPr>
        <w:t xml:space="preserve"> in</w:t>
      </w:r>
      <w:r w:rsidR="00130C49" w:rsidRPr="00BA6D11">
        <w:rPr>
          <w:lang w:val="en-US"/>
        </w:rPr>
        <w:t xml:space="preserve"> </w:t>
      </w:r>
      <w:r w:rsidR="00AA081E" w:rsidRPr="00BA6D11">
        <w:rPr>
          <w:lang w:val="en-US"/>
        </w:rPr>
        <w:t>well-positioned industries</w:t>
      </w:r>
      <w:r w:rsidR="00667227" w:rsidRPr="00BA6D11">
        <w:rPr>
          <w:lang w:val="en-US"/>
        </w:rPr>
        <w:t xml:space="preserve"> </w:t>
      </w:r>
      <w:r w:rsidR="00130C49" w:rsidRPr="00662061">
        <w:rPr>
          <w:rFonts w:eastAsia="Calibri"/>
          <w:lang w:val="en-US"/>
        </w:rPr>
        <w:t>(</w:t>
      </w:r>
      <w:proofErr w:type="spellStart"/>
      <w:r w:rsidR="00AA081E" w:rsidRPr="00662061">
        <w:rPr>
          <w:rFonts w:eastAsia="Calibri"/>
          <w:lang w:val="en-US"/>
        </w:rPr>
        <w:t>Hullova</w:t>
      </w:r>
      <w:proofErr w:type="spellEnd"/>
      <w:r w:rsidR="00AA081E" w:rsidRPr="00662061">
        <w:rPr>
          <w:rFonts w:eastAsia="Calibri"/>
          <w:lang w:val="en-US"/>
        </w:rPr>
        <w:t xml:space="preserve"> </w:t>
      </w:r>
      <w:r w:rsidR="00AA081E" w:rsidRPr="00C91C0D">
        <w:rPr>
          <w:rFonts w:eastAsia="Calibri"/>
          <w:i/>
          <w:iCs/>
          <w:lang w:val="en-US"/>
        </w:rPr>
        <w:t>et al.</w:t>
      </w:r>
      <w:r w:rsidR="00AA081E" w:rsidRPr="00662061">
        <w:rPr>
          <w:rFonts w:eastAsia="Calibri"/>
          <w:lang w:val="en-US"/>
        </w:rPr>
        <w:t>, 2019</w:t>
      </w:r>
      <w:r w:rsidR="00130C49" w:rsidRPr="00662061">
        <w:rPr>
          <w:rFonts w:eastAsia="Calibri"/>
          <w:lang w:val="en-US"/>
        </w:rPr>
        <w:t>)</w:t>
      </w:r>
      <w:r w:rsidR="00506E42" w:rsidRPr="00662061">
        <w:rPr>
          <w:rFonts w:eastAsia="Calibri"/>
          <w:lang w:val="en-US"/>
        </w:rPr>
        <w:t>. This is</w:t>
      </w:r>
      <w:r w:rsidR="00426847" w:rsidRPr="00662061">
        <w:rPr>
          <w:rFonts w:eastAsia="Calibri"/>
          <w:lang w:val="en-US"/>
        </w:rPr>
        <w:t xml:space="preserve"> partly</w:t>
      </w:r>
      <w:r w:rsidR="00506E42" w:rsidRPr="00662061">
        <w:rPr>
          <w:rFonts w:eastAsia="Calibri"/>
          <w:lang w:val="en-US"/>
        </w:rPr>
        <w:t xml:space="preserve"> </w:t>
      </w:r>
      <w:proofErr w:type="gramStart"/>
      <w:r w:rsidR="009C434C" w:rsidRPr="00662061">
        <w:rPr>
          <w:rFonts w:eastAsia="Calibri"/>
          <w:lang w:val="en-US"/>
        </w:rPr>
        <w:t xml:space="preserve">due </w:t>
      </w:r>
      <w:r w:rsidR="00506E42" w:rsidRPr="00662061">
        <w:rPr>
          <w:rFonts w:eastAsia="Calibri"/>
          <w:lang w:val="en-US"/>
        </w:rPr>
        <w:t xml:space="preserve">to </w:t>
      </w:r>
      <w:r w:rsidR="00E7618A" w:rsidRPr="00662061">
        <w:rPr>
          <w:rFonts w:eastAsia="Calibri"/>
          <w:lang w:val="en-US"/>
        </w:rPr>
        <w:t>the fact that</w:t>
      </w:r>
      <w:proofErr w:type="gramEnd"/>
      <w:r w:rsidR="00E7618A" w:rsidRPr="00662061">
        <w:rPr>
          <w:rFonts w:eastAsia="Calibri"/>
          <w:lang w:val="en-US"/>
        </w:rPr>
        <w:t xml:space="preserve"> </w:t>
      </w:r>
      <w:r w:rsidRPr="00662061">
        <w:rPr>
          <w:rFonts w:eastAsia="Calibri"/>
          <w:lang w:val="en-US"/>
        </w:rPr>
        <w:t xml:space="preserve">their full benefit </w:t>
      </w:r>
      <w:r w:rsidR="00903DC3" w:rsidRPr="00662061">
        <w:rPr>
          <w:rFonts w:eastAsia="Calibri"/>
          <w:lang w:val="en-US"/>
        </w:rPr>
        <w:t xml:space="preserve">is </w:t>
      </w:r>
      <w:r w:rsidRPr="00662061">
        <w:rPr>
          <w:rFonts w:eastAsia="Calibri"/>
          <w:lang w:val="en-US"/>
        </w:rPr>
        <w:t xml:space="preserve">fully achieved only </w:t>
      </w:r>
      <w:r w:rsidR="00667227" w:rsidRPr="00662061">
        <w:rPr>
          <w:rFonts w:eastAsia="Calibri"/>
          <w:lang w:val="en-US"/>
        </w:rPr>
        <w:t xml:space="preserve">when the two innovative activities are </w:t>
      </w:r>
      <w:r w:rsidR="00506E42" w:rsidRPr="00662061">
        <w:rPr>
          <w:rFonts w:eastAsia="Calibri"/>
          <w:lang w:val="en-US"/>
        </w:rPr>
        <w:t>under</w:t>
      </w:r>
      <w:r w:rsidR="00667227" w:rsidRPr="00662061">
        <w:rPr>
          <w:rFonts w:eastAsia="Calibri"/>
          <w:lang w:val="en-US"/>
        </w:rPr>
        <w:t xml:space="preserve">taken together </w:t>
      </w:r>
      <w:r w:rsidR="00A8586B" w:rsidRPr="00662061">
        <w:rPr>
          <w:rFonts w:eastAsia="Calibri"/>
          <w:lang w:val="en-US"/>
        </w:rPr>
        <w:t>(</w:t>
      </w:r>
      <w:r w:rsidR="00AA081E" w:rsidRPr="00662061">
        <w:rPr>
          <w:rFonts w:eastAsia="Calibri"/>
          <w:lang w:val="en-US"/>
        </w:rPr>
        <w:t xml:space="preserve">Hullova </w:t>
      </w:r>
      <w:r w:rsidR="00AA081E" w:rsidRPr="00C91C0D">
        <w:rPr>
          <w:rFonts w:eastAsia="Calibri"/>
          <w:i/>
          <w:iCs/>
          <w:lang w:val="en-US"/>
        </w:rPr>
        <w:t>et al.</w:t>
      </w:r>
      <w:r w:rsidR="00AA081E" w:rsidRPr="00662061">
        <w:rPr>
          <w:rFonts w:eastAsia="Calibri"/>
          <w:lang w:val="en-US"/>
        </w:rPr>
        <w:t>, 2016</w:t>
      </w:r>
      <w:r w:rsidR="00A8586B" w:rsidRPr="00662061">
        <w:rPr>
          <w:rFonts w:eastAsia="Calibri"/>
          <w:lang w:val="en-US"/>
        </w:rPr>
        <w:t>)</w:t>
      </w:r>
      <w:r w:rsidR="00426847" w:rsidRPr="00662061">
        <w:rPr>
          <w:rFonts w:eastAsia="Calibri"/>
          <w:lang w:val="en-US"/>
        </w:rPr>
        <w:t xml:space="preserve"> and partly because competitors can replicate product and process innovation much faster than in </w:t>
      </w:r>
      <w:r w:rsidR="009C434C" w:rsidRPr="00662061">
        <w:rPr>
          <w:rFonts w:eastAsia="Calibri"/>
          <w:lang w:val="en-US"/>
        </w:rPr>
        <w:t xml:space="preserve">the </w:t>
      </w:r>
      <w:r w:rsidR="00426847" w:rsidRPr="00662061">
        <w:rPr>
          <w:rFonts w:eastAsia="Calibri"/>
          <w:lang w:val="en-US"/>
        </w:rPr>
        <w:t>twentieth century (</w:t>
      </w:r>
      <w:r w:rsidR="00E111BE" w:rsidRPr="00662061">
        <w:rPr>
          <w:rFonts w:eastAsia="Calibri"/>
          <w:lang w:val="en-US"/>
        </w:rPr>
        <w:t>Graham and Nafukho, 2007</w:t>
      </w:r>
      <w:r w:rsidR="00426847" w:rsidRPr="00662061">
        <w:rPr>
          <w:rFonts w:eastAsia="Calibri"/>
          <w:lang w:val="en-US"/>
        </w:rPr>
        <w:t>)</w:t>
      </w:r>
      <w:r w:rsidR="00A8586B" w:rsidRPr="00662061">
        <w:rPr>
          <w:rFonts w:eastAsia="Calibri"/>
          <w:lang w:val="en-US"/>
        </w:rPr>
        <w:t>.</w:t>
      </w:r>
      <w:r w:rsidR="004D690B" w:rsidRPr="00662061">
        <w:rPr>
          <w:rFonts w:eastAsia="Calibri"/>
          <w:lang w:val="en-US"/>
        </w:rPr>
        <w:t xml:space="preserve"> </w:t>
      </w:r>
      <w:r w:rsidR="006B5E96" w:rsidRPr="00662061">
        <w:rPr>
          <w:rFonts w:eastAsia="Calibri"/>
          <w:lang w:val="en-US"/>
        </w:rPr>
        <w:t xml:space="preserve">This has </w:t>
      </w:r>
      <w:r w:rsidR="00EC7CC1" w:rsidRPr="00662061">
        <w:rPr>
          <w:rFonts w:eastAsia="Calibri"/>
          <w:lang w:val="en-US"/>
        </w:rPr>
        <w:t xml:space="preserve">led </w:t>
      </w:r>
      <w:r w:rsidR="001F4881" w:rsidRPr="00662061">
        <w:rPr>
          <w:rFonts w:eastAsia="Calibri"/>
          <w:lang w:val="en-US"/>
        </w:rPr>
        <w:t xml:space="preserve">firms, across industries, to pursue both innovation types simultaneously </w:t>
      </w:r>
      <w:proofErr w:type="gramStart"/>
      <w:r w:rsidR="001F4881" w:rsidRPr="00662061">
        <w:rPr>
          <w:rFonts w:eastAsia="Calibri"/>
          <w:lang w:val="en-US"/>
        </w:rPr>
        <w:t>so as to</w:t>
      </w:r>
      <w:proofErr w:type="gramEnd"/>
      <w:r w:rsidR="001F4881" w:rsidRPr="00662061">
        <w:rPr>
          <w:rFonts w:eastAsia="Calibri"/>
          <w:lang w:val="en-US"/>
        </w:rPr>
        <w:t xml:space="preserve"> reap the benefits </w:t>
      </w:r>
      <w:r w:rsidR="009C434C" w:rsidRPr="00662061">
        <w:rPr>
          <w:rFonts w:eastAsia="Calibri"/>
          <w:lang w:val="en-US"/>
        </w:rPr>
        <w:t xml:space="preserve">of </w:t>
      </w:r>
      <w:r w:rsidR="001F4881" w:rsidRPr="00662061">
        <w:rPr>
          <w:rFonts w:eastAsia="Calibri"/>
          <w:lang w:val="en-US"/>
        </w:rPr>
        <w:t xml:space="preserve">newness and the added value embodied in the complementarity of these innovations (Najafi-Tavani </w:t>
      </w:r>
      <w:r w:rsidR="001F4881" w:rsidRPr="00127D5C">
        <w:rPr>
          <w:rFonts w:eastAsia="Calibri"/>
          <w:i/>
          <w:iCs/>
          <w:lang w:val="en-US"/>
        </w:rPr>
        <w:t>et al.</w:t>
      </w:r>
      <w:r w:rsidR="001F4881" w:rsidRPr="00662061">
        <w:rPr>
          <w:rFonts w:eastAsia="Calibri"/>
          <w:lang w:val="en-US"/>
        </w:rPr>
        <w:t>, 2018)</w:t>
      </w:r>
      <w:r w:rsidR="00426847" w:rsidRPr="00662061">
        <w:rPr>
          <w:rFonts w:eastAsia="Calibri"/>
          <w:lang w:val="en-US"/>
        </w:rPr>
        <w:t xml:space="preserve"> and to </w:t>
      </w:r>
      <w:r w:rsidR="00721568" w:rsidRPr="00662061">
        <w:rPr>
          <w:rFonts w:eastAsia="Calibri"/>
          <w:lang w:val="en-US"/>
        </w:rPr>
        <w:t xml:space="preserve">assemble </w:t>
      </w:r>
      <w:r w:rsidR="00426847" w:rsidRPr="00662061">
        <w:rPr>
          <w:rFonts w:eastAsia="Calibri"/>
          <w:lang w:val="en-US"/>
        </w:rPr>
        <w:t>more complex innovation portfolio</w:t>
      </w:r>
      <w:r w:rsidR="00721568" w:rsidRPr="00662061">
        <w:rPr>
          <w:rFonts w:eastAsia="Calibri"/>
          <w:lang w:val="en-US"/>
        </w:rPr>
        <w:t>s</w:t>
      </w:r>
      <w:r w:rsidR="00C75FAB" w:rsidRPr="00662061">
        <w:rPr>
          <w:rFonts w:eastAsia="Calibri"/>
          <w:lang w:val="en-US"/>
        </w:rPr>
        <w:t>,</w:t>
      </w:r>
      <w:r w:rsidR="00426847" w:rsidRPr="00662061">
        <w:rPr>
          <w:rFonts w:eastAsia="Calibri"/>
          <w:lang w:val="en-US"/>
        </w:rPr>
        <w:t xml:space="preserve"> that is</w:t>
      </w:r>
      <w:r w:rsidR="00C75FAB" w:rsidRPr="00662061">
        <w:rPr>
          <w:rFonts w:eastAsia="Calibri"/>
          <w:lang w:val="en-US"/>
        </w:rPr>
        <w:t>,</w:t>
      </w:r>
      <w:r w:rsidR="00426847" w:rsidRPr="00662061">
        <w:rPr>
          <w:rFonts w:eastAsia="Calibri"/>
          <w:lang w:val="en-US"/>
        </w:rPr>
        <w:t xml:space="preserve"> more</w:t>
      </w:r>
      <w:r w:rsidR="00426F92" w:rsidRPr="00662061">
        <w:rPr>
          <w:rFonts w:eastAsia="Calibri"/>
          <w:lang w:val="en-US"/>
        </w:rPr>
        <w:t xml:space="preserve"> valued and</w:t>
      </w:r>
      <w:r w:rsidR="00426847" w:rsidRPr="00662061">
        <w:rPr>
          <w:rFonts w:eastAsia="Calibri"/>
          <w:lang w:val="en-US"/>
        </w:rPr>
        <w:t xml:space="preserve"> difficult to replicate</w:t>
      </w:r>
      <w:r w:rsidR="00C75FAB" w:rsidRPr="00662061">
        <w:rPr>
          <w:rFonts w:eastAsia="Calibri"/>
          <w:lang w:val="en-US"/>
        </w:rPr>
        <w:t xml:space="preserve"> (Rivkin, 2000).</w:t>
      </w:r>
      <w:r w:rsidR="00D957D1" w:rsidRPr="00662061">
        <w:rPr>
          <w:rFonts w:eastAsia="Calibri"/>
          <w:lang w:val="en-US"/>
        </w:rPr>
        <w:t xml:space="preserve"> Hence, process and product innovations</w:t>
      </w:r>
      <w:r w:rsidR="000C0111" w:rsidRPr="00662061">
        <w:rPr>
          <w:rFonts w:eastAsia="Calibri"/>
          <w:lang w:val="en-US"/>
        </w:rPr>
        <w:t xml:space="preserve"> </w:t>
      </w:r>
      <w:r w:rsidR="006F7641" w:rsidRPr="00662061">
        <w:rPr>
          <w:rFonts w:eastAsia="Calibri"/>
          <w:lang w:val="en-US"/>
        </w:rPr>
        <w:t>together</w:t>
      </w:r>
      <w:r w:rsidR="00D43CB2" w:rsidRPr="00662061">
        <w:rPr>
          <w:rFonts w:eastAsia="Calibri"/>
          <w:lang w:val="en-US"/>
        </w:rPr>
        <w:t xml:space="preserve"> have </w:t>
      </w:r>
      <w:r w:rsidR="008E3FAD" w:rsidRPr="00662061">
        <w:rPr>
          <w:rFonts w:eastAsia="Calibri"/>
          <w:lang w:val="en-US"/>
        </w:rPr>
        <w:t xml:space="preserve">long </w:t>
      </w:r>
      <w:r w:rsidR="00D43CB2" w:rsidRPr="00662061">
        <w:rPr>
          <w:rFonts w:eastAsia="Calibri"/>
          <w:lang w:val="en-US"/>
        </w:rPr>
        <w:t xml:space="preserve">been </w:t>
      </w:r>
      <w:r w:rsidR="00D957D1" w:rsidRPr="00662061">
        <w:rPr>
          <w:rFonts w:eastAsia="Calibri"/>
          <w:lang w:val="en-US"/>
        </w:rPr>
        <w:t xml:space="preserve">considered the “single best </w:t>
      </w:r>
      <w:r w:rsidR="00D957D1" w:rsidRPr="00662061">
        <w:rPr>
          <w:rFonts w:eastAsia="Calibri"/>
          <w:lang w:val="en-US"/>
        </w:rPr>
        <w:lastRenderedPageBreak/>
        <w:t>complementarity strategy” (Damanpour, 2010),</w:t>
      </w:r>
      <w:r w:rsidR="006B5E96" w:rsidRPr="00662061">
        <w:rPr>
          <w:rFonts w:eastAsia="Calibri"/>
          <w:lang w:val="en-US"/>
        </w:rPr>
        <w:t xml:space="preserve"> as well as</w:t>
      </w:r>
      <w:r w:rsidR="00D957D1" w:rsidRPr="00662061">
        <w:rPr>
          <w:rFonts w:eastAsia="Calibri"/>
          <w:lang w:val="en-US"/>
        </w:rPr>
        <w:t xml:space="preserve"> the </w:t>
      </w:r>
      <w:r w:rsidR="002E40A0" w:rsidRPr="00662061">
        <w:rPr>
          <w:rFonts w:eastAsia="Calibri"/>
          <w:lang w:val="en-US"/>
        </w:rPr>
        <w:t>“</w:t>
      </w:r>
      <w:r w:rsidR="00D957D1" w:rsidRPr="00662061">
        <w:rPr>
          <w:rFonts w:eastAsia="Calibri"/>
          <w:lang w:val="en-US"/>
        </w:rPr>
        <w:t>forefront strategy</w:t>
      </w:r>
      <w:r w:rsidR="002E40A0" w:rsidRPr="00662061">
        <w:rPr>
          <w:rFonts w:eastAsia="Calibri"/>
          <w:lang w:val="en-US"/>
        </w:rPr>
        <w:t>”</w:t>
      </w:r>
      <w:r w:rsidR="00D957D1" w:rsidRPr="00662061">
        <w:rPr>
          <w:rFonts w:eastAsia="Calibri"/>
          <w:lang w:val="en-US"/>
        </w:rPr>
        <w:t xml:space="preserve"> of the modern manufacturing archetype (Miravete and Pernias, 2006). </w:t>
      </w:r>
    </w:p>
    <w:p w14:paraId="24F2838F" w14:textId="77777777" w:rsidR="00A93518" w:rsidRPr="00662061" w:rsidRDefault="00A93518" w:rsidP="00DB646B">
      <w:pPr>
        <w:spacing w:line="360" w:lineRule="auto"/>
        <w:ind w:firstLine="425"/>
        <w:rPr>
          <w:rFonts w:eastAsia="Calibri"/>
          <w:lang w:val="en-US"/>
        </w:rPr>
      </w:pPr>
    </w:p>
    <w:p w14:paraId="406C335D" w14:textId="2249374C" w:rsidR="001245FD" w:rsidRPr="00662061" w:rsidRDefault="00E61B6B" w:rsidP="00DB646B">
      <w:pPr>
        <w:spacing w:line="360" w:lineRule="auto"/>
        <w:rPr>
          <w:i/>
          <w:lang w:val="en-US"/>
        </w:rPr>
      </w:pPr>
      <w:r w:rsidRPr="00662061">
        <w:rPr>
          <w:i/>
          <w:lang w:val="en-US"/>
        </w:rPr>
        <w:t xml:space="preserve">2.2. </w:t>
      </w:r>
      <w:r w:rsidR="00646B85" w:rsidRPr="00662061">
        <w:rPr>
          <w:i/>
          <w:lang w:val="en-US"/>
        </w:rPr>
        <w:t>Digital servitization as a new form of technological innovation</w:t>
      </w:r>
    </w:p>
    <w:p w14:paraId="6B65818F" w14:textId="1C1711A3" w:rsidR="001A3CD9" w:rsidRPr="00662061" w:rsidRDefault="001A3CD9" w:rsidP="00DB646B">
      <w:pPr>
        <w:spacing w:line="360" w:lineRule="auto"/>
        <w:rPr>
          <w:lang w:val="en-US"/>
        </w:rPr>
      </w:pPr>
      <w:r w:rsidRPr="00662061">
        <w:rPr>
          <w:lang w:val="en-US"/>
        </w:rPr>
        <w:t>Digital servitization comprises the use of digital means to provide innovative, value-creating, and revenue-generating opportunities to manufacturing</w:t>
      </w:r>
      <w:r w:rsidR="00CC1A3B" w:rsidRPr="00662061">
        <w:rPr>
          <w:lang w:val="en-US"/>
        </w:rPr>
        <w:t xml:space="preserve"> firms in the service ecosystem </w:t>
      </w:r>
      <w:r w:rsidRPr="00662061">
        <w:rPr>
          <w:lang w:val="en-US"/>
        </w:rPr>
        <w:t>(</w:t>
      </w:r>
      <w:r w:rsidR="00CC1A3B" w:rsidRPr="00662061">
        <w:rPr>
          <w:lang w:val="en-US"/>
        </w:rPr>
        <w:t xml:space="preserve">Sklyar </w:t>
      </w:r>
      <w:r w:rsidR="00CC1A3B" w:rsidRPr="00C144DD">
        <w:rPr>
          <w:i/>
          <w:iCs/>
          <w:lang w:val="en-US"/>
        </w:rPr>
        <w:t>et al.</w:t>
      </w:r>
      <w:r w:rsidR="00CC1A3B" w:rsidRPr="00662061">
        <w:rPr>
          <w:lang w:val="en-US"/>
        </w:rPr>
        <w:t>, 2019</w:t>
      </w:r>
      <w:r w:rsidRPr="00662061">
        <w:rPr>
          <w:lang w:val="en-US"/>
        </w:rPr>
        <w:t xml:space="preserve">; Vendrell-Herrero </w:t>
      </w:r>
      <w:r w:rsidRPr="00E877E0">
        <w:rPr>
          <w:i/>
          <w:iCs/>
          <w:lang w:val="en-US"/>
        </w:rPr>
        <w:t>et al</w:t>
      </w:r>
      <w:r w:rsidR="00E6046E" w:rsidRPr="00E877E0">
        <w:rPr>
          <w:i/>
          <w:iCs/>
          <w:lang w:val="en-US"/>
        </w:rPr>
        <w:t>.</w:t>
      </w:r>
      <w:r w:rsidR="00E6046E" w:rsidRPr="00662061">
        <w:rPr>
          <w:lang w:val="en-US"/>
        </w:rPr>
        <w:t>, 2017). Essentially, it constitutes</w:t>
      </w:r>
      <w:r w:rsidR="00212C72" w:rsidRPr="00662061">
        <w:rPr>
          <w:lang w:val="en-US"/>
        </w:rPr>
        <w:t xml:space="preserve"> a technological innovation </w:t>
      </w:r>
      <w:r w:rsidRPr="00662061">
        <w:rPr>
          <w:lang w:val="en-US"/>
        </w:rPr>
        <w:t>in which firms seize on the potentialities offered by the adoption of digital technologies such as</w:t>
      </w:r>
      <w:r w:rsidRPr="00BA6D11">
        <w:rPr>
          <w:lang w:val="en-US"/>
        </w:rPr>
        <w:t xml:space="preserve"> </w:t>
      </w:r>
      <w:r w:rsidR="0081732A" w:rsidRPr="00BA6D11">
        <w:rPr>
          <w:lang w:val="en-US"/>
        </w:rPr>
        <w:t xml:space="preserve">the </w:t>
      </w:r>
      <w:r w:rsidR="0081732A" w:rsidRPr="00662061">
        <w:rPr>
          <w:lang w:val="en-US"/>
        </w:rPr>
        <w:t>I</w:t>
      </w:r>
      <w:r w:rsidRPr="00662061">
        <w:rPr>
          <w:lang w:val="en-US"/>
        </w:rPr>
        <w:t>nternet of things,</w:t>
      </w:r>
      <w:r w:rsidRPr="00BA6D11">
        <w:rPr>
          <w:lang w:val="en-US"/>
        </w:rPr>
        <w:t xml:space="preserve"> </w:t>
      </w:r>
      <w:r w:rsidRPr="00662061">
        <w:rPr>
          <w:lang w:val="en-US"/>
        </w:rPr>
        <w:t xml:space="preserve">digital platforms, remote monitoring, big data analytics, and artificial intelligence in operations—to transition from stand-alone products to </w:t>
      </w:r>
      <w:r w:rsidRPr="00BA6D11">
        <w:rPr>
          <w:lang w:val="en-US"/>
        </w:rPr>
        <w:t xml:space="preserve">digital service </w:t>
      </w:r>
      <w:r w:rsidRPr="00662061">
        <w:rPr>
          <w:lang w:val="en-US"/>
        </w:rPr>
        <w:t>solutions (</w:t>
      </w:r>
      <w:proofErr w:type="spellStart"/>
      <w:r w:rsidRPr="00662061">
        <w:rPr>
          <w:lang w:val="en-US"/>
        </w:rPr>
        <w:t>Kohtamäki</w:t>
      </w:r>
      <w:proofErr w:type="spellEnd"/>
      <w:r w:rsidRPr="00662061">
        <w:rPr>
          <w:lang w:val="en-US"/>
        </w:rPr>
        <w:t xml:space="preserve"> </w:t>
      </w:r>
      <w:r w:rsidRPr="00C144DD">
        <w:rPr>
          <w:i/>
          <w:iCs/>
          <w:lang w:val="en-US"/>
        </w:rPr>
        <w:t>et al.</w:t>
      </w:r>
      <w:r w:rsidRPr="00662061">
        <w:rPr>
          <w:lang w:val="en-US"/>
        </w:rPr>
        <w:t>, 2020</w:t>
      </w:r>
      <w:r w:rsidR="00C144DD">
        <w:rPr>
          <w:lang w:val="en-US"/>
        </w:rPr>
        <w:t xml:space="preserve">; </w:t>
      </w:r>
      <w:r w:rsidR="00C144DD" w:rsidRPr="00662061">
        <w:rPr>
          <w:lang w:val="en-US"/>
        </w:rPr>
        <w:t xml:space="preserve">Naik </w:t>
      </w:r>
      <w:r w:rsidR="00C144DD" w:rsidRPr="00C144DD">
        <w:rPr>
          <w:i/>
          <w:iCs/>
          <w:lang w:val="en-US"/>
        </w:rPr>
        <w:t>et al.</w:t>
      </w:r>
      <w:r w:rsidR="00C144DD" w:rsidRPr="00662061">
        <w:rPr>
          <w:lang w:val="en-US"/>
        </w:rPr>
        <w:t>, 2020</w:t>
      </w:r>
      <w:r w:rsidRPr="00662061">
        <w:rPr>
          <w:lang w:val="en-US"/>
        </w:rPr>
        <w:t xml:space="preserve">). </w:t>
      </w:r>
    </w:p>
    <w:p w14:paraId="30284648" w14:textId="0370C502" w:rsidR="001A3CD9" w:rsidRPr="00662061" w:rsidRDefault="00083068" w:rsidP="00DB646B">
      <w:pPr>
        <w:spacing w:line="360" w:lineRule="auto"/>
        <w:ind w:firstLine="425"/>
        <w:rPr>
          <w:lang w:val="en-US"/>
        </w:rPr>
      </w:pPr>
      <w:r w:rsidRPr="00662061">
        <w:rPr>
          <w:lang w:val="en-US"/>
        </w:rPr>
        <w:t>From a technological innovation perspective</w:t>
      </w:r>
      <w:r w:rsidR="00E34E1A">
        <w:rPr>
          <w:lang w:val="en-US"/>
        </w:rPr>
        <w:t xml:space="preserve"> (</w:t>
      </w:r>
      <w:proofErr w:type="spellStart"/>
      <w:r w:rsidR="00E34E1A">
        <w:rPr>
          <w:lang w:val="en-US"/>
        </w:rPr>
        <w:t>Kowalkowski</w:t>
      </w:r>
      <w:proofErr w:type="spellEnd"/>
      <w:r w:rsidR="00E34E1A">
        <w:rPr>
          <w:lang w:val="en-US"/>
        </w:rPr>
        <w:t xml:space="preserve"> and </w:t>
      </w:r>
      <w:proofErr w:type="spellStart"/>
      <w:r w:rsidR="00E34E1A">
        <w:rPr>
          <w:lang w:val="en-US"/>
        </w:rPr>
        <w:t>Witell</w:t>
      </w:r>
      <w:proofErr w:type="spellEnd"/>
      <w:r w:rsidR="00E34E1A">
        <w:rPr>
          <w:lang w:val="en-US"/>
        </w:rPr>
        <w:t>, 2020)</w:t>
      </w:r>
      <w:r w:rsidR="00683961" w:rsidRPr="00662061">
        <w:rPr>
          <w:lang w:val="en-US"/>
        </w:rPr>
        <w:t xml:space="preserve">, </w:t>
      </w:r>
      <w:r w:rsidRPr="00662061">
        <w:rPr>
          <w:lang w:val="en-US"/>
        </w:rPr>
        <w:t xml:space="preserve">digital </w:t>
      </w:r>
      <w:proofErr w:type="spellStart"/>
      <w:r w:rsidRPr="00662061">
        <w:rPr>
          <w:lang w:val="en-US"/>
        </w:rPr>
        <w:t>servitization</w:t>
      </w:r>
      <w:proofErr w:type="spellEnd"/>
      <w:r w:rsidRPr="00662061">
        <w:rPr>
          <w:lang w:val="en-US"/>
        </w:rPr>
        <w:t xml:space="preserve"> </w:t>
      </w:r>
      <w:r w:rsidR="00EC7CC1" w:rsidRPr="00662061">
        <w:rPr>
          <w:lang w:val="en-US"/>
        </w:rPr>
        <w:t xml:space="preserve">expands </w:t>
      </w:r>
      <w:r w:rsidR="001A3CD9" w:rsidRPr="00662061">
        <w:rPr>
          <w:lang w:val="en-US"/>
        </w:rPr>
        <w:t xml:space="preserve">firms´ innovation possibility frontiers in industrial services by, from one side, streamlining real-time customer data </w:t>
      </w:r>
      <w:r w:rsidR="003C6F31" w:rsidRPr="00662061">
        <w:rPr>
          <w:lang w:val="en-US"/>
        </w:rPr>
        <w:t xml:space="preserve">collection </w:t>
      </w:r>
      <w:r w:rsidR="001A3CD9" w:rsidRPr="00662061">
        <w:rPr>
          <w:lang w:val="en-US"/>
        </w:rPr>
        <w:t xml:space="preserve">and integration within the </w:t>
      </w:r>
      <w:r w:rsidR="0081732A" w:rsidRPr="00662061">
        <w:rPr>
          <w:lang w:val="en-US"/>
        </w:rPr>
        <w:t xml:space="preserve">firm’s </w:t>
      </w:r>
      <w:r w:rsidR="001A3CD9" w:rsidRPr="00662061">
        <w:rPr>
          <w:lang w:val="en-US"/>
        </w:rPr>
        <w:t xml:space="preserve">digital platform (Schroeder </w:t>
      </w:r>
      <w:r w:rsidR="001A3CD9" w:rsidRPr="0067500C">
        <w:rPr>
          <w:i/>
          <w:iCs/>
          <w:lang w:val="en-US"/>
        </w:rPr>
        <w:t>et al.</w:t>
      </w:r>
      <w:r w:rsidR="001A3CD9" w:rsidRPr="00662061">
        <w:rPr>
          <w:lang w:val="en-US"/>
        </w:rPr>
        <w:t xml:space="preserve">, 2019), and from the other, by providing effective tools to monitor, optimize and automatize </w:t>
      </w:r>
      <w:r w:rsidR="00CD4435" w:rsidRPr="00662061">
        <w:rPr>
          <w:lang w:val="en-US"/>
        </w:rPr>
        <w:t>the</w:t>
      </w:r>
      <w:r w:rsidR="001A3CD9" w:rsidRPr="00662061">
        <w:rPr>
          <w:lang w:val="en-US"/>
        </w:rPr>
        <w:t xml:space="preserve"> functions</w:t>
      </w:r>
      <w:r w:rsidR="00CD4435" w:rsidRPr="00662061">
        <w:rPr>
          <w:lang w:val="en-US"/>
        </w:rPr>
        <w:t xml:space="preserve"> of the product</w:t>
      </w:r>
      <w:r w:rsidR="001A3CD9" w:rsidRPr="00662061">
        <w:rPr>
          <w:lang w:val="en-US"/>
        </w:rPr>
        <w:t>, remotely and globally (</w:t>
      </w:r>
      <w:proofErr w:type="spellStart"/>
      <w:r w:rsidR="004931E9">
        <w:rPr>
          <w:lang w:val="en-US"/>
        </w:rPr>
        <w:t>Beverungen</w:t>
      </w:r>
      <w:proofErr w:type="spellEnd"/>
      <w:r w:rsidR="004931E9">
        <w:rPr>
          <w:lang w:val="en-US"/>
        </w:rPr>
        <w:t xml:space="preserve"> </w:t>
      </w:r>
      <w:r w:rsidR="004931E9" w:rsidRPr="004931E9">
        <w:rPr>
          <w:i/>
          <w:iCs/>
          <w:lang w:val="en-US"/>
        </w:rPr>
        <w:t>et al.</w:t>
      </w:r>
      <w:r w:rsidR="004931E9">
        <w:rPr>
          <w:lang w:val="en-US"/>
        </w:rPr>
        <w:t xml:space="preserve">, 2020, </w:t>
      </w:r>
      <w:r w:rsidR="001A3CD9" w:rsidRPr="00662061">
        <w:rPr>
          <w:lang w:val="en-US"/>
        </w:rPr>
        <w:t>Porter and Heppelmann, 2015).</w:t>
      </w:r>
    </w:p>
    <w:p w14:paraId="141D1140" w14:textId="1560BB0D" w:rsidR="001A3CD9" w:rsidRPr="00662061" w:rsidRDefault="001A3CD9" w:rsidP="00DB646B">
      <w:pPr>
        <w:spacing w:line="360" w:lineRule="auto"/>
        <w:ind w:firstLine="425"/>
        <w:rPr>
          <w:lang w:val="en-US"/>
        </w:rPr>
      </w:pPr>
      <w:r w:rsidRPr="00662061">
        <w:rPr>
          <w:lang w:val="en-US"/>
        </w:rPr>
        <w:t xml:space="preserve">As has been noted in the literature, such technological capacities may </w:t>
      </w:r>
      <w:r w:rsidR="003C6F31" w:rsidRPr="00662061">
        <w:rPr>
          <w:lang w:val="en-US"/>
        </w:rPr>
        <w:t>afford</w:t>
      </w:r>
      <w:r w:rsidR="00CD4435" w:rsidRPr="00662061">
        <w:rPr>
          <w:lang w:val="en-US"/>
        </w:rPr>
        <w:t xml:space="preserve"> </w:t>
      </w:r>
      <w:r w:rsidRPr="00662061">
        <w:rPr>
          <w:lang w:val="en-US"/>
        </w:rPr>
        <w:t xml:space="preserve">unprecedented possibilities for superior market differentiation (Kohtamäki </w:t>
      </w:r>
      <w:r w:rsidRPr="00C144DD">
        <w:rPr>
          <w:i/>
          <w:iCs/>
          <w:lang w:val="en-US"/>
        </w:rPr>
        <w:t>et al.</w:t>
      </w:r>
      <w:r w:rsidRPr="00662061">
        <w:rPr>
          <w:lang w:val="en-US"/>
        </w:rPr>
        <w:t>, 2018), enhanced customer engagement and collaboration (Sousa and da Silveira, 2017) —as well as for recognizing and grasping contextual opportunities to mitigate inherent risks in servitiz</w:t>
      </w:r>
      <w:r w:rsidR="00683961" w:rsidRPr="00662061">
        <w:rPr>
          <w:lang w:val="en-US"/>
        </w:rPr>
        <w:t xml:space="preserve">ation (Dmitrijeva </w:t>
      </w:r>
      <w:r w:rsidR="00683961" w:rsidRPr="0067500C">
        <w:rPr>
          <w:i/>
          <w:iCs/>
          <w:lang w:val="en-US"/>
        </w:rPr>
        <w:t>et al.</w:t>
      </w:r>
      <w:r w:rsidR="00683961" w:rsidRPr="00662061">
        <w:rPr>
          <w:lang w:val="en-US"/>
        </w:rPr>
        <w:t>, 2020)</w:t>
      </w:r>
      <w:r w:rsidR="00EC7CC1" w:rsidRPr="00662061">
        <w:rPr>
          <w:lang w:val="en-US"/>
        </w:rPr>
        <w:t>.This may be achieved by</w:t>
      </w:r>
      <w:r w:rsidRPr="00662061">
        <w:rPr>
          <w:lang w:val="en-US"/>
        </w:rPr>
        <w:t xml:space="preserve"> expediting corrective actions or strategic adjustments (Coreynen </w:t>
      </w:r>
      <w:r w:rsidRPr="0067500C">
        <w:rPr>
          <w:i/>
          <w:iCs/>
          <w:lang w:val="en-US"/>
        </w:rPr>
        <w:t>et al.</w:t>
      </w:r>
      <w:r w:rsidRPr="00662061">
        <w:rPr>
          <w:lang w:val="en-US"/>
        </w:rPr>
        <w:t xml:space="preserve">, 2020), and developing more effective and efficient mechanisms for value creation and customer satisfaction (Cenamor </w:t>
      </w:r>
      <w:r w:rsidRPr="00E877E0">
        <w:rPr>
          <w:i/>
          <w:iCs/>
          <w:lang w:val="en-US"/>
        </w:rPr>
        <w:t>et al.</w:t>
      </w:r>
      <w:r w:rsidRPr="00662061">
        <w:rPr>
          <w:lang w:val="en-US"/>
        </w:rPr>
        <w:t>, 2017).</w:t>
      </w:r>
      <w:r w:rsidR="00683961" w:rsidRPr="00662061">
        <w:rPr>
          <w:lang w:val="en-US"/>
        </w:rPr>
        <w:t xml:space="preserve"> </w:t>
      </w:r>
    </w:p>
    <w:p w14:paraId="3A2B769A" w14:textId="0606D798" w:rsidR="001A3CD9" w:rsidRPr="00662061" w:rsidRDefault="00E7618A" w:rsidP="00DB646B">
      <w:pPr>
        <w:spacing w:line="360" w:lineRule="auto"/>
        <w:ind w:firstLine="425"/>
        <w:rPr>
          <w:lang w:val="en-US"/>
        </w:rPr>
      </w:pPr>
      <w:r w:rsidRPr="00662061">
        <w:rPr>
          <w:lang w:val="en-US"/>
        </w:rPr>
        <w:t>Noteworthy</w:t>
      </w:r>
      <w:r w:rsidR="00CD4435" w:rsidRPr="00662061">
        <w:rPr>
          <w:lang w:val="en-US"/>
        </w:rPr>
        <w:t xml:space="preserve"> </w:t>
      </w:r>
      <w:r w:rsidR="001A3CD9" w:rsidRPr="00662061">
        <w:rPr>
          <w:lang w:val="en-US"/>
        </w:rPr>
        <w:t xml:space="preserve">examples </w:t>
      </w:r>
      <w:r w:rsidR="00CD4435" w:rsidRPr="00662061">
        <w:rPr>
          <w:lang w:val="en-US"/>
        </w:rPr>
        <w:t>include</w:t>
      </w:r>
      <w:r w:rsidR="001A3CD9" w:rsidRPr="00662061">
        <w:rPr>
          <w:lang w:val="en-US"/>
        </w:rPr>
        <w:t xml:space="preserve"> global heavy manufacturers such as Volvo and Caterpillar (heavy manufacturing &amp; production of construction equipment), Siemens (industrial machinery &amp; heavy equipment part manufacturing), and ABB (automation technology &amp; heavy machinery manufacturing)</w:t>
      </w:r>
      <w:r w:rsidR="00FB3333" w:rsidRPr="00662061">
        <w:rPr>
          <w:lang w:val="en-US"/>
        </w:rPr>
        <w:t>.</w:t>
      </w:r>
      <w:r w:rsidR="001A3CD9" w:rsidRPr="00662061">
        <w:rPr>
          <w:lang w:val="en-US"/>
        </w:rPr>
        <w:t xml:space="preserve"> </w:t>
      </w:r>
      <w:r w:rsidR="00FB3333" w:rsidRPr="00662061">
        <w:rPr>
          <w:lang w:val="en-US"/>
        </w:rPr>
        <w:t>They</w:t>
      </w:r>
      <w:r w:rsidR="00CD4435" w:rsidRPr="00662061">
        <w:rPr>
          <w:lang w:val="en-US"/>
        </w:rPr>
        <w:t xml:space="preserve"> </w:t>
      </w:r>
      <w:r w:rsidR="001A3CD9" w:rsidRPr="00662061">
        <w:rPr>
          <w:lang w:val="en-US"/>
        </w:rPr>
        <w:t xml:space="preserve">have implemented digital platforms to provide </w:t>
      </w:r>
      <w:proofErr w:type="gramStart"/>
      <w:r w:rsidR="001A3CD9" w:rsidRPr="00662061">
        <w:rPr>
          <w:lang w:val="en-US"/>
        </w:rPr>
        <w:t>digitally-e</w:t>
      </w:r>
      <w:r w:rsidR="005C270B" w:rsidRPr="00662061">
        <w:rPr>
          <w:lang w:val="en-US"/>
        </w:rPr>
        <w:t>nhanced</w:t>
      </w:r>
      <w:proofErr w:type="gramEnd"/>
      <w:r w:rsidR="005C270B" w:rsidRPr="00662061">
        <w:rPr>
          <w:lang w:val="en-US"/>
        </w:rPr>
        <w:t xml:space="preserve"> customer services (i.e.</w:t>
      </w:r>
      <w:r w:rsidR="00007B47" w:rsidRPr="00662061">
        <w:rPr>
          <w:lang w:val="en-US"/>
        </w:rPr>
        <w:t>,</w:t>
      </w:r>
      <w:r w:rsidR="001A3CD9" w:rsidRPr="00662061">
        <w:rPr>
          <w:lang w:val="en-US"/>
        </w:rPr>
        <w:t xml:space="preserve"> service solutions) such as remote functionalities execution and control, fleet management, and site optimization through sensor monitoring, automated traceability, and real-time product/machine performance data (Baines </w:t>
      </w:r>
      <w:r w:rsidR="001A3CD9" w:rsidRPr="0067500C">
        <w:rPr>
          <w:i/>
          <w:iCs/>
          <w:lang w:val="en-US"/>
        </w:rPr>
        <w:t>et al</w:t>
      </w:r>
      <w:r w:rsidR="00C00AD8" w:rsidRPr="0067500C">
        <w:rPr>
          <w:i/>
          <w:iCs/>
          <w:lang w:val="en-US"/>
        </w:rPr>
        <w:t>.</w:t>
      </w:r>
      <w:r w:rsidR="00C00AD8" w:rsidRPr="00662061">
        <w:rPr>
          <w:lang w:val="en-US"/>
        </w:rPr>
        <w:t xml:space="preserve">, 2017; Kohtamäki </w:t>
      </w:r>
      <w:r w:rsidR="00C00AD8" w:rsidRPr="00C144DD">
        <w:rPr>
          <w:i/>
          <w:iCs/>
          <w:lang w:val="en-US"/>
        </w:rPr>
        <w:t>et al.</w:t>
      </w:r>
      <w:r w:rsidR="00C00AD8" w:rsidRPr="00662061">
        <w:rPr>
          <w:lang w:val="en-US"/>
        </w:rPr>
        <w:t>, 2019</w:t>
      </w:r>
      <w:r w:rsidR="001A3CD9" w:rsidRPr="00662061">
        <w:rPr>
          <w:lang w:val="en-US"/>
        </w:rPr>
        <w:t xml:space="preserve">). </w:t>
      </w:r>
    </w:p>
    <w:p w14:paraId="3071CE2F" w14:textId="3EEAB61F" w:rsidR="001A3CD9" w:rsidRPr="00662061" w:rsidRDefault="001A3CD9" w:rsidP="00DB646B">
      <w:pPr>
        <w:spacing w:line="360" w:lineRule="auto"/>
        <w:ind w:firstLine="425"/>
        <w:rPr>
          <w:lang w:val="en-US"/>
        </w:rPr>
      </w:pPr>
      <w:r w:rsidRPr="00662061">
        <w:rPr>
          <w:lang w:val="en-US"/>
        </w:rPr>
        <w:t xml:space="preserve">From a functional—back-end—perspective, digital servitization acts as a catalyst for </w:t>
      </w:r>
      <w:r w:rsidR="008F7198" w:rsidRPr="00662061">
        <w:rPr>
          <w:lang w:val="en-US"/>
        </w:rPr>
        <w:t xml:space="preserve">service </w:t>
      </w:r>
      <w:r w:rsidRPr="00662061">
        <w:rPr>
          <w:lang w:val="en-US"/>
        </w:rPr>
        <w:t>innovation nurture in operations, simplifying the sharing of i</w:t>
      </w:r>
      <w:r w:rsidR="008F7198" w:rsidRPr="00662061">
        <w:rPr>
          <w:lang w:val="en-US"/>
        </w:rPr>
        <w:t xml:space="preserve">nformation and </w:t>
      </w:r>
      <w:r w:rsidR="008F7198" w:rsidRPr="00662061">
        <w:rPr>
          <w:lang w:val="en-US"/>
        </w:rPr>
        <w:lastRenderedPageBreak/>
        <w:t xml:space="preserve">knowledge across firm </w:t>
      </w:r>
      <w:r w:rsidRPr="00662061">
        <w:rPr>
          <w:lang w:val="en-US"/>
        </w:rPr>
        <w:t xml:space="preserve">divisions (Vendrell-Herrero </w:t>
      </w:r>
      <w:r w:rsidRPr="00E877E0">
        <w:rPr>
          <w:i/>
          <w:iCs/>
          <w:lang w:val="en-US"/>
        </w:rPr>
        <w:t>et al.</w:t>
      </w:r>
      <w:r w:rsidRPr="00662061">
        <w:rPr>
          <w:lang w:val="en-US"/>
        </w:rPr>
        <w:t>, 2020)</w:t>
      </w:r>
      <w:r w:rsidR="00FB3333" w:rsidRPr="00662061">
        <w:rPr>
          <w:lang w:val="en-US"/>
        </w:rPr>
        <w:t>.</w:t>
      </w:r>
      <w:r w:rsidRPr="00662061">
        <w:rPr>
          <w:lang w:val="en-US"/>
        </w:rPr>
        <w:t xml:space="preserve"> </w:t>
      </w:r>
      <w:r w:rsidR="00FB3333" w:rsidRPr="00662061">
        <w:rPr>
          <w:lang w:val="en-US"/>
        </w:rPr>
        <w:t>This broadens</w:t>
      </w:r>
      <w:r w:rsidR="00CD4435" w:rsidRPr="00662061">
        <w:rPr>
          <w:lang w:val="en-US"/>
        </w:rPr>
        <w:t xml:space="preserve"> </w:t>
      </w:r>
      <w:r w:rsidRPr="00662061">
        <w:rPr>
          <w:lang w:val="en-US"/>
        </w:rPr>
        <w:t xml:space="preserve">opportunities </w:t>
      </w:r>
      <w:r w:rsidR="00EC7CC1" w:rsidRPr="00662061">
        <w:rPr>
          <w:lang w:val="en-US"/>
        </w:rPr>
        <w:t>to enhance</w:t>
      </w:r>
      <w:r w:rsidRPr="00662061">
        <w:rPr>
          <w:lang w:val="en-US"/>
        </w:rPr>
        <w:t xml:space="preserve"> operational efficiency, process redesign, resource allocation, and transparency in supporting decision making (Coreynen </w:t>
      </w:r>
      <w:r w:rsidRPr="0067500C">
        <w:rPr>
          <w:i/>
          <w:iCs/>
          <w:lang w:val="en-US"/>
        </w:rPr>
        <w:t>et al.</w:t>
      </w:r>
      <w:r w:rsidRPr="00662061">
        <w:rPr>
          <w:lang w:val="en-US"/>
        </w:rPr>
        <w:t xml:space="preserve">, 2017). Conversely, from a relational—front-end—standpoint, and deeming that servitization is essentially an ecosystemic value co-creation process; digital servitization facilitates stronger relational interactions and closer integration between actors (suppliers, </w:t>
      </w:r>
      <w:proofErr w:type="gramStart"/>
      <w:r w:rsidRPr="00662061">
        <w:rPr>
          <w:lang w:val="en-US"/>
        </w:rPr>
        <w:t>intermediaries</w:t>
      </w:r>
      <w:proofErr w:type="gramEnd"/>
      <w:r w:rsidRPr="00662061">
        <w:rPr>
          <w:lang w:val="en-US"/>
        </w:rPr>
        <w:t xml:space="preserve"> and customers) within the value-creatio</w:t>
      </w:r>
      <w:r w:rsidR="00C00AD8" w:rsidRPr="00662061">
        <w:rPr>
          <w:lang w:val="en-US"/>
        </w:rPr>
        <w:t xml:space="preserve">n ecosystem (Story </w:t>
      </w:r>
      <w:r w:rsidR="00C00AD8" w:rsidRPr="0067500C">
        <w:rPr>
          <w:i/>
          <w:iCs/>
          <w:lang w:val="en-US"/>
        </w:rPr>
        <w:t>et al.</w:t>
      </w:r>
      <w:r w:rsidR="00C00AD8" w:rsidRPr="00662061">
        <w:rPr>
          <w:lang w:val="en-US"/>
        </w:rPr>
        <w:t>, 2017</w:t>
      </w:r>
      <w:r w:rsidRPr="00662061">
        <w:rPr>
          <w:lang w:val="en-US"/>
        </w:rPr>
        <w:t xml:space="preserve">). </w:t>
      </w:r>
      <w:proofErr w:type="gramStart"/>
      <w:r w:rsidRPr="00662061">
        <w:rPr>
          <w:lang w:val="en-US"/>
        </w:rPr>
        <w:t>All of</w:t>
      </w:r>
      <w:proofErr w:type="gramEnd"/>
      <w:r w:rsidRPr="00662061">
        <w:rPr>
          <w:lang w:val="en-US"/>
        </w:rPr>
        <w:t xml:space="preserve"> </w:t>
      </w:r>
      <w:r w:rsidR="00CD4435" w:rsidRPr="00662061">
        <w:rPr>
          <w:lang w:val="en-US"/>
        </w:rPr>
        <w:t xml:space="preserve">the above </w:t>
      </w:r>
      <w:r w:rsidRPr="00662061">
        <w:rPr>
          <w:lang w:val="en-US"/>
        </w:rPr>
        <w:t xml:space="preserve">enable firms to offer highly customized value propositions based on digitally enhanced services and relationships (Kowalkowski </w:t>
      </w:r>
      <w:r w:rsidRPr="0067500C">
        <w:rPr>
          <w:i/>
          <w:iCs/>
          <w:lang w:val="en-US"/>
        </w:rPr>
        <w:t>et al.</w:t>
      </w:r>
      <w:r w:rsidRPr="00662061">
        <w:rPr>
          <w:lang w:val="en-US"/>
        </w:rPr>
        <w:t>, 2013</w:t>
      </w:r>
      <w:r w:rsidR="00E34E1A">
        <w:rPr>
          <w:lang w:val="en-US"/>
        </w:rPr>
        <w:t xml:space="preserve">; </w:t>
      </w:r>
      <w:proofErr w:type="spellStart"/>
      <w:r w:rsidR="00E34E1A">
        <w:rPr>
          <w:lang w:val="en-US"/>
        </w:rPr>
        <w:t>Tronvoll</w:t>
      </w:r>
      <w:proofErr w:type="spellEnd"/>
      <w:r w:rsidR="00E34E1A">
        <w:rPr>
          <w:lang w:val="en-US"/>
        </w:rPr>
        <w:t xml:space="preserve"> </w:t>
      </w:r>
      <w:r w:rsidR="00E34E1A">
        <w:rPr>
          <w:i/>
          <w:iCs/>
          <w:lang w:val="en-US"/>
        </w:rPr>
        <w:t>et al.</w:t>
      </w:r>
      <w:r w:rsidR="00E34E1A">
        <w:rPr>
          <w:lang w:val="en-US"/>
        </w:rPr>
        <w:t>, 2020</w:t>
      </w:r>
      <w:r w:rsidRPr="00662061">
        <w:rPr>
          <w:lang w:val="en-US"/>
        </w:rPr>
        <w:t>).</w:t>
      </w:r>
    </w:p>
    <w:p w14:paraId="18FFAB8E" w14:textId="548C1BE4" w:rsidR="001A3CD9" w:rsidRPr="00662061" w:rsidRDefault="001A3CD9" w:rsidP="00DB646B">
      <w:pPr>
        <w:spacing w:line="360" w:lineRule="auto"/>
        <w:ind w:firstLine="425"/>
        <w:rPr>
          <w:lang w:val="en-US"/>
        </w:rPr>
      </w:pPr>
      <w:r w:rsidRPr="00662061">
        <w:rPr>
          <w:lang w:val="en-US"/>
        </w:rPr>
        <w:t>However, despite its growing prominence in manufacturing contexts,</w:t>
      </w:r>
      <w:r w:rsidRPr="00BA6D11">
        <w:rPr>
          <w:lang w:val="en-US"/>
        </w:rPr>
        <w:t xml:space="preserve"> </w:t>
      </w:r>
      <w:r w:rsidR="00CD4435" w:rsidRPr="00BA6D11">
        <w:rPr>
          <w:lang w:val="en-US"/>
        </w:rPr>
        <w:t xml:space="preserve">the </w:t>
      </w:r>
      <w:r w:rsidRPr="00662061">
        <w:rPr>
          <w:lang w:val="en-US"/>
        </w:rPr>
        <w:t>literature suggests that transitioning to digital servitization represents a major challenge, since it demands a comprehensive consolidation of firm</w:t>
      </w:r>
      <w:r w:rsidR="009F7686" w:rsidRPr="00662061">
        <w:rPr>
          <w:lang w:val="en-US"/>
        </w:rPr>
        <w:t xml:space="preserve">s´ technological and strategic </w:t>
      </w:r>
      <w:r w:rsidRPr="00662061">
        <w:rPr>
          <w:lang w:val="en-US"/>
        </w:rPr>
        <w:t xml:space="preserve">innovation capabilities (Bustinza </w:t>
      </w:r>
      <w:r w:rsidRPr="00471388">
        <w:rPr>
          <w:i/>
          <w:iCs/>
          <w:lang w:val="en-US"/>
        </w:rPr>
        <w:t>et al.</w:t>
      </w:r>
      <w:r w:rsidRPr="00662061">
        <w:rPr>
          <w:lang w:val="en-US"/>
        </w:rPr>
        <w:t xml:space="preserve">, 2018) to successfully resolve two existing paradoxes associated to its adoption (Gebauer </w:t>
      </w:r>
      <w:r w:rsidRPr="00471388">
        <w:rPr>
          <w:i/>
          <w:iCs/>
          <w:lang w:val="en-US"/>
        </w:rPr>
        <w:t>et al.</w:t>
      </w:r>
      <w:r w:rsidRPr="00662061">
        <w:rPr>
          <w:lang w:val="en-US"/>
        </w:rPr>
        <w:t>, 2020a). First</w:t>
      </w:r>
      <w:r w:rsidR="00EC7CC1" w:rsidRPr="00662061">
        <w:rPr>
          <w:lang w:val="en-US"/>
        </w:rPr>
        <w:t>ly</w:t>
      </w:r>
      <w:r w:rsidRPr="00662061">
        <w:rPr>
          <w:lang w:val="en-US"/>
        </w:rPr>
        <w:t xml:space="preserve">, the continued investment in services with no favorable financial results, namely </w:t>
      </w:r>
      <w:r w:rsidR="00E67DCC" w:rsidRPr="00662061">
        <w:rPr>
          <w:lang w:val="en-US"/>
        </w:rPr>
        <w:t>service paradox</w:t>
      </w:r>
      <w:r w:rsidRPr="00662061">
        <w:rPr>
          <w:lang w:val="en-US"/>
        </w:rPr>
        <w:t>, and, secondly, the under-utilization of acquired technologies that may well not earn the expected returns, the so-called technology parad</w:t>
      </w:r>
      <w:r w:rsidR="001E77ED" w:rsidRPr="00662061">
        <w:rPr>
          <w:lang w:val="en-US"/>
        </w:rPr>
        <w:t xml:space="preserve">ox (Gebauer </w:t>
      </w:r>
      <w:r w:rsidR="001E77ED" w:rsidRPr="00471388">
        <w:rPr>
          <w:i/>
          <w:iCs/>
          <w:lang w:val="en-US"/>
        </w:rPr>
        <w:t>et al.</w:t>
      </w:r>
      <w:r w:rsidR="001E77ED" w:rsidRPr="00662061">
        <w:rPr>
          <w:lang w:val="en-US"/>
        </w:rPr>
        <w:t>, 2020b).</w:t>
      </w:r>
      <w:r w:rsidR="00001149" w:rsidRPr="00662061">
        <w:rPr>
          <w:lang w:val="en-US"/>
        </w:rPr>
        <w:t xml:space="preserve"> This </w:t>
      </w:r>
      <w:r w:rsidRPr="00662061">
        <w:rPr>
          <w:lang w:val="en-US"/>
        </w:rPr>
        <w:t xml:space="preserve">may lead companies to struggle in creating real customer value, </w:t>
      </w:r>
      <w:r w:rsidR="00CD4435" w:rsidRPr="00662061">
        <w:rPr>
          <w:lang w:val="en-US"/>
        </w:rPr>
        <w:t>while</w:t>
      </w:r>
      <w:r w:rsidRPr="00662061">
        <w:rPr>
          <w:lang w:val="en-US"/>
        </w:rPr>
        <w:t xml:space="preserve"> it can </w:t>
      </w:r>
      <w:r w:rsidR="00CA3F39" w:rsidRPr="00662061">
        <w:rPr>
          <w:lang w:val="en-US"/>
        </w:rPr>
        <w:t xml:space="preserve">also </w:t>
      </w:r>
      <w:r w:rsidRPr="00662061">
        <w:rPr>
          <w:lang w:val="en-US"/>
        </w:rPr>
        <w:t xml:space="preserve">prevent firms from securing revenue growth through selling digital service solutions (Coreynen </w:t>
      </w:r>
      <w:r w:rsidRPr="0067500C">
        <w:rPr>
          <w:i/>
          <w:iCs/>
          <w:lang w:val="en-US"/>
        </w:rPr>
        <w:t>et al.</w:t>
      </w:r>
      <w:r w:rsidRPr="00662061">
        <w:rPr>
          <w:lang w:val="en-US"/>
        </w:rPr>
        <w:t xml:space="preserve">, 2020). In fact, </w:t>
      </w:r>
      <w:r w:rsidR="00D85310" w:rsidRPr="00662061">
        <w:rPr>
          <w:lang w:val="en-US"/>
        </w:rPr>
        <w:t xml:space="preserve">it has been argued that </w:t>
      </w:r>
      <w:r w:rsidRPr="00662061">
        <w:rPr>
          <w:lang w:val="en-US"/>
        </w:rPr>
        <w:t>digital servitiz</w:t>
      </w:r>
      <w:r w:rsidR="001E5910" w:rsidRPr="00662061">
        <w:rPr>
          <w:lang w:val="en-US"/>
        </w:rPr>
        <w:t xml:space="preserve">ation may take several years to yield results </w:t>
      </w:r>
      <w:r w:rsidRPr="00BA6D11">
        <w:rPr>
          <w:lang w:val="en-US"/>
        </w:rPr>
        <w:t xml:space="preserve">and </w:t>
      </w:r>
      <w:r w:rsidR="0005688E" w:rsidRPr="00662061">
        <w:rPr>
          <w:lang w:val="en-US"/>
        </w:rPr>
        <w:t xml:space="preserve">create value for </w:t>
      </w:r>
      <w:r w:rsidRPr="00662061">
        <w:rPr>
          <w:lang w:val="en-US"/>
        </w:rPr>
        <w:t>organizati</w:t>
      </w:r>
      <w:r w:rsidR="00665307" w:rsidRPr="00662061">
        <w:rPr>
          <w:lang w:val="en-US"/>
        </w:rPr>
        <w:t>on</w:t>
      </w:r>
      <w:r w:rsidR="0005688E" w:rsidRPr="00662061">
        <w:rPr>
          <w:lang w:val="en-US"/>
        </w:rPr>
        <w:t>s</w:t>
      </w:r>
      <w:r w:rsidR="00665307" w:rsidRPr="00662061">
        <w:rPr>
          <w:lang w:val="en-US"/>
        </w:rPr>
        <w:t xml:space="preserve"> </w:t>
      </w:r>
      <w:r w:rsidRPr="00662061">
        <w:rPr>
          <w:lang w:val="en-US"/>
        </w:rPr>
        <w:t xml:space="preserve">(Kohtamäki </w:t>
      </w:r>
      <w:r w:rsidRPr="00C144DD">
        <w:rPr>
          <w:i/>
          <w:iCs/>
          <w:lang w:val="en-US"/>
        </w:rPr>
        <w:t>et al.</w:t>
      </w:r>
      <w:r w:rsidRPr="00662061">
        <w:rPr>
          <w:lang w:val="en-US"/>
        </w:rPr>
        <w:t xml:space="preserve">, 2020). </w:t>
      </w:r>
    </w:p>
    <w:p w14:paraId="16034908" w14:textId="77777777" w:rsidR="00D85310" w:rsidRPr="00662061" w:rsidRDefault="00D85310" w:rsidP="00DB646B">
      <w:pPr>
        <w:spacing w:line="360" w:lineRule="auto"/>
        <w:rPr>
          <w:b/>
          <w:lang w:val="en-US"/>
        </w:rPr>
      </w:pPr>
    </w:p>
    <w:p w14:paraId="561AED3F" w14:textId="407E7555" w:rsidR="001245FD" w:rsidRPr="00662061" w:rsidRDefault="00E61B6B" w:rsidP="00DB646B">
      <w:pPr>
        <w:spacing w:line="360" w:lineRule="auto"/>
        <w:rPr>
          <w:i/>
          <w:lang w:val="en-US"/>
        </w:rPr>
      </w:pPr>
      <w:r w:rsidRPr="00662061">
        <w:rPr>
          <w:i/>
          <w:lang w:val="en-US"/>
        </w:rPr>
        <w:t xml:space="preserve">2.3. </w:t>
      </w:r>
      <w:r w:rsidR="004E6EF4" w:rsidRPr="00662061">
        <w:rPr>
          <w:i/>
          <w:lang w:val="en-US"/>
        </w:rPr>
        <w:t xml:space="preserve">An integrative view of </w:t>
      </w:r>
      <w:r w:rsidR="001245FD" w:rsidRPr="00662061">
        <w:rPr>
          <w:i/>
          <w:lang w:val="en-US"/>
        </w:rPr>
        <w:t>technological innovation</w:t>
      </w:r>
      <w:r w:rsidR="00C2199E" w:rsidRPr="00662061">
        <w:rPr>
          <w:i/>
          <w:lang w:val="en-US"/>
        </w:rPr>
        <w:t xml:space="preserve"> </w:t>
      </w:r>
      <w:r w:rsidR="00426847" w:rsidRPr="00662061">
        <w:rPr>
          <w:i/>
          <w:lang w:val="en-US"/>
        </w:rPr>
        <w:t>in modern manufacturing</w:t>
      </w:r>
    </w:p>
    <w:p w14:paraId="51636FD6" w14:textId="1E220497" w:rsidR="00303858" w:rsidRPr="00662061" w:rsidRDefault="00F51E87" w:rsidP="00DB646B">
      <w:pPr>
        <w:spacing w:line="360" w:lineRule="auto"/>
        <w:rPr>
          <w:lang w:val="en-US"/>
        </w:rPr>
      </w:pPr>
      <w:r w:rsidRPr="00662061">
        <w:rPr>
          <w:lang w:val="en-US"/>
        </w:rPr>
        <w:t xml:space="preserve">By drawing on the integrative view of innovation (Dammanpour, 2010), </w:t>
      </w:r>
      <w:r w:rsidR="00322B4F" w:rsidRPr="00662061">
        <w:rPr>
          <w:lang w:val="en-US"/>
        </w:rPr>
        <w:t xml:space="preserve">we </w:t>
      </w:r>
      <w:r w:rsidR="00CD4435" w:rsidRPr="00662061">
        <w:rPr>
          <w:lang w:val="en-US"/>
        </w:rPr>
        <w:t>intend</w:t>
      </w:r>
      <w:r w:rsidR="00E67DCC" w:rsidRPr="00662061">
        <w:rPr>
          <w:lang w:val="en-US"/>
        </w:rPr>
        <w:t xml:space="preserve"> </w:t>
      </w:r>
      <w:r w:rsidR="00526D80" w:rsidRPr="00662061">
        <w:rPr>
          <w:lang w:val="en-US"/>
        </w:rPr>
        <w:t xml:space="preserve">to examine the performance effects of combining technological innovations in two distinctive manners. </w:t>
      </w:r>
      <w:r w:rsidR="00EC7CC1" w:rsidRPr="00662061">
        <w:rPr>
          <w:lang w:val="en-US"/>
        </w:rPr>
        <w:t>To begin with</w:t>
      </w:r>
      <w:r w:rsidR="00526D80" w:rsidRPr="00662061">
        <w:rPr>
          <w:lang w:val="en-US"/>
        </w:rPr>
        <w:t xml:space="preserve">, we explore </w:t>
      </w:r>
      <w:r w:rsidR="00482353" w:rsidRPr="00662061">
        <w:rPr>
          <w:lang w:val="en-US"/>
        </w:rPr>
        <w:t xml:space="preserve">the joint </w:t>
      </w:r>
      <w:r w:rsidR="00526D80" w:rsidRPr="00662061">
        <w:rPr>
          <w:lang w:val="en-US"/>
        </w:rPr>
        <w:t xml:space="preserve">process-product innovation strategy, </w:t>
      </w:r>
      <w:r w:rsidR="0027180F" w:rsidRPr="00662061">
        <w:rPr>
          <w:lang w:val="en-US"/>
        </w:rPr>
        <w:t>and we</w:t>
      </w:r>
      <w:r w:rsidR="00526D80" w:rsidRPr="00662061">
        <w:rPr>
          <w:lang w:val="en-US"/>
        </w:rPr>
        <w:t xml:space="preserve"> </w:t>
      </w:r>
      <w:r w:rsidR="00CA3F39" w:rsidRPr="00662061">
        <w:rPr>
          <w:lang w:val="en-US"/>
        </w:rPr>
        <w:t xml:space="preserve">then </w:t>
      </w:r>
      <w:r w:rsidR="00526D80" w:rsidRPr="00662061">
        <w:rPr>
          <w:lang w:val="en-US"/>
        </w:rPr>
        <w:t>assess the added gains of including digital service innovation</w:t>
      </w:r>
      <w:r w:rsidR="000C5DEF" w:rsidRPr="00662061">
        <w:rPr>
          <w:lang w:val="en-US"/>
        </w:rPr>
        <w:t xml:space="preserve"> (i.e.</w:t>
      </w:r>
      <w:r w:rsidR="00007B47" w:rsidRPr="00662061">
        <w:rPr>
          <w:lang w:val="en-US"/>
        </w:rPr>
        <w:t>,</w:t>
      </w:r>
      <w:r w:rsidR="000C5DEF" w:rsidRPr="00662061">
        <w:rPr>
          <w:lang w:val="en-US"/>
        </w:rPr>
        <w:t xml:space="preserve"> digital servitization)</w:t>
      </w:r>
      <w:r w:rsidR="00526D80" w:rsidRPr="00662061">
        <w:rPr>
          <w:lang w:val="en-US"/>
        </w:rPr>
        <w:t xml:space="preserve"> </w:t>
      </w:r>
      <w:r w:rsidR="00D40835" w:rsidRPr="00662061">
        <w:rPr>
          <w:lang w:val="en-US"/>
        </w:rPr>
        <w:t xml:space="preserve">to this tandem, in other words, </w:t>
      </w:r>
      <w:r w:rsidR="00526D80" w:rsidRPr="00662061">
        <w:rPr>
          <w:lang w:val="en-US"/>
        </w:rPr>
        <w:t>the combinat</w:t>
      </w:r>
      <w:r w:rsidR="000C5DEF" w:rsidRPr="00662061">
        <w:rPr>
          <w:lang w:val="en-US"/>
        </w:rPr>
        <w:t xml:space="preserve">ion of all three </w:t>
      </w:r>
      <w:proofErr w:type="gramStart"/>
      <w:r w:rsidR="000C5DEF" w:rsidRPr="00662061">
        <w:rPr>
          <w:lang w:val="en-US"/>
        </w:rPr>
        <w:t>innovations;</w:t>
      </w:r>
      <w:proofErr w:type="gramEnd"/>
      <w:r w:rsidR="000C5DEF" w:rsidRPr="00662061">
        <w:rPr>
          <w:lang w:val="en-US"/>
        </w:rPr>
        <w:t xml:space="preserve"> </w:t>
      </w:r>
      <w:r w:rsidR="00C51A42" w:rsidRPr="00662061">
        <w:rPr>
          <w:lang w:val="en-US"/>
        </w:rPr>
        <w:t xml:space="preserve">product, </w:t>
      </w:r>
      <w:r w:rsidR="00526D80" w:rsidRPr="00662061">
        <w:rPr>
          <w:lang w:val="en-US"/>
        </w:rPr>
        <w:t>proce</w:t>
      </w:r>
      <w:r w:rsidR="000C5DEF" w:rsidRPr="00662061">
        <w:rPr>
          <w:lang w:val="en-US"/>
        </w:rPr>
        <w:t>ss, and service</w:t>
      </w:r>
      <w:r w:rsidR="003864A7" w:rsidRPr="00662061">
        <w:rPr>
          <w:lang w:val="en-US"/>
        </w:rPr>
        <w:t xml:space="preserve"> simultaneousl</w:t>
      </w:r>
      <w:r w:rsidR="00A4295B" w:rsidRPr="00662061">
        <w:rPr>
          <w:lang w:val="en-US"/>
        </w:rPr>
        <w:t>y. Moreover, we suggest that due to the existence of sectoral heterogeneity among manufacturing fi</w:t>
      </w:r>
      <w:r w:rsidR="00AE5E9F" w:rsidRPr="00662061">
        <w:rPr>
          <w:lang w:val="en-US"/>
        </w:rPr>
        <w:t xml:space="preserve">rms (Pires </w:t>
      </w:r>
      <w:r w:rsidR="00AE5E9F" w:rsidRPr="00471388">
        <w:rPr>
          <w:i/>
          <w:iCs/>
          <w:lang w:val="en-US"/>
        </w:rPr>
        <w:t>et al.</w:t>
      </w:r>
      <w:r w:rsidR="00AE5E9F" w:rsidRPr="00662061">
        <w:rPr>
          <w:lang w:val="en-US"/>
        </w:rPr>
        <w:t>, 2008</w:t>
      </w:r>
      <w:r w:rsidR="00C607E8" w:rsidRPr="00662061">
        <w:rPr>
          <w:lang w:val="en-US"/>
        </w:rPr>
        <w:t>)</w:t>
      </w:r>
      <w:r w:rsidR="00E67DCC" w:rsidRPr="00662061">
        <w:rPr>
          <w:lang w:val="en-US"/>
        </w:rPr>
        <w:t>;</w:t>
      </w:r>
      <w:r w:rsidR="00C607E8" w:rsidRPr="00662061">
        <w:rPr>
          <w:lang w:val="en-US"/>
        </w:rPr>
        <w:t xml:space="preserve"> </w:t>
      </w:r>
      <w:r w:rsidR="00A4295B" w:rsidRPr="00662061">
        <w:rPr>
          <w:lang w:val="en-US"/>
        </w:rPr>
        <w:t xml:space="preserve">there might </w:t>
      </w:r>
      <w:r w:rsidRPr="00662061">
        <w:rPr>
          <w:lang w:val="en-US"/>
        </w:rPr>
        <w:t>be different optimal configurations</w:t>
      </w:r>
      <w:r w:rsidR="00A4295B" w:rsidRPr="00662061">
        <w:rPr>
          <w:lang w:val="en-US"/>
        </w:rPr>
        <w:t xml:space="preserve"> </w:t>
      </w:r>
      <w:r w:rsidR="00FF13F0" w:rsidRPr="00662061">
        <w:rPr>
          <w:lang w:val="en-US"/>
        </w:rPr>
        <w:t xml:space="preserve">among manufacturing </w:t>
      </w:r>
      <w:r w:rsidRPr="00662061">
        <w:rPr>
          <w:lang w:val="en-US"/>
        </w:rPr>
        <w:t>industries.</w:t>
      </w:r>
      <w:r w:rsidR="00303858" w:rsidRPr="00BA6D11">
        <w:rPr>
          <w:lang w:val="en-US"/>
        </w:rPr>
        <w:t xml:space="preserve"> </w:t>
      </w:r>
    </w:p>
    <w:p w14:paraId="0B5BFAA2" w14:textId="07933349" w:rsidR="00572664" w:rsidRPr="00BA6D11" w:rsidRDefault="00303858" w:rsidP="00DB646B">
      <w:pPr>
        <w:spacing w:line="360" w:lineRule="auto"/>
        <w:ind w:firstLine="425"/>
        <w:rPr>
          <w:lang w:val="en-US"/>
        </w:rPr>
      </w:pPr>
      <w:r w:rsidRPr="00662061">
        <w:rPr>
          <w:lang w:val="en-US"/>
        </w:rPr>
        <w:t xml:space="preserve">Process innovation has </w:t>
      </w:r>
      <w:r w:rsidR="005A1D73" w:rsidRPr="00662061">
        <w:rPr>
          <w:lang w:val="en-US"/>
        </w:rPr>
        <w:t xml:space="preserve">been </w:t>
      </w:r>
      <w:r w:rsidRPr="00662061">
        <w:rPr>
          <w:lang w:val="en-US"/>
        </w:rPr>
        <w:t>shown to enhance a firm's ability to exploit, maximize, and reconfigure resources and capabilities used in the process of production (</w:t>
      </w:r>
      <w:r w:rsidR="00FF7D85" w:rsidRPr="00662061">
        <w:rPr>
          <w:lang w:val="en-US"/>
        </w:rPr>
        <w:t xml:space="preserve">Chai </w:t>
      </w:r>
      <w:r w:rsidR="00FF7D85" w:rsidRPr="00E877E0">
        <w:rPr>
          <w:i/>
          <w:iCs/>
          <w:lang w:val="en-US"/>
        </w:rPr>
        <w:t>et al.</w:t>
      </w:r>
      <w:r w:rsidR="00FF7D85" w:rsidRPr="00662061">
        <w:rPr>
          <w:lang w:val="en-US"/>
        </w:rPr>
        <w:t>, 2020</w:t>
      </w:r>
      <w:r w:rsidRPr="00662061">
        <w:rPr>
          <w:lang w:val="en-US"/>
        </w:rPr>
        <w:t xml:space="preserve">). Alternatively, product innovation has </w:t>
      </w:r>
      <w:r w:rsidR="003C6F31" w:rsidRPr="00662061">
        <w:rPr>
          <w:lang w:val="en-US"/>
        </w:rPr>
        <w:t>been found</w:t>
      </w:r>
      <w:r w:rsidR="005A1D73" w:rsidRPr="00662061">
        <w:rPr>
          <w:lang w:val="en-US"/>
        </w:rPr>
        <w:t xml:space="preserve"> </w:t>
      </w:r>
      <w:r w:rsidRPr="00662061">
        <w:rPr>
          <w:lang w:val="en-US"/>
        </w:rPr>
        <w:t xml:space="preserve">to increase the range of products to meet </w:t>
      </w:r>
      <w:r w:rsidRPr="00662061">
        <w:rPr>
          <w:lang w:val="en-US"/>
        </w:rPr>
        <w:lastRenderedPageBreak/>
        <w:t xml:space="preserve">sales goals, market share goals, return on investment and customer satisfaction (Najafi-Tavani </w:t>
      </w:r>
      <w:r w:rsidRPr="00127D5C">
        <w:rPr>
          <w:i/>
          <w:iCs/>
          <w:lang w:val="en-US"/>
        </w:rPr>
        <w:t>et al.</w:t>
      </w:r>
      <w:r w:rsidRPr="00662061">
        <w:rPr>
          <w:lang w:val="en-US"/>
        </w:rPr>
        <w:t xml:space="preserve">, 2018). </w:t>
      </w:r>
      <w:r w:rsidR="00F51E87" w:rsidRPr="00662061">
        <w:rPr>
          <w:lang w:val="en-US"/>
        </w:rPr>
        <w:t>In parallel</w:t>
      </w:r>
      <w:r w:rsidRPr="00662061">
        <w:rPr>
          <w:lang w:val="en-US"/>
        </w:rPr>
        <w:t xml:space="preserve">, both product and process innovations have </w:t>
      </w:r>
      <w:r w:rsidR="003C6F31" w:rsidRPr="00662061">
        <w:rPr>
          <w:lang w:val="en-US"/>
        </w:rPr>
        <w:t xml:space="preserve">proven </w:t>
      </w:r>
      <w:r w:rsidRPr="00662061">
        <w:rPr>
          <w:lang w:val="en-US"/>
        </w:rPr>
        <w:t xml:space="preserve">to </w:t>
      </w:r>
      <w:r w:rsidR="005A1D73" w:rsidRPr="00662061">
        <w:rPr>
          <w:lang w:val="en-US"/>
        </w:rPr>
        <w:t xml:space="preserve">have </w:t>
      </w:r>
      <w:r w:rsidRPr="00662061">
        <w:rPr>
          <w:lang w:val="en-US"/>
        </w:rPr>
        <w:t>significant implications on firms</w:t>
      </w:r>
      <w:r w:rsidR="005A1D73" w:rsidRPr="00662061">
        <w:rPr>
          <w:lang w:val="en-US"/>
        </w:rPr>
        <w:t>’</w:t>
      </w:r>
      <w:r w:rsidRPr="00662061">
        <w:rPr>
          <w:lang w:val="en-US"/>
        </w:rPr>
        <w:t xml:space="preserve"> marketing </w:t>
      </w:r>
      <w:r w:rsidR="00F51E87" w:rsidRPr="00662061">
        <w:rPr>
          <w:lang w:val="en-US"/>
        </w:rPr>
        <w:t xml:space="preserve">and differentiation </w:t>
      </w:r>
      <w:r w:rsidRPr="00662061">
        <w:rPr>
          <w:lang w:val="en-US"/>
        </w:rPr>
        <w:t>strateg</w:t>
      </w:r>
      <w:r w:rsidR="00F51E87" w:rsidRPr="00662061">
        <w:rPr>
          <w:lang w:val="en-US"/>
        </w:rPr>
        <w:t>ies</w:t>
      </w:r>
      <w:r w:rsidRPr="00662061">
        <w:rPr>
          <w:lang w:val="en-US"/>
        </w:rPr>
        <w:t xml:space="preserve"> (Lukas</w:t>
      </w:r>
      <w:r w:rsidR="00471388">
        <w:rPr>
          <w:lang w:val="en-US"/>
        </w:rPr>
        <w:t xml:space="preserve"> and Ferrell</w:t>
      </w:r>
      <w:r w:rsidRPr="00662061">
        <w:rPr>
          <w:lang w:val="en-US"/>
        </w:rPr>
        <w:t xml:space="preserve">, 2000). Accordingly, their joint deployment </w:t>
      </w:r>
      <w:r w:rsidR="005A1D73" w:rsidRPr="00662061">
        <w:rPr>
          <w:lang w:val="en-US"/>
        </w:rPr>
        <w:t xml:space="preserve">allows </w:t>
      </w:r>
      <w:r w:rsidRPr="00662061">
        <w:rPr>
          <w:lang w:val="en-US"/>
        </w:rPr>
        <w:t xml:space="preserve">the integration of diverse assets and the construction of a consistent system of interrelated innovations that mutually reinforce one another (Prajogo, 2016). </w:t>
      </w:r>
      <w:proofErr w:type="gramStart"/>
      <w:r w:rsidRPr="00662061">
        <w:rPr>
          <w:lang w:val="en-US"/>
        </w:rPr>
        <w:t>All of</w:t>
      </w:r>
      <w:proofErr w:type="gramEnd"/>
      <w:r w:rsidRPr="00662061">
        <w:rPr>
          <w:lang w:val="en-US"/>
        </w:rPr>
        <w:t xml:space="preserve"> </w:t>
      </w:r>
      <w:r w:rsidR="005A1D73" w:rsidRPr="00662061">
        <w:rPr>
          <w:lang w:val="en-US"/>
        </w:rPr>
        <w:t xml:space="preserve">the above </w:t>
      </w:r>
      <w:r w:rsidRPr="00662061">
        <w:rPr>
          <w:lang w:val="en-US"/>
        </w:rPr>
        <w:t>enable firms to better adapt to market changes and have shorter and faster decision chains and greater flexibility (</w:t>
      </w:r>
      <w:r w:rsidR="00F43010" w:rsidRPr="00662061">
        <w:rPr>
          <w:lang w:val="en-US"/>
        </w:rPr>
        <w:t xml:space="preserve">Hullova </w:t>
      </w:r>
      <w:r w:rsidR="00F43010" w:rsidRPr="00C91C0D">
        <w:rPr>
          <w:i/>
          <w:iCs/>
          <w:lang w:val="en-US"/>
        </w:rPr>
        <w:t>et al.</w:t>
      </w:r>
      <w:r w:rsidR="00F43010" w:rsidRPr="00662061">
        <w:rPr>
          <w:lang w:val="en-US"/>
        </w:rPr>
        <w:t>, 2016</w:t>
      </w:r>
      <w:r w:rsidRPr="00662061">
        <w:rPr>
          <w:lang w:val="en-US"/>
        </w:rPr>
        <w:t xml:space="preserve">), thus procuring a solid strategic springboard for gaining competitive advantage (Hullova </w:t>
      </w:r>
      <w:r w:rsidRPr="00C91C0D">
        <w:rPr>
          <w:i/>
          <w:iCs/>
          <w:lang w:val="en-US"/>
        </w:rPr>
        <w:t>et al.</w:t>
      </w:r>
      <w:r w:rsidRPr="00662061">
        <w:rPr>
          <w:lang w:val="en-US"/>
        </w:rPr>
        <w:t>, 2019) and business performance (Damanpour, 2010). Such evidence upholds the positive effect of the interplay between process and product innovations on firm performance, and therefore enables us to state the following proposition:</w:t>
      </w:r>
      <w:r w:rsidRPr="00BA6D11">
        <w:rPr>
          <w:lang w:val="en-US"/>
        </w:rPr>
        <w:t xml:space="preserve"> </w:t>
      </w:r>
    </w:p>
    <w:p w14:paraId="5689D6AC" w14:textId="77777777" w:rsidR="00E5781C" w:rsidRPr="00BA6D11" w:rsidRDefault="00E5781C" w:rsidP="00DB646B">
      <w:pPr>
        <w:spacing w:line="360" w:lineRule="auto"/>
        <w:ind w:firstLine="425"/>
        <w:rPr>
          <w:lang w:val="en-US"/>
        </w:rPr>
      </w:pPr>
    </w:p>
    <w:p w14:paraId="7AECE429" w14:textId="71755389" w:rsidR="00E5781C" w:rsidRPr="00662061" w:rsidRDefault="00303858" w:rsidP="00E5781C">
      <w:pPr>
        <w:spacing w:line="360" w:lineRule="auto"/>
        <w:ind w:left="426" w:hanging="1"/>
        <w:rPr>
          <w:lang w:val="en-US"/>
        </w:rPr>
      </w:pPr>
      <w:r w:rsidRPr="00662061">
        <w:rPr>
          <w:b/>
          <w:lang w:val="en-US"/>
        </w:rPr>
        <w:t xml:space="preserve">Testable </w:t>
      </w:r>
      <w:r w:rsidR="00C607E8" w:rsidRPr="00662061">
        <w:rPr>
          <w:b/>
          <w:lang w:val="en-US"/>
        </w:rPr>
        <w:t xml:space="preserve">proposition </w:t>
      </w:r>
      <w:r w:rsidRPr="00662061">
        <w:rPr>
          <w:b/>
          <w:lang w:val="en-US"/>
        </w:rPr>
        <w:t>1</w:t>
      </w:r>
      <w:r w:rsidRPr="00662061">
        <w:rPr>
          <w:lang w:val="en-US"/>
        </w:rPr>
        <w:t>: In manufacturing firms, joint deployment of product and process innovation is a necessary condition to achieve superior performance.</w:t>
      </w:r>
    </w:p>
    <w:p w14:paraId="4E431554" w14:textId="77777777" w:rsidR="00E5781C" w:rsidRPr="00662061" w:rsidRDefault="00E5781C" w:rsidP="00E5781C">
      <w:pPr>
        <w:spacing w:line="360" w:lineRule="auto"/>
        <w:rPr>
          <w:b/>
          <w:lang w:val="en-US"/>
        </w:rPr>
      </w:pPr>
    </w:p>
    <w:p w14:paraId="489C0501" w14:textId="379504E0" w:rsidR="00DE2C36" w:rsidRPr="00662061" w:rsidRDefault="0099110D" w:rsidP="0075530C">
      <w:pPr>
        <w:spacing w:line="360" w:lineRule="auto"/>
        <w:ind w:firstLine="425"/>
        <w:rPr>
          <w:rFonts w:eastAsia="Calibri"/>
          <w:lang w:val="en-US"/>
        </w:rPr>
      </w:pPr>
      <w:r w:rsidRPr="00662061">
        <w:rPr>
          <w:rFonts w:eastAsia="Calibri"/>
          <w:lang w:val="en-US"/>
        </w:rPr>
        <w:t>As stated</w:t>
      </w:r>
      <w:r w:rsidR="00203E39" w:rsidRPr="00662061">
        <w:rPr>
          <w:rFonts w:eastAsia="Calibri"/>
          <w:lang w:val="en-US"/>
        </w:rPr>
        <w:t xml:space="preserve"> earlier</w:t>
      </w:r>
      <w:r w:rsidRPr="00662061">
        <w:rPr>
          <w:rFonts w:eastAsia="Calibri"/>
          <w:lang w:val="en-US"/>
        </w:rPr>
        <w:t>, we</w:t>
      </w:r>
      <w:r w:rsidR="00627CA4">
        <w:rPr>
          <w:rFonts w:eastAsia="Calibri"/>
          <w:lang w:val="en-US"/>
        </w:rPr>
        <w:t xml:space="preserve"> </w:t>
      </w:r>
      <w:r w:rsidR="00007B47" w:rsidRPr="00662061">
        <w:rPr>
          <w:rFonts w:eastAsia="Calibri"/>
          <w:lang w:val="en-US"/>
        </w:rPr>
        <w:t>believe</w:t>
      </w:r>
      <w:r w:rsidR="005A1D73" w:rsidRPr="00662061">
        <w:rPr>
          <w:rFonts w:eastAsia="Calibri"/>
          <w:lang w:val="en-US"/>
        </w:rPr>
        <w:t xml:space="preserve"> </w:t>
      </w:r>
      <w:r w:rsidR="006E2F71" w:rsidRPr="00662061">
        <w:rPr>
          <w:rFonts w:eastAsia="Calibri"/>
          <w:lang w:val="en-US"/>
        </w:rPr>
        <w:t xml:space="preserve">that this proposition may have nuances depending on the industrial sector/context (Pires </w:t>
      </w:r>
      <w:r w:rsidR="006E2F71" w:rsidRPr="00471388">
        <w:rPr>
          <w:rFonts w:eastAsia="Calibri"/>
          <w:i/>
          <w:iCs/>
          <w:lang w:val="en-US"/>
        </w:rPr>
        <w:t>et al.</w:t>
      </w:r>
      <w:r w:rsidR="006E2F71" w:rsidRPr="00662061">
        <w:rPr>
          <w:rFonts w:eastAsia="Calibri"/>
          <w:lang w:val="en-US"/>
        </w:rPr>
        <w:t>, 2008).</w:t>
      </w:r>
      <w:r w:rsidR="00A43FAC" w:rsidRPr="00BA6D11">
        <w:rPr>
          <w:lang w:val="en-US"/>
        </w:rPr>
        <w:t xml:space="preserve"> </w:t>
      </w:r>
      <w:r w:rsidR="00A43FAC" w:rsidRPr="00662061">
        <w:rPr>
          <w:rFonts w:eastAsia="Calibri"/>
          <w:lang w:val="en-US"/>
        </w:rPr>
        <w:t xml:space="preserve">The rationale for this assertion follows from the </w:t>
      </w:r>
      <w:r w:rsidR="00236D23" w:rsidRPr="00662061">
        <w:rPr>
          <w:rFonts w:eastAsia="Calibri"/>
          <w:lang w:val="en-US"/>
        </w:rPr>
        <w:t xml:space="preserve">servitization </w:t>
      </w:r>
      <w:r w:rsidR="00A43FAC" w:rsidRPr="00662061">
        <w:rPr>
          <w:rFonts w:eastAsia="Calibri"/>
          <w:lang w:val="en-US"/>
        </w:rPr>
        <w:t xml:space="preserve">literature </w:t>
      </w:r>
      <w:r w:rsidR="005A1D73" w:rsidRPr="00662061">
        <w:rPr>
          <w:rFonts w:eastAsia="Calibri"/>
          <w:lang w:val="en-US"/>
        </w:rPr>
        <w:t xml:space="preserve">which </w:t>
      </w:r>
      <w:r w:rsidR="00A43FAC" w:rsidRPr="00662061">
        <w:rPr>
          <w:rFonts w:eastAsia="Calibri"/>
          <w:lang w:val="en-US"/>
        </w:rPr>
        <w:t>suggests that</w:t>
      </w:r>
      <w:r w:rsidR="0075530C" w:rsidRPr="00662061">
        <w:rPr>
          <w:rFonts w:eastAsia="Calibri"/>
          <w:lang w:val="en-US"/>
        </w:rPr>
        <w:t xml:space="preserve"> digital servitization is not a one size fits all strategy, and that in certain industries with more industrial focus there are more opportunities to benefit from such strategies (Bustinza </w:t>
      </w:r>
      <w:r w:rsidR="0075530C" w:rsidRPr="00471388">
        <w:rPr>
          <w:rFonts w:eastAsia="Calibri"/>
          <w:i/>
          <w:iCs/>
          <w:lang w:val="en-US"/>
        </w:rPr>
        <w:t>et al</w:t>
      </w:r>
      <w:r w:rsidR="00471388">
        <w:rPr>
          <w:rFonts w:eastAsia="Calibri"/>
          <w:lang w:val="en-US"/>
        </w:rPr>
        <w:t>.</w:t>
      </w:r>
      <w:r w:rsidR="0075530C" w:rsidRPr="00662061">
        <w:rPr>
          <w:rFonts w:eastAsia="Calibri"/>
          <w:lang w:val="en-US"/>
        </w:rPr>
        <w:t xml:space="preserve"> 2019).</w:t>
      </w:r>
      <w:r w:rsidR="0075530C" w:rsidRPr="00662061">
        <w:rPr>
          <w:rStyle w:val="Refdenotaalpie"/>
          <w:rFonts w:eastAsia="Calibri"/>
          <w:lang w:val="en-US"/>
        </w:rPr>
        <w:footnoteReference w:id="1"/>
      </w:r>
      <w:r w:rsidR="0075530C" w:rsidRPr="00662061">
        <w:rPr>
          <w:rFonts w:eastAsia="Calibri"/>
          <w:lang w:val="en-US"/>
        </w:rPr>
        <w:t xml:space="preserve"> F</w:t>
      </w:r>
      <w:r w:rsidR="00234361" w:rsidRPr="00662061">
        <w:rPr>
          <w:rFonts w:eastAsia="Calibri"/>
          <w:lang w:val="en-US"/>
        </w:rPr>
        <w:t>irms</w:t>
      </w:r>
      <w:r w:rsidR="0075530C" w:rsidRPr="00662061">
        <w:rPr>
          <w:rFonts w:eastAsia="Calibri"/>
          <w:lang w:val="en-US"/>
        </w:rPr>
        <w:t xml:space="preserve"> in heavy manufacturing</w:t>
      </w:r>
      <w:r w:rsidR="006E2F71" w:rsidRPr="00662061">
        <w:rPr>
          <w:rFonts w:eastAsia="Calibri"/>
          <w:lang w:val="en-US"/>
        </w:rPr>
        <w:t xml:space="preserve"> </w:t>
      </w:r>
      <w:r w:rsidR="00E67DCC" w:rsidRPr="00662061">
        <w:rPr>
          <w:rFonts w:eastAsia="Calibri"/>
          <w:lang w:val="en-US"/>
        </w:rPr>
        <w:t>must strive</w:t>
      </w:r>
      <w:r w:rsidR="00FF7D85" w:rsidRPr="00662061">
        <w:rPr>
          <w:rFonts w:eastAsia="Calibri"/>
          <w:lang w:val="en-US"/>
        </w:rPr>
        <w:t xml:space="preserve"> for</w:t>
      </w:r>
      <w:r w:rsidR="006E2F71" w:rsidRPr="00662061">
        <w:rPr>
          <w:rFonts w:eastAsia="Calibri"/>
          <w:lang w:val="en-US"/>
        </w:rPr>
        <w:t>, among other aspects, improved supply chain interactions (</w:t>
      </w:r>
      <w:r w:rsidR="000F01BF" w:rsidRPr="00662061">
        <w:rPr>
          <w:rFonts w:eastAsia="Calibri"/>
          <w:lang w:val="en-US"/>
        </w:rPr>
        <w:t xml:space="preserve">Sjödin </w:t>
      </w:r>
      <w:r w:rsidR="000F01BF" w:rsidRPr="00E877E0">
        <w:rPr>
          <w:rFonts w:eastAsia="Calibri"/>
          <w:i/>
          <w:iCs/>
          <w:lang w:val="en-US"/>
        </w:rPr>
        <w:t>et al.</w:t>
      </w:r>
      <w:r w:rsidR="000F01BF" w:rsidRPr="00662061">
        <w:rPr>
          <w:rFonts w:eastAsia="Calibri"/>
          <w:lang w:val="en-US"/>
        </w:rPr>
        <w:t>, 2019</w:t>
      </w:r>
      <w:r w:rsidR="006E2F71" w:rsidRPr="00662061">
        <w:rPr>
          <w:rFonts w:eastAsia="Calibri"/>
          <w:lang w:val="en-US"/>
        </w:rPr>
        <w:t>), closer B2B relationships (</w:t>
      </w:r>
      <w:r w:rsidR="000F01BF" w:rsidRPr="00662061">
        <w:rPr>
          <w:rFonts w:eastAsia="Calibri"/>
          <w:lang w:val="en-US"/>
        </w:rPr>
        <w:t>Baines and Lightfoot, 2014</w:t>
      </w:r>
      <w:r w:rsidR="006E2F71" w:rsidRPr="00662061">
        <w:rPr>
          <w:rFonts w:eastAsia="Calibri"/>
          <w:lang w:val="en-US"/>
        </w:rPr>
        <w:t>), more consistent co-creation strate</w:t>
      </w:r>
      <w:r w:rsidR="004C7E68" w:rsidRPr="00662061">
        <w:rPr>
          <w:rFonts w:eastAsia="Calibri"/>
          <w:lang w:val="en-US"/>
        </w:rPr>
        <w:t xml:space="preserve">gies (Bigdeli </w:t>
      </w:r>
      <w:r w:rsidR="004C7E68" w:rsidRPr="00471388">
        <w:rPr>
          <w:rFonts w:eastAsia="Calibri"/>
          <w:i/>
          <w:iCs/>
          <w:lang w:val="en-US"/>
        </w:rPr>
        <w:t>et al.</w:t>
      </w:r>
      <w:r w:rsidR="004C7E68" w:rsidRPr="00662061">
        <w:rPr>
          <w:rFonts w:eastAsia="Calibri"/>
          <w:lang w:val="en-US"/>
        </w:rPr>
        <w:t>, 2018</w:t>
      </w:r>
      <w:r w:rsidR="006E2F71" w:rsidRPr="00662061">
        <w:rPr>
          <w:rFonts w:eastAsia="Calibri"/>
          <w:lang w:val="en-US"/>
        </w:rPr>
        <w:t>), and increased product com</w:t>
      </w:r>
      <w:r w:rsidR="00234361" w:rsidRPr="00662061">
        <w:rPr>
          <w:rFonts w:eastAsia="Calibri"/>
          <w:lang w:val="en-US"/>
        </w:rPr>
        <w:t>plexity</w:t>
      </w:r>
      <w:r w:rsidR="00A93518" w:rsidRPr="00BA6D11">
        <w:rPr>
          <w:lang w:val="en-US"/>
        </w:rPr>
        <w:t xml:space="preserve"> </w:t>
      </w:r>
      <w:r w:rsidR="005C270B" w:rsidRPr="00662061">
        <w:rPr>
          <w:rFonts w:eastAsia="Calibri"/>
          <w:lang w:val="en-US"/>
        </w:rPr>
        <w:t>(i.e.</w:t>
      </w:r>
      <w:r w:rsidR="00007B47" w:rsidRPr="00662061">
        <w:rPr>
          <w:rFonts w:eastAsia="Calibri"/>
          <w:lang w:val="en-US"/>
        </w:rPr>
        <w:t>,</w:t>
      </w:r>
      <w:r w:rsidR="00A93518" w:rsidRPr="00662061">
        <w:rPr>
          <w:rFonts w:eastAsia="Calibri"/>
          <w:lang w:val="en-US"/>
        </w:rPr>
        <w:t xml:space="preserve"> high levels of customization)</w:t>
      </w:r>
      <w:r w:rsidR="00234361" w:rsidRPr="00662061">
        <w:rPr>
          <w:rFonts w:eastAsia="Calibri"/>
          <w:lang w:val="en-US"/>
        </w:rPr>
        <w:t xml:space="preserve"> (Raddats </w:t>
      </w:r>
      <w:r w:rsidR="00234361" w:rsidRPr="00471388">
        <w:rPr>
          <w:rFonts w:eastAsia="Calibri"/>
          <w:i/>
          <w:iCs/>
          <w:lang w:val="en-US"/>
        </w:rPr>
        <w:t>et al.</w:t>
      </w:r>
      <w:r w:rsidR="00234361" w:rsidRPr="00662061">
        <w:rPr>
          <w:rFonts w:eastAsia="Calibri"/>
          <w:lang w:val="en-US"/>
        </w:rPr>
        <w:t>, 2016)</w:t>
      </w:r>
      <w:r w:rsidR="00236D23" w:rsidRPr="00662061">
        <w:rPr>
          <w:rFonts w:eastAsia="Calibri"/>
          <w:lang w:val="en-US"/>
        </w:rPr>
        <w:t>—in order to gain competitiveness and enhance performance</w:t>
      </w:r>
      <w:r w:rsidR="00180ECF" w:rsidRPr="00662061">
        <w:rPr>
          <w:rFonts w:eastAsia="Calibri"/>
          <w:lang w:val="en-US"/>
        </w:rPr>
        <w:t xml:space="preserve"> (</w:t>
      </w:r>
      <w:r w:rsidR="007107F9" w:rsidRPr="00662061">
        <w:rPr>
          <w:rFonts w:eastAsia="Calibri"/>
          <w:lang w:val="en-US"/>
        </w:rPr>
        <w:t xml:space="preserve">Kohtamäki </w:t>
      </w:r>
      <w:r w:rsidR="007107F9" w:rsidRPr="00C144DD">
        <w:rPr>
          <w:rFonts w:eastAsia="Calibri"/>
          <w:i/>
          <w:iCs/>
          <w:lang w:val="en-US"/>
        </w:rPr>
        <w:t>et al.</w:t>
      </w:r>
      <w:r w:rsidR="007107F9" w:rsidRPr="00662061">
        <w:rPr>
          <w:rFonts w:eastAsia="Calibri"/>
          <w:lang w:val="en-US"/>
        </w:rPr>
        <w:t>, 2020</w:t>
      </w:r>
      <w:r w:rsidR="00180ECF" w:rsidRPr="00662061">
        <w:rPr>
          <w:rFonts w:eastAsia="Calibri"/>
          <w:lang w:val="en-US"/>
        </w:rPr>
        <w:t>)</w:t>
      </w:r>
      <w:r w:rsidR="00236D23" w:rsidRPr="00662061">
        <w:rPr>
          <w:rFonts w:eastAsia="Calibri"/>
          <w:lang w:val="en-US"/>
        </w:rPr>
        <w:t>.</w:t>
      </w:r>
      <w:r w:rsidR="00180ECF" w:rsidRPr="00662061">
        <w:rPr>
          <w:rFonts w:eastAsia="Calibri"/>
          <w:lang w:val="en-US"/>
        </w:rPr>
        <w:t xml:space="preserve"> </w:t>
      </w:r>
      <w:r w:rsidR="00A81548" w:rsidRPr="00662061">
        <w:rPr>
          <w:rFonts w:eastAsia="Calibri"/>
          <w:lang w:val="en-US"/>
        </w:rPr>
        <w:t xml:space="preserve">Accordingly, </w:t>
      </w:r>
      <w:r w:rsidR="00F51E87" w:rsidRPr="00662061">
        <w:rPr>
          <w:rFonts w:eastAsia="Calibri"/>
          <w:lang w:val="en-US"/>
        </w:rPr>
        <w:t>we argue</w:t>
      </w:r>
      <w:r w:rsidR="00A81548" w:rsidRPr="00662061">
        <w:rPr>
          <w:rFonts w:eastAsia="Calibri"/>
          <w:lang w:val="en-US"/>
        </w:rPr>
        <w:t xml:space="preserve"> that in sectors with stronger industrial bases (i.e.,</w:t>
      </w:r>
      <w:r w:rsidR="0005619A" w:rsidRPr="00BA6D11">
        <w:rPr>
          <w:lang w:val="en-US"/>
        </w:rPr>
        <w:t xml:space="preserve"> </w:t>
      </w:r>
      <w:r w:rsidR="0005619A" w:rsidRPr="00662061">
        <w:rPr>
          <w:rFonts w:eastAsia="Calibri"/>
          <w:lang w:val="en-US"/>
        </w:rPr>
        <w:t>NAICS 33</w:t>
      </w:r>
      <w:r w:rsidR="00A81548" w:rsidRPr="00662061">
        <w:rPr>
          <w:rFonts w:eastAsia="Calibri"/>
          <w:lang w:val="en-US"/>
        </w:rPr>
        <w:t xml:space="preserve">), the additional integration of digital service innovation </w:t>
      </w:r>
      <w:r w:rsidR="00CA3F39" w:rsidRPr="00662061">
        <w:rPr>
          <w:rFonts w:eastAsia="Calibri"/>
          <w:lang w:val="en-US"/>
        </w:rPr>
        <w:t xml:space="preserve">into </w:t>
      </w:r>
      <w:r w:rsidR="00A81548" w:rsidRPr="00662061">
        <w:rPr>
          <w:rFonts w:eastAsia="Calibri"/>
          <w:lang w:val="en-US"/>
        </w:rPr>
        <w:t xml:space="preserve">process and product innovations </w:t>
      </w:r>
      <w:r w:rsidR="003F1A7C" w:rsidRPr="00662061">
        <w:rPr>
          <w:rFonts w:eastAsia="Calibri"/>
          <w:lang w:val="en-US"/>
        </w:rPr>
        <w:t xml:space="preserve">may </w:t>
      </w:r>
      <w:r w:rsidR="00667F2B" w:rsidRPr="00662061">
        <w:rPr>
          <w:rFonts w:eastAsia="Calibri"/>
          <w:lang w:val="en-US"/>
        </w:rPr>
        <w:t xml:space="preserve">enhance firms’ </w:t>
      </w:r>
      <w:r w:rsidR="00A81548" w:rsidRPr="00662061">
        <w:rPr>
          <w:rFonts w:eastAsia="Calibri"/>
          <w:lang w:val="en-US"/>
        </w:rPr>
        <w:t xml:space="preserve">capacity to obtain </w:t>
      </w:r>
      <w:r w:rsidR="00B36D3E" w:rsidRPr="00662061">
        <w:rPr>
          <w:rFonts w:eastAsia="Calibri"/>
          <w:lang w:val="en-US"/>
        </w:rPr>
        <w:t xml:space="preserve">higher </w:t>
      </w:r>
      <w:r w:rsidR="00A81548" w:rsidRPr="00662061">
        <w:rPr>
          <w:rFonts w:eastAsia="Calibri"/>
          <w:lang w:val="en-US"/>
        </w:rPr>
        <w:t xml:space="preserve">performance gains.  </w:t>
      </w:r>
    </w:p>
    <w:p w14:paraId="00FD5F9A" w14:textId="1A917073" w:rsidR="00E5781C" w:rsidRPr="00662061" w:rsidRDefault="004E4635" w:rsidP="0027180F">
      <w:pPr>
        <w:spacing w:line="360" w:lineRule="auto"/>
        <w:ind w:firstLine="425"/>
        <w:rPr>
          <w:rFonts w:eastAsia="Calibri"/>
          <w:lang w:val="en-US"/>
        </w:rPr>
      </w:pPr>
      <w:r w:rsidRPr="00662061">
        <w:rPr>
          <w:rFonts w:eastAsia="Calibri"/>
          <w:lang w:val="en-US"/>
        </w:rPr>
        <w:t>From our standpoint</w:t>
      </w:r>
      <w:r w:rsidR="00084C82" w:rsidRPr="00662061">
        <w:rPr>
          <w:rFonts w:eastAsia="Calibri"/>
          <w:lang w:val="en-US"/>
        </w:rPr>
        <w:t>, process, product, and digital service innovation have important</w:t>
      </w:r>
      <w:r w:rsidR="007E14F7" w:rsidRPr="00662061">
        <w:rPr>
          <w:rFonts w:eastAsia="Calibri"/>
          <w:lang w:val="en-US"/>
        </w:rPr>
        <w:t xml:space="preserve"> </w:t>
      </w:r>
      <w:r w:rsidR="00084C82" w:rsidRPr="00662061">
        <w:rPr>
          <w:rFonts w:eastAsia="Calibri"/>
          <w:lang w:val="en-US"/>
        </w:rPr>
        <w:t xml:space="preserve">complementarities in </w:t>
      </w:r>
      <w:r w:rsidR="007E14F7" w:rsidRPr="00662061">
        <w:rPr>
          <w:rFonts w:eastAsia="Calibri"/>
          <w:lang w:val="en-US"/>
        </w:rPr>
        <w:t xml:space="preserve">heavy </w:t>
      </w:r>
      <w:r w:rsidR="00084C82" w:rsidRPr="00662061">
        <w:rPr>
          <w:rFonts w:eastAsia="Calibri"/>
          <w:lang w:val="en-US"/>
        </w:rPr>
        <w:t>manufacturing settings. Firms with an extended technological portfolio of process, product and service</w:t>
      </w:r>
      <w:r w:rsidR="007E14F7" w:rsidRPr="00662061">
        <w:rPr>
          <w:rFonts w:eastAsia="Calibri"/>
          <w:lang w:val="en-US"/>
        </w:rPr>
        <w:t xml:space="preserve"> innovations</w:t>
      </w:r>
      <w:r w:rsidR="00084C82" w:rsidRPr="00662061">
        <w:rPr>
          <w:rFonts w:eastAsia="Calibri"/>
          <w:lang w:val="en-US"/>
        </w:rPr>
        <w:t xml:space="preserve"> are more versatile and dynamic, and can </w:t>
      </w:r>
      <w:r w:rsidR="00084C82" w:rsidRPr="00662061">
        <w:rPr>
          <w:rFonts w:eastAsia="Calibri"/>
          <w:lang w:val="en-US"/>
        </w:rPr>
        <w:lastRenderedPageBreak/>
        <w:t>develop more diverse and complex business strategies than firms with</w:t>
      </w:r>
      <w:r w:rsidR="00E3178E" w:rsidRPr="00662061">
        <w:rPr>
          <w:rFonts w:eastAsia="Calibri"/>
          <w:lang w:val="en-US"/>
        </w:rPr>
        <w:t xml:space="preserve"> more </w:t>
      </w:r>
      <w:r w:rsidR="00084C82" w:rsidRPr="00662061">
        <w:rPr>
          <w:rFonts w:eastAsia="Calibri"/>
          <w:lang w:val="en-US"/>
        </w:rPr>
        <w:t xml:space="preserve">limited innovation portfolios (Rivkin, 2000). The increased versatility and dynamism enabled by the complementarity between product, process and service innovations </w:t>
      </w:r>
      <w:r w:rsidR="00CA3F39" w:rsidRPr="00662061">
        <w:rPr>
          <w:rFonts w:eastAsia="Calibri"/>
          <w:lang w:val="en-US"/>
        </w:rPr>
        <w:t xml:space="preserve">allow </w:t>
      </w:r>
      <w:r w:rsidR="00084C82" w:rsidRPr="00662061">
        <w:rPr>
          <w:rFonts w:eastAsia="Calibri"/>
          <w:lang w:val="en-US"/>
        </w:rPr>
        <w:t>the reconfiguration of firm capabilities and resources, that is, greater flexibility (</w:t>
      </w:r>
      <w:r w:rsidR="00164426" w:rsidRPr="00662061">
        <w:rPr>
          <w:rFonts w:eastAsia="Calibri"/>
          <w:lang w:val="en-US"/>
        </w:rPr>
        <w:t>Hwang and Hsu, 2019</w:t>
      </w:r>
      <w:r w:rsidR="00084C82" w:rsidRPr="00662061">
        <w:rPr>
          <w:rFonts w:eastAsia="Calibri"/>
          <w:lang w:val="en-US"/>
        </w:rPr>
        <w:t xml:space="preserve">) and provide opportunities to create new business models that generate additional above-average profits (Nason and </w:t>
      </w:r>
      <w:r w:rsidR="00A847A5" w:rsidRPr="00662061">
        <w:rPr>
          <w:rFonts w:eastAsia="Calibri"/>
          <w:lang w:val="en-US"/>
        </w:rPr>
        <w:t>Wiklund, 2018). Moreover, the addition of</w:t>
      </w:r>
      <w:r w:rsidR="00084C82" w:rsidRPr="00662061">
        <w:rPr>
          <w:rFonts w:eastAsia="Calibri"/>
          <w:lang w:val="en-US"/>
        </w:rPr>
        <w:t xml:space="preserve"> digital</w:t>
      </w:r>
      <w:r w:rsidR="00A847A5" w:rsidRPr="00662061">
        <w:rPr>
          <w:rFonts w:eastAsia="Calibri"/>
          <w:lang w:val="en-US"/>
        </w:rPr>
        <w:t xml:space="preserve"> service innovation</w:t>
      </w:r>
      <w:r w:rsidR="00084C82" w:rsidRPr="00662061">
        <w:rPr>
          <w:rFonts w:eastAsia="Calibri"/>
          <w:lang w:val="en-US"/>
        </w:rPr>
        <w:t xml:space="preserve"> in manufacturing firms’ stresses the uniqueness of the firm’s offerings by integrating actors (suppliers, </w:t>
      </w:r>
      <w:proofErr w:type="gramStart"/>
      <w:r w:rsidR="00084C82" w:rsidRPr="00662061">
        <w:rPr>
          <w:rFonts w:eastAsia="Calibri"/>
          <w:lang w:val="en-US"/>
        </w:rPr>
        <w:t>intermediaries</w:t>
      </w:r>
      <w:proofErr w:type="gramEnd"/>
      <w:r w:rsidR="00084C82" w:rsidRPr="00662061">
        <w:rPr>
          <w:rFonts w:eastAsia="Calibri"/>
          <w:lang w:val="en-US"/>
        </w:rPr>
        <w:t xml:space="preserve"> and customers) within the value-creation ecosystem (Story </w:t>
      </w:r>
      <w:r w:rsidR="00084C82" w:rsidRPr="0067500C">
        <w:rPr>
          <w:rFonts w:eastAsia="Calibri"/>
          <w:i/>
          <w:iCs/>
          <w:lang w:val="en-US"/>
        </w:rPr>
        <w:t>et al.</w:t>
      </w:r>
      <w:r w:rsidR="00084C82" w:rsidRPr="00662061">
        <w:rPr>
          <w:rFonts w:eastAsia="Calibri"/>
          <w:lang w:val="en-US"/>
        </w:rPr>
        <w:t xml:space="preserve">, 2017) enabling value capture through greater customer understanding (Jovanovic </w:t>
      </w:r>
      <w:r w:rsidR="00084C82" w:rsidRPr="001254F8">
        <w:rPr>
          <w:rFonts w:eastAsia="Calibri"/>
          <w:i/>
          <w:iCs/>
          <w:lang w:val="en-US"/>
        </w:rPr>
        <w:t>et al.</w:t>
      </w:r>
      <w:r w:rsidR="00084C82" w:rsidRPr="00662061">
        <w:rPr>
          <w:rFonts w:eastAsia="Calibri"/>
          <w:lang w:val="en-US"/>
        </w:rPr>
        <w:t>, 2019). These notions suggest that the joint deployment of process, product</w:t>
      </w:r>
      <w:r w:rsidR="0027180F">
        <w:rPr>
          <w:rFonts w:eastAsia="Calibri"/>
          <w:lang w:val="en-US"/>
        </w:rPr>
        <w:t>,</w:t>
      </w:r>
      <w:r w:rsidR="00084C82" w:rsidRPr="00662061">
        <w:rPr>
          <w:rFonts w:eastAsia="Calibri"/>
          <w:lang w:val="en-US"/>
        </w:rPr>
        <w:t xml:space="preserve"> and service innovation might offer superior performance outcomes, particularly in manufacturing sectors with stronger industrial bases (i.e., heavy manufacturing), and therefore enables us to state the following pr</w:t>
      </w:r>
      <w:r w:rsidRPr="00662061">
        <w:rPr>
          <w:rFonts w:eastAsia="Calibri"/>
          <w:lang w:val="en-US"/>
        </w:rPr>
        <w:t>oposition.</w:t>
      </w:r>
    </w:p>
    <w:p w14:paraId="5FD8FBF2" w14:textId="5893AD7D" w:rsidR="002E6FF5" w:rsidRPr="00662061" w:rsidRDefault="002E6FF5" w:rsidP="00DB646B">
      <w:pPr>
        <w:spacing w:line="360" w:lineRule="auto"/>
        <w:ind w:left="426"/>
        <w:rPr>
          <w:rFonts w:eastAsia="Calibri"/>
          <w:lang w:val="en-US"/>
        </w:rPr>
      </w:pPr>
      <w:r w:rsidRPr="00662061">
        <w:rPr>
          <w:b/>
          <w:lang w:val="en-US"/>
        </w:rPr>
        <w:t xml:space="preserve">Testable </w:t>
      </w:r>
      <w:r w:rsidR="00C607E8" w:rsidRPr="00662061">
        <w:rPr>
          <w:b/>
          <w:lang w:val="en-US"/>
        </w:rPr>
        <w:t xml:space="preserve">proposition </w:t>
      </w:r>
      <w:r w:rsidRPr="00662061">
        <w:rPr>
          <w:b/>
          <w:lang w:val="en-US"/>
        </w:rPr>
        <w:t xml:space="preserve">2: </w:t>
      </w:r>
      <w:r w:rsidRPr="00662061">
        <w:rPr>
          <w:color w:val="000000" w:themeColor="text1"/>
          <w:lang w:val="en-US"/>
        </w:rPr>
        <w:t xml:space="preserve">In heavy manufacturing firms, joint deployment of </w:t>
      </w:r>
      <w:r w:rsidR="00AD512C" w:rsidRPr="00662061">
        <w:rPr>
          <w:color w:val="000000" w:themeColor="text1"/>
          <w:lang w:val="en-US"/>
        </w:rPr>
        <w:t xml:space="preserve">product, </w:t>
      </w:r>
      <w:r w:rsidRPr="00662061">
        <w:rPr>
          <w:color w:val="000000" w:themeColor="text1"/>
          <w:lang w:val="en-US"/>
        </w:rPr>
        <w:t>process</w:t>
      </w:r>
      <w:r w:rsidR="0027180F">
        <w:rPr>
          <w:color w:val="000000" w:themeColor="text1"/>
          <w:lang w:val="en-US"/>
        </w:rPr>
        <w:t>,</w:t>
      </w:r>
      <w:r w:rsidR="00AD512C" w:rsidRPr="00662061">
        <w:rPr>
          <w:color w:val="000000" w:themeColor="text1"/>
          <w:lang w:val="en-US"/>
        </w:rPr>
        <w:t xml:space="preserve"> and service</w:t>
      </w:r>
      <w:r w:rsidRPr="00662061">
        <w:rPr>
          <w:color w:val="000000" w:themeColor="text1"/>
          <w:lang w:val="en-US"/>
        </w:rPr>
        <w:t xml:space="preserve"> innovation is a necessary </w:t>
      </w:r>
      <w:r w:rsidR="00AD512C" w:rsidRPr="00662061">
        <w:rPr>
          <w:color w:val="000000" w:themeColor="text1"/>
          <w:lang w:val="en-US"/>
        </w:rPr>
        <w:t xml:space="preserve">and sufficient </w:t>
      </w:r>
      <w:r w:rsidRPr="00662061">
        <w:rPr>
          <w:color w:val="000000" w:themeColor="text1"/>
          <w:lang w:val="en-US"/>
        </w:rPr>
        <w:t>condition to achieve superior performance.</w:t>
      </w:r>
    </w:p>
    <w:p w14:paraId="60BAAB83" w14:textId="77777777" w:rsidR="0011598B" w:rsidRPr="00662061" w:rsidRDefault="0011598B" w:rsidP="0011598B">
      <w:pPr>
        <w:spacing w:line="360" w:lineRule="auto"/>
        <w:rPr>
          <w:lang w:val="en-US"/>
        </w:rPr>
      </w:pPr>
    </w:p>
    <w:p w14:paraId="0C8A5B0F" w14:textId="277F4838" w:rsidR="00B31F18" w:rsidRPr="00662061" w:rsidRDefault="00EA7685" w:rsidP="0011598B">
      <w:pPr>
        <w:spacing w:line="360" w:lineRule="auto"/>
        <w:rPr>
          <w:b/>
          <w:lang w:val="en-US"/>
        </w:rPr>
      </w:pPr>
      <w:r w:rsidRPr="00662061">
        <w:rPr>
          <w:b/>
          <w:lang w:val="en-US"/>
        </w:rPr>
        <w:t>3</w:t>
      </w:r>
      <w:r w:rsidR="001C2E31" w:rsidRPr="00662061">
        <w:rPr>
          <w:b/>
          <w:lang w:val="en-US"/>
        </w:rPr>
        <w:t xml:space="preserve">. </w:t>
      </w:r>
      <w:r w:rsidR="005E096F" w:rsidRPr="00662061">
        <w:rPr>
          <w:b/>
          <w:lang w:val="en-US"/>
        </w:rPr>
        <w:t>Data and Method</w:t>
      </w:r>
    </w:p>
    <w:p w14:paraId="32D3FC75" w14:textId="4A6D7DE3" w:rsidR="00B31F18" w:rsidRPr="00662061" w:rsidRDefault="00EA7685" w:rsidP="0011598B">
      <w:pPr>
        <w:spacing w:line="360" w:lineRule="auto"/>
        <w:rPr>
          <w:i/>
          <w:lang w:val="en-US"/>
        </w:rPr>
      </w:pPr>
      <w:r w:rsidRPr="00662061">
        <w:rPr>
          <w:i/>
          <w:lang w:val="en-US"/>
        </w:rPr>
        <w:t>3</w:t>
      </w:r>
      <w:r w:rsidR="0011598B" w:rsidRPr="00662061">
        <w:rPr>
          <w:i/>
          <w:lang w:val="en-US"/>
        </w:rPr>
        <w:t xml:space="preserve">.1 </w:t>
      </w:r>
      <w:r w:rsidR="005E096F" w:rsidRPr="00662061">
        <w:rPr>
          <w:i/>
          <w:lang w:val="en-US"/>
        </w:rPr>
        <w:t>Database</w:t>
      </w:r>
    </w:p>
    <w:p w14:paraId="099D7C5C" w14:textId="6A7B8BBB" w:rsidR="004F4123" w:rsidRPr="00662061" w:rsidRDefault="00F5598D" w:rsidP="00274BF5">
      <w:pPr>
        <w:spacing w:line="360" w:lineRule="auto"/>
        <w:rPr>
          <w:lang w:val="en-US"/>
        </w:rPr>
      </w:pPr>
      <w:r w:rsidRPr="00662061">
        <w:rPr>
          <w:color w:val="000000" w:themeColor="text1"/>
          <w:lang w:val="en-US"/>
        </w:rPr>
        <w:t>This study seeks to uncover contemporary innovation trends within medium-sized</w:t>
      </w:r>
      <w:r w:rsidR="00226017" w:rsidRPr="00662061">
        <w:rPr>
          <w:color w:val="000000" w:themeColor="text1"/>
          <w:lang w:val="en-US"/>
        </w:rPr>
        <w:t xml:space="preserve"> Spanish</w:t>
      </w:r>
      <w:r w:rsidRPr="00662061">
        <w:rPr>
          <w:color w:val="000000" w:themeColor="text1"/>
          <w:lang w:val="en-US"/>
        </w:rPr>
        <w:t xml:space="preserve"> manufacturers. Spain </w:t>
      </w:r>
      <w:proofErr w:type="gramStart"/>
      <w:r w:rsidRPr="00662061">
        <w:rPr>
          <w:color w:val="000000" w:themeColor="text1"/>
          <w:lang w:val="en-US"/>
        </w:rPr>
        <w:t>is considered to be</w:t>
      </w:r>
      <w:proofErr w:type="gramEnd"/>
      <w:r w:rsidRPr="00662061">
        <w:rPr>
          <w:color w:val="000000" w:themeColor="text1"/>
          <w:lang w:val="en-US"/>
        </w:rPr>
        <w:t xml:space="preserve"> a relevant context as it has very </w:t>
      </w:r>
      <w:r w:rsidR="0052598B" w:rsidRPr="00662061">
        <w:rPr>
          <w:color w:val="000000" w:themeColor="text1"/>
          <w:lang w:val="en-US"/>
        </w:rPr>
        <w:t xml:space="preserve">few </w:t>
      </w:r>
      <w:r w:rsidRPr="00662061">
        <w:rPr>
          <w:color w:val="000000" w:themeColor="text1"/>
          <w:lang w:val="en-US"/>
        </w:rPr>
        <w:t xml:space="preserve">large corporations and therefore private innovation </w:t>
      </w:r>
      <w:r w:rsidR="00226017" w:rsidRPr="00662061">
        <w:rPr>
          <w:color w:val="000000" w:themeColor="text1"/>
          <w:lang w:val="en-US"/>
        </w:rPr>
        <w:t xml:space="preserve">takes place </w:t>
      </w:r>
      <w:r w:rsidRPr="00662061">
        <w:rPr>
          <w:color w:val="000000" w:themeColor="text1"/>
          <w:lang w:val="en-US"/>
        </w:rPr>
        <w:t>mostly in medium sized firms (</w:t>
      </w:r>
      <w:r w:rsidR="008E36CC" w:rsidRPr="00662061">
        <w:rPr>
          <w:color w:val="000000" w:themeColor="text1"/>
          <w:lang w:val="en-US"/>
        </w:rPr>
        <w:t xml:space="preserve">Gonzalez-Pernia </w:t>
      </w:r>
      <w:r w:rsidR="008E36CC" w:rsidRPr="001254F8">
        <w:rPr>
          <w:i/>
          <w:iCs/>
          <w:color w:val="000000" w:themeColor="text1"/>
          <w:lang w:val="en-US"/>
        </w:rPr>
        <w:t>et al</w:t>
      </w:r>
      <w:r w:rsidR="001254F8">
        <w:rPr>
          <w:color w:val="000000" w:themeColor="text1"/>
          <w:lang w:val="en-US"/>
        </w:rPr>
        <w:t>.</w:t>
      </w:r>
      <w:r w:rsidR="00E13FA6" w:rsidRPr="00662061">
        <w:rPr>
          <w:color w:val="000000" w:themeColor="text1"/>
          <w:lang w:val="en-US"/>
        </w:rPr>
        <w:t>, 2012</w:t>
      </w:r>
      <w:r w:rsidR="004F4123" w:rsidRPr="00662061">
        <w:rPr>
          <w:color w:val="000000" w:themeColor="text1"/>
          <w:lang w:val="en-US"/>
        </w:rPr>
        <w:t xml:space="preserve">; </w:t>
      </w:r>
      <w:r w:rsidR="008E36CC" w:rsidRPr="00662061">
        <w:rPr>
          <w:color w:val="000000" w:themeColor="text1"/>
          <w:lang w:val="en-US"/>
        </w:rPr>
        <w:t xml:space="preserve">Ortin-Angel and </w:t>
      </w:r>
      <w:r w:rsidR="004F4123" w:rsidRPr="00662061">
        <w:rPr>
          <w:color w:val="000000" w:themeColor="text1"/>
          <w:lang w:val="en-US"/>
        </w:rPr>
        <w:t>Vendrell-Herrero, 2014</w:t>
      </w:r>
      <w:r w:rsidRPr="00662061">
        <w:rPr>
          <w:color w:val="000000" w:themeColor="text1"/>
          <w:lang w:val="en-US"/>
        </w:rPr>
        <w:t xml:space="preserve">). </w:t>
      </w:r>
      <w:r w:rsidRPr="00662061">
        <w:rPr>
          <w:lang w:val="en-US"/>
        </w:rPr>
        <w:t xml:space="preserve">To identify the population </w:t>
      </w:r>
      <w:r w:rsidR="00226017" w:rsidRPr="00662061">
        <w:rPr>
          <w:lang w:val="en-US"/>
        </w:rPr>
        <w:t xml:space="preserve">of firms </w:t>
      </w:r>
      <w:r w:rsidRPr="00662061">
        <w:rPr>
          <w:lang w:val="en-US"/>
        </w:rPr>
        <w:t xml:space="preserve">we use the SABI database, a service of Bureau Van Dijk (BvD) (http://sabi.bvdep.com), which provides a good representation of all strata of the Spanish business population. </w:t>
      </w:r>
    </w:p>
    <w:p w14:paraId="7F701C99" w14:textId="236434F8" w:rsidR="00B86E79" w:rsidRPr="00122DB0" w:rsidRDefault="00F5598D" w:rsidP="00757A1E">
      <w:pPr>
        <w:spacing w:line="360" w:lineRule="auto"/>
        <w:ind w:firstLine="425"/>
        <w:rPr>
          <w:lang w:val="en-US"/>
        </w:rPr>
      </w:pPr>
      <w:r w:rsidRPr="00662061">
        <w:rPr>
          <w:lang w:val="en-US"/>
        </w:rPr>
        <w:t xml:space="preserve">We limited our study to the population of firms with more than 50 employees that work in industries with manufacturing NAICS codes 31 to 33. These codes include industries such as food, beverage, and textile processing (NAICS 31); non-mineral manufacturing </w:t>
      </w:r>
      <w:r w:rsidR="009E6F00" w:rsidRPr="00662061">
        <w:rPr>
          <w:lang w:val="en-US"/>
        </w:rPr>
        <w:t>together</w:t>
      </w:r>
      <w:r w:rsidR="009E6F00">
        <w:rPr>
          <w:lang w:val="en-US"/>
        </w:rPr>
        <w:t xml:space="preserve"> with</w:t>
      </w:r>
      <w:r w:rsidR="009E6F00" w:rsidRPr="00122DB0">
        <w:rPr>
          <w:lang w:val="en-US"/>
        </w:rPr>
        <w:t xml:space="preserve"> </w:t>
      </w:r>
      <w:r w:rsidRPr="00122DB0">
        <w:rPr>
          <w:lang w:val="en-US"/>
        </w:rPr>
        <w:t xml:space="preserve">wood, petroleum, plastics and chemical processes, and the pharmaceutical industry (NAICS 32); and mineral manufacturing, </w:t>
      </w:r>
      <w:r w:rsidR="009E6F00">
        <w:rPr>
          <w:lang w:val="en-US"/>
        </w:rPr>
        <w:t>as well as</w:t>
      </w:r>
      <w:r w:rsidR="009E6F00" w:rsidRPr="00122DB0">
        <w:rPr>
          <w:lang w:val="en-US"/>
        </w:rPr>
        <w:t xml:space="preserve"> </w:t>
      </w:r>
      <w:r w:rsidRPr="00122DB0">
        <w:rPr>
          <w:lang w:val="en-US"/>
        </w:rPr>
        <w:t xml:space="preserve">the construction of hardware, vehicles, machines, turbines, and engines (NAICS 33). </w:t>
      </w:r>
      <w:r w:rsidR="00E13FA6" w:rsidRPr="008D0369">
        <w:rPr>
          <w:lang w:val="en-US"/>
        </w:rPr>
        <w:t>We</w:t>
      </w:r>
      <w:r w:rsidRPr="008D0369">
        <w:rPr>
          <w:lang w:val="en-US"/>
        </w:rPr>
        <w:t xml:space="preserve"> </w:t>
      </w:r>
      <w:r w:rsidR="00226017" w:rsidRPr="008D0369">
        <w:rPr>
          <w:lang w:val="en-US"/>
        </w:rPr>
        <w:t>identif</w:t>
      </w:r>
      <w:r w:rsidR="00226017">
        <w:rPr>
          <w:lang w:val="en-US"/>
        </w:rPr>
        <w:t>ied</w:t>
      </w:r>
      <w:r w:rsidR="00226017" w:rsidRPr="008D0369">
        <w:rPr>
          <w:lang w:val="en-US"/>
        </w:rPr>
        <w:t xml:space="preserve"> </w:t>
      </w:r>
      <w:r w:rsidRPr="008D0369">
        <w:rPr>
          <w:lang w:val="en-US"/>
        </w:rPr>
        <w:t>a population of 7,552 firms</w:t>
      </w:r>
      <w:r w:rsidRPr="00122DB0">
        <w:rPr>
          <w:lang w:val="en-US"/>
        </w:rPr>
        <w:t xml:space="preserve">.  </w:t>
      </w:r>
    </w:p>
    <w:p w14:paraId="5BF946FB" w14:textId="505F7E9D" w:rsidR="00707CCF" w:rsidRDefault="008169B0" w:rsidP="0011598B">
      <w:pPr>
        <w:spacing w:line="360" w:lineRule="auto"/>
        <w:ind w:firstLine="425"/>
        <w:rPr>
          <w:lang w:val="en-US"/>
        </w:rPr>
      </w:pPr>
      <w:r w:rsidRPr="003B3EE8">
        <w:rPr>
          <w:lang w:val="en-US"/>
        </w:rPr>
        <w:t xml:space="preserve">Firms were contacted via Computer-Aided Telephone Interviewing following procedures </w:t>
      </w:r>
      <w:r w:rsidRPr="00627CA4">
        <w:rPr>
          <w:lang w:val="en-US"/>
        </w:rPr>
        <w:t xml:space="preserve">supported by the literature. This method is </w:t>
      </w:r>
      <w:r w:rsidR="003C6F31" w:rsidRPr="00627CA4">
        <w:rPr>
          <w:lang w:val="en-US"/>
        </w:rPr>
        <w:t>cost-</w:t>
      </w:r>
      <w:r w:rsidRPr="00627CA4">
        <w:rPr>
          <w:lang w:val="en-US"/>
        </w:rPr>
        <w:t xml:space="preserve">effective and can measure behavior of interest </w:t>
      </w:r>
      <w:r w:rsidRPr="00627CA4">
        <w:rPr>
          <w:lang w:val="en-US"/>
        </w:rPr>
        <w:lastRenderedPageBreak/>
        <w:t>(Couper, 2000). During November and December 2018, companies were contacted by phone until we obtained 438 responses</w:t>
      </w:r>
      <w:r w:rsidR="00627CA4">
        <w:rPr>
          <w:lang w:val="en-US"/>
        </w:rPr>
        <w:t>, being 423 of them fully complete answers</w:t>
      </w:r>
      <w:r w:rsidR="004F4123" w:rsidRPr="00627CA4">
        <w:rPr>
          <w:lang w:val="en-US"/>
        </w:rPr>
        <w:t xml:space="preserve">. </w:t>
      </w:r>
      <w:r w:rsidR="003C6F31" w:rsidRPr="00627CA4">
        <w:rPr>
          <w:lang w:val="en-US"/>
        </w:rPr>
        <w:t xml:space="preserve">Respondent </w:t>
      </w:r>
      <w:r w:rsidR="004F4123" w:rsidRPr="00627CA4">
        <w:rPr>
          <w:lang w:val="en-US"/>
        </w:rPr>
        <w:t>firms were found to be representative since</w:t>
      </w:r>
      <w:r w:rsidRPr="00627CA4">
        <w:rPr>
          <w:lang w:val="en-US"/>
        </w:rPr>
        <w:t xml:space="preserve"> </w:t>
      </w:r>
      <w:r w:rsidR="004F4123" w:rsidRPr="00627CA4">
        <w:rPr>
          <w:lang w:val="en-US"/>
        </w:rPr>
        <w:t xml:space="preserve">the </w:t>
      </w:r>
      <w:r w:rsidRPr="00627CA4">
        <w:rPr>
          <w:lang w:val="en-US"/>
        </w:rPr>
        <w:t>sectoral and size composition</w:t>
      </w:r>
      <w:r w:rsidRPr="00122DB0">
        <w:rPr>
          <w:lang w:val="en-US"/>
        </w:rPr>
        <w:t xml:space="preserve"> </w:t>
      </w:r>
      <w:r w:rsidR="004F4123">
        <w:rPr>
          <w:lang w:val="en-US"/>
        </w:rPr>
        <w:t xml:space="preserve">were </w:t>
      </w:r>
      <w:r w:rsidRPr="00122DB0">
        <w:rPr>
          <w:lang w:val="en-US"/>
        </w:rPr>
        <w:t xml:space="preserve">close to that </w:t>
      </w:r>
      <w:r w:rsidR="00226017">
        <w:rPr>
          <w:lang w:val="en-US"/>
        </w:rPr>
        <w:t>of</w:t>
      </w:r>
      <w:r w:rsidR="00226017" w:rsidRPr="00122DB0">
        <w:rPr>
          <w:lang w:val="en-US"/>
        </w:rPr>
        <w:t xml:space="preserve"> </w:t>
      </w:r>
      <w:r w:rsidRPr="00122DB0">
        <w:rPr>
          <w:lang w:val="en-US"/>
        </w:rPr>
        <w:t>the total population. Once</w:t>
      </w:r>
      <w:r w:rsidRPr="003B3EE8">
        <w:rPr>
          <w:lang w:val="en-US"/>
        </w:rPr>
        <w:t xml:space="preserve"> the survey was completed, it was merged with </w:t>
      </w:r>
      <w:r w:rsidR="00226017">
        <w:rPr>
          <w:lang w:val="en-US"/>
        </w:rPr>
        <w:t xml:space="preserve">the </w:t>
      </w:r>
      <w:r w:rsidRPr="003B3EE8">
        <w:rPr>
          <w:lang w:val="en-US"/>
        </w:rPr>
        <w:t xml:space="preserve">SABI database to ensure that the monetary values of interest including revenues and profits for </w:t>
      </w:r>
      <w:r w:rsidR="00E13FA6" w:rsidRPr="003B3EE8">
        <w:rPr>
          <w:lang w:val="en-US"/>
        </w:rPr>
        <w:t>the current (</w:t>
      </w:r>
      <w:r w:rsidR="004F4123" w:rsidRPr="003B3EE8">
        <w:rPr>
          <w:lang w:val="en-US"/>
        </w:rPr>
        <w:t>201</w:t>
      </w:r>
      <w:r w:rsidR="004F4123">
        <w:rPr>
          <w:lang w:val="en-US"/>
        </w:rPr>
        <w:t>8</w:t>
      </w:r>
      <w:r w:rsidR="00E13FA6" w:rsidRPr="003B3EE8">
        <w:rPr>
          <w:lang w:val="en-US"/>
        </w:rPr>
        <w:t>) and subsequent</w:t>
      </w:r>
      <w:r w:rsidRPr="003B3EE8">
        <w:rPr>
          <w:lang w:val="en-US"/>
        </w:rPr>
        <w:t xml:space="preserve"> </w:t>
      </w:r>
      <w:r w:rsidR="00E13FA6" w:rsidRPr="008D0369">
        <w:rPr>
          <w:lang w:val="en-US"/>
        </w:rPr>
        <w:t>(</w:t>
      </w:r>
      <w:r w:rsidRPr="008D0369">
        <w:rPr>
          <w:lang w:val="en-US"/>
        </w:rPr>
        <w:t>201</w:t>
      </w:r>
      <w:r w:rsidR="00E13FA6" w:rsidRPr="008D0369">
        <w:rPr>
          <w:lang w:val="en-US"/>
        </w:rPr>
        <w:t>9</w:t>
      </w:r>
      <w:r w:rsidRPr="008D0369">
        <w:rPr>
          <w:lang w:val="en-US"/>
        </w:rPr>
        <w:t>)</w:t>
      </w:r>
      <w:r w:rsidRPr="00122DB0">
        <w:rPr>
          <w:lang w:val="en-US"/>
        </w:rPr>
        <w:t xml:space="preserve"> </w:t>
      </w:r>
      <w:r w:rsidR="00E13FA6" w:rsidRPr="00122DB0">
        <w:rPr>
          <w:lang w:val="en-US"/>
        </w:rPr>
        <w:t xml:space="preserve">periods </w:t>
      </w:r>
      <w:r w:rsidRPr="00122DB0">
        <w:rPr>
          <w:lang w:val="en-US"/>
        </w:rPr>
        <w:t>were fully objective.</w:t>
      </w:r>
    </w:p>
    <w:p w14:paraId="7452AA63" w14:textId="77777777" w:rsidR="0011598B" w:rsidRDefault="0011598B" w:rsidP="0011598B">
      <w:pPr>
        <w:spacing w:line="360" w:lineRule="auto"/>
        <w:rPr>
          <w:lang w:val="en-US"/>
        </w:rPr>
      </w:pPr>
    </w:p>
    <w:p w14:paraId="60288239" w14:textId="77AC9481" w:rsidR="00D53FE1" w:rsidRPr="00D53FE1" w:rsidRDefault="00EA7685" w:rsidP="0011598B">
      <w:pPr>
        <w:spacing w:line="360" w:lineRule="auto"/>
        <w:rPr>
          <w:i/>
          <w:lang w:val="en-US"/>
        </w:rPr>
      </w:pPr>
      <w:r>
        <w:rPr>
          <w:i/>
          <w:lang w:val="en-US"/>
        </w:rPr>
        <w:t>3</w:t>
      </w:r>
      <w:r w:rsidR="0011598B">
        <w:rPr>
          <w:i/>
          <w:lang w:val="en-US"/>
        </w:rPr>
        <w:t xml:space="preserve">.2 </w:t>
      </w:r>
      <w:r w:rsidR="00603F19">
        <w:rPr>
          <w:i/>
          <w:lang w:val="en-US"/>
        </w:rPr>
        <w:t>Variables</w:t>
      </w:r>
      <w:r w:rsidR="00D53FE1" w:rsidRPr="00D53FE1">
        <w:rPr>
          <w:i/>
          <w:lang w:val="en-US"/>
        </w:rPr>
        <w:t xml:space="preserve"> </w:t>
      </w:r>
    </w:p>
    <w:p w14:paraId="2EE735F9" w14:textId="347379B7" w:rsidR="00627CA4" w:rsidRPr="0027180F" w:rsidRDefault="00627CA4" w:rsidP="00DA3550">
      <w:pPr>
        <w:spacing w:line="360" w:lineRule="auto"/>
        <w:rPr>
          <w:szCs w:val="22"/>
          <w:lang w:val="en-US"/>
        </w:rPr>
      </w:pPr>
      <w:r w:rsidRPr="00662061">
        <w:rPr>
          <w:lang w:val="en-US"/>
        </w:rPr>
        <w:t xml:space="preserve">Firm performance is based on previous research that evaluates service innovation in product firms while focusing on profit margin (Sousa and da Silveira, 2017; Suarez </w:t>
      </w:r>
      <w:r w:rsidRPr="001254F8">
        <w:rPr>
          <w:i/>
          <w:iCs/>
          <w:lang w:val="en-US"/>
        </w:rPr>
        <w:t>et al.</w:t>
      </w:r>
      <w:r w:rsidRPr="00662061">
        <w:rPr>
          <w:lang w:val="en-US"/>
        </w:rPr>
        <w:t xml:space="preserve">, 2013; Visnjic-Kastalli and Van Looy, 2013). </w:t>
      </w:r>
      <w:r>
        <w:rPr>
          <w:lang w:val="en-US"/>
        </w:rPr>
        <w:t>We operationalize profit margin as</w:t>
      </w:r>
      <w:r w:rsidRPr="00662061">
        <w:rPr>
          <w:lang w:val="en-US"/>
        </w:rPr>
        <w:t xml:space="preserve"> Returns on Sales </w:t>
      </w:r>
      <w:r>
        <w:rPr>
          <w:lang w:val="en-US"/>
        </w:rPr>
        <w:t>(ROS),</w:t>
      </w:r>
      <w:r w:rsidRPr="00662061">
        <w:rPr>
          <w:lang w:val="en-US"/>
        </w:rPr>
        <w:t xml:space="preserve"> </w:t>
      </w:r>
      <w:r>
        <w:rPr>
          <w:lang w:val="en-US"/>
        </w:rPr>
        <w:t xml:space="preserve">i.e. </w:t>
      </w:r>
      <w:r w:rsidRPr="00662061">
        <w:rPr>
          <w:lang w:val="en-US"/>
        </w:rPr>
        <w:t xml:space="preserve">firm’s earnings before </w:t>
      </w:r>
      <w:r>
        <w:rPr>
          <w:lang w:val="en-US"/>
        </w:rPr>
        <w:t xml:space="preserve">taxes divided by </w:t>
      </w:r>
      <w:r w:rsidRPr="00662061">
        <w:rPr>
          <w:lang w:val="en-US"/>
        </w:rPr>
        <w:t>the firm’s annual revenues. As profitability varies significantly over the years, we averaged ROS for two years (2018-19) to provide a better picture of the normal profits obtained by the firm. Mean ROS in the sample is 8.42%. This means that firms retain, on average, 0.0842 cents per euro in the form of profit. ROS is nearly the same in the three industrial sectors analyzed.</w:t>
      </w:r>
    </w:p>
    <w:p w14:paraId="325DCDA5" w14:textId="7A323277" w:rsidR="00DA3550" w:rsidRDefault="00226017" w:rsidP="00CB6014">
      <w:pPr>
        <w:spacing w:line="360" w:lineRule="auto"/>
        <w:ind w:firstLine="425"/>
        <w:rPr>
          <w:lang w:val="en-US"/>
        </w:rPr>
      </w:pPr>
      <w:r>
        <w:rPr>
          <w:lang w:val="en-US"/>
        </w:rPr>
        <w:t>In line with</w:t>
      </w:r>
      <w:r w:rsidRPr="00603F19">
        <w:rPr>
          <w:lang w:val="en-US"/>
        </w:rPr>
        <w:t xml:space="preserve"> </w:t>
      </w:r>
      <w:r w:rsidR="00E13FA6" w:rsidRPr="00603F19">
        <w:rPr>
          <w:lang w:val="en-US"/>
        </w:rPr>
        <w:t>previous</w:t>
      </w:r>
      <w:r w:rsidR="00627CA4">
        <w:rPr>
          <w:lang w:val="en-US"/>
        </w:rPr>
        <w:t xml:space="preserve"> innovation</w:t>
      </w:r>
      <w:r w:rsidR="00E13FA6" w:rsidRPr="00603F19">
        <w:rPr>
          <w:lang w:val="en-US"/>
        </w:rPr>
        <w:t xml:space="preserve"> studies</w:t>
      </w:r>
      <w:r w:rsidR="00CB6014">
        <w:rPr>
          <w:lang w:val="en-US"/>
        </w:rPr>
        <w:t xml:space="preserve"> (e.g. Cirera and Muzi, 2020)</w:t>
      </w:r>
      <w:r w:rsidR="00E13FA6" w:rsidRPr="00603F19">
        <w:rPr>
          <w:lang w:val="en-US"/>
        </w:rPr>
        <w:t>, we asked the firms the following question for each specific innovation: “</w:t>
      </w:r>
      <w:r w:rsidR="00E13FA6" w:rsidRPr="00603F19">
        <w:rPr>
          <w:i/>
          <w:lang w:val="en-US"/>
        </w:rPr>
        <w:t>During the last three years, did your firm introduce any new or significantly improved product/process/</w:t>
      </w:r>
      <w:r w:rsidR="003B3EE8">
        <w:rPr>
          <w:i/>
          <w:lang w:val="en-US"/>
        </w:rPr>
        <w:t xml:space="preserve">digital </w:t>
      </w:r>
      <w:r w:rsidR="00E13FA6" w:rsidRPr="00603F19">
        <w:rPr>
          <w:i/>
          <w:lang w:val="en-US"/>
        </w:rPr>
        <w:t>service on the market?</w:t>
      </w:r>
      <w:r w:rsidR="003B3EE8" w:rsidRPr="00603F19">
        <w:rPr>
          <w:lang w:val="en-US"/>
        </w:rPr>
        <w:t>”</w:t>
      </w:r>
      <w:r w:rsidR="00E13FA6">
        <w:rPr>
          <w:lang w:val="en-US"/>
        </w:rPr>
        <w:t xml:space="preserve"> Based on this </w:t>
      </w:r>
      <w:r w:rsidR="0027180F">
        <w:rPr>
          <w:lang w:val="en-US"/>
        </w:rPr>
        <w:t>question, we</w:t>
      </w:r>
      <w:r w:rsidR="00E13FA6">
        <w:rPr>
          <w:lang w:val="en-US"/>
        </w:rPr>
        <w:t xml:space="preserve"> can</w:t>
      </w:r>
      <w:r w:rsidR="00603F19" w:rsidRPr="000A42E5">
        <w:rPr>
          <w:lang w:val="en-US"/>
        </w:rPr>
        <w:t xml:space="preserve"> differentiate between </w:t>
      </w:r>
      <w:r w:rsidR="00E13FA6">
        <w:rPr>
          <w:lang w:val="en-US"/>
        </w:rPr>
        <w:t>all innovation portfolios, including “no-innovation”, isolated “product”, “process” and “service” innovation, and more importantly for our research</w:t>
      </w:r>
      <w:r>
        <w:rPr>
          <w:lang w:val="en-US"/>
        </w:rPr>
        <w:t>,</w:t>
      </w:r>
      <w:r w:rsidR="00E13FA6">
        <w:rPr>
          <w:lang w:val="en-US"/>
        </w:rPr>
        <w:t xml:space="preserve"> the</w:t>
      </w:r>
      <w:r w:rsidR="003B3EE8">
        <w:rPr>
          <w:lang w:val="en-US"/>
        </w:rPr>
        <w:t xml:space="preserve"> joint deployment of</w:t>
      </w:r>
      <w:r w:rsidR="00E13FA6">
        <w:rPr>
          <w:lang w:val="en-US"/>
        </w:rPr>
        <w:t xml:space="preserve"> </w:t>
      </w:r>
      <w:r w:rsidR="00603F19" w:rsidRPr="000A42E5">
        <w:rPr>
          <w:lang w:val="en-US"/>
        </w:rPr>
        <w:t>"</w:t>
      </w:r>
      <w:r w:rsidR="00603F19" w:rsidRPr="000A42E5">
        <w:rPr>
          <w:i/>
          <w:lang w:val="en-US"/>
        </w:rPr>
        <w:t>process and product</w:t>
      </w:r>
      <w:r w:rsidR="00603F19" w:rsidRPr="000A42E5">
        <w:rPr>
          <w:lang w:val="en-US"/>
        </w:rPr>
        <w:t xml:space="preserve">" </w:t>
      </w:r>
      <w:r w:rsidR="003B3EE8">
        <w:rPr>
          <w:lang w:val="en-US"/>
        </w:rPr>
        <w:t>or</w:t>
      </w:r>
      <w:r w:rsidR="00603F19" w:rsidRPr="000A42E5">
        <w:rPr>
          <w:lang w:val="en-US"/>
        </w:rPr>
        <w:t xml:space="preserve"> "</w:t>
      </w:r>
      <w:r w:rsidR="00603F19" w:rsidRPr="000A42E5">
        <w:rPr>
          <w:i/>
          <w:lang w:val="en-US"/>
        </w:rPr>
        <w:t>process, product</w:t>
      </w:r>
      <w:r w:rsidR="0027180F">
        <w:rPr>
          <w:i/>
          <w:lang w:val="en-US"/>
        </w:rPr>
        <w:t>,</w:t>
      </w:r>
      <w:r w:rsidR="00603F19" w:rsidRPr="000A42E5">
        <w:rPr>
          <w:i/>
          <w:lang w:val="en-US"/>
        </w:rPr>
        <w:t xml:space="preserve"> and service</w:t>
      </w:r>
      <w:r w:rsidR="00603F19" w:rsidRPr="000A42E5">
        <w:rPr>
          <w:lang w:val="en-US"/>
        </w:rPr>
        <w:t xml:space="preserve">" innovation </w:t>
      </w:r>
      <w:r w:rsidR="003B3EE8">
        <w:rPr>
          <w:lang w:val="en-US"/>
        </w:rPr>
        <w:t xml:space="preserve">portfolios. </w:t>
      </w:r>
      <w:r w:rsidR="00122DB0">
        <w:rPr>
          <w:lang w:val="en-US"/>
        </w:rPr>
        <w:t xml:space="preserve">As indicated in Table 1, </w:t>
      </w:r>
      <w:r w:rsidR="003B3EE8">
        <w:rPr>
          <w:lang w:val="en-US"/>
        </w:rPr>
        <w:t xml:space="preserve">only 6 </w:t>
      </w:r>
      <w:r w:rsidR="003B5258">
        <w:rPr>
          <w:lang w:val="en-US"/>
        </w:rPr>
        <w:t>(1.4%) of the 423 firms</w:t>
      </w:r>
      <w:r w:rsidR="003B3EE8">
        <w:rPr>
          <w:lang w:val="en-US"/>
        </w:rPr>
        <w:t xml:space="preserve"> are non-innovators, showing that manufacturing firms are increasingly relying on some forms of technological innovation. </w:t>
      </w:r>
      <w:r w:rsidR="00F50359">
        <w:rPr>
          <w:lang w:val="en-US"/>
        </w:rPr>
        <w:t>In</w:t>
      </w:r>
      <w:r w:rsidR="0052598B">
        <w:rPr>
          <w:lang w:val="en-US"/>
        </w:rPr>
        <w:t xml:space="preserve"> </w:t>
      </w:r>
      <w:r w:rsidR="003B3EE8">
        <w:rPr>
          <w:lang w:val="en-US"/>
        </w:rPr>
        <w:t>the 2</w:t>
      </w:r>
      <w:r w:rsidR="00122DB0">
        <w:rPr>
          <w:lang w:val="en-US"/>
        </w:rPr>
        <w:t>9</w:t>
      </w:r>
      <w:r w:rsidR="003B3EE8">
        <w:rPr>
          <w:lang w:val="en-US"/>
        </w:rPr>
        <w:t xml:space="preserve"> firms</w:t>
      </w:r>
      <w:r w:rsidR="00122DB0">
        <w:rPr>
          <w:lang w:val="en-US"/>
        </w:rPr>
        <w:t xml:space="preserve"> (6.8%)</w:t>
      </w:r>
      <w:r w:rsidR="003B3EE8">
        <w:rPr>
          <w:lang w:val="en-US"/>
        </w:rPr>
        <w:t xml:space="preserve"> that have single innovation, process innovation se</w:t>
      </w:r>
      <w:r w:rsidR="00122DB0">
        <w:rPr>
          <w:lang w:val="en-US"/>
        </w:rPr>
        <w:t>em</w:t>
      </w:r>
      <w:r w:rsidR="00BF3702">
        <w:rPr>
          <w:lang w:val="en-US"/>
        </w:rPr>
        <w:t>s</w:t>
      </w:r>
      <w:r w:rsidR="00122DB0">
        <w:rPr>
          <w:lang w:val="en-US"/>
        </w:rPr>
        <w:t xml:space="preserve"> to be </w:t>
      </w:r>
      <w:r>
        <w:rPr>
          <w:lang w:val="en-US"/>
        </w:rPr>
        <w:t xml:space="preserve">the </w:t>
      </w:r>
      <w:r w:rsidR="00122DB0">
        <w:rPr>
          <w:lang w:val="en-US"/>
        </w:rPr>
        <w:t xml:space="preserve">most popular form </w:t>
      </w:r>
      <w:r w:rsidR="008E36CC">
        <w:rPr>
          <w:lang w:val="en-US"/>
        </w:rPr>
        <w:t>of innovation (22 firms, 5.2%). From</w:t>
      </w:r>
      <w:r w:rsidR="00BF3702">
        <w:rPr>
          <w:lang w:val="en-US"/>
        </w:rPr>
        <w:t xml:space="preserve"> </w:t>
      </w:r>
      <w:r w:rsidR="00122DB0">
        <w:rPr>
          <w:lang w:val="en-US"/>
        </w:rPr>
        <w:t>the 296 firms (70%) that jointly</w:t>
      </w:r>
      <w:r w:rsidR="008E36CC">
        <w:rPr>
          <w:lang w:val="en-US"/>
        </w:rPr>
        <w:t xml:space="preserve"> deploy two types of innovation,</w:t>
      </w:r>
      <w:r w:rsidR="00C8492B">
        <w:rPr>
          <w:lang w:val="en-US"/>
        </w:rPr>
        <w:t xml:space="preserve"> 264 (62.4%) </w:t>
      </w:r>
      <w:r w:rsidR="00122DB0">
        <w:rPr>
          <w:lang w:val="en-US"/>
        </w:rPr>
        <w:t xml:space="preserve">implemented “product-process” innovation. Finally, 92 firms (21.7%) jointly implement “product-process-service” innovation. This means that most firms in our sample (91.7%) simultaneously deploy two or more forms of technological innovation. When comparing manufacturing industries, we can observe that </w:t>
      </w:r>
      <w:r w:rsidR="00957701">
        <w:rPr>
          <w:lang w:val="en-US"/>
        </w:rPr>
        <w:t>the proportion of firms in each technological innovation portfolio is</w:t>
      </w:r>
      <w:r w:rsidR="00122DB0">
        <w:rPr>
          <w:lang w:val="en-US"/>
        </w:rPr>
        <w:t xml:space="preserve"> </w:t>
      </w:r>
      <w:proofErr w:type="gramStart"/>
      <w:r w:rsidR="00122DB0">
        <w:rPr>
          <w:lang w:val="en-US"/>
        </w:rPr>
        <w:t>fairly similar</w:t>
      </w:r>
      <w:proofErr w:type="gramEnd"/>
      <w:r w:rsidR="00DA3550">
        <w:rPr>
          <w:lang w:val="en-US"/>
        </w:rPr>
        <w:t>.</w:t>
      </w:r>
      <w:r w:rsidR="00C8492B">
        <w:rPr>
          <w:lang w:val="en-US"/>
        </w:rPr>
        <w:t xml:space="preserve"> </w:t>
      </w:r>
    </w:p>
    <w:p w14:paraId="4A7EDD8C" w14:textId="2B4EBE99" w:rsidR="00F5564F" w:rsidRPr="00BC545A" w:rsidRDefault="00DA3550" w:rsidP="00DA3550">
      <w:pPr>
        <w:spacing w:line="360" w:lineRule="auto"/>
        <w:jc w:val="center"/>
        <w:rPr>
          <w:lang w:val="en-US"/>
        </w:rPr>
      </w:pPr>
      <w:r>
        <w:rPr>
          <w:lang w:val="en-US"/>
        </w:rPr>
        <w:t xml:space="preserve">--- Insert </w:t>
      </w:r>
      <w:r w:rsidR="00F5564F">
        <w:rPr>
          <w:lang w:val="en-US"/>
        </w:rPr>
        <w:t>Table 1</w:t>
      </w:r>
      <w:r w:rsidR="00F5564F" w:rsidRPr="00BC545A">
        <w:rPr>
          <w:lang w:val="en-US"/>
        </w:rPr>
        <w:t xml:space="preserve"> about here ---</w:t>
      </w:r>
    </w:p>
    <w:p w14:paraId="18108AD4" w14:textId="30800673" w:rsidR="00EA7685" w:rsidRPr="00662061" w:rsidRDefault="00EA7685" w:rsidP="0011598B">
      <w:pPr>
        <w:spacing w:line="360" w:lineRule="auto"/>
        <w:rPr>
          <w:i/>
          <w:lang w:val="en-US"/>
        </w:rPr>
      </w:pPr>
    </w:p>
    <w:p w14:paraId="5F21BE65" w14:textId="0F726471" w:rsidR="002C0EE2" w:rsidRPr="00662061" w:rsidRDefault="00EA7685" w:rsidP="0011598B">
      <w:pPr>
        <w:spacing w:line="360" w:lineRule="auto"/>
        <w:rPr>
          <w:lang w:val="en-US"/>
        </w:rPr>
      </w:pPr>
      <w:r w:rsidRPr="00662061">
        <w:rPr>
          <w:i/>
          <w:lang w:val="en-US"/>
        </w:rPr>
        <w:lastRenderedPageBreak/>
        <w:t>3</w:t>
      </w:r>
      <w:r w:rsidR="0011598B" w:rsidRPr="00662061">
        <w:rPr>
          <w:i/>
          <w:lang w:val="en-US"/>
        </w:rPr>
        <w:t xml:space="preserve">.3 </w:t>
      </w:r>
      <w:r w:rsidR="002C0EE2" w:rsidRPr="00662061">
        <w:rPr>
          <w:i/>
          <w:lang w:val="en-US"/>
        </w:rPr>
        <w:t>Method</w:t>
      </w:r>
    </w:p>
    <w:p w14:paraId="2C91FFE9" w14:textId="575BF5D5" w:rsidR="002C0EE2" w:rsidRPr="00CB6014" w:rsidRDefault="002C0EE2" w:rsidP="0011598B">
      <w:pPr>
        <w:spacing w:line="360" w:lineRule="auto"/>
        <w:rPr>
          <w:lang w:val="en-US"/>
        </w:rPr>
      </w:pPr>
      <w:r w:rsidRPr="00662061">
        <w:rPr>
          <w:lang w:val="en-US"/>
        </w:rPr>
        <w:t xml:space="preserve">Testable propositions seek to uncover </w:t>
      </w:r>
      <w:r w:rsidR="00226017" w:rsidRPr="00662061">
        <w:rPr>
          <w:lang w:val="en-US"/>
        </w:rPr>
        <w:t xml:space="preserve">firms’ </w:t>
      </w:r>
      <w:r w:rsidRPr="00662061">
        <w:rPr>
          <w:lang w:val="en-US"/>
        </w:rPr>
        <w:t>optimal configurations through the evaluation of necessary and sufficient conditions</w:t>
      </w:r>
      <w:r w:rsidR="00226017" w:rsidRPr="00662061">
        <w:rPr>
          <w:lang w:val="en-US"/>
        </w:rPr>
        <w:t>. F</w:t>
      </w:r>
      <w:r w:rsidRPr="00662061">
        <w:rPr>
          <w:lang w:val="en-US"/>
        </w:rPr>
        <w:t>or this purpose, we use a non-parametric technique, fuzzy set Qualitative Comparative Analysis (fsQCA)</w:t>
      </w:r>
      <w:r w:rsidR="00BE38FF" w:rsidRPr="00662061">
        <w:rPr>
          <w:lang w:val="en-US"/>
        </w:rPr>
        <w:t>, which</w:t>
      </w:r>
      <w:r w:rsidRPr="00662061">
        <w:rPr>
          <w:lang w:val="en-US"/>
        </w:rPr>
        <w:t xml:space="preserve"> is useful for analyzing equifinality, that is, different </w:t>
      </w:r>
      <w:r w:rsidR="00BF3702" w:rsidRPr="00662061">
        <w:rPr>
          <w:lang w:val="en-US"/>
        </w:rPr>
        <w:t>variable</w:t>
      </w:r>
      <w:r w:rsidR="00226017" w:rsidRPr="00662061">
        <w:rPr>
          <w:lang w:val="en-US"/>
        </w:rPr>
        <w:t xml:space="preserve"> </w:t>
      </w:r>
      <w:r w:rsidRPr="00662061">
        <w:rPr>
          <w:lang w:val="en-US"/>
        </w:rPr>
        <w:t xml:space="preserve">combinations associated with the highest level of a selected outcome </w:t>
      </w:r>
      <w:r w:rsidR="00C8492B" w:rsidRPr="00662061">
        <w:rPr>
          <w:lang w:val="en-US"/>
        </w:rPr>
        <w:t>(Longest and</w:t>
      </w:r>
      <w:r w:rsidRPr="00662061">
        <w:rPr>
          <w:lang w:val="en-US"/>
        </w:rPr>
        <w:t xml:space="preserve"> Vaisey, 2008). In this research, a certain combination of technological innovations (process, product, and service) is expected to </w:t>
      </w:r>
      <w:r w:rsidR="00D940B2" w:rsidRPr="00662061">
        <w:rPr>
          <w:lang w:val="en-US"/>
        </w:rPr>
        <w:t>have the greatest impact on</w:t>
      </w:r>
      <w:r w:rsidRPr="00662061">
        <w:rPr>
          <w:lang w:val="en-US"/>
        </w:rPr>
        <w:t xml:space="preserve"> profits. For innovation strategies, variables can </w:t>
      </w:r>
      <w:r w:rsidR="00BF3702" w:rsidRPr="00662061">
        <w:rPr>
          <w:lang w:val="en-US"/>
        </w:rPr>
        <w:t xml:space="preserve">only </w:t>
      </w:r>
      <w:r w:rsidRPr="00662061">
        <w:rPr>
          <w:lang w:val="en-US"/>
        </w:rPr>
        <w:t xml:space="preserve">take two values, 0 if not implemented, or 1 when implemented. As profit margin is a continuous variable, fsQCA technique is preferred to crisp QCA, </w:t>
      </w:r>
      <w:r w:rsidR="00BE38FF" w:rsidRPr="00662061">
        <w:rPr>
          <w:lang w:val="en-US"/>
        </w:rPr>
        <w:t xml:space="preserve">since </w:t>
      </w:r>
      <w:r w:rsidRPr="00662061">
        <w:rPr>
          <w:lang w:val="en-US"/>
        </w:rPr>
        <w:t xml:space="preserve">the latter is </w:t>
      </w:r>
      <w:r w:rsidR="00D940B2" w:rsidRPr="00662061">
        <w:rPr>
          <w:lang w:val="en-US"/>
        </w:rPr>
        <w:t xml:space="preserve">only </w:t>
      </w:r>
      <w:r w:rsidRPr="00662061">
        <w:rPr>
          <w:lang w:val="en-US"/>
        </w:rPr>
        <w:t xml:space="preserve">appropriate for dichotomous variables </w:t>
      </w:r>
      <w:r w:rsidR="00D940B2" w:rsidRPr="00662061">
        <w:rPr>
          <w:lang w:val="en-US"/>
        </w:rPr>
        <w:t xml:space="preserve">and </w:t>
      </w:r>
      <w:r w:rsidRPr="00662061">
        <w:rPr>
          <w:lang w:val="en-US"/>
        </w:rPr>
        <w:t xml:space="preserve">not continuous ones. </w:t>
      </w:r>
      <w:proofErr w:type="gramStart"/>
      <w:r w:rsidR="00BF3702" w:rsidRPr="00662061">
        <w:rPr>
          <w:lang w:val="en-US"/>
        </w:rPr>
        <w:t>In order to</w:t>
      </w:r>
      <w:proofErr w:type="gramEnd"/>
      <w:r w:rsidR="00BF3702" w:rsidRPr="00662061">
        <w:rPr>
          <w:lang w:val="en-US"/>
        </w:rPr>
        <w:t xml:space="preserve"> introduce</w:t>
      </w:r>
      <w:r w:rsidRPr="00662061">
        <w:rPr>
          <w:lang w:val="en-US"/>
        </w:rPr>
        <w:t xml:space="preserve"> continuous variables in </w:t>
      </w:r>
      <w:r w:rsidR="0011598B" w:rsidRPr="00662061">
        <w:rPr>
          <w:lang w:val="en-US"/>
        </w:rPr>
        <w:t>a</w:t>
      </w:r>
      <w:r w:rsidR="00BE38FF" w:rsidRPr="00662061">
        <w:rPr>
          <w:lang w:val="en-US"/>
        </w:rPr>
        <w:t>n</w:t>
      </w:r>
      <w:r w:rsidRPr="00662061">
        <w:rPr>
          <w:lang w:val="en-US"/>
        </w:rPr>
        <w:t xml:space="preserve"> fsQCA analysis, </w:t>
      </w:r>
      <w:r w:rsidR="00BF3702" w:rsidRPr="00662061">
        <w:rPr>
          <w:lang w:val="en-US"/>
        </w:rPr>
        <w:t xml:space="preserve">they </w:t>
      </w:r>
      <w:r w:rsidR="00BE38FF" w:rsidRPr="00662061">
        <w:rPr>
          <w:lang w:val="en-US"/>
        </w:rPr>
        <w:t xml:space="preserve">first </w:t>
      </w:r>
      <w:r w:rsidRPr="00662061">
        <w:rPr>
          <w:lang w:val="en-US"/>
        </w:rPr>
        <w:t>need to be calibrated through a software transformation. Logistic calibration –</w:t>
      </w:r>
      <w:r w:rsidRPr="00BA6D11">
        <w:rPr>
          <w:lang w:val="en-US"/>
        </w:rPr>
        <w:t xml:space="preserve"> </w:t>
      </w:r>
      <w:r w:rsidRPr="00662061">
        <w:rPr>
          <w:lang w:val="en-US"/>
        </w:rPr>
        <w:t>positive and corresponding negative end</w:t>
      </w:r>
      <w:r w:rsidRPr="00CB6014">
        <w:rPr>
          <w:lang w:val="en-US"/>
        </w:rPr>
        <w:t xml:space="preserve">-point thresholds– is performed </w:t>
      </w:r>
      <w:r w:rsidR="00BF3702" w:rsidRPr="00CB6014">
        <w:rPr>
          <w:lang w:val="en-US"/>
        </w:rPr>
        <w:t xml:space="preserve">with </w:t>
      </w:r>
      <w:r w:rsidRPr="00CB6014">
        <w:rPr>
          <w:lang w:val="en-US"/>
        </w:rPr>
        <w:t xml:space="preserve">the </w:t>
      </w:r>
      <w:r w:rsidR="00C8492B" w:rsidRPr="00CB6014">
        <w:rPr>
          <w:lang w:val="en-US"/>
        </w:rPr>
        <w:t>Ragin and</w:t>
      </w:r>
      <w:r w:rsidRPr="00CB6014">
        <w:rPr>
          <w:lang w:val="en-US"/>
        </w:rPr>
        <w:t xml:space="preserve"> Davey (2014)’s fsQCA software version 2.5. This software transforms these variables into intervals and makes a fuzzy set score related to the degree of membership to</w:t>
      </w:r>
      <w:r w:rsidR="006B038E" w:rsidRPr="00CB6014">
        <w:rPr>
          <w:lang w:val="en-US"/>
        </w:rPr>
        <w:t xml:space="preserve"> </w:t>
      </w:r>
      <w:r w:rsidRPr="00CB6014">
        <w:rPr>
          <w:lang w:val="en-US"/>
        </w:rPr>
        <w:t xml:space="preserve">those intervals. Intervals are </w:t>
      </w:r>
      <w:r w:rsidR="0027180F" w:rsidRPr="00CB6014">
        <w:rPr>
          <w:lang w:val="en-US"/>
        </w:rPr>
        <w:t>specified according</w:t>
      </w:r>
      <w:r w:rsidRPr="00CB6014">
        <w:rPr>
          <w:lang w:val="en-US"/>
        </w:rPr>
        <w:t xml:space="preserve"> to three thresholds</w:t>
      </w:r>
      <w:r w:rsidR="00CB6014">
        <w:rPr>
          <w:lang w:val="en-US"/>
        </w:rPr>
        <w:t xml:space="preserve"> </w:t>
      </w:r>
      <w:r w:rsidR="00CB6014" w:rsidRPr="00CB6014">
        <w:rPr>
          <w:lang w:val="en-US"/>
        </w:rPr>
        <w:t>(Ragin, 2008)</w:t>
      </w:r>
      <w:r w:rsidRPr="00CB6014">
        <w:rPr>
          <w:lang w:val="en-US"/>
        </w:rPr>
        <w:t xml:space="preserve">: full membership condition (fuzzy score value = 0.95), full non-membership condition (fuzzy score value = 0.05), and cross-over point condition (fuzzy score value = 0.50). This calibration identifies how the set of variables is related to specific outcome levels (25th, 50th and 75th percentile). </w:t>
      </w:r>
    </w:p>
    <w:p w14:paraId="73CFEDF4" w14:textId="77777777" w:rsidR="0011598B" w:rsidRPr="00CB6014" w:rsidRDefault="0011598B" w:rsidP="00EB32E1">
      <w:pPr>
        <w:spacing w:line="480" w:lineRule="auto"/>
        <w:rPr>
          <w:b/>
          <w:lang w:val="en-US"/>
        </w:rPr>
      </w:pPr>
    </w:p>
    <w:p w14:paraId="052993D8" w14:textId="3283FBD9" w:rsidR="00EB32E1" w:rsidRPr="00CB6014" w:rsidRDefault="00EA7685" w:rsidP="00EB32E1">
      <w:pPr>
        <w:spacing w:line="480" w:lineRule="auto"/>
        <w:rPr>
          <w:b/>
          <w:lang w:val="en-US"/>
        </w:rPr>
      </w:pPr>
      <w:r w:rsidRPr="00CB6014">
        <w:rPr>
          <w:b/>
          <w:lang w:val="en-US"/>
        </w:rPr>
        <w:t xml:space="preserve">4. </w:t>
      </w:r>
      <w:r w:rsidR="00EB32E1" w:rsidRPr="00CB6014">
        <w:rPr>
          <w:b/>
          <w:lang w:val="en-US"/>
        </w:rPr>
        <w:t>Findings</w:t>
      </w:r>
    </w:p>
    <w:p w14:paraId="1D5A1CC4" w14:textId="0C618189" w:rsidR="00BC545A" w:rsidRPr="00CB6014" w:rsidRDefault="00EA7685" w:rsidP="00A22A34">
      <w:pPr>
        <w:spacing w:line="360" w:lineRule="auto"/>
        <w:rPr>
          <w:i/>
          <w:lang w:val="en-US"/>
        </w:rPr>
      </w:pPr>
      <w:r w:rsidRPr="00CB6014">
        <w:rPr>
          <w:i/>
          <w:lang w:val="en-US"/>
        </w:rPr>
        <w:t xml:space="preserve">4.1 </w:t>
      </w:r>
      <w:r w:rsidR="00BC545A" w:rsidRPr="00CB6014">
        <w:rPr>
          <w:i/>
          <w:lang w:val="en-US"/>
        </w:rPr>
        <w:t>Necessary analysis</w:t>
      </w:r>
    </w:p>
    <w:p w14:paraId="306AB114" w14:textId="07B5F66B" w:rsidR="00757A1E" w:rsidRPr="00CB6014" w:rsidRDefault="004F4123" w:rsidP="00A22A34">
      <w:pPr>
        <w:spacing w:line="360" w:lineRule="auto"/>
        <w:rPr>
          <w:lang w:val="en-US"/>
        </w:rPr>
      </w:pPr>
      <w:r w:rsidRPr="00CB6014">
        <w:rPr>
          <w:lang w:val="en-US"/>
        </w:rPr>
        <w:t>C</w:t>
      </w:r>
      <w:r w:rsidR="00BC545A" w:rsidRPr="00CB6014">
        <w:rPr>
          <w:lang w:val="en-US"/>
        </w:rPr>
        <w:t xml:space="preserve">onsistency measures </w:t>
      </w:r>
      <w:r w:rsidR="00BF3702" w:rsidRPr="00CB6014">
        <w:rPr>
          <w:lang w:val="en-US"/>
        </w:rPr>
        <w:t xml:space="preserve">whether </w:t>
      </w:r>
      <w:r w:rsidR="00253E8E" w:rsidRPr="00CB6014">
        <w:rPr>
          <w:lang w:val="en-US"/>
        </w:rPr>
        <w:t>variables are necessary for the outcome to occur</w:t>
      </w:r>
      <w:r w:rsidR="00BC545A" w:rsidRPr="00CB6014">
        <w:rPr>
          <w:lang w:val="en-US"/>
        </w:rPr>
        <w:t xml:space="preserve">, that is, </w:t>
      </w:r>
      <w:r w:rsidR="00253E8E" w:rsidRPr="00CB6014">
        <w:rPr>
          <w:lang w:val="en-US"/>
        </w:rPr>
        <w:t>if</w:t>
      </w:r>
      <w:r w:rsidR="00BC545A" w:rsidRPr="00CB6014">
        <w:rPr>
          <w:lang w:val="en-US"/>
        </w:rPr>
        <w:t xml:space="preserve"> all firms with a certain casual variable –</w:t>
      </w:r>
      <w:r w:rsidR="00253E8E" w:rsidRPr="00CB6014">
        <w:rPr>
          <w:lang w:val="en-US"/>
        </w:rPr>
        <w:t xml:space="preserve">process innovation, product innovation, or service innovation– present profits. </w:t>
      </w:r>
      <w:r w:rsidRPr="00CB6014">
        <w:rPr>
          <w:lang w:val="en-US"/>
        </w:rPr>
        <w:t xml:space="preserve">A configuration </w:t>
      </w:r>
      <w:proofErr w:type="gramStart"/>
      <w:r w:rsidRPr="00CB6014">
        <w:rPr>
          <w:lang w:val="en-US"/>
        </w:rPr>
        <w:t>is considered to be</w:t>
      </w:r>
      <w:proofErr w:type="gramEnd"/>
      <w:r w:rsidRPr="00CB6014">
        <w:rPr>
          <w:lang w:val="en-US"/>
        </w:rPr>
        <w:t xml:space="preserve"> necessary when consistency value is above a threshold</w:t>
      </w:r>
      <w:r w:rsidR="00757A1E" w:rsidRPr="00CB6014">
        <w:rPr>
          <w:lang w:val="en-US"/>
        </w:rPr>
        <w:t xml:space="preserve"> value</w:t>
      </w:r>
      <w:r w:rsidRPr="00CB6014">
        <w:rPr>
          <w:lang w:val="en-US"/>
        </w:rPr>
        <w:t xml:space="preserve">. Generally, </w:t>
      </w:r>
      <w:r w:rsidR="00757A1E" w:rsidRPr="00CB6014">
        <w:rPr>
          <w:lang w:val="en-US"/>
        </w:rPr>
        <w:t xml:space="preserve">a casual variable “necessary” or “almost necessary” </w:t>
      </w:r>
      <w:r w:rsidR="00CC273A" w:rsidRPr="00CB6014">
        <w:rPr>
          <w:lang w:val="en-US"/>
        </w:rPr>
        <w:t xml:space="preserve">consistency </w:t>
      </w:r>
      <w:r w:rsidR="00253E8E" w:rsidRPr="00CB6014">
        <w:rPr>
          <w:lang w:val="en-US"/>
        </w:rPr>
        <w:t xml:space="preserve">value </w:t>
      </w:r>
      <w:r w:rsidR="00757A1E" w:rsidRPr="00CB6014">
        <w:rPr>
          <w:lang w:val="en-US"/>
        </w:rPr>
        <w:t xml:space="preserve">must be equal or higher than </w:t>
      </w:r>
      <w:r w:rsidR="00253E8E" w:rsidRPr="00CB6014">
        <w:rPr>
          <w:lang w:val="en-US"/>
        </w:rPr>
        <w:t xml:space="preserve">0.9 </w:t>
      </w:r>
      <w:r w:rsidR="00BF3702" w:rsidRPr="00CB6014">
        <w:rPr>
          <w:lang w:val="en-US"/>
        </w:rPr>
        <w:t xml:space="preserve">to be considered </w:t>
      </w:r>
      <w:r w:rsidR="00253E8E" w:rsidRPr="00CB6014">
        <w:rPr>
          <w:lang w:val="en-US"/>
        </w:rPr>
        <w:t>(</w:t>
      </w:r>
      <w:r w:rsidR="00253E8E" w:rsidRPr="00BA6D11">
        <w:rPr>
          <w:lang w:val="en-US"/>
        </w:rPr>
        <w:t>Schneider</w:t>
      </w:r>
      <w:r w:rsidR="00253E8E" w:rsidRPr="00CB6014">
        <w:rPr>
          <w:lang w:val="en-US"/>
        </w:rPr>
        <w:t xml:space="preserve"> </w:t>
      </w:r>
      <w:r w:rsidR="001254F8">
        <w:rPr>
          <w:lang w:val="en-US"/>
        </w:rPr>
        <w:t>and</w:t>
      </w:r>
      <w:r w:rsidR="00CE46C3" w:rsidRPr="00CB6014">
        <w:rPr>
          <w:lang w:val="en-US"/>
        </w:rPr>
        <w:t xml:space="preserve"> </w:t>
      </w:r>
      <w:proofErr w:type="spellStart"/>
      <w:r w:rsidR="00CE46C3" w:rsidRPr="00CB6014">
        <w:rPr>
          <w:lang w:val="en-US"/>
        </w:rPr>
        <w:t>Wagemann</w:t>
      </w:r>
      <w:proofErr w:type="spellEnd"/>
      <w:r w:rsidR="00253E8E" w:rsidRPr="00CB6014">
        <w:rPr>
          <w:lang w:val="en-US"/>
        </w:rPr>
        <w:t>, 2010)</w:t>
      </w:r>
      <w:r w:rsidR="00757A1E" w:rsidRPr="00CB6014">
        <w:rPr>
          <w:lang w:val="en-US"/>
        </w:rPr>
        <w:t>. Consistency measures are reported in Table 2</w:t>
      </w:r>
      <w:r w:rsidR="00BC545A" w:rsidRPr="00CB6014">
        <w:rPr>
          <w:lang w:val="en-US"/>
        </w:rPr>
        <w:t xml:space="preserve">. </w:t>
      </w:r>
      <w:r w:rsidR="00D940B2" w:rsidRPr="00CB6014">
        <w:rPr>
          <w:lang w:val="en-US"/>
        </w:rPr>
        <w:t xml:space="preserve">In line </w:t>
      </w:r>
      <w:r w:rsidR="00985FB1" w:rsidRPr="00CB6014">
        <w:rPr>
          <w:lang w:val="en-US"/>
        </w:rPr>
        <w:t xml:space="preserve">with our theoretical predictions, only product and process </w:t>
      </w:r>
      <w:r w:rsidR="00BF3702" w:rsidRPr="00CB6014">
        <w:rPr>
          <w:lang w:val="en-US"/>
        </w:rPr>
        <w:t xml:space="preserve">have </w:t>
      </w:r>
      <w:r w:rsidR="00985FB1" w:rsidRPr="00CB6014">
        <w:rPr>
          <w:lang w:val="en-US"/>
        </w:rPr>
        <w:t xml:space="preserve">a consistency score above the 0.9 threshold for the full sample. With this result we corroborate testable proposition 1. </w:t>
      </w:r>
    </w:p>
    <w:p w14:paraId="308D1956" w14:textId="26B0A666" w:rsidR="00757A1E" w:rsidRPr="00CB6014" w:rsidRDefault="007172D0" w:rsidP="0027180F">
      <w:pPr>
        <w:spacing w:line="360" w:lineRule="auto"/>
        <w:ind w:firstLine="425"/>
        <w:rPr>
          <w:lang w:val="en-US"/>
        </w:rPr>
      </w:pPr>
      <w:r w:rsidRPr="00CB6014">
        <w:rPr>
          <w:lang w:val="en-US"/>
        </w:rPr>
        <w:t xml:space="preserve">The analysis </w:t>
      </w:r>
      <w:r w:rsidR="00CC273A" w:rsidRPr="00CB6014">
        <w:rPr>
          <w:lang w:val="en-US"/>
        </w:rPr>
        <w:t>also shows the coverage value –the proportion of cases in which both the condition and the result of interest appear</w:t>
      </w:r>
      <w:r w:rsidR="0040768E" w:rsidRPr="00CB6014">
        <w:rPr>
          <w:lang w:val="en-US"/>
        </w:rPr>
        <w:t xml:space="preserve">. For instance, product innovation has a coverage </w:t>
      </w:r>
      <w:r w:rsidR="0040768E" w:rsidRPr="00CB6014">
        <w:rPr>
          <w:lang w:val="en-US"/>
        </w:rPr>
        <w:lastRenderedPageBreak/>
        <w:t xml:space="preserve">value of 0.707, </w:t>
      </w:r>
      <w:r w:rsidR="00757A1E" w:rsidRPr="00CB6014">
        <w:rPr>
          <w:lang w:val="en-US"/>
        </w:rPr>
        <w:t>i.e.</w:t>
      </w:r>
      <w:r w:rsidR="006B038E" w:rsidRPr="00CB6014">
        <w:rPr>
          <w:lang w:val="en-US"/>
        </w:rPr>
        <w:t>,</w:t>
      </w:r>
      <w:r w:rsidR="0040768E" w:rsidRPr="00CB6014">
        <w:rPr>
          <w:lang w:val="en-US"/>
        </w:rPr>
        <w:t xml:space="preserve"> 70.7% of the cases in which this condition –product innovation– is present, the result of interest –</w:t>
      </w:r>
      <w:r w:rsidR="00F5564F" w:rsidRPr="00CB6014">
        <w:rPr>
          <w:lang w:val="en-US"/>
        </w:rPr>
        <w:t xml:space="preserve">high </w:t>
      </w:r>
      <w:r w:rsidR="0040768E" w:rsidRPr="00CB6014">
        <w:rPr>
          <w:lang w:val="en-US"/>
        </w:rPr>
        <w:t>profits– is also present</w:t>
      </w:r>
      <w:r w:rsidR="00973E09" w:rsidRPr="00CB6014">
        <w:rPr>
          <w:lang w:val="en-US"/>
        </w:rPr>
        <w:t xml:space="preserve"> </w:t>
      </w:r>
      <w:r w:rsidR="00C8492B" w:rsidRPr="00CB6014">
        <w:rPr>
          <w:lang w:val="en-US"/>
        </w:rPr>
        <w:t>(Schneider and</w:t>
      </w:r>
      <w:r w:rsidR="00BC545A" w:rsidRPr="00CB6014">
        <w:rPr>
          <w:lang w:val="en-US"/>
        </w:rPr>
        <w:t xml:space="preserve"> Wagemann, 2012). </w:t>
      </w:r>
      <w:r w:rsidR="008C06D9" w:rsidRPr="00CB6014">
        <w:rPr>
          <w:lang w:val="en-US"/>
        </w:rPr>
        <w:t xml:space="preserve">All technological innovations (product, process, and service) are non-trivial conditions as their </w:t>
      </w:r>
      <w:r w:rsidR="006B0468" w:rsidRPr="00CB6014">
        <w:rPr>
          <w:lang w:val="en-US"/>
        </w:rPr>
        <w:t xml:space="preserve">coverage </w:t>
      </w:r>
      <w:r w:rsidR="008C06D9" w:rsidRPr="00CB6014">
        <w:rPr>
          <w:lang w:val="en-US"/>
        </w:rPr>
        <w:t>score yield</w:t>
      </w:r>
      <w:r w:rsidR="006B0468" w:rsidRPr="00CB6014">
        <w:rPr>
          <w:lang w:val="en-US"/>
        </w:rPr>
        <w:t>s</w:t>
      </w:r>
      <w:r w:rsidR="008C06D9" w:rsidRPr="00CB6014">
        <w:rPr>
          <w:lang w:val="en-US"/>
        </w:rPr>
        <w:t xml:space="preserve"> a value clearly distant from 0. Taking a value near zero would have meant that conditions occur in all cases, being theoretically and empirically considered trivial conditions (</w:t>
      </w:r>
      <w:r w:rsidR="00C8492B" w:rsidRPr="00CB6014">
        <w:rPr>
          <w:lang w:val="en-US"/>
        </w:rPr>
        <w:t>Schneider and</w:t>
      </w:r>
      <w:r w:rsidR="008C06D9" w:rsidRPr="00CB6014">
        <w:rPr>
          <w:lang w:val="en-US"/>
        </w:rPr>
        <w:t xml:space="preserve"> Rohlfing, 2016).</w:t>
      </w:r>
    </w:p>
    <w:p w14:paraId="2EA70976" w14:textId="4BBABD55" w:rsidR="00BC545A" w:rsidRPr="00CB6014" w:rsidRDefault="00EB32E1" w:rsidP="00A22A34">
      <w:pPr>
        <w:spacing w:line="360" w:lineRule="auto"/>
        <w:jc w:val="center"/>
        <w:rPr>
          <w:lang w:val="en-US"/>
        </w:rPr>
      </w:pPr>
      <w:r w:rsidRPr="00CB6014">
        <w:rPr>
          <w:lang w:val="en-US"/>
        </w:rPr>
        <w:t>--- Insert Table 2</w:t>
      </w:r>
      <w:r w:rsidR="00BC545A" w:rsidRPr="00CB6014">
        <w:rPr>
          <w:lang w:val="en-US"/>
        </w:rPr>
        <w:t xml:space="preserve"> about here ---</w:t>
      </w:r>
    </w:p>
    <w:p w14:paraId="5922C649" w14:textId="77777777" w:rsidR="00BC545A" w:rsidRPr="00CB6014" w:rsidRDefault="00BC545A" w:rsidP="00BC545A">
      <w:pPr>
        <w:spacing w:line="480" w:lineRule="auto"/>
        <w:rPr>
          <w:lang w:val="en-US"/>
        </w:rPr>
      </w:pPr>
    </w:p>
    <w:p w14:paraId="261DD73B" w14:textId="77777777" w:rsidR="00BC545A" w:rsidRPr="00CB6014" w:rsidRDefault="00BC545A" w:rsidP="00A22A34">
      <w:pPr>
        <w:spacing w:line="360" w:lineRule="auto"/>
        <w:rPr>
          <w:i/>
          <w:lang w:val="en-US"/>
        </w:rPr>
      </w:pPr>
      <w:r w:rsidRPr="00CB6014">
        <w:rPr>
          <w:i/>
          <w:lang w:val="en-US"/>
        </w:rPr>
        <w:t>4.2. Sufficiency analysis</w:t>
      </w:r>
    </w:p>
    <w:p w14:paraId="59FDFD3A" w14:textId="61EC51DF" w:rsidR="004A5384" w:rsidRPr="00CB6014" w:rsidRDefault="00565C43" w:rsidP="0027180F">
      <w:pPr>
        <w:spacing w:line="360" w:lineRule="auto"/>
        <w:rPr>
          <w:lang w:val="en-US"/>
        </w:rPr>
      </w:pPr>
      <w:r w:rsidRPr="00CB6014">
        <w:rPr>
          <w:lang w:val="en-US"/>
        </w:rPr>
        <w:t xml:space="preserve">A casual condition is (almost) sufficient for the result, if, every time that </w:t>
      </w:r>
      <w:r w:rsidR="00BE38FF" w:rsidRPr="00CB6014">
        <w:rPr>
          <w:lang w:val="en-US"/>
        </w:rPr>
        <w:t xml:space="preserve">it </w:t>
      </w:r>
      <w:r w:rsidRPr="00CB6014">
        <w:rPr>
          <w:lang w:val="en-US"/>
        </w:rPr>
        <w:t xml:space="preserve">is present, the </w:t>
      </w:r>
      <w:r w:rsidR="00757A1E" w:rsidRPr="00CB6014">
        <w:rPr>
          <w:lang w:val="en-US"/>
        </w:rPr>
        <w:t xml:space="preserve">expected </w:t>
      </w:r>
      <w:r w:rsidRPr="00CB6014">
        <w:rPr>
          <w:lang w:val="en-US"/>
        </w:rPr>
        <w:t>outcome</w:t>
      </w:r>
      <w:r w:rsidR="00757A1E" w:rsidRPr="00CB6014">
        <w:rPr>
          <w:lang w:val="en-US"/>
        </w:rPr>
        <w:t xml:space="preserve"> (e.g. high profits)</w:t>
      </w:r>
      <w:r w:rsidRPr="00CB6014">
        <w:rPr>
          <w:lang w:val="en-US"/>
        </w:rPr>
        <w:t xml:space="preserve"> is also present. </w:t>
      </w:r>
      <w:r w:rsidR="006B0468" w:rsidRPr="00CB6014">
        <w:rPr>
          <w:lang w:val="en-US"/>
        </w:rPr>
        <w:t xml:space="preserve">The usual </w:t>
      </w:r>
      <w:r w:rsidRPr="00CB6014">
        <w:rPr>
          <w:lang w:val="en-US"/>
        </w:rPr>
        <w:t xml:space="preserve">sufficiency threshold is 0.8 </w:t>
      </w:r>
      <w:r w:rsidR="00967847" w:rsidRPr="00CB6014">
        <w:rPr>
          <w:lang w:val="en-US"/>
        </w:rPr>
        <w:t xml:space="preserve">for Solution Consistency value, </w:t>
      </w:r>
      <w:r w:rsidR="00757A1E" w:rsidRPr="00CB6014">
        <w:rPr>
          <w:lang w:val="en-US"/>
        </w:rPr>
        <w:t>i.e.</w:t>
      </w:r>
      <w:r w:rsidR="00007B47" w:rsidRPr="00CB6014">
        <w:rPr>
          <w:lang w:val="en-US"/>
        </w:rPr>
        <w:t>,</w:t>
      </w:r>
      <w:r w:rsidR="00757A1E" w:rsidRPr="00CB6014">
        <w:rPr>
          <w:lang w:val="en-US"/>
        </w:rPr>
        <w:t xml:space="preserve"> </w:t>
      </w:r>
      <w:r w:rsidR="00967847" w:rsidRPr="00CB6014">
        <w:rPr>
          <w:lang w:val="en-US"/>
        </w:rPr>
        <w:t xml:space="preserve">how many of the cases </w:t>
      </w:r>
      <w:proofErr w:type="gramStart"/>
      <w:r w:rsidR="00757A1E" w:rsidRPr="00CB6014">
        <w:rPr>
          <w:lang w:val="en-US"/>
        </w:rPr>
        <w:t xml:space="preserve">in </w:t>
      </w:r>
      <w:r w:rsidR="006B0468" w:rsidRPr="00CB6014">
        <w:rPr>
          <w:lang w:val="en-US"/>
        </w:rPr>
        <w:t xml:space="preserve">a </w:t>
      </w:r>
      <w:r w:rsidR="00757A1E" w:rsidRPr="00CB6014">
        <w:rPr>
          <w:lang w:val="en-US"/>
        </w:rPr>
        <w:t>given</w:t>
      </w:r>
      <w:proofErr w:type="gramEnd"/>
      <w:r w:rsidR="00757A1E" w:rsidRPr="00CB6014">
        <w:rPr>
          <w:lang w:val="en-US"/>
        </w:rPr>
        <w:t xml:space="preserve"> category </w:t>
      </w:r>
      <w:r w:rsidR="00967847" w:rsidRPr="00CB6014">
        <w:rPr>
          <w:lang w:val="en-US"/>
        </w:rPr>
        <w:t xml:space="preserve">have the result of interest </w:t>
      </w:r>
      <w:r w:rsidRPr="00CB6014">
        <w:rPr>
          <w:lang w:val="en-US"/>
        </w:rPr>
        <w:t>(Ragin, 2008)</w:t>
      </w:r>
      <w:r w:rsidR="00967847" w:rsidRPr="00CB6014">
        <w:rPr>
          <w:lang w:val="en-US"/>
        </w:rPr>
        <w:t>,</w:t>
      </w:r>
      <w:r w:rsidRPr="00CB6014">
        <w:rPr>
          <w:lang w:val="en-US"/>
        </w:rPr>
        <w:t xml:space="preserve"> and is analyzed </w:t>
      </w:r>
      <w:r w:rsidR="00BC545A" w:rsidRPr="00CB6014">
        <w:rPr>
          <w:lang w:val="en-US"/>
        </w:rPr>
        <w:t xml:space="preserve">through the “Truth Table Algorithm”, </w:t>
      </w:r>
      <w:r w:rsidR="00166695" w:rsidRPr="00CB6014">
        <w:rPr>
          <w:lang w:val="en-US"/>
        </w:rPr>
        <w:t xml:space="preserve">which is </w:t>
      </w:r>
      <w:r w:rsidR="00BC545A" w:rsidRPr="00CB6014">
        <w:rPr>
          <w:lang w:val="en-US"/>
        </w:rPr>
        <w:t xml:space="preserve">a method in fsQCA to unveil causal configurations that yield the highest outcome </w:t>
      </w:r>
      <w:r w:rsidRPr="00CB6014">
        <w:rPr>
          <w:lang w:val="en-US"/>
        </w:rPr>
        <w:t>values</w:t>
      </w:r>
      <w:r w:rsidR="00BC545A" w:rsidRPr="00CB6014">
        <w:rPr>
          <w:lang w:val="en-US"/>
        </w:rPr>
        <w:t xml:space="preserve"> (Ragin, 2008). Casual variable combinations exceeding a cut-off consistency score are co</w:t>
      </w:r>
      <w:r w:rsidR="00C8492B" w:rsidRPr="00CB6014">
        <w:rPr>
          <w:lang w:val="en-US"/>
        </w:rPr>
        <w:t>nsidered sufficient (Schneider and</w:t>
      </w:r>
      <w:r w:rsidR="00BC545A" w:rsidRPr="00CB6014">
        <w:rPr>
          <w:lang w:val="en-US"/>
        </w:rPr>
        <w:t xml:space="preserve"> Wagemann, 2012). </w:t>
      </w:r>
      <w:r w:rsidRPr="00CB6014">
        <w:rPr>
          <w:lang w:val="en-US"/>
        </w:rPr>
        <w:t xml:space="preserve">fsQCA software provides three solutions: </w:t>
      </w:r>
      <w:r w:rsidR="006B038E" w:rsidRPr="00CB6014">
        <w:rPr>
          <w:lang w:val="en-US"/>
        </w:rPr>
        <w:t>c</w:t>
      </w:r>
      <w:r w:rsidRPr="00CB6014">
        <w:rPr>
          <w:lang w:val="en-US"/>
        </w:rPr>
        <w:t xml:space="preserve">omplex, intermediate, and parsimonious solutions, being intermediate solution the recommended solution –it is the most parsimonious solution allowing maximum complexity (Ragin, 2008). </w:t>
      </w:r>
      <w:r w:rsidR="004A5384" w:rsidRPr="00CB6014">
        <w:rPr>
          <w:lang w:val="en-US"/>
        </w:rPr>
        <w:t>Table 3 show</w:t>
      </w:r>
      <w:r w:rsidR="006B0468" w:rsidRPr="00CB6014">
        <w:rPr>
          <w:lang w:val="en-US"/>
        </w:rPr>
        <w:t>s</w:t>
      </w:r>
      <w:r w:rsidR="004A5384" w:rsidRPr="00CB6014">
        <w:rPr>
          <w:lang w:val="en-US"/>
        </w:rPr>
        <w:t xml:space="preserve"> the casual combinations of technological innovations leading to </w:t>
      </w:r>
      <w:r w:rsidR="006B038E" w:rsidRPr="00CB6014">
        <w:rPr>
          <w:lang w:val="en-US"/>
        </w:rPr>
        <w:t xml:space="preserve">the </w:t>
      </w:r>
      <w:r w:rsidR="004A5384" w:rsidRPr="00CB6014">
        <w:rPr>
          <w:lang w:val="en-US"/>
        </w:rPr>
        <w:t>highest profit margin, i.e.</w:t>
      </w:r>
      <w:r w:rsidR="00007B47" w:rsidRPr="00CB6014">
        <w:rPr>
          <w:lang w:val="en-US"/>
        </w:rPr>
        <w:t>,</w:t>
      </w:r>
      <w:r w:rsidR="004A5384" w:rsidRPr="00CB6014">
        <w:rPr>
          <w:lang w:val="en-US"/>
        </w:rPr>
        <w:t xml:space="preserve"> causal configurations with the highest raw coverage and unique coverage.</w:t>
      </w:r>
      <w:r w:rsidR="004A5384" w:rsidRPr="00CB6014">
        <w:rPr>
          <w:rStyle w:val="Refdenotaalpie"/>
          <w:lang w:val="en-US"/>
        </w:rPr>
        <w:footnoteReference w:id="2"/>
      </w:r>
      <w:r w:rsidR="004A5384" w:rsidRPr="00CB6014">
        <w:rPr>
          <w:lang w:val="en-US"/>
        </w:rPr>
        <w:t xml:space="preserve"> Raw coverage indicates what proportion of the cases leading to superior profit margin</w:t>
      </w:r>
      <w:r w:rsidR="006B0468" w:rsidRPr="00CB6014">
        <w:rPr>
          <w:lang w:val="en-US"/>
        </w:rPr>
        <w:t>s</w:t>
      </w:r>
      <w:r w:rsidR="004A5384" w:rsidRPr="00CB6014">
        <w:rPr>
          <w:lang w:val="en-US"/>
        </w:rPr>
        <w:t xml:space="preserve"> is explained by the casual configurations. Conversely, unique coverage indicates </w:t>
      </w:r>
      <w:r w:rsidR="006B038E" w:rsidRPr="00CB6014">
        <w:rPr>
          <w:lang w:val="en-US"/>
        </w:rPr>
        <w:t xml:space="preserve">that </w:t>
      </w:r>
      <w:r w:rsidR="004A5384" w:rsidRPr="00CB6014">
        <w:rPr>
          <w:lang w:val="en-US"/>
        </w:rPr>
        <w:t xml:space="preserve">the </w:t>
      </w:r>
      <w:r w:rsidR="00C8492B" w:rsidRPr="00CB6014">
        <w:rPr>
          <w:lang w:val="en-US"/>
        </w:rPr>
        <w:t>proportion of cases leading to superior outcome levels is</w:t>
      </w:r>
      <w:r w:rsidR="004A5384" w:rsidRPr="00CB6014">
        <w:rPr>
          <w:lang w:val="en-US"/>
        </w:rPr>
        <w:t xml:space="preserve"> exclusively explained by this casual configuration, and </w:t>
      </w:r>
      <w:r w:rsidR="00C8492B" w:rsidRPr="00CB6014">
        <w:rPr>
          <w:lang w:val="en-US"/>
        </w:rPr>
        <w:t>by no</w:t>
      </w:r>
      <w:r w:rsidR="004A5384" w:rsidRPr="00CB6014">
        <w:rPr>
          <w:lang w:val="en-US"/>
        </w:rPr>
        <w:t xml:space="preserve"> other. </w:t>
      </w:r>
    </w:p>
    <w:p w14:paraId="063CA411" w14:textId="37448062" w:rsidR="00BC545A" w:rsidRPr="00CB6014" w:rsidRDefault="00565C43" w:rsidP="00A22A34">
      <w:pPr>
        <w:spacing w:line="360" w:lineRule="auto"/>
        <w:jc w:val="center"/>
        <w:rPr>
          <w:lang w:val="en-US"/>
        </w:rPr>
      </w:pPr>
      <w:r w:rsidRPr="00CB6014">
        <w:rPr>
          <w:lang w:val="en-US"/>
        </w:rPr>
        <w:t>--- Insert Table 3</w:t>
      </w:r>
      <w:r w:rsidR="00BC545A" w:rsidRPr="00CB6014">
        <w:rPr>
          <w:lang w:val="en-US"/>
        </w:rPr>
        <w:t xml:space="preserve"> about here ---</w:t>
      </w:r>
    </w:p>
    <w:p w14:paraId="19D5472D" w14:textId="77777777" w:rsidR="009431AB" w:rsidRPr="00CB6014" w:rsidRDefault="009431AB" w:rsidP="00A22A34">
      <w:pPr>
        <w:spacing w:line="360" w:lineRule="auto"/>
        <w:jc w:val="center"/>
        <w:rPr>
          <w:lang w:val="en-US"/>
        </w:rPr>
      </w:pPr>
    </w:p>
    <w:p w14:paraId="0E834299" w14:textId="1AB2F7EB" w:rsidR="009431AB" w:rsidRPr="00CB6014" w:rsidRDefault="00EB6A43" w:rsidP="00274BF5">
      <w:pPr>
        <w:spacing w:line="360" w:lineRule="auto"/>
        <w:ind w:firstLine="425"/>
        <w:rPr>
          <w:color w:val="000000" w:themeColor="text1"/>
          <w:lang w:val="en-US"/>
        </w:rPr>
      </w:pPr>
      <w:r w:rsidRPr="00CB6014">
        <w:rPr>
          <w:lang w:val="en-US"/>
        </w:rPr>
        <w:t xml:space="preserve">Results show </w:t>
      </w:r>
      <w:r w:rsidR="00BE38FF" w:rsidRPr="00CB6014">
        <w:rPr>
          <w:lang w:val="en-US"/>
        </w:rPr>
        <w:t xml:space="preserve">sectoral </w:t>
      </w:r>
      <w:r w:rsidRPr="00CB6014">
        <w:rPr>
          <w:lang w:val="en-US"/>
        </w:rPr>
        <w:t xml:space="preserve">heterogeneity as firms belonging to NAICS 31 and NAICS 32 reach the highest </w:t>
      </w:r>
      <w:r w:rsidR="008C06D9" w:rsidRPr="00CB6014">
        <w:rPr>
          <w:lang w:val="en-US"/>
        </w:rPr>
        <w:t>profit margin</w:t>
      </w:r>
      <w:r w:rsidRPr="00CB6014">
        <w:rPr>
          <w:lang w:val="en-US"/>
        </w:rPr>
        <w:t xml:space="preserve"> by combining </w:t>
      </w:r>
      <w:r w:rsidR="004A5384" w:rsidRPr="00CB6014">
        <w:rPr>
          <w:lang w:val="en-US"/>
        </w:rPr>
        <w:t>"</w:t>
      </w:r>
      <w:r w:rsidR="004A5384" w:rsidRPr="00CB6014">
        <w:rPr>
          <w:i/>
          <w:lang w:val="en-US"/>
        </w:rPr>
        <w:t>process and product</w:t>
      </w:r>
      <w:r w:rsidR="004A5384" w:rsidRPr="00CB6014">
        <w:rPr>
          <w:lang w:val="en-US"/>
        </w:rPr>
        <w:t xml:space="preserve">" </w:t>
      </w:r>
      <w:r w:rsidRPr="00CB6014">
        <w:rPr>
          <w:lang w:val="en-US"/>
        </w:rPr>
        <w:t xml:space="preserve">innovation. However, </w:t>
      </w:r>
      <w:r w:rsidR="00BC545A" w:rsidRPr="00CB6014">
        <w:rPr>
          <w:lang w:val="en-US"/>
        </w:rPr>
        <w:t xml:space="preserve">firms </w:t>
      </w:r>
      <w:r w:rsidRPr="00CB6014">
        <w:rPr>
          <w:lang w:val="en-US"/>
        </w:rPr>
        <w:t>operat</w:t>
      </w:r>
      <w:r w:rsidR="009431AB" w:rsidRPr="00CB6014">
        <w:rPr>
          <w:lang w:val="en-US"/>
        </w:rPr>
        <w:t>ing on H</w:t>
      </w:r>
      <w:r w:rsidRPr="00CB6014">
        <w:rPr>
          <w:lang w:val="en-US"/>
        </w:rPr>
        <w:t xml:space="preserve">eavy Manufacturing (NAICS 33) </w:t>
      </w:r>
      <w:r w:rsidR="006B0468" w:rsidRPr="00CB6014">
        <w:rPr>
          <w:lang w:val="en-US"/>
        </w:rPr>
        <w:t xml:space="preserve">also </w:t>
      </w:r>
      <w:r w:rsidR="003848D6" w:rsidRPr="00CB6014">
        <w:rPr>
          <w:lang w:val="en-US"/>
        </w:rPr>
        <w:t xml:space="preserve">require </w:t>
      </w:r>
      <w:r w:rsidR="004A5384" w:rsidRPr="00CB6014">
        <w:rPr>
          <w:lang w:val="en-US"/>
        </w:rPr>
        <w:t>digital s</w:t>
      </w:r>
      <w:r w:rsidR="003848D6" w:rsidRPr="00CB6014">
        <w:rPr>
          <w:lang w:val="en-US"/>
        </w:rPr>
        <w:t xml:space="preserve">ervice innovation </w:t>
      </w:r>
      <w:r w:rsidR="006B0468" w:rsidRPr="00CB6014">
        <w:rPr>
          <w:lang w:val="en-US"/>
        </w:rPr>
        <w:t xml:space="preserve">to achieve </w:t>
      </w:r>
      <w:r w:rsidR="00BC545A" w:rsidRPr="00CB6014">
        <w:rPr>
          <w:lang w:val="en-US"/>
        </w:rPr>
        <w:t xml:space="preserve">the highest level of </w:t>
      </w:r>
      <w:r w:rsidR="008C06D9" w:rsidRPr="00CB6014">
        <w:rPr>
          <w:lang w:val="en-US"/>
        </w:rPr>
        <w:t>profits</w:t>
      </w:r>
      <w:r w:rsidR="004A5384" w:rsidRPr="00CB6014">
        <w:rPr>
          <w:lang w:val="en-US"/>
        </w:rPr>
        <w:t xml:space="preserve"> ("</w:t>
      </w:r>
      <w:r w:rsidR="004A5384" w:rsidRPr="00CB6014">
        <w:rPr>
          <w:i/>
          <w:lang w:val="en-US"/>
        </w:rPr>
        <w:t>process, product and service</w:t>
      </w:r>
      <w:r w:rsidR="004A5384" w:rsidRPr="00CB6014">
        <w:rPr>
          <w:lang w:val="en-US"/>
        </w:rPr>
        <w:t>)"</w:t>
      </w:r>
      <w:r w:rsidR="003848D6" w:rsidRPr="00CB6014">
        <w:rPr>
          <w:lang w:val="en-US"/>
        </w:rPr>
        <w:t xml:space="preserve">. </w:t>
      </w:r>
      <w:r w:rsidR="00BC545A" w:rsidRPr="00CB6014">
        <w:rPr>
          <w:lang w:val="en-US"/>
        </w:rPr>
        <w:t xml:space="preserve">Overall solution coverage scores assess the explanatory power of the solution over the outcome, being </w:t>
      </w:r>
      <w:proofErr w:type="gramStart"/>
      <w:r w:rsidR="00BC545A" w:rsidRPr="00CB6014">
        <w:rPr>
          <w:lang w:val="en-US"/>
        </w:rPr>
        <w:t>similar to</w:t>
      </w:r>
      <w:proofErr w:type="gramEnd"/>
      <w:r w:rsidR="00BC545A" w:rsidRPr="00CB6014">
        <w:rPr>
          <w:lang w:val="en-US"/>
        </w:rPr>
        <w:t xml:space="preserve"> the </w:t>
      </w:r>
      <w:r w:rsidR="00BC545A" w:rsidRPr="00CB6014">
        <w:rPr>
          <w:i/>
          <w:lang w:val="en-US"/>
        </w:rPr>
        <w:t>R</w:t>
      </w:r>
      <w:r w:rsidR="00BC545A" w:rsidRPr="00CB6014">
        <w:rPr>
          <w:lang w:val="en-US"/>
        </w:rPr>
        <w:t>-squared in multivariate analysis.</w:t>
      </w:r>
      <w:r w:rsidR="007962AD" w:rsidRPr="00CB6014">
        <w:rPr>
          <w:lang w:val="en-US"/>
        </w:rPr>
        <w:t xml:space="preserve"> Therefore, </w:t>
      </w:r>
      <w:r w:rsidR="00F5564F" w:rsidRPr="00CB6014">
        <w:rPr>
          <w:lang w:val="en-US"/>
        </w:rPr>
        <w:t>consistent with testable proposition 1</w:t>
      </w:r>
      <w:r w:rsidR="006B0468" w:rsidRPr="00CB6014">
        <w:rPr>
          <w:lang w:val="en-US"/>
        </w:rPr>
        <w:t>,</w:t>
      </w:r>
      <w:r w:rsidR="00F5564F" w:rsidRPr="00CB6014">
        <w:rPr>
          <w:lang w:val="en-US"/>
        </w:rPr>
        <w:t xml:space="preserve"> </w:t>
      </w:r>
      <w:r w:rsidR="00985FB1" w:rsidRPr="00CB6014">
        <w:rPr>
          <w:color w:val="000000" w:themeColor="text1"/>
          <w:lang w:val="en-US"/>
        </w:rPr>
        <w:lastRenderedPageBreak/>
        <w:t>results suggest</w:t>
      </w:r>
      <w:r w:rsidR="00E61B6B" w:rsidRPr="00CB6014">
        <w:rPr>
          <w:color w:val="000000" w:themeColor="text1"/>
          <w:lang w:val="en-US"/>
        </w:rPr>
        <w:t xml:space="preserve"> that</w:t>
      </w:r>
      <w:r w:rsidR="004A5384" w:rsidRPr="00CB6014">
        <w:rPr>
          <w:color w:val="000000" w:themeColor="text1"/>
          <w:lang w:val="en-US"/>
        </w:rPr>
        <w:t xml:space="preserve"> deploying</w:t>
      </w:r>
      <w:r w:rsidR="00E61B6B" w:rsidRPr="00CB6014">
        <w:rPr>
          <w:color w:val="000000" w:themeColor="text1"/>
          <w:lang w:val="en-US"/>
        </w:rPr>
        <w:t xml:space="preserve"> </w:t>
      </w:r>
      <w:r w:rsidR="006B0468" w:rsidRPr="00CB6014">
        <w:rPr>
          <w:color w:val="000000" w:themeColor="text1"/>
          <w:lang w:val="en-US"/>
        </w:rPr>
        <w:t>p</w:t>
      </w:r>
      <w:r w:rsidR="00985FB1" w:rsidRPr="00CB6014">
        <w:rPr>
          <w:color w:val="000000" w:themeColor="text1"/>
          <w:lang w:val="en-US"/>
        </w:rPr>
        <w:t xml:space="preserve">rocess and </w:t>
      </w:r>
      <w:r w:rsidR="006B0468" w:rsidRPr="00CB6014">
        <w:rPr>
          <w:color w:val="000000" w:themeColor="text1"/>
          <w:lang w:val="en-US"/>
        </w:rPr>
        <w:t xml:space="preserve">product </w:t>
      </w:r>
      <w:r w:rsidR="00E61B6B" w:rsidRPr="00CB6014">
        <w:rPr>
          <w:color w:val="000000" w:themeColor="text1"/>
          <w:lang w:val="en-US"/>
        </w:rPr>
        <w:t>innovations</w:t>
      </w:r>
      <w:r w:rsidR="004A5384" w:rsidRPr="00CB6014">
        <w:rPr>
          <w:color w:val="000000" w:themeColor="text1"/>
          <w:lang w:val="en-US"/>
        </w:rPr>
        <w:t xml:space="preserve"> simultaneously</w:t>
      </w:r>
      <w:r w:rsidR="00E61B6B" w:rsidRPr="00CB6014">
        <w:rPr>
          <w:color w:val="000000" w:themeColor="text1"/>
          <w:lang w:val="en-US"/>
        </w:rPr>
        <w:t xml:space="preserve"> </w:t>
      </w:r>
      <w:r w:rsidR="00807840" w:rsidRPr="00CB6014">
        <w:rPr>
          <w:color w:val="000000" w:themeColor="text1"/>
          <w:lang w:val="en-US"/>
        </w:rPr>
        <w:t xml:space="preserve">is </w:t>
      </w:r>
      <w:r w:rsidR="006A1887" w:rsidRPr="00CB6014">
        <w:rPr>
          <w:color w:val="000000" w:themeColor="text1"/>
          <w:lang w:val="en-US"/>
        </w:rPr>
        <w:t xml:space="preserve">a </w:t>
      </w:r>
      <w:r w:rsidR="00E61B6B" w:rsidRPr="00CB6014">
        <w:rPr>
          <w:color w:val="000000" w:themeColor="text1"/>
          <w:lang w:val="en-US"/>
        </w:rPr>
        <w:t xml:space="preserve">necessary and sufficient condition for </w:t>
      </w:r>
      <w:r w:rsidR="00146B55" w:rsidRPr="00CB6014">
        <w:rPr>
          <w:color w:val="000000" w:themeColor="text1"/>
          <w:lang w:val="en-US"/>
        </w:rPr>
        <w:t xml:space="preserve">firm profits in </w:t>
      </w:r>
      <w:r w:rsidR="004A5384" w:rsidRPr="00CB6014">
        <w:rPr>
          <w:color w:val="000000" w:themeColor="text1"/>
          <w:lang w:val="en-US"/>
        </w:rPr>
        <w:t>the general population of manufacturing firms,</w:t>
      </w:r>
      <w:r w:rsidR="00146B55" w:rsidRPr="00CB6014">
        <w:rPr>
          <w:color w:val="000000" w:themeColor="text1"/>
          <w:lang w:val="en-US"/>
        </w:rPr>
        <w:t xml:space="preserve"> </w:t>
      </w:r>
      <w:r w:rsidR="00985FB1" w:rsidRPr="00CB6014">
        <w:rPr>
          <w:color w:val="000000" w:themeColor="text1"/>
          <w:lang w:val="en-US"/>
        </w:rPr>
        <w:t xml:space="preserve">whereas </w:t>
      </w:r>
      <w:r w:rsidR="004A5384" w:rsidRPr="00CB6014">
        <w:rPr>
          <w:color w:val="000000" w:themeColor="text1"/>
          <w:lang w:val="en-US"/>
        </w:rPr>
        <w:t>having all three technological innovations</w:t>
      </w:r>
      <w:r w:rsidR="00985FB1" w:rsidRPr="00CB6014">
        <w:rPr>
          <w:color w:val="000000" w:themeColor="text1"/>
          <w:lang w:val="en-US"/>
        </w:rPr>
        <w:t xml:space="preserve"> is </w:t>
      </w:r>
      <w:r w:rsidR="004A5384" w:rsidRPr="00CB6014">
        <w:rPr>
          <w:color w:val="000000" w:themeColor="text1"/>
          <w:lang w:val="en-US"/>
        </w:rPr>
        <w:t>the</w:t>
      </w:r>
      <w:r w:rsidR="00985FB1" w:rsidRPr="00CB6014">
        <w:rPr>
          <w:color w:val="000000" w:themeColor="text1"/>
          <w:lang w:val="en-US"/>
        </w:rPr>
        <w:t xml:space="preserve"> necessary and sufficient condition for achieving the highest profit margin</w:t>
      </w:r>
      <w:r w:rsidR="00F5564F" w:rsidRPr="00CB6014">
        <w:rPr>
          <w:color w:val="000000" w:themeColor="text1"/>
          <w:lang w:val="en-US"/>
        </w:rPr>
        <w:t xml:space="preserve"> in heavy manufacturing</w:t>
      </w:r>
      <w:r w:rsidR="00146B55" w:rsidRPr="00CB6014">
        <w:rPr>
          <w:color w:val="000000" w:themeColor="text1"/>
          <w:lang w:val="en-US"/>
        </w:rPr>
        <w:t>. With this result we corroborate testable proposition 2.</w:t>
      </w:r>
    </w:p>
    <w:p w14:paraId="22ED6EC0" w14:textId="77777777" w:rsidR="004A5384" w:rsidRPr="00CB6014" w:rsidRDefault="004A5384" w:rsidP="0027180F">
      <w:pPr>
        <w:spacing w:line="360" w:lineRule="auto"/>
        <w:rPr>
          <w:lang w:val="en-US"/>
        </w:rPr>
      </w:pPr>
    </w:p>
    <w:p w14:paraId="30B9B0A6" w14:textId="7D6A7FE3" w:rsidR="00900E7B" w:rsidRPr="00CB6014" w:rsidRDefault="00900E7B" w:rsidP="00F81DD1">
      <w:pPr>
        <w:spacing w:line="360" w:lineRule="auto"/>
        <w:rPr>
          <w:b/>
          <w:lang w:val="en-US"/>
        </w:rPr>
      </w:pPr>
      <w:r w:rsidRPr="00CB6014">
        <w:rPr>
          <w:b/>
          <w:lang w:val="en-US"/>
        </w:rPr>
        <w:t>5. Discussion and conclusion</w:t>
      </w:r>
    </w:p>
    <w:p w14:paraId="356115B1" w14:textId="6F320D3C" w:rsidR="00900E7B" w:rsidRPr="00CB6014" w:rsidRDefault="00900E7B" w:rsidP="00274BF5">
      <w:pPr>
        <w:spacing w:line="360" w:lineRule="auto"/>
        <w:rPr>
          <w:lang w:val="en-US"/>
        </w:rPr>
      </w:pPr>
      <w:r w:rsidRPr="00CB6014">
        <w:rPr>
          <w:lang w:val="en-US"/>
        </w:rPr>
        <w:t xml:space="preserve">This study provides an important contribution to the servitization literature, shedding light on whether and </w:t>
      </w:r>
      <w:r w:rsidR="00807840" w:rsidRPr="00CB6014">
        <w:rPr>
          <w:lang w:val="en-US"/>
        </w:rPr>
        <w:t xml:space="preserve">in </w:t>
      </w:r>
      <w:r w:rsidRPr="00CB6014">
        <w:rPr>
          <w:lang w:val="en-US"/>
        </w:rPr>
        <w:t>what contexts digital servitization may complement and benefit from technological innovation</w:t>
      </w:r>
      <w:proofErr w:type="gramStart"/>
      <w:r w:rsidRPr="00CB6014">
        <w:rPr>
          <w:lang w:val="en-US"/>
        </w:rPr>
        <w:t>, that is to say</w:t>
      </w:r>
      <w:r w:rsidR="006A1887" w:rsidRPr="00CB6014">
        <w:rPr>
          <w:lang w:val="en-US"/>
        </w:rPr>
        <w:t>,</w:t>
      </w:r>
      <w:r w:rsidRPr="00CB6014">
        <w:rPr>
          <w:lang w:val="en-US"/>
        </w:rPr>
        <w:t xml:space="preserve"> from</w:t>
      </w:r>
      <w:proofErr w:type="gramEnd"/>
      <w:r w:rsidRPr="00CB6014">
        <w:rPr>
          <w:lang w:val="en-US"/>
        </w:rPr>
        <w:t xml:space="preserve"> product and process innovations in manufacturing.</w:t>
      </w:r>
      <w:r w:rsidR="00C8492B" w:rsidRPr="00CB6014">
        <w:rPr>
          <w:lang w:val="en-US"/>
        </w:rPr>
        <w:t xml:space="preserve"> Regarded from </w:t>
      </w:r>
      <w:r w:rsidRPr="00CB6014">
        <w:rPr>
          <w:lang w:val="en-US"/>
        </w:rPr>
        <w:t>the integrative view of innovations</w:t>
      </w:r>
      <w:r w:rsidR="00C8492B" w:rsidRPr="00CB6014">
        <w:rPr>
          <w:lang w:val="en-US"/>
        </w:rPr>
        <w:t xml:space="preserve"> (Dammanpour, 2010)</w:t>
      </w:r>
      <w:r w:rsidRPr="00CB6014">
        <w:rPr>
          <w:lang w:val="en-US"/>
        </w:rPr>
        <w:t>, our results indicate that carrying out process and product innovation represent</w:t>
      </w:r>
      <w:r w:rsidR="006A1887" w:rsidRPr="00CB6014">
        <w:rPr>
          <w:lang w:val="en-US"/>
        </w:rPr>
        <w:t>s</w:t>
      </w:r>
      <w:r w:rsidRPr="00CB6014">
        <w:rPr>
          <w:lang w:val="en-US"/>
        </w:rPr>
        <w:t xml:space="preserve"> a necessary condition for firms</w:t>
      </w:r>
      <w:r w:rsidR="006A1887" w:rsidRPr="00CB6014">
        <w:rPr>
          <w:lang w:val="en-US"/>
        </w:rPr>
        <w:t>’</w:t>
      </w:r>
      <w:r w:rsidRPr="00CB6014">
        <w:rPr>
          <w:lang w:val="en-US"/>
        </w:rPr>
        <w:t xml:space="preserve"> performance gains, </w:t>
      </w:r>
      <w:r w:rsidR="006A1887" w:rsidRPr="00CB6014">
        <w:rPr>
          <w:lang w:val="en-US"/>
        </w:rPr>
        <w:t xml:space="preserve">specifically </w:t>
      </w:r>
      <w:r w:rsidRPr="00CB6014">
        <w:rPr>
          <w:lang w:val="en-US"/>
        </w:rPr>
        <w:t xml:space="preserve">in </w:t>
      </w:r>
      <w:r w:rsidR="00430CF5" w:rsidRPr="00CB6014">
        <w:rPr>
          <w:lang w:val="en-US"/>
        </w:rPr>
        <w:t>less industrial</w:t>
      </w:r>
      <w:r w:rsidRPr="00CB6014">
        <w:rPr>
          <w:lang w:val="en-US"/>
        </w:rPr>
        <w:t xml:space="preserve"> manufacturing contexts (NAICS 31-32). Yet, our findings provide evidence that, particularly in sectors with stronger industrial focus (NAICS 33), deploying product and process innovation is necessary, but not sufficient, for reaching the highest levels of firm performance. Within these contexts, firms also need to undertake digital servitization in conjunction with process and product innovations </w:t>
      </w:r>
      <w:proofErr w:type="gramStart"/>
      <w:r w:rsidRPr="00CB6014">
        <w:rPr>
          <w:lang w:val="en-US"/>
        </w:rPr>
        <w:t>in order to</w:t>
      </w:r>
      <w:proofErr w:type="gramEnd"/>
      <w:r w:rsidRPr="00CB6014">
        <w:rPr>
          <w:lang w:val="en-US"/>
        </w:rPr>
        <w:t xml:space="preserve"> fully benefit from the service innovation deployment.</w:t>
      </w:r>
      <w:r w:rsidRPr="00BA6D11">
        <w:rPr>
          <w:lang w:val="en-US"/>
        </w:rPr>
        <w:t xml:space="preserve"> </w:t>
      </w:r>
      <w:r w:rsidRPr="00CB6014">
        <w:rPr>
          <w:lang w:val="en-US"/>
        </w:rPr>
        <w:t>In other words, in heavy manufacturing sectors (metal, machinery and hardware industries) the optimal configuration for performance enhancement lies in the complementarity between product, process, and service innovation.</w:t>
      </w:r>
      <w:r w:rsidRPr="00BA6D11">
        <w:rPr>
          <w:lang w:val="en-US"/>
        </w:rPr>
        <w:t xml:space="preserve"> </w:t>
      </w:r>
      <w:r w:rsidRPr="00CB6014">
        <w:rPr>
          <w:lang w:val="en-US"/>
        </w:rPr>
        <w:t xml:space="preserve">Our findings have </w:t>
      </w:r>
      <w:proofErr w:type="gramStart"/>
      <w:r w:rsidRPr="00CB6014">
        <w:rPr>
          <w:lang w:val="en-US"/>
        </w:rPr>
        <w:t>a number of</w:t>
      </w:r>
      <w:proofErr w:type="gramEnd"/>
      <w:r w:rsidRPr="00CB6014">
        <w:rPr>
          <w:lang w:val="en-US"/>
        </w:rPr>
        <w:t xml:space="preserve"> important theoretical and managerial implications for researchers and practitioners.</w:t>
      </w:r>
    </w:p>
    <w:p w14:paraId="6889E710" w14:textId="77777777" w:rsidR="00900E7B" w:rsidRPr="00CB6014" w:rsidRDefault="00900E7B" w:rsidP="00F81DD1">
      <w:pPr>
        <w:spacing w:line="360" w:lineRule="auto"/>
        <w:rPr>
          <w:lang w:val="en-US"/>
        </w:rPr>
      </w:pPr>
    </w:p>
    <w:p w14:paraId="0D7240C2" w14:textId="77777777" w:rsidR="00900E7B" w:rsidRPr="00CB6014" w:rsidRDefault="00900E7B" w:rsidP="00F81DD1">
      <w:pPr>
        <w:spacing w:line="360" w:lineRule="auto"/>
        <w:rPr>
          <w:i/>
          <w:lang w:val="en-US"/>
        </w:rPr>
      </w:pPr>
      <w:r w:rsidRPr="00CB6014">
        <w:rPr>
          <w:i/>
          <w:lang w:val="en-US"/>
        </w:rPr>
        <w:t>5.1 Theoretical implications</w:t>
      </w:r>
    </w:p>
    <w:p w14:paraId="56B25ABD" w14:textId="25F51961" w:rsidR="00900E7B" w:rsidRPr="00CB6014" w:rsidRDefault="00900E7B" w:rsidP="00274BF5">
      <w:pPr>
        <w:spacing w:line="360" w:lineRule="auto"/>
        <w:rPr>
          <w:lang w:val="en-US"/>
        </w:rPr>
      </w:pPr>
      <w:r w:rsidRPr="00CB6014">
        <w:rPr>
          <w:lang w:val="en-US"/>
        </w:rPr>
        <w:t>Our research contributes to the servitization and innovation literature by linking two streams of research that have previously remained independent of each other</w:t>
      </w:r>
      <w:r w:rsidR="006A1778" w:rsidRPr="00CB6014">
        <w:rPr>
          <w:lang w:val="en-US"/>
        </w:rPr>
        <w:t xml:space="preserve">; digital servitization and </w:t>
      </w:r>
      <w:r w:rsidRPr="00CB6014">
        <w:rPr>
          <w:lang w:val="en-US"/>
        </w:rPr>
        <w:t xml:space="preserve">technological innovation. </w:t>
      </w:r>
      <w:r w:rsidR="006A1887" w:rsidRPr="00CB6014">
        <w:rPr>
          <w:lang w:val="en-US"/>
        </w:rPr>
        <w:t xml:space="preserve">On the </w:t>
      </w:r>
      <w:r w:rsidRPr="00CB6014">
        <w:rPr>
          <w:lang w:val="en-US"/>
        </w:rPr>
        <w:t xml:space="preserve">one </w:t>
      </w:r>
      <w:r w:rsidR="006A1887" w:rsidRPr="00CB6014">
        <w:rPr>
          <w:lang w:val="en-US"/>
        </w:rPr>
        <w:t>hand</w:t>
      </w:r>
      <w:r w:rsidRPr="00CB6014">
        <w:rPr>
          <w:lang w:val="en-US"/>
        </w:rPr>
        <w:t xml:space="preserve">, technological innovation literature has </w:t>
      </w:r>
      <w:r w:rsidR="006A1887" w:rsidRPr="00CB6014">
        <w:rPr>
          <w:lang w:val="en-US"/>
        </w:rPr>
        <w:t xml:space="preserve">mainly </w:t>
      </w:r>
      <w:r w:rsidRPr="00CB6014">
        <w:rPr>
          <w:lang w:val="en-US"/>
        </w:rPr>
        <w:t>focused on analyzing complementarity between process and product innovation</w:t>
      </w:r>
      <w:r w:rsidR="00C30634" w:rsidRPr="00CB6014">
        <w:rPr>
          <w:lang w:val="en-US"/>
        </w:rPr>
        <w:t xml:space="preserve"> (Martinez-Ros, 2019),</w:t>
      </w:r>
      <w:r w:rsidRPr="00CB6014">
        <w:rPr>
          <w:lang w:val="en-US"/>
        </w:rPr>
        <w:t xml:space="preserve"> disregarding to some degree the role of service innovation in manufacturing contexts. </w:t>
      </w:r>
      <w:r w:rsidR="006A1887" w:rsidRPr="00CB6014">
        <w:rPr>
          <w:lang w:val="en-US"/>
        </w:rPr>
        <w:t xml:space="preserve">This </w:t>
      </w:r>
      <w:r w:rsidRPr="00CB6014">
        <w:rPr>
          <w:lang w:val="en-US"/>
        </w:rPr>
        <w:t>issue</w:t>
      </w:r>
      <w:r w:rsidRPr="00BA6D11">
        <w:rPr>
          <w:lang w:val="en-US"/>
        </w:rPr>
        <w:t xml:space="preserve"> prompted a </w:t>
      </w:r>
      <w:r w:rsidRPr="00CB6014">
        <w:rPr>
          <w:lang w:val="en-US"/>
        </w:rPr>
        <w:t>call for studies to analyze the synchronized deployment of different innovation types</w:t>
      </w:r>
      <w:r w:rsidR="00FE6DB0" w:rsidRPr="00CB6014">
        <w:rPr>
          <w:lang w:val="en-US"/>
        </w:rPr>
        <w:t xml:space="preserve"> (</w:t>
      </w:r>
      <w:proofErr w:type="spellStart"/>
      <w:r w:rsidR="00FE6DB0" w:rsidRPr="00CB6014">
        <w:rPr>
          <w:lang w:val="en-US"/>
        </w:rPr>
        <w:t>Damanpour</w:t>
      </w:r>
      <w:proofErr w:type="spellEnd"/>
      <w:r w:rsidR="00FE6DB0" w:rsidRPr="00CB6014">
        <w:rPr>
          <w:lang w:val="en-US"/>
        </w:rPr>
        <w:t>, 2014).</w:t>
      </w:r>
      <w:r w:rsidRPr="00BA6D11">
        <w:rPr>
          <w:lang w:val="en-US"/>
        </w:rPr>
        <w:t xml:space="preserve"> </w:t>
      </w:r>
      <w:r w:rsidRPr="00CB6014">
        <w:rPr>
          <w:lang w:val="en-US"/>
        </w:rPr>
        <w:t>Accordingly, our research responds to</w:t>
      </w:r>
      <w:r w:rsidR="00FE6DB0" w:rsidRPr="00CB6014">
        <w:rPr>
          <w:lang w:val="en-US"/>
        </w:rPr>
        <w:t xml:space="preserve"> </w:t>
      </w:r>
      <w:r w:rsidRPr="00CB6014">
        <w:rPr>
          <w:lang w:val="en-US"/>
        </w:rPr>
        <w:t xml:space="preserve">this call and </w:t>
      </w:r>
      <w:r w:rsidR="006A1887" w:rsidRPr="00CB6014">
        <w:rPr>
          <w:lang w:val="en-US"/>
        </w:rPr>
        <w:t xml:space="preserve">links </w:t>
      </w:r>
      <w:r w:rsidRPr="00CB6014">
        <w:rPr>
          <w:lang w:val="en-US"/>
        </w:rPr>
        <w:t xml:space="preserve">these hitherto non-converging domains by theorizing and </w:t>
      </w:r>
      <w:r w:rsidR="006A1887" w:rsidRPr="00CB6014">
        <w:rPr>
          <w:lang w:val="en-US"/>
        </w:rPr>
        <w:t xml:space="preserve">empirically </w:t>
      </w:r>
      <w:r w:rsidRPr="00CB6014">
        <w:rPr>
          <w:lang w:val="en-US"/>
        </w:rPr>
        <w:t xml:space="preserve">testing performance gains from the complementarity between </w:t>
      </w:r>
      <w:r w:rsidR="00430CF5" w:rsidRPr="00CB6014">
        <w:rPr>
          <w:lang w:val="en-US"/>
        </w:rPr>
        <w:t xml:space="preserve">traditional </w:t>
      </w:r>
      <w:r w:rsidRPr="00CB6014">
        <w:rPr>
          <w:lang w:val="en-US"/>
        </w:rPr>
        <w:t>technological innovations (process and product innovations) and digital servitizatio</w:t>
      </w:r>
      <w:r w:rsidR="00430CF5" w:rsidRPr="00CB6014">
        <w:rPr>
          <w:lang w:val="en-US"/>
        </w:rPr>
        <w:t>n (service innovation)</w:t>
      </w:r>
      <w:r w:rsidRPr="00CB6014">
        <w:rPr>
          <w:lang w:val="en-US"/>
        </w:rPr>
        <w:t xml:space="preserve"> in </w:t>
      </w:r>
      <w:r w:rsidRPr="00CB6014">
        <w:rPr>
          <w:lang w:val="en-US"/>
        </w:rPr>
        <w:lastRenderedPageBreak/>
        <w:t xml:space="preserve">manufacturing. </w:t>
      </w:r>
      <w:r w:rsidR="000C61AE" w:rsidRPr="00CB6014">
        <w:rPr>
          <w:lang w:val="en-US"/>
        </w:rPr>
        <w:t xml:space="preserve">Evidence provided in the study is important for understanding innovation in modern manufacturing. The study shows that joint deployment of technological innovations provides higher profits than single or non-innovation, which is consistent with the fact that joint innovation </w:t>
      </w:r>
      <w:r w:rsidR="001D52F4" w:rsidRPr="00CB6014">
        <w:rPr>
          <w:lang w:val="en-US"/>
        </w:rPr>
        <w:t xml:space="preserve">is considered a widely prevalent strategy (Hullova </w:t>
      </w:r>
      <w:r w:rsidR="001D52F4" w:rsidRPr="00C91C0D">
        <w:rPr>
          <w:i/>
          <w:iCs/>
          <w:lang w:val="en-US"/>
        </w:rPr>
        <w:t>et al.</w:t>
      </w:r>
      <w:r w:rsidR="001D52F4" w:rsidRPr="00CB6014">
        <w:rPr>
          <w:lang w:val="en-US"/>
        </w:rPr>
        <w:t>, 2019</w:t>
      </w:r>
      <w:r w:rsidR="00127D5C">
        <w:rPr>
          <w:lang w:val="en-US"/>
        </w:rPr>
        <w:t xml:space="preserve">; </w:t>
      </w:r>
      <w:r w:rsidR="00127D5C" w:rsidRPr="00CB6014">
        <w:rPr>
          <w:lang w:val="en-US"/>
        </w:rPr>
        <w:t xml:space="preserve">Najafi-Tavani </w:t>
      </w:r>
      <w:r w:rsidR="00127D5C" w:rsidRPr="00127D5C">
        <w:rPr>
          <w:i/>
          <w:iCs/>
          <w:lang w:val="en-US"/>
        </w:rPr>
        <w:t>et al.</w:t>
      </w:r>
      <w:r w:rsidR="00127D5C" w:rsidRPr="00CB6014">
        <w:rPr>
          <w:lang w:val="en-US"/>
        </w:rPr>
        <w:t>, 2018</w:t>
      </w:r>
      <w:r w:rsidR="001D52F4" w:rsidRPr="00CB6014">
        <w:rPr>
          <w:lang w:val="en-US"/>
        </w:rPr>
        <w:t>).</w:t>
      </w:r>
    </w:p>
    <w:p w14:paraId="134FF4AE" w14:textId="25CE02F1" w:rsidR="00900E7B" w:rsidRPr="00BA6D11" w:rsidRDefault="00900E7B" w:rsidP="00F81DD1">
      <w:pPr>
        <w:spacing w:line="360" w:lineRule="auto"/>
        <w:ind w:firstLine="425"/>
        <w:rPr>
          <w:lang w:val="en-US"/>
        </w:rPr>
      </w:pPr>
      <w:proofErr w:type="spellStart"/>
      <w:r w:rsidRPr="00BA6D11">
        <w:rPr>
          <w:lang w:val="en-US"/>
        </w:rPr>
        <w:t>Servitization</w:t>
      </w:r>
      <w:proofErr w:type="spellEnd"/>
      <w:r w:rsidRPr="00BA6D11">
        <w:rPr>
          <w:lang w:val="en-US"/>
        </w:rPr>
        <w:t xml:space="preserve"> literature, on the other </w:t>
      </w:r>
      <w:r w:rsidR="006A1887" w:rsidRPr="00BA6D11">
        <w:rPr>
          <w:lang w:val="en-US"/>
        </w:rPr>
        <w:t>hand</w:t>
      </w:r>
      <w:r w:rsidRPr="00BA6D11">
        <w:rPr>
          <w:lang w:val="en-US"/>
        </w:rPr>
        <w:t xml:space="preserve">, has </w:t>
      </w:r>
      <w:r w:rsidR="00807840" w:rsidRPr="00BA6D11">
        <w:rPr>
          <w:lang w:val="en-US"/>
        </w:rPr>
        <w:t xml:space="preserve">mostly </w:t>
      </w:r>
      <w:proofErr w:type="spellStart"/>
      <w:r w:rsidRPr="00BA6D11">
        <w:rPr>
          <w:lang w:val="en-US"/>
        </w:rPr>
        <w:t>analysed</w:t>
      </w:r>
      <w:proofErr w:type="spellEnd"/>
      <w:r w:rsidRPr="00BA6D11">
        <w:rPr>
          <w:lang w:val="en-US"/>
        </w:rPr>
        <w:t xml:space="preserve"> service innovation as an isolated phenomenon occurring in manufacturing contexts as </w:t>
      </w:r>
      <w:r w:rsidR="00E60ACB" w:rsidRPr="00BA6D11">
        <w:rPr>
          <w:lang w:val="en-US"/>
        </w:rPr>
        <w:t>a</w:t>
      </w:r>
      <w:r w:rsidRPr="00BA6D11">
        <w:rPr>
          <w:lang w:val="en-US"/>
        </w:rPr>
        <w:t xml:space="preserve"> strategic response to commoditization. This perspective, however, considers service innovation as the fundamental (if not unique) axis of innovation developments</w:t>
      </w:r>
      <w:r w:rsidR="008C5AA8" w:rsidRPr="00BA6D11">
        <w:rPr>
          <w:lang w:val="en-US"/>
        </w:rPr>
        <w:t xml:space="preserve"> (Visnjic-</w:t>
      </w:r>
      <w:proofErr w:type="spellStart"/>
      <w:r w:rsidR="008C5AA8" w:rsidRPr="00BA6D11">
        <w:rPr>
          <w:lang w:val="en-US"/>
        </w:rPr>
        <w:t>Kastalli</w:t>
      </w:r>
      <w:proofErr w:type="spellEnd"/>
      <w:r w:rsidR="008C5AA8" w:rsidRPr="00BA6D11">
        <w:rPr>
          <w:lang w:val="en-US"/>
        </w:rPr>
        <w:t xml:space="preserve"> and Van </w:t>
      </w:r>
      <w:proofErr w:type="spellStart"/>
      <w:r w:rsidR="008C5AA8" w:rsidRPr="00BA6D11">
        <w:rPr>
          <w:lang w:val="en-US"/>
        </w:rPr>
        <w:t>Looy</w:t>
      </w:r>
      <w:proofErr w:type="spellEnd"/>
      <w:r w:rsidR="008C5AA8" w:rsidRPr="00BA6D11">
        <w:rPr>
          <w:lang w:val="en-US"/>
        </w:rPr>
        <w:t>, 2013).</w:t>
      </w:r>
      <w:r w:rsidR="00E30C93" w:rsidRPr="00BA6D11">
        <w:rPr>
          <w:lang w:val="en-US"/>
        </w:rPr>
        <w:t xml:space="preserve"> </w:t>
      </w:r>
      <w:r w:rsidRPr="00BA6D11">
        <w:rPr>
          <w:lang w:val="en-US"/>
        </w:rPr>
        <w:t>Our findings</w:t>
      </w:r>
      <w:r w:rsidR="00430CF5" w:rsidRPr="00BA6D11">
        <w:rPr>
          <w:lang w:val="en-US"/>
        </w:rPr>
        <w:t>,</w:t>
      </w:r>
      <w:r w:rsidRPr="00BA6D11">
        <w:rPr>
          <w:lang w:val="en-US"/>
        </w:rPr>
        <w:t xml:space="preserve"> however</w:t>
      </w:r>
      <w:r w:rsidR="00430CF5" w:rsidRPr="00BA6D11">
        <w:rPr>
          <w:lang w:val="en-US"/>
        </w:rPr>
        <w:t>,</w:t>
      </w:r>
      <w:r w:rsidRPr="00BA6D11">
        <w:rPr>
          <w:lang w:val="en-US"/>
        </w:rPr>
        <w:t xml:space="preserve"> indicate that service innovation should be perceived as an innovation capable of complementing other types of </w:t>
      </w:r>
      <w:r w:rsidR="00430CF5" w:rsidRPr="00BA6D11">
        <w:rPr>
          <w:lang w:val="en-US"/>
        </w:rPr>
        <w:t xml:space="preserve">technological </w:t>
      </w:r>
      <w:r w:rsidRPr="00BA6D11">
        <w:rPr>
          <w:lang w:val="en-US"/>
        </w:rPr>
        <w:t>innovation</w:t>
      </w:r>
      <w:r w:rsidR="00430CF5" w:rsidRPr="00BA6D11">
        <w:rPr>
          <w:lang w:val="en-US"/>
        </w:rPr>
        <w:t>s</w:t>
      </w:r>
      <w:r w:rsidRPr="00BA6D11">
        <w:rPr>
          <w:lang w:val="en-US"/>
        </w:rPr>
        <w:t xml:space="preserve">, and hence be conceived </w:t>
      </w:r>
      <w:r w:rsidR="006A1887" w:rsidRPr="00BA6D11">
        <w:rPr>
          <w:lang w:val="en-US"/>
        </w:rPr>
        <w:t xml:space="preserve">of </w:t>
      </w:r>
      <w:r w:rsidRPr="00BA6D11">
        <w:rPr>
          <w:lang w:val="en-US"/>
        </w:rPr>
        <w:t>as part of a synergistic system of innovations. This is a relevant finding for the</w:t>
      </w:r>
      <w:r w:rsidR="00175B53" w:rsidRPr="00BA6D11">
        <w:rPr>
          <w:lang w:val="en-US"/>
        </w:rPr>
        <w:t xml:space="preserve"> </w:t>
      </w:r>
      <w:proofErr w:type="spellStart"/>
      <w:r w:rsidR="00175B53" w:rsidRPr="00BA6D11">
        <w:rPr>
          <w:lang w:val="en-US"/>
        </w:rPr>
        <w:t>servitization</w:t>
      </w:r>
      <w:proofErr w:type="spellEnd"/>
      <w:r w:rsidR="00175B53" w:rsidRPr="00BA6D11">
        <w:rPr>
          <w:lang w:val="en-US"/>
        </w:rPr>
        <w:t xml:space="preserve"> community, since it opens new avenues to </w:t>
      </w:r>
      <w:proofErr w:type="spellStart"/>
      <w:r w:rsidR="0027180F" w:rsidRPr="00BA6D11">
        <w:rPr>
          <w:lang w:val="en-US"/>
        </w:rPr>
        <w:t>analyse</w:t>
      </w:r>
      <w:proofErr w:type="spellEnd"/>
      <w:r w:rsidR="006A1887" w:rsidRPr="00BA6D11">
        <w:rPr>
          <w:lang w:val="en-US"/>
        </w:rPr>
        <w:t xml:space="preserve"> </w:t>
      </w:r>
      <w:proofErr w:type="spellStart"/>
      <w:r w:rsidR="00175B53" w:rsidRPr="00BA6D11">
        <w:rPr>
          <w:lang w:val="en-US"/>
        </w:rPr>
        <w:t>servitization</w:t>
      </w:r>
      <w:proofErr w:type="spellEnd"/>
      <w:r w:rsidR="00175B53" w:rsidRPr="00BA6D11">
        <w:rPr>
          <w:lang w:val="en-US"/>
        </w:rPr>
        <w:t xml:space="preserve"> from an integrative perspective and </w:t>
      </w:r>
      <w:r w:rsidRPr="00BA6D11">
        <w:rPr>
          <w:lang w:val="en-US"/>
        </w:rPr>
        <w:t xml:space="preserve">implies that </w:t>
      </w:r>
      <w:proofErr w:type="spellStart"/>
      <w:r w:rsidRPr="00BA6D11">
        <w:rPr>
          <w:lang w:val="en-US"/>
        </w:rPr>
        <w:t>servitization</w:t>
      </w:r>
      <w:proofErr w:type="spellEnd"/>
      <w:r w:rsidRPr="00BA6D11">
        <w:rPr>
          <w:lang w:val="en-US"/>
        </w:rPr>
        <w:t xml:space="preserve"> research may influence and eventually reformulate more ma</w:t>
      </w:r>
      <w:r w:rsidR="00AA2AE4" w:rsidRPr="00BA6D11">
        <w:rPr>
          <w:lang w:val="en-US"/>
        </w:rPr>
        <w:t xml:space="preserve">ture </w:t>
      </w:r>
      <w:r w:rsidR="00E30C93" w:rsidRPr="00BA6D11">
        <w:rPr>
          <w:lang w:val="en-US"/>
        </w:rPr>
        <w:t xml:space="preserve">and wide-ranging </w:t>
      </w:r>
      <w:r w:rsidR="00AA2AE4" w:rsidRPr="00BA6D11">
        <w:rPr>
          <w:lang w:val="en-US"/>
        </w:rPr>
        <w:t xml:space="preserve">literature streams, </w:t>
      </w:r>
      <w:r w:rsidRPr="00BA6D11">
        <w:rPr>
          <w:lang w:val="en-US"/>
        </w:rPr>
        <w:t>as</w:t>
      </w:r>
      <w:r w:rsidR="00AA2AE4" w:rsidRPr="00BA6D11">
        <w:rPr>
          <w:lang w:val="en-US"/>
        </w:rPr>
        <w:t xml:space="preserve"> </w:t>
      </w:r>
      <w:r w:rsidR="00807840" w:rsidRPr="00BA6D11">
        <w:rPr>
          <w:lang w:val="en-US"/>
        </w:rPr>
        <w:t xml:space="preserve">it </w:t>
      </w:r>
      <w:r w:rsidR="00AA2AE4" w:rsidRPr="00BA6D11">
        <w:rPr>
          <w:lang w:val="en-US"/>
        </w:rPr>
        <w:t>is the case of technological</w:t>
      </w:r>
      <w:r w:rsidRPr="00BA6D11">
        <w:rPr>
          <w:lang w:val="en-US"/>
        </w:rPr>
        <w:t xml:space="preserve"> innovation.</w:t>
      </w:r>
    </w:p>
    <w:p w14:paraId="287441F0" w14:textId="77777777" w:rsidR="00E064CA" w:rsidRPr="00CB6014" w:rsidRDefault="00E064CA" w:rsidP="00F81DD1">
      <w:pPr>
        <w:spacing w:line="360" w:lineRule="auto"/>
        <w:rPr>
          <w:i/>
          <w:lang w:val="en-US"/>
        </w:rPr>
      </w:pPr>
    </w:p>
    <w:p w14:paraId="59EA890F" w14:textId="77777777" w:rsidR="00E064CA" w:rsidRPr="00CB6014" w:rsidRDefault="00E064CA" w:rsidP="00F81DD1">
      <w:pPr>
        <w:spacing w:line="360" w:lineRule="auto"/>
        <w:rPr>
          <w:i/>
          <w:lang w:val="en-US"/>
        </w:rPr>
      </w:pPr>
      <w:r w:rsidRPr="00CB6014">
        <w:rPr>
          <w:i/>
          <w:lang w:val="en-US"/>
        </w:rPr>
        <w:t>5.2 Managerial implications</w:t>
      </w:r>
    </w:p>
    <w:p w14:paraId="7AE6314E" w14:textId="68515B71" w:rsidR="000C61AE" w:rsidRPr="00CB6014" w:rsidRDefault="00E064CA" w:rsidP="00F81DD1">
      <w:pPr>
        <w:spacing w:line="360" w:lineRule="auto"/>
        <w:rPr>
          <w:lang w:val="en-US"/>
        </w:rPr>
      </w:pPr>
      <w:r w:rsidRPr="00CB6014">
        <w:rPr>
          <w:lang w:val="en-US"/>
        </w:rPr>
        <w:t xml:space="preserve">Our study suggests </w:t>
      </w:r>
      <w:proofErr w:type="gramStart"/>
      <w:r w:rsidRPr="00CB6014">
        <w:rPr>
          <w:lang w:val="en-US"/>
        </w:rPr>
        <w:t>a number of</w:t>
      </w:r>
      <w:proofErr w:type="gramEnd"/>
      <w:r w:rsidRPr="00CB6014">
        <w:rPr>
          <w:lang w:val="en-US"/>
        </w:rPr>
        <w:t xml:space="preserve"> relevant implications for managers of innovative manufacturing firms. One of the most important is that they should start considering servitization in complementarity with </w:t>
      </w:r>
      <w:r w:rsidR="000C61AE" w:rsidRPr="00CB6014">
        <w:rPr>
          <w:lang w:val="en-US"/>
        </w:rPr>
        <w:t xml:space="preserve">traditional </w:t>
      </w:r>
      <w:r w:rsidRPr="00CB6014">
        <w:rPr>
          <w:lang w:val="en-US"/>
        </w:rPr>
        <w:t xml:space="preserve">technological innovations within the firm </w:t>
      </w:r>
      <w:proofErr w:type="gramStart"/>
      <w:r w:rsidRPr="00CB6014">
        <w:rPr>
          <w:lang w:val="en-US"/>
        </w:rPr>
        <w:t>in order to</w:t>
      </w:r>
      <w:proofErr w:type="gramEnd"/>
      <w:r w:rsidRPr="00CB6014">
        <w:rPr>
          <w:lang w:val="en-US"/>
        </w:rPr>
        <w:t xml:space="preserve"> structure more valued and complex innovation portfolios. Process and product innovation should be understood as a necessary condition to gain performance benefits in manufacturing, particularly in more conventional contexts. Service innovation yields higher performance gains when undertaken in conjunction with process and product innovation, </w:t>
      </w:r>
      <w:r w:rsidR="00C97129" w:rsidRPr="00CB6014">
        <w:rPr>
          <w:lang w:val="en-US"/>
        </w:rPr>
        <w:t xml:space="preserve">specifically </w:t>
      </w:r>
      <w:r w:rsidRPr="00CB6014">
        <w:rPr>
          <w:lang w:val="en-US"/>
        </w:rPr>
        <w:t>in heavy manufacturing sectors. Accordingly, managers pursuing servitization outcomes should apply an integrative view of innovations</w:t>
      </w:r>
      <w:r w:rsidR="00C97129" w:rsidRPr="00CB6014">
        <w:rPr>
          <w:lang w:val="en-US"/>
        </w:rPr>
        <w:t xml:space="preserve">; </w:t>
      </w:r>
      <w:r w:rsidRPr="00CB6014">
        <w:rPr>
          <w:lang w:val="en-US"/>
        </w:rPr>
        <w:t xml:space="preserve">one that considers servitization as a piece of the firm´s innovation puzzle and not an isolated </w:t>
      </w:r>
      <w:r w:rsidR="00DD56D4" w:rsidRPr="00CB6014">
        <w:rPr>
          <w:lang w:val="en-US"/>
        </w:rPr>
        <w:t xml:space="preserve">innovation </w:t>
      </w:r>
      <w:r w:rsidRPr="00CB6014">
        <w:rPr>
          <w:lang w:val="en-US"/>
        </w:rPr>
        <w:t>component</w:t>
      </w:r>
      <w:r w:rsidR="00807840" w:rsidRPr="00CB6014">
        <w:rPr>
          <w:lang w:val="en-US"/>
        </w:rPr>
        <w:t>,</w:t>
      </w:r>
      <w:r w:rsidRPr="00CB6014">
        <w:rPr>
          <w:lang w:val="en-US"/>
        </w:rPr>
        <w:t xml:space="preserve"> </w:t>
      </w:r>
      <w:proofErr w:type="gramStart"/>
      <w:r w:rsidR="00C97129" w:rsidRPr="00CB6014">
        <w:rPr>
          <w:lang w:val="en-US"/>
        </w:rPr>
        <w:t xml:space="preserve">in order </w:t>
      </w:r>
      <w:r w:rsidRPr="00CB6014">
        <w:rPr>
          <w:lang w:val="en-US"/>
        </w:rPr>
        <w:t>to</w:t>
      </w:r>
      <w:proofErr w:type="gramEnd"/>
      <w:r w:rsidRPr="00CB6014">
        <w:rPr>
          <w:lang w:val="en-US"/>
        </w:rPr>
        <w:t xml:space="preserve"> fully benefit from its deployment.  </w:t>
      </w:r>
    </w:p>
    <w:p w14:paraId="7FC6AF27" w14:textId="77777777" w:rsidR="005A1C53" w:rsidRPr="00CB6014" w:rsidRDefault="005A1C53" w:rsidP="00274BF5">
      <w:pPr>
        <w:spacing w:line="360" w:lineRule="auto"/>
        <w:rPr>
          <w:i/>
          <w:lang w:val="en-US"/>
        </w:rPr>
      </w:pPr>
    </w:p>
    <w:p w14:paraId="558C7441" w14:textId="7706DE75" w:rsidR="005A1C53" w:rsidRPr="00CB6014" w:rsidRDefault="005A1C53" w:rsidP="005A1C53">
      <w:pPr>
        <w:spacing w:line="480" w:lineRule="auto"/>
        <w:rPr>
          <w:i/>
          <w:lang w:val="en-US"/>
        </w:rPr>
      </w:pPr>
      <w:r w:rsidRPr="00CB6014">
        <w:rPr>
          <w:i/>
          <w:lang w:val="en-US"/>
        </w:rPr>
        <w:t>5.3 Limitations and directions</w:t>
      </w:r>
      <w:r w:rsidR="00E30C93">
        <w:rPr>
          <w:i/>
          <w:lang w:val="en-US"/>
        </w:rPr>
        <w:t xml:space="preserve"> </w:t>
      </w:r>
      <w:r w:rsidRPr="00CB6014">
        <w:rPr>
          <w:i/>
          <w:lang w:val="en-US"/>
        </w:rPr>
        <w:t xml:space="preserve">for further research </w:t>
      </w:r>
    </w:p>
    <w:p w14:paraId="653737BF" w14:textId="4A6CAE19" w:rsidR="00891B09" w:rsidRPr="00CB6014" w:rsidRDefault="005A1C53" w:rsidP="005A1C53">
      <w:pPr>
        <w:spacing w:line="360" w:lineRule="auto"/>
        <w:rPr>
          <w:lang w:val="en-US"/>
        </w:rPr>
      </w:pPr>
      <w:r w:rsidRPr="00CB6014">
        <w:rPr>
          <w:lang w:val="en-US"/>
        </w:rPr>
        <w:t xml:space="preserve">In common with other </w:t>
      </w:r>
      <w:r w:rsidR="00C97129" w:rsidRPr="00CB6014">
        <w:rPr>
          <w:lang w:val="en-US"/>
        </w:rPr>
        <w:t>research</w:t>
      </w:r>
      <w:r w:rsidRPr="00CB6014">
        <w:rPr>
          <w:lang w:val="en-US"/>
        </w:rPr>
        <w:t>, there are some methodological limitations to this study, which should be pointed out to provide directions for future research.</w:t>
      </w:r>
      <w:r w:rsidR="00E37AE8" w:rsidRPr="00BA6D11">
        <w:rPr>
          <w:lang w:val="en-US"/>
        </w:rPr>
        <w:t xml:space="preserve"> </w:t>
      </w:r>
      <w:r w:rsidR="00E37AE8" w:rsidRPr="00CB6014">
        <w:rPr>
          <w:lang w:val="en-US"/>
        </w:rPr>
        <w:t>First</w:t>
      </w:r>
      <w:r w:rsidR="00C97129" w:rsidRPr="00CB6014">
        <w:rPr>
          <w:lang w:val="en-US"/>
        </w:rPr>
        <w:t>ly</w:t>
      </w:r>
      <w:r w:rsidR="00E37AE8" w:rsidRPr="00CB6014">
        <w:rPr>
          <w:lang w:val="en-US"/>
        </w:rPr>
        <w:t xml:space="preserve">, this study only </w:t>
      </w:r>
      <w:r w:rsidR="00E37AE8" w:rsidRPr="00CB6014">
        <w:rPr>
          <w:lang w:val="en-US"/>
        </w:rPr>
        <w:lastRenderedPageBreak/>
        <w:t>investigated the complementarity effect of service innovation (i.e.</w:t>
      </w:r>
      <w:r w:rsidR="00B7192A" w:rsidRPr="00CB6014">
        <w:rPr>
          <w:lang w:val="en-US"/>
        </w:rPr>
        <w:t xml:space="preserve">, </w:t>
      </w:r>
      <w:r w:rsidR="00E37AE8" w:rsidRPr="00CB6014">
        <w:rPr>
          <w:lang w:val="en-US"/>
        </w:rPr>
        <w:t xml:space="preserve">digital servitization) on technological innovation (process and product innovations), without </w:t>
      </w:r>
      <w:r w:rsidR="00C97129" w:rsidRPr="00CB6014">
        <w:rPr>
          <w:lang w:val="en-US"/>
        </w:rPr>
        <w:t xml:space="preserve">however </w:t>
      </w:r>
      <w:r w:rsidR="00E37AE8" w:rsidRPr="00CB6014">
        <w:rPr>
          <w:lang w:val="en-US"/>
        </w:rPr>
        <w:t xml:space="preserve">establishing a successional pathway of implementation priorities. Accordingly, future </w:t>
      </w:r>
      <w:r w:rsidR="000C61AE" w:rsidRPr="00CB6014">
        <w:rPr>
          <w:lang w:val="en-US"/>
        </w:rPr>
        <w:t xml:space="preserve">longitudinal </w:t>
      </w:r>
      <w:r w:rsidR="00E37AE8" w:rsidRPr="00CB6014">
        <w:rPr>
          <w:lang w:val="en-US"/>
        </w:rPr>
        <w:t xml:space="preserve">studies should attempt to determine the necessary pathway </w:t>
      </w:r>
      <w:r w:rsidR="00C97129" w:rsidRPr="00CB6014">
        <w:rPr>
          <w:lang w:val="en-US"/>
        </w:rPr>
        <w:t xml:space="preserve">to adoption of </w:t>
      </w:r>
      <w:r w:rsidR="00E37AE8" w:rsidRPr="00CB6014">
        <w:rPr>
          <w:lang w:val="en-US"/>
        </w:rPr>
        <w:t>technological innovations. Second</w:t>
      </w:r>
      <w:r w:rsidR="00C97129" w:rsidRPr="00CB6014">
        <w:rPr>
          <w:lang w:val="en-US"/>
        </w:rPr>
        <w:t>ly</w:t>
      </w:r>
      <w:r w:rsidR="00E37AE8" w:rsidRPr="00CB6014">
        <w:rPr>
          <w:lang w:val="en-US"/>
        </w:rPr>
        <w:t xml:space="preserve">, the article follows a non-parametric method (fsQCA) to study the optimal outcome of innovations deployment. Future research should conduct a parametric analysis </w:t>
      </w:r>
      <w:proofErr w:type="gramStart"/>
      <w:r w:rsidR="00E37AE8" w:rsidRPr="00CB6014">
        <w:rPr>
          <w:lang w:val="en-US"/>
        </w:rPr>
        <w:t>in order to</w:t>
      </w:r>
      <w:proofErr w:type="gramEnd"/>
      <w:r w:rsidR="00E37AE8" w:rsidRPr="00CB6014">
        <w:rPr>
          <w:lang w:val="en-US"/>
        </w:rPr>
        <w:t xml:space="preserve"> quantify the economic benefits included in each of the configurations. Lastly, </w:t>
      </w:r>
      <w:r w:rsidR="00C97129" w:rsidRPr="00CB6014">
        <w:rPr>
          <w:lang w:val="en-US"/>
        </w:rPr>
        <w:t xml:space="preserve">the </w:t>
      </w:r>
      <w:r w:rsidR="00E37AE8" w:rsidRPr="00CB6014">
        <w:rPr>
          <w:lang w:val="en-US"/>
        </w:rPr>
        <w:t xml:space="preserve">conclusions </w:t>
      </w:r>
      <w:r w:rsidR="00C97129" w:rsidRPr="00CB6014">
        <w:rPr>
          <w:lang w:val="en-US"/>
        </w:rPr>
        <w:t xml:space="preserve">that </w:t>
      </w:r>
      <w:r w:rsidR="00E37AE8" w:rsidRPr="00CB6014">
        <w:rPr>
          <w:lang w:val="en-US"/>
        </w:rPr>
        <w:t xml:space="preserve">emerged from this study are based on the analysis of medium-sized </w:t>
      </w:r>
      <w:r w:rsidR="00C97129" w:rsidRPr="00CB6014">
        <w:rPr>
          <w:lang w:val="en-US"/>
        </w:rPr>
        <w:t xml:space="preserve">Spanish </w:t>
      </w:r>
      <w:r w:rsidR="00E37AE8" w:rsidRPr="00CB6014">
        <w:rPr>
          <w:lang w:val="en-US"/>
        </w:rPr>
        <w:t xml:space="preserve">manufacturers. Although this setting </w:t>
      </w:r>
      <w:proofErr w:type="gramStart"/>
      <w:r w:rsidR="00E37AE8" w:rsidRPr="00CB6014">
        <w:rPr>
          <w:lang w:val="en-US"/>
        </w:rPr>
        <w:t>is considered to be</w:t>
      </w:r>
      <w:proofErr w:type="gramEnd"/>
      <w:r w:rsidR="00E37AE8" w:rsidRPr="00CB6014">
        <w:rPr>
          <w:lang w:val="en-US"/>
        </w:rPr>
        <w:t xml:space="preserve"> relevant for the purpose of the present study, it </w:t>
      </w:r>
      <w:r w:rsidR="00C97129" w:rsidRPr="00CB6014">
        <w:rPr>
          <w:lang w:val="en-US"/>
        </w:rPr>
        <w:t xml:space="preserve">must </w:t>
      </w:r>
      <w:r w:rsidR="008C5AA8" w:rsidRPr="00CB6014">
        <w:rPr>
          <w:lang w:val="en-US"/>
        </w:rPr>
        <w:t>be replicated</w:t>
      </w:r>
      <w:r w:rsidR="00E37AE8" w:rsidRPr="00CB6014">
        <w:rPr>
          <w:lang w:val="en-US"/>
        </w:rPr>
        <w:t xml:space="preserve"> in more settings in order to confirm the results.</w:t>
      </w:r>
    </w:p>
    <w:p w14:paraId="61C40300" w14:textId="77777777" w:rsidR="008C5AA8" w:rsidRPr="00CB6014" w:rsidRDefault="008C5AA8" w:rsidP="005A1C53">
      <w:pPr>
        <w:spacing w:line="360" w:lineRule="auto"/>
        <w:rPr>
          <w:lang w:val="en-US"/>
        </w:rPr>
      </w:pPr>
    </w:p>
    <w:p w14:paraId="600F5FF4" w14:textId="77777777" w:rsidR="00782E9D" w:rsidRDefault="00782E9D" w:rsidP="008C5AA8">
      <w:pPr>
        <w:spacing w:line="360" w:lineRule="auto"/>
        <w:rPr>
          <w:b/>
          <w:lang w:val="en-US"/>
        </w:rPr>
      </w:pPr>
    </w:p>
    <w:p w14:paraId="78BB5113" w14:textId="77777777" w:rsidR="00782E9D" w:rsidRDefault="00782E9D" w:rsidP="008C5AA8">
      <w:pPr>
        <w:spacing w:line="360" w:lineRule="auto"/>
        <w:rPr>
          <w:b/>
          <w:lang w:val="en-US"/>
        </w:rPr>
      </w:pPr>
    </w:p>
    <w:p w14:paraId="1F374799" w14:textId="48E0F246" w:rsidR="008C5AA8" w:rsidRPr="00CB6014" w:rsidRDefault="008C5AA8" w:rsidP="008C5AA8">
      <w:pPr>
        <w:spacing w:line="360" w:lineRule="auto"/>
        <w:rPr>
          <w:b/>
          <w:lang w:val="en-US"/>
        </w:rPr>
      </w:pPr>
      <w:r w:rsidRPr="00CB6014">
        <w:rPr>
          <w:b/>
          <w:lang w:val="en-US"/>
        </w:rPr>
        <w:t>References</w:t>
      </w:r>
    </w:p>
    <w:p w14:paraId="5BC722C3" w14:textId="2589BB57"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Aliasghar</w:t>
      </w:r>
      <w:proofErr w:type="spellEnd"/>
      <w:r w:rsidRPr="00BA6D11">
        <w:rPr>
          <w:rFonts w:eastAsia="Calibri"/>
          <w:lang w:val="en-US"/>
        </w:rPr>
        <w:t>, O., Rose, E. L.</w:t>
      </w:r>
      <w:r w:rsidR="00C91C0D" w:rsidRPr="00BA6D11">
        <w:rPr>
          <w:rFonts w:eastAsia="Calibri"/>
          <w:lang w:val="en-US"/>
        </w:rPr>
        <w:t xml:space="preserve"> and</w:t>
      </w:r>
      <w:r w:rsidRPr="00BA6D11">
        <w:rPr>
          <w:rFonts w:eastAsia="Calibri"/>
          <w:lang w:val="en-US"/>
        </w:rPr>
        <w:t xml:space="preserve"> Chetty, S. (2019)</w:t>
      </w:r>
      <w:r w:rsidR="00C91C0D" w:rsidRPr="00BA6D11">
        <w:rPr>
          <w:rFonts w:eastAsia="Calibri"/>
          <w:lang w:val="en-US"/>
        </w:rPr>
        <w:t>, “</w:t>
      </w:r>
      <w:r w:rsidRPr="00BA6D11">
        <w:rPr>
          <w:rFonts w:eastAsia="Calibri"/>
          <w:lang w:val="en-US"/>
        </w:rPr>
        <w:t>Where to search for process innovations? The mediating role of absorptive capacity and its impact on process innovation</w:t>
      </w:r>
      <w:r w:rsidR="00C91C0D" w:rsidRPr="00BA6D11">
        <w:rPr>
          <w:rFonts w:eastAsia="Calibri"/>
          <w:lang w:val="en-US"/>
        </w:rPr>
        <w:t>”,</w:t>
      </w:r>
      <w:r w:rsidRPr="00BA6D11">
        <w:rPr>
          <w:rFonts w:eastAsia="Calibri"/>
          <w:lang w:val="en-US"/>
        </w:rPr>
        <w:t xml:space="preserve"> </w:t>
      </w:r>
      <w:r w:rsidRPr="00BA6D11">
        <w:rPr>
          <w:rFonts w:eastAsia="Calibri"/>
          <w:i/>
          <w:iCs/>
          <w:lang w:val="en-US"/>
        </w:rPr>
        <w:t>Industrial Marketing Management</w:t>
      </w:r>
      <w:r w:rsidRPr="00BA6D11">
        <w:rPr>
          <w:rFonts w:eastAsia="Calibri"/>
          <w:lang w:val="en-US"/>
        </w:rPr>
        <w:t xml:space="preserve">, </w:t>
      </w:r>
      <w:r w:rsidR="00C91C0D" w:rsidRPr="00BA6D11">
        <w:rPr>
          <w:rFonts w:eastAsia="Calibri"/>
          <w:lang w:val="en-US"/>
        </w:rPr>
        <w:t xml:space="preserve">Vol. </w:t>
      </w:r>
      <w:r w:rsidRPr="00BA6D11">
        <w:rPr>
          <w:rFonts w:eastAsia="Calibri"/>
          <w:lang w:val="en-US"/>
        </w:rPr>
        <w:t xml:space="preserve">82, </w:t>
      </w:r>
      <w:r w:rsidR="00C91C0D" w:rsidRPr="00BA6D11">
        <w:rPr>
          <w:rFonts w:eastAsia="Calibri"/>
          <w:lang w:val="en-US"/>
        </w:rPr>
        <w:t xml:space="preserve">pp. </w:t>
      </w:r>
      <w:r w:rsidRPr="00BA6D11">
        <w:rPr>
          <w:rFonts w:eastAsia="Calibri"/>
          <w:lang w:val="en-US"/>
        </w:rPr>
        <w:t>199-212.</w:t>
      </w:r>
    </w:p>
    <w:p w14:paraId="018D7AFF" w14:textId="65CDA276"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Baines, T. and W. Lightfoot, H. (2014), "</w:t>
      </w:r>
      <w:proofErr w:type="spellStart"/>
      <w:r w:rsidRPr="00BA6D11">
        <w:rPr>
          <w:rFonts w:eastAsia="Calibri"/>
          <w:lang w:val="en-US"/>
        </w:rPr>
        <w:t>Servitization</w:t>
      </w:r>
      <w:proofErr w:type="spellEnd"/>
      <w:r w:rsidRPr="00BA6D11">
        <w:rPr>
          <w:rFonts w:eastAsia="Calibri"/>
          <w:lang w:val="en-US"/>
        </w:rPr>
        <w:t xml:space="preserve"> of the manufacturing firm: </w:t>
      </w:r>
      <w:r w:rsidR="0027180F" w:rsidRPr="00BA6D11">
        <w:rPr>
          <w:rFonts w:eastAsia="Calibri"/>
          <w:lang w:val="en-US"/>
        </w:rPr>
        <w:t>e</w:t>
      </w:r>
      <w:r w:rsidRPr="00BA6D11">
        <w:rPr>
          <w:rFonts w:eastAsia="Calibri"/>
          <w:lang w:val="en-US"/>
        </w:rPr>
        <w:t xml:space="preserve">xploring the operations practices and technologies that deliver advanced services", </w:t>
      </w:r>
      <w:r w:rsidRPr="00BA6D11">
        <w:rPr>
          <w:rFonts w:eastAsia="Calibri"/>
          <w:i/>
          <w:iCs/>
          <w:lang w:val="en-US"/>
        </w:rPr>
        <w:t>International Journal of Operations &amp; Production Management</w:t>
      </w:r>
      <w:r w:rsidRPr="00BA6D11">
        <w:rPr>
          <w:rFonts w:eastAsia="Calibri"/>
          <w:lang w:val="en-US"/>
        </w:rPr>
        <w:t>, Vol. 34 No. 1, pp. 2-35.</w:t>
      </w:r>
    </w:p>
    <w:p w14:paraId="2BB4282F" w14:textId="77777777"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Baines, T., </w:t>
      </w:r>
      <w:proofErr w:type="spellStart"/>
      <w:r w:rsidRPr="00BA6D11">
        <w:rPr>
          <w:rFonts w:eastAsia="Calibri"/>
          <w:lang w:val="en-US"/>
        </w:rPr>
        <w:t>Ziaee</w:t>
      </w:r>
      <w:proofErr w:type="spellEnd"/>
      <w:r w:rsidRPr="00BA6D11">
        <w:rPr>
          <w:rFonts w:eastAsia="Calibri"/>
          <w:lang w:val="en-US"/>
        </w:rPr>
        <w:t xml:space="preserve"> </w:t>
      </w:r>
      <w:proofErr w:type="spellStart"/>
      <w:r w:rsidRPr="00BA6D11">
        <w:rPr>
          <w:rFonts w:eastAsia="Calibri"/>
          <w:lang w:val="en-US"/>
        </w:rPr>
        <w:t>Bigdeli</w:t>
      </w:r>
      <w:proofErr w:type="spellEnd"/>
      <w:r w:rsidRPr="00BA6D11">
        <w:rPr>
          <w:rFonts w:eastAsia="Calibri"/>
          <w:lang w:val="en-US"/>
        </w:rPr>
        <w:t xml:space="preserve">, A., </w:t>
      </w:r>
      <w:proofErr w:type="spellStart"/>
      <w:r w:rsidRPr="00BA6D11">
        <w:rPr>
          <w:rFonts w:eastAsia="Calibri"/>
          <w:lang w:val="en-US"/>
        </w:rPr>
        <w:t>Bustinza</w:t>
      </w:r>
      <w:proofErr w:type="spellEnd"/>
      <w:r w:rsidRPr="00BA6D11">
        <w:rPr>
          <w:rFonts w:eastAsia="Calibri"/>
          <w:lang w:val="en-US"/>
        </w:rPr>
        <w:t>, O.F., Shi, V.G., Baldwin, J. and Ridgway, K. (2017), "</w:t>
      </w:r>
      <w:proofErr w:type="spellStart"/>
      <w:r w:rsidRPr="00BA6D11">
        <w:rPr>
          <w:rFonts w:eastAsia="Calibri"/>
          <w:lang w:val="en-US"/>
        </w:rPr>
        <w:t>Servitization</w:t>
      </w:r>
      <w:proofErr w:type="spellEnd"/>
      <w:r w:rsidRPr="00BA6D11">
        <w:rPr>
          <w:rFonts w:eastAsia="Calibri"/>
          <w:lang w:val="en-US"/>
        </w:rPr>
        <w:t xml:space="preserve">: revisiting the state-of-the-art and research priorities", </w:t>
      </w:r>
      <w:r w:rsidRPr="00BA6D11">
        <w:rPr>
          <w:rFonts w:eastAsia="Calibri"/>
          <w:i/>
          <w:iCs/>
          <w:lang w:val="en-US"/>
        </w:rPr>
        <w:t>International Journal of Operations &amp; Production Management</w:t>
      </w:r>
      <w:r w:rsidRPr="00BA6D11">
        <w:rPr>
          <w:rFonts w:eastAsia="Calibri"/>
          <w:lang w:val="en-US"/>
        </w:rPr>
        <w:t>, Vol. 37 No. 2, pp. 256-278.</w:t>
      </w:r>
    </w:p>
    <w:p w14:paraId="736311AC" w14:textId="4976A278" w:rsidR="004931E9" w:rsidRPr="004931E9" w:rsidRDefault="004931E9" w:rsidP="004931E9">
      <w:pPr>
        <w:widowControl w:val="0"/>
        <w:autoSpaceDE w:val="0"/>
        <w:autoSpaceDN w:val="0"/>
        <w:adjustRightInd w:val="0"/>
        <w:ind w:left="284" w:hanging="284"/>
        <w:rPr>
          <w:rFonts w:eastAsia="Calibri"/>
          <w:lang w:val="en-US" w:eastAsia="en-US"/>
        </w:rPr>
      </w:pPr>
      <w:r w:rsidRPr="004931E9">
        <w:rPr>
          <w:rFonts w:eastAsia="Calibri"/>
          <w:lang w:val="en-US" w:eastAsia="en-US"/>
        </w:rPr>
        <w:t>Benedettini, O.</w:t>
      </w:r>
      <w:r>
        <w:rPr>
          <w:rFonts w:eastAsia="Calibri"/>
          <w:lang w:val="en-US" w:eastAsia="en-US"/>
        </w:rPr>
        <w:t xml:space="preserve"> and</w:t>
      </w:r>
      <w:r w:rsidRPr="004931E9">
        <w:rPr>
          <w:rFonts w:eastAsia="Calibri"/>
          <w:lang w:val="en-US" w:eastAsia="en-US"/>
        </w:rPr>
        <w:t xml:space="preserve"> Neely, A. (2019)</w:t>
      </w:r>
      <w:r>
        <w:rPr>
          <w:rFonts w:eastAsia="Calibri"/>
          <w:lang w:val="en-US" w:eastAsia="en-US"/>
        </w:rPr>
        <w:t>, “</w:t>
      </w:r>
      <w:r w:rsidRPr="004931E9">
        <w:rPr>
          <w:rFonts w:eastAsia="Calibri"/>
          <w:lang w:val="en-US" w:eastAsia="en-US"/>
        </w:rPr>
        <w:t>Service providers and firm performance: investigating the non-linear effect of dependence</w:t>
      </w:r>
      <w:r>
        <w:rPr>
          <w:rFonts w:eastAsia="Calibri"/>
          <w:lang w:val="en-US" w:eastAsia="en-US"/>
        </w:rPr>
        <w:t>”,</w:t>
      </w:r>
      <w:r w:rsidRPr="004931E9">
        <w:rPr>
          <w:rFonts w:eastAsia="Calibri"/>
          <w:lang w:val="en-US" w:eastAsia="en-US"/>
        </w:rPr>
        <w:t xml:space="preserve"> </w:t>
      </w:r>
      <w:r w:rsidRPr="004931E9">
        <w:rPr>
          <w:rFonts w:eastAsia="Calibri"/>
          <w:i/>
          <w:iCs/>
          <w:lang w:val="en-US" w:eastAsia="en-US"/>
        </w:rPr>
        <w:t>Journal of Service Management</w:t>
      </w:r>
      <w:r>
        <w:rPr>
          <w:rFonts w:eastAsia="Calibri"/>
          <w:lang w:val="en-US" w:eastAsia="en-US"/>
        </w:rPr>
        <w:t>, ahead-of-print.</w:t>
      </w:r>
    </w:p>
    <w:p w14:paraId="7A097C98" w14:textId="06E66DCA" w:rsidR="004931E9" w:rsidRPr="004931E9" w:rsidRDefault="004931E9" w:rsidP="004931E9">
      <w:pPr>
        <w:widowControl w:val="0"/>
        <w:autoSpaceDE w:val="0"/>
        <w:autoSpaceDN w:val="0"/>
        <w:adjustRightInd w:val="0"/>
        <w:ind w:left="284" w:hanging="284"/>
        <w:rPr>
          <w:rFonts w:eastAsia="Calibri"/>
          <w:lang w:val="en-US" w:eastAsia="en-US"/>
        </w:rPr>
      </w:pPr>
      <w:proofErr w:type="spellStart"/>
      <w:r w:rsidRPr="004931E9">
        <w:rPr>
          <w:rFonts w:eastAsia="Calibri"/>
          <w:lang w:val="en-US" w:eastAsia="en-US"/>
        </w:rPr>
        <w:t>Beverungen</w:t>
      </w:r>
      <w:proofErr w:type="spellEnd"/>
      <w:r w:rsidRPr="004931E9">
        <w:rPr>
          <w:rFonts w:eastAsia="Calibri"/>
          <w:lang w:val="en-US" w:eastAsia="en-US"/>
        </w:rPr>
        <w:t xml:space="preserve">, D., </w:t>
      </w:r>
      <w:proofErr w:type="spellStart"/>
      <w:r w:rsidRPr="004931E9">
        <w:rPr>
          <w:rFonts w:eastAsia="Calibri"/>
          <w:lang w:val="en-US" w:eastAsia="en-US"/>
        </w:rPr>
        <w:t>Kundisch</w:t>
      </w:r>
      <w:proofErr w:type="spellEnd"/>
      <w:r w:rsidRPr="004931E9">
        <w:rPr>
          <w:rFonts w:eastAsia="Calibri"/>
          <w:lang w:val="en-US" w:eastAsia="en-US"/>
        </w:rPr>
        <w:t>, D.</w:t>
      </w:r>
      <w:r>
        <w:rPr>
          <w:rFonts w:eastAsia="Calibri"/>
          <w:lang w:val="en-US" w:eastAsia="en-US"/>
        </w:rPr>
        <w:t xml:space="preserve"> and</w:t>
      </w:r>
      <w:r w:rsidRPr="004931E9">
        <w:rPr>
          <w:rFonts w:eastAsia="Calibri"/>
          <w:lang w:val="en-US" w:eastAsia="en-US"/>
        </w:rPr>
        <w:t xml:space="preserve"> </w:t>
      </w:r>
      <w:proofErr w:type="spellStart"/>
      <w:r w:rsidRPr="004931E9">
        <w:rPr>
          <w:rFonts w:eastAsia="Calibri"/>
          <w:lang w:val="en-US" w:eastAsia="en-US"/>
        </w:rPr>
        <w:t>Wünderlich</w:t>
      </w:r>
      <w:proofErr w:type="spellEnd"/>
      <w:r w:rsidRPr="004931E9">
        <w:rPr>
          <w:rFonts w:eastAsia="Calibri"/>
          <w:lang w:val="en-US" w:eastAsia="en-US"/>
        </w:rPr>
        <w:t>, N. (2020)</w:t>
      </w:r>
      <w:r>
        <w:rPr>
          <w:rFonts w:eastAsia="Calibri"/>
          <w:lang w:val="en-US" w:eastAsia="en-US"/>
        </w:rPr>
        <w:t>,</w:t>
      </w:r>
      <w:r w:rsidRPr="004931E9">
        <w:rPr>
          <w:rFonts w:eastAsia="Calibri"/>
          <w:lang w:val="en-US" w:eastAsia="en-US"/>
        </w:rPr>
        <w:t xml:space="preserve"> </w:t>
      </w:r>
      <w:r>
        <w:rPr>
          <w:rFonts w:eastAsia="Calibri"/>
          <w:lang w:val="en-US" w:eastAsia="en-US"/>
        </w:rPr>
        <w:t>“</w:t>
      </w:r>
      <w:r w:rsidRPr="004931E9">
        <w:rPr>
          <w:rFonts w:eastAsia="Calibri"/>
          <w:lang w:val="en-US" w:eastAsia="en-US"/>
        </w:rPr>
        <w:t xml:space="preserve">Transforming into a platform provider: strategic options for industrial smart service providers. </w:t>
      </w:r>
      <w:r w:rsidRPr="004931E9">
        <w:rPr>
          <w:rFonts w:eastAsia="Calibri"/>
          <w:i/>
          <w:iCs/>
          <w:lang w:val="en-US" w:eastAsia="en-US"/>
        </w:rPr>
        <w:t>Journal of Service Management</w:t>
      </w:r>
      <w:r>
        <w:rPr>
          <w:rFonts w:eastAsia="Calibri"/>
          <w:lang w:val="en-US" w:eastAsia="en-US"/>
        </w:rPr>
        <w:t>, ahead-of-print.</w:t>
      </w:r>
    </w:p>
    <w:p w14:paraId="00FE6A12" w14:textId="08907017" w:rsidR="00471388" w:rsidRPr="004931E9" w:rsidRDefault="00471388" w:rsidP="00471388">
      <w:pPr>
        <w:widowControl w:val="0"/>
        <w:autoSpaceDE w:val="0"/>
        <w:autoSpaceDN w:val="0"/>
        <w:adjustRightInd w:val="0"/>
        <w:ind w:left="284" w:hanging="284"/>
        <w:rPr>
          <w:rFonts w:eastAsia="Calibri"/>
          <w:lang w:val="en-US"/>
        </w:rPr>
      </w:pPr>
      <w:r w:rsidRPr="00471388">
        <w:rPr>
          <w:rFonts w:eastAsia="Calibri"/>
          <w:lang w:val="en-US"/>
        </w:rPr>
        <w:t>Bigdeli, A., Bustinza, O. F., Vendrell-Herrero, F. And Baines, T. (2018)</w:t>
      </w:r>
      <w:r>
        <w:rPr>
          <w:rFonts w:eastAsia="Calibri"/>
          <w:lang w:val="en-US"/>
        </w:rPr>
        <w:t>, “</w:t>
      </w:r>
      <w:r w:rsidRPr="004931E9">
        <w:rPr>
          <w:rFonts w:eastAsia="Calibri"/>
          <w:lang w:val="en-US"/>
        </w:rPr>
        <w:t xml:space="preserve">Network positioning and risk perception in servitization: evidence from the UK road transport industry”, </w:t>
      </w:r>
      <w:r w:rsidRPr="004931E9">
        <w:rPr>
          <w:rFonts w:eastAsia="Calibri"/>
          <w:i/>
          <w:iCs/>
          <w:lang w:val="en-US"/>
        </w:rPr>
        <w:t>International Journal of Production Research</w:t>
      </w:r>
      <w:r w:rsidRPr="004931E9">
        <w:rPr>
          <w:rFonts w:eastAsia="Calibri"/>
          <w:lang w:val="en-US"/>
        </w:rPr>
        <w:t>, Vol. 56 No. 6, pp. 2169-2183.</w:t>
      </w:r>
    </w:p>
    <w:p w14:paraId="3976589C" w14:textId="2E2E9FB6"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Brem</w:t>
      </w:r>
      <w:proofErr w:type="spellEnd"/>
      <w:r w:rsidRPr="00BA6D11">
        <w:rPr>
          <w:rFonts w:eastAsia="Calibri"/>
          <w:lang w:val="en-US"/>
        </w:rPr>
        <w:t>, A., Maier, M.</w:t>
      </w:r>
      <w:r w:rsidR="00C91C0D" w:rsidRPr="00BA6D11">
        <w:rPr>
          <w:rFonts w:eastAsia="Calibri"/>
          <w:lang w:val="en-US"/>
        </w:rPr>
        <w:t xml:space="preserve"> and </w:t>
      </w:r>
      <w:proofErr w:type="spellStart"/>
      <w:r w:rsidRPr="00BA6D11">
        <w:rPr>
          <w:rFonts w:eastAsia="Calibri"/>
          <w:lang w:val="en-US"/>
        </w:rPr>
        <w:t>Wimschneider</w:t>
      </w:r>
      <w:proofErr w:type="spellEnd"/>
      <w:r w:rsidRPr="00BA6D11">
        <w:rPr>
          <w:rFonts w:eastAsia="Calibri"/>
          <w:lang w:val="en-US"/>
        </w:rPr>
        <w:t>, C. (2016)</w:t>
      </w:r>
      <w:r w:rsidR="00C91C0D" w:rsidRPr="00BA6D11">
        <w:rPr>
          <w:rFonts w:eastAsia="Calibri"/>
          <w:lang w:val="en-US"/>
        </w:rPr>
        <w:t>, “</w:t>
      </w:r>
      <w:r w:rsidRPr="00BA6D11">
        <w:rPr>
          <w:rFonts w:eastAsia="Calibri"/>
          <w:lang w:val="en-US"/>
        </w:rPr>
        <w:t>Competitive advantage through innovation: the case of Nespresso</w:t>
      </w:r>
      <w:r w:rsidR="00C91C0D" w:rsidRPr="00BA6D11">
        <w:rPr>
          <w:rFonts w:eastAsia="Calibri"/>
          <w:lang w:val="en-US"/>
        </w:rPr>
        <w:t xml:space="preserve">”, </w:t>
      </w:r>
      <w:r w:rsidRPr="00BA6D11">
        <w:rPr>
          <w:rFonts w:eastAsia="Calibri"/>
          <w:i/>
          <w:iCs/>
          <w:lang w:val="en-US"/>
        </w:rPr>
        <w:t>European Journal of Innovation Management</w:t>
      </w:r>
      <w:r w:rsidR="00C91C0D" w:rsidRPr="00BA6D11">
        <w:rPr>
          <w:rFonts w:eastAsia="Calibri"/>
          <w:lang w:val="en-US"/>
        </w:rPr>
        <w:t>, Vol. 19 No. 1, pp. 133-148</w:t>
      </w:r>
      <w:r w:rsidRPr="00BA6D11">
        <w:rPr>
          <w:rFonts w:eastAsia="Calibri"/>
          <w:lang w:val="en-US"/>
        </w:rPr>
        <w:t xml:space="preserve">. </w:t>
      </w:r>
    </w:p>
    <w:p w14:paraId="0C322D3B" w14:textId="249300CC" w:rsidR="008C5AA8" w:rsidRPr="00471388" w:rsidRDefault="008C5AA8" w:rsidP="008C5AA8">
      <w:pPr>
        <w:widowControl w:val="0"/>
        <w:autoSpaceDE w:val="0"/>
        <w:autoSpaceDN w:val="0"/>
        <w:adjustRightInd w:val="0"/>
        <w:ind w:left="284" w:hanging="284"/>
        <w:rPr>
          <w:rFonts w:eastAsia="Calibri"/>
          <w:lang w:val="en-US"/>
        </w:rPr>
      </w:pPr>
      <w:proofErr w:type="spellStart"/>
      <w:r w:rsidRPr="00471388">
        <w:rPr>
          <w:rFonts w:eastAsia="Calibri"/>
          <w:lang w:val="en-US"/>
        </w:rPr>
        <w:t>Bustinza</w:t>
      </w:r>
      <w:proofErr w:type="spellEnd"/>
      <w:r w:rsidRPr="00471388">
        <w:rPr>
          <w:rFonts w:eastAsia="Calibri"/>
          <w:lang w:val="en-US"/>
        </w:rPr>
        <w:t>, O. F., Gomes, E., Vendrell‐Herrero, F.</w:t>
      </w:r>
      <w:r w:rsidR="00471388" w:rsidRPr="00471388">
        <w:rPr>
          <w:rFonts w:eastAsia="Calibri"/>
          <w:lang w:val="en-US"/>
        </w:rPr>
        <w:t xml:space="preserve"> and </w:t>
      </w:r>
      <w:proofErr w:type="spellStart"/>
      <w:r w:rsidRPr="00471388">
        <w:rPr>
          <w:rFonts w:eastAsia="Calibri"/>
          <w:lang w:val="en-US"/>
        </w:rPr>
        <w:t>Tarba</w:t>
      </w:r>
      <w:proofErr w:type="spellEnd"/>
      <w:r w:rsidRPr="00471388">
        <w:rPr>
          <w:rFonts w:eastAsia="Calibri"/>
          <w:lang w:val="en-US"/>
        </w:rPr>
        <w:t>, S. Y. (2018)</w:t>
      </w:r>
      <w:r w:rsidR="00471388" w:rsidRPr="00471388">
        <w:rPr>
          <w:rFonts w:eastAsia="Calibri"/>
          <w:lang w:val="en-US"/>
        </w:rPr>
        <w:t xml:space="preserve">, </w:t>
      </w:r>
      <w:r w:rsidR="00471388">
        <w:rPr>
          <w:rFonts w:eastAsia="Calibri"/>
          <w:lang w:val="en-US"/>
        </w:rPr>
        <w:t>“</w:t>
      </w:r>
      <w:r w:rsidRPr="00BA6D11">
        <w:rPr>
          <w:rFonts w:eastAsia="Calibri"/>
          <w:lang w:val="en-US"/>
        </w:rPr>
        <w:t xml:space="preserve">An organizational change framework for digital </w:t>
      </w:r>
      <w:proofErr w:type="spellStart"/>
      <w:r w:rsidRPr="00BA6D11">
        <w:rPr>
          <w:rFonts w:eastAsia="Calibri"/>
          <w:lang w:val="en-US"/>
        </w:rPr>
        <w:t>servitization</w:t>
      </w:r>
      <w:proofErr w:type="spellEnd"/>
      <w:r w:rsidRPr="00BA6D11">
        <w:rPr>
          <w:rFonts w:eastAsia="Calibri"/>
          <w:lang w:val="en-US"/>
        </w:rPr>
        <w:t xml:space="preserve">: </w:t>
      </w:r>
      <w:r w:rsidR="00471388" w:rsidRPr="00BA6D11">
        <w:rPr>
          <w:rFonts w:eastAsia="Calibri"/>
          <w:lang w:val="en-US"/>
        </w:rPr>
        <w:t>e</w:t>
      </w:r>
      <w:r w:rsidRPr="00BA6D11">
        <w:rPr>
          <w:rFonts w:eastAsia="Calibri"/>
          <w:lang w:val="en-US"/>
        </w:rPr>
        <w:t>vidence from the Veneto region</w:t>
      </w:r>
      <w:r w:rsidR="00471388" w:rsidRPr="00BA6D11">
        <w:rPr>
          <w:rFonts w:eastAsia="Calibri"/>
          <w:lang w:val="en-US"/>
        </w:rPr>
        <w:t>”,</w:t>
      </w:r>
      <w:r w:rsidRPr="00BA6D11">
        <w:rPr>
          <w:rFonts w:eastAsia="Calibri"/>
          <w:lang w:val="en-US"/>
        </w:rPr>
        <w:t xml:space="preserve"> </w:t>
      </w:r>
      <w:r w:rsidRPr="00471388">
        <w:rPr>
          <w:rFonts w:eastAsia="Calibri"/>
          <w:i/>
          <w:iCs/>
          <w:lang w:val="en-US"/>
        </w:rPr>
        <w:t>Strategic Change</w:t>
      </w:r>
      <w:r w:rsidRPr="00471388">
        <w:rPr>
          <w:rFonts w:eastAsia="Calibri"/>
          <w:lang w:val="en-US"/>
        </w:rPr>
        <w:t xml:space="preserve">, </w:t>
      </w:r>
      <w:r w:rsidR="00471388">
        <w:rPr>
          <w:rFonts w:eastAsia="Calibri"/>
          <w:lang w:val="en-US"/>
        </w:rPr>
        <w:t xml:space="preserve">Vol. </w:t>
      </w:r>
      <w:r w:rsidRPr="00471388">
        <w:rPr>
          <w:rFonts w:eastAsia="Calibri"/>
          <w:lang w:val="en-US"/>
        </w:rPr>
        <w:t>27</w:t>
      </w:r>
      <w:r w:rsidR="00471388">
        <w:rPr>
          <w:rFonts w:eastAsia="Calibri"/>
          <w:lang w:val="en-US"/>
        </w:rPr>
        <w:t xml:space="preserve"> No. </w:t>
      </w:r>
      <w:r w:rsidRPr="00471388">
        <w:rPr>
          <w:rFonts w:eastAsia="Calibri"/>
          <w:lang w:val="en-US"/>
        </w:rPr>
        <w:t xml:space="preserve">2, </w:t>
      </w:r>
      <w:r w:rsidR="00471388">
        <w:rPr>
          <w:rFonts w:eastAsia="Calibri"/>
          <w:lang w:val="en-US"/>
        </w:rPr>
        <w:t xml:space="preserve">pp. </w:t>
      </w:r>
      <w:r w:rsidRPr="00471388">
        <w:rPr>
          <w:rFonts w:eastAsia="Calibri"/>
          <w:lang w:val="en-US"/>
        </w:rPr>
        <w:t>111-119.</w:t>
      </w:r>
    </w:p>
    <w:p w14:paraId="7BFDF66A" w14:textId="1E885CDF" w:rsidR="008C5AA8" w:rsidRPr="00BA6D11" w:rsidRDefault="008C5AA8" w:rsidP="008C5AA8">
      <w:pPr>
        <w:widowControl w:val="0"/>
        <w:autoSpaceDE w:val="0"/>
        <w:autoSpaceDN w:val="0"/>
        <w:adjustRightInd w:val="0"/>
        <w:ind w:left="284" w:hanging="284"/>
        <w:rPr>
          <w:rFonts w:eastAsia="Calibri"/>
          <w:lang w:val="en-US"/>
        </w:rPr>
      </w:pPr>
      <w:r w:rsidRPr="00471388">
        <w:rPr>
          <w:rFonts w:eastAsia="Calibri"/>
          <w:lang w:val="en-US"/>
        </w:rPr>
        <w:t xml:space="preserve">Bustinza, O. F., </w:t>
      </w:r>
      <w:proofErr w:type="spellStart"/>
      <w:r w:rsidRPr="00471388">
        <w:rPr>
          <w:rFonts w:eastAsia="Calibri"/>
          <w:lang w:val="en-US"/>
        </w:rPr>
        <w:t>Lafuente</w:t>
      </w:r>
      <w:proofErr w:type="spellEnd"/>
      <w:r w:rsidRPr="00471388">
        <w:rPr>
          <w:rFonts w:eastAsia="Calibri"/>
          <w:lang w:val="en-US"/>
        </w:rPr>
        <w:t xml:space="preserve">, E., </w:t>
      </w:r>
      <w:proofErr w:type="spellStart"/>
      <w:r w:rsidRPr="00471388">
        <w:rPr>
          <w:rFonts w:eastAsia="Calibri"/>
          <w:lang w:val="en-US"/>
        </w:rPr>
        <w:t>Rabetino</w:t>
      </w:r>
      <w:proofErr w:type="spellEnd"/>
      <w:r w:rsidRPr="00471388">
        <w:rPr>
          <w:rFonts w:eastAsia="Calibri"/>
          <w:lang w:val="en-US"/>
        </w:rPr>
        <w:t>, R., Vaillant, Y.</w:t>
      </w:r>
      <w:r w:rsidR="00471388" w:rsidRPr="00471388">
        <w:rPr>
          <w:rFonts w:eastAsia="Calibri"/>
          <w:lang w:val="en-US"/>
        </w:rPr>
        <w:t xml:space="preserve"> </w:t>
      </w:r>
      <w:r w:rsidR="0027180F">
        <w:rPr>
          <w:rFonts w:eastAsia="Calibri"/>
          <w:lang w:val="en-US"/>
        </w:rPr>
        <w:t>a</w:t>
      </w:r>
      <w:r w:rsidR="00471388" w:rsidRPr="00471388">
        <w:rPr>
          <w:rFonts w:eastAsia="Calibri"/>
          <w:lang w:val="en-US"/>
        </w:rPr>
        <w:t xml:space="preserve">nd </w:t>
      </w:r>
      <w:r w:rsidRPr="00471388">
        <w:rPr>
          <w:rFonts w:eastAsia="Calibri"/>
          <w:lang w:val="en-US"/>
        </w:rPr>
        <w:t>Vendrell-Herrero, F. (2019)</w:t>
      </w:r>
      <w:r w:rsidR="00471388" w:rsidRPr="00471388">
        <w:rPr>
          <w:rFonts w:eastAsia="Calibri"/>
          <w:lang w:val="en-US"/>
        </w:rPr>
        <w:t>,</w:t>
      </w:r>
      <w:r w:rsidRPr="00471388">
        <w:rPr>
          <w:rFonts w:eastAsia="Calibri"/>
          <w:lang w:val="en-US"/>
        </w:rPr>
        <w:t xml:space="preserve"> </w:t>
      </w:r>
      <w:r w:rsidR="00471388">
        <w:rPr>
          <w:rFonts w:eastAsia="Calibri"/>
          <w:lang w:val="en-US"/>
        </w:rPr>
        <w:t>“</w:t>
      </w:r>
      <w:r w:rsidRPr="00BA6D11">
        <w:rPr>
          <w:rFonts w:eastAsia="Calibri"/>
          <w:lang w:val="en-US"/>
        </w:rPr>
        <w:t>Make-or-buy configurational approaches in product-service ecosystems and performance</w:t>
      </w:r>
      <w:r w:rsidR="00471388" w:rsidRPr="00BA6D11">
        <w:rPr>
          <w:rFonts w:eastAsia="Calibri"/>
          <w:lang w:val="en-US"/>
        </w:rPr>
        <w:t>”,</w:t>
      </w:r>
      <w:r w:rsidRPr="00BA6D11">
        <w:rPr>
          <w:rFonts w:eastAsia="Calibri"/>
          <w:lang w:val="en-US"/>
        </w:rPr>
        <w:t xml:space="preserve"> </w:t>
      </w:r>
      <w:r w:rsidRPr="00BA6D11">
        <w:rPr>
          <w:rFonts w:eastAsia="Calibri"/>
          <w:i/>
          <w:iCs/>
          <w:lang w:val="en-US"/>
        </w:rPr>
        <w:t>Journal of Business Research</w:t>
      </w:r>
      <w:r w:rsidRPr="00BA6D11">
        <w:rPr>
          <w:rFonts w:eastAsia="Calibri"/>
          <w:lang w:val="en-US"/>
        </w:rPr>
        <w:t xml:space="preserve">, </w:t>
      </w:r>
      <w:r w:rsidR="00471388" w:rsidRPr="00BA6D11">
        <w:rPr>
          <w:rFonts w:eastAsia="Calibri"/>
          <w:lang w:val="en-US"/>
        </w:rPr>
        <w:t xml:space="preserve">Vol. </w:t>
      </w:r>
      <w:r w:rsidRPr="00BA6D11">
        <w:rPr>
          <w:rFonts w:eastAsia="Calibri"/>
          <w:lang w:val="en-US"/>
        </w:rPr>
        <w:t xml:space="preserve">104, </w:t>
      </w:r>
      <w:r w:rsidR="00471388" w:rsidRPr="00BA6D11">
        <w:rPr>
          <w:rFonts w:eastAsia="Calibri"/>
          <w:lang w:val="en-US"/>
        </w:rPr>
        <w:t xml:space="preserve">pp. </w:t>
      </w:r>
      <w:r w:rsidRPr="00BA6D11">
        <w:rPr>
          <w:rFonts w:eastAsia="Calibri"/>
          <w:lang w:val="en-US"/>
        </w:rPr>
        <w:t>393-401.</w:t>
      </w:r>
    </w:p>
    <w:p w14:paraId="1F36AEE3" w14:textId="2FE35B64" w:rsidR="008C5AA8" w:rsidRPr="00BA6D11" w:rsidRDefault="008C5AA8" w:rsidP="008C5AA8">
      <w:pPr>
        <w:widowControl w:val="0"/>
        <w:autoSpaceDE w:val="0"/>
        <w:autoSpaceDN w:val="0"/>
        <w:adjustRightInd w:val="0"/>
        <w:ind w:left="284" w:hanging="284"/>
        <w:rPr>
          <w:rFonts w:eastAsia="Calibri"/>
          <w:lang w:val="en-US"/>
        </w:rPr>
      </w:pPr>
      <w:proofErr w:type="spellStart"/>
      <w:r w:rsidRPr="00E877E0">
        <w:rPr>
          <w:rFonts w:eastAsia="Calibri"/>
          <w:lang w:val="en-US"/>
        </w:rPr>
        <w:t>Cenamor</w:t>
      </w:r>
      <w:proofErr w:type="spellEnd"/>
      <w:r w:rsidRPr="00E877E0">
        <w:rPr>
          <w:rFonts w:eastAsia="Calibri"/>
          <w:lang w:val="en-US"/>
        </w:rPr>
        <w:t>, J., Sjödin, D. R.</w:t>
      </w:r>
      <w:r w:rsidR="00E877E0">
        <w:rPr>
          <w:rFonts w:eastAsia="Calibri"/>
          <w:lang w:val="en-US"/>
        </w:rPr>
        <w:t xml:space="preserve"> and</w:t>
      </w:r>
      <w:r w:rsidRPr="00E877E0">
        <w:rPr>
          <w:rFonts w:eastAsia="Calibri"/>
          <w:lang w:val="en-US"/>
        </w:rPr>
        <w:t xml:space="preserve"> </w:t>
      </w:r>
      <w:proofErr w:type="spellStart"/>
      <w:r w:rsidRPr="00E877E0">
        <w:rPr>
          <w:rFonts w:eastAsia="Calibri"/>
          <w:lang w:val="en-US"/>
        </w:rPr>
        <w:t>Parida</w:t>
      </w:r>
      <w:proofErr w:type="spellEnd"/>
      <w:r w:rsidRPr="00E877E0">
        <w:rPr>
          <w:rFonts w:eastAsia="Calibri"/>
          <w:lang w:val="en-US"/>
        </w:rPr>
        <w:t>, V. (2017)</w:t>
      </w:r>
      <w:r w:rsidR="00E877E0">
        <w:rPr>
          <w:rFonts w:eastAsia="Calibri"/>
          <w:lang w:val="en-US"/>
        </w:rPr>
        <w:t>, “</w:t>
      </w:r>
      <w:r w:rsidRPr="00BA6D11">
        <w:rPr>
          <w:rFonts w:eastAsia="Calibri"/>
          <w:lang w:val="en-US"/>
        </w:rPr>
        <w:t xml:space="preserve">Adopting a platform approach in </w:t>
      </w:r>
      <w:proofErr w:type="spellStart"/>
      <w:r w:rsidRPr="00BA6D11">
        <w:rPr>
          <w:rFonts w:eastAsia="Calibri"/>
          <w:lang w:val="en-US"/>
        </w:rPr>
        <w:t>servitization</w:t>
      </w:r>
      <w:proofErr w:type="spellEnd"/>
      <w:r w:rsidRPr="00BA6D11">
        <w:rPr>
          <w:rFonts w:eastAsia="Calibri"/>
          <w:lang w:val="en-US"/>
        </w:rPr>
        <w:t xml:space="preserve">: </w:t>
      </w:r>
      <w:r w:rsidR="00E877E0" w:rsidRPr="00BA6D11">
        <w:rPr>
          <w:rFonts w:eastAsia="Calibri"/>
          <w:lang w:val="en-US"/>
        </w:rPr>
        <w:t>l</w:t>
      </w:r>
      <w:r w:rsidRPr="00BA6D11">
        <w:rPr>
          <w:rFonts w:eastAsia="Calibri"/>
          <w:lang w:val="en-US"/>
        </w:rPr>
        <w:t>everaging the value of digitalization</w:t>
      </w:r>
      <w:r w:rsidR="00E877E0" w:rsidRPr="00BA6D11">
        <w:rPr>
          <w:rFonts w:eastAsia="Calibri"/>
          <w:lang w:val="en-US"/>
        </w:rPr>
        <w:t>”,</w:t>
      </w:r>
      <w:r w:rsidRPr="00BA6D11">
        <w:rPr>
          <w:rFonts w:eastAsia="Calibri"/>
          <w:lang w:val="en-US"/>
        </w:rPr>
        <w:t xml:space="preserve"> </w:t>
      </w:r>
      <w:r w:rsidRPr="00BA6D11">
        <w:rPr>
          <w:rFonts w:eastAsia="Calibri"/>
          <w:i/>
          <w:iCs/>
          <w:lang w:val="en-US"/>
        </w:rPr>
        <w:t>International Journal of Production Economics</w:t>
      </w:r>
      <w:r w:rsidRPr="00BA6D11">
        <w:rPr>
          <w:rFonts w:eastAsia="Calibri"/>
          <w:lang w:val="en-US"/>
        </w:rPr>
        <w:t xml:space="preserve">, </w:t>
      </w:r>
      <w:r w:rsidR="00E877E0" w:rsidRPr="00BA6D11">
        <w:rPr>
          <w:rFonts w:eastAsia="Calibri"/>
          <w:lang w:val="en-US"/>
        </w:rPr>
        <w:t xml:space="preserve">Vol. </w:t>
      </w:r>
      <w:r w:rsidRPr="00BA6D11">
        <w:rPr>
          <w:rFonts w:eastAsia="Calibri"/>
          <w:lang w:val="en-US"/>
        </w:rPr>
        <w:t xml:space="preserve">192, </w:t>
      </w:r>
      <w:r w:rsidR="00E877E0" w:rsidRPr="00BA6D11">
        <w:rPr>
          <w:rFonts w:eastAsia="Calibri"/>
          <w:lang w:val="en-US"/>
        </w:rPr>
        <w:t xml:space="preserve">pp. </w:t>
      </w:r>
      <w:r w:rsidRPr="00BA6D11">
        <w:rPr>
          <w:rFonts w:eastAsia="Calibri"/>
          <w:lang w:val="en-US"/>
        </w:rPr>
        <w:t>54-65.</w:t>
      </w:r>
    </w:p>
    <w:p w14:paraId="0FDFF91C" w14:textId="0D37BAAB"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lastRenderedPageBreak/>
        <w:t xml:space="preserve">Chai, L., Li, J., </w:t>
      </w:r>
      <w:proofErr w:type="spellStart"/>
      <w:r w:rsidRPr="00BA6D11">
        <w:rPr>
          <w:rFonts w:eastAsia="Calibri"/>
          <w:lang w:val="en-US"/>
        </w:rPr>
        <w:t>Tangpong</w:t>
      </w:r>
      <w:proofErr w:type="spellEnd"/>
      <w:r w:rsidRPr="00BA6D11">
        <w:rPr>
          <w:rFonts w:eastAsia="Calibri"/>
          <w:lang w:val="en-US"/>
        </w:rPr>
        <w:t>, C.</w:t>
      </w:r>
      <w:r w:rsidR="00E877E0" w:rsidRPr="00BA6D11">
        <w:rPr>
          <w:rFonts w:eastAsia="Calibri"/>
          <w:lang w:val="en-US"/>
        </w:rPr>
        <w:t xml:space="preserve"> and </w:t>
      </w:r>
      <w:proofErr w:type="spellStart"/>
      <w:r w:rsidRPr="00BA6D11">
        <w:rPr>
          <w:rFonts w:eastAsia="Calibri"/>
          <w:lang w:val="en-US"/>
        </w:rPr>
        <w:t>Clauss</w:t>
      </w:r>
      <w:proofErr w:type="spellEnd"/>
      <w:r w:rsidRPr="00BA6D11">
        <w:rPr>
          <w:rFonts w:eastAsia="Calibri"/>
          <w:lang w:val="en-US"/>
        </w:rPr>
        <w:t>, T. (2020)</w:t>
      </w:r>
      <w:r w:rsidR="00E877E0" w:rsidRPr="00BA6D11">
        <w:rPr>
          <w:rFonts w:eastAsia="Calibri"/>
          <w:lang w:val="en-US"/>
        </w:rPr>
        <w:t>, “</w:t>
      </w:r>
      <w:r w:rsidRPr="00BA6D11">
        <w:rPr>
          <w:rFonts w:eastAsia="Calibri"/>
          <w:lang w:val="en-US"/>
        </w:rPr>
        <w:t>The interplays of coopetition, conflicts, trust, and efficiency process innovation in vertical B2B relationships</w:t>
      </w:r>
      <w:r w:rsidR="00E877E0" w:rsidRPr="00BA6D11">
        <w:rPr>
          <w:rFonts w:eastAsia="Calibri"/>
          <w:lang w:val="en-US"/>
        </w:rPr>
        <w:t>”,</w:t>
      </w:r>
      <w:r w:rsidRPr="00BA6D11">
        <w:rPr>
          <w:rFonts w:eastAsia="Calibri"/>
          <w:lang w:val="en-US"/>
        </w:rPr>
        <w:t xml:space="preserve"> </w:t>
      </w:r>
      <w:r w:rsidRPr="00BA6D11">
        <w:rPr>
          <w:rFonts w:eastAsia="Calibri"/>
          <w:i/>
          <w:iCs/>
          <w:lang w:val="en-US"/>
        </w:rPr>
        <w:t>Industrial Marketing Management</w:t>
      </w:r>
      <w:r w:rsidRPr="00BA6D11">
        <w:rPr>
          <w:rFonts w:eastAsia="Calibri"/>
          <w:lang w:val="en-US"/>
        </w:rPr>
        <w:t xml:space="preserve">, </w:t>
      </w:r>
      <w:r w:rsidR="00E877E0" w:rsidRPr="00BA6D11">
        <w:rPr>
          <w:rFonts w:eastAsia="Calibri"/>
          <w:lang w:val="en-US"/>
        </w:rPr>
        <w:t xml:space="preserve">Vol. </w:t>
      </w:r>
      <w:r w:rsidRPr="00BA6D11">
        <w:rPr>
          <w:rFonts w:eastAsia="Calibri"/>
          <w:lang w:val="en-US"/>
        </w:rPr>
        <w:t xml:space="preserve">85, </w:t>
      </w:r>
      <w:r w:rsidR="00E877E0" w:rsidRPr="00BA6D11">
        <w:rPr>
          <w:rFonts w:eastAsia="Calibri"/>
          <w:lang w:val="en-US"/>
        </w:rPr>
        <w:t xml:space="preserve">pp. </w:t>
      </w:r>
      <w:r w:rsidRPr="00BA6D11">
        <w:rPr>
          <w:rFonts w:eastAsia="Calibri"/>
          <w:lang w:val="en-US"/>
        </w:rPr>
        <w:t>269-280.</w:t>
      </w:r>
    </w:p>
    <w:p w14:paraId="1E6454F5" w14:textId="3409968A"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Chapman, R.</w:t>
      </w:r>
      <w:r w:rsidR="00C91C0D" w:rsidRPr="00BA6D11">
        <w:rPr>
          <w:rFonts w:eastAsia="Calibri"/>
          <w:lang w:val="en-US"/>
        </w:rPr>
        <w:t xml:space="preserve"> and</w:t>
      </w:r>
      <w:r w:rsidRPr="00BA6D11">
        <w:rPr>
          <w:rFonts w:eastAsia="Calibri"/>
          <w:lang w:val="en-US"/>
        </w:rPr>
        <w:t xml:space="preserve"> Hyland, P. (2004)</w:t>
      </w:r>
      <w:r w:rsidR="00C91C0D" w:rsidRPr="00BA6D11">
        <w:rPr>
          <w:rFonts w:eastAsia="Calibri"/>
          <w:lang w:val="en-US"/>
        </w:rPr>
        <w:t>, “</w:t>
      </w:r>
      <w:r w:rsidRPr="00BA6D11">
        <w:rPr>
          <w:rFonts w:eastAsia="Calibri"/>
          <w:lang w:val="en-US"/>
        </w:rPr>
        <w:t>Complexity and learning behaviors in product innovation</w:t>
      </w:r>
      <w:r w:rsidR="00C91C0D" w:rsidRPr="00BA6D11">
        <w:rPr>
          <w:rFonts w:eastAsia="Calibri"/>
          <w:lang w:val="en-US"/>
        </w:rPr>
        <w:t xml:space="preserve">”, </w:t>
      </w:r>
      <w:proofErr w:type="spellStart"/>
      <w:r w:rsidRPr="00BA6D11">
        <w:rPr>
          <w:rFonts w:eastAsia="Calibri"/>
          <w:i/>
          <w:iCs/>
          <w:lang w:val="en-US"/>
        </w:rPr>
        <w:t>Technovation</w:t>
      </w:r>
      <w:proofErr w:type="spellEnd"/>
      <w:r w:rsidRPr="00BA6D11">
        <w:rPr>
          <w:rFonts w:eastAsia="Calibri"/>
          <w:lang w:val="en-US"/>
        </w:rPr>
        <w:t xml:space="preserve">, </w:t>
      </w:r>
      <w:r w:rsidR="00C91C0D" w:rsidRPr="00BA6D11">
        <w:rPr>
          <w:rFonts w:eastAsia="Calibri"/>
          <w:lang w:val="en-US"/>
        </w:rPr>
        <w:t xml:space="preserve">Vol. </w:t>
      </w:r>
      <w:r w:rsidRPr="00BA6D11">
        <w:rPr>
          <w:rFonts w:eastAsia="Calibri"/>
          <w:lang w:val="en-US"/>
        </w:rPr>
        <w:t>24</w:t>
      </w:r>
      <w:r w:rsidR="00C91C0D" w:rsidRPr="00BA6D11">
        <w:rPr>
          <w:rFonts w:eastAsia="Calibri"/>
          <w:lang w:val="en-US"/>
        </w:rPr>
        <w:t xml:space="preserve"> No. </w:t>
      </w:r>
      <w:r w:rsidRPr="00BA6D11">
        <w:rPr>
          <w:rFonts w:eastAsia="Calibri"/>
          <w:lang w:val="en-US"/>
        </w:rPr>
        <w:t xml:space="preserve">7, </w:t>
      </w:r>
      <w:r w:rsidR="00C91C0D" w:rsidRPr="00BA6D11">
        <w:rPr>
          <w:rFonts w:eastAsia="Calibri"/>
          <w:lang w:val="en-US"/>
        </w:rPr>
        <w:t xml:space="preserve">pp. </w:t>
      </w:r>
      <w:r w:rsidRPr="00BA6D11">
        <w:rPr>
          <w:rFonts w:eastAsia="Calibri"/>
          <w:lang w:val="en-US"/>
        </w:rPr>
        <w:t>553-561.</w:t>
      </w:r>
    </w:p>
    <w:p w14:paraId="59AF48D0" w14:textId="5585464D" w:rsidR="00CB6014" w:rsidRPr="00BA6D11" w:rsidRDefault="00CB6014" w:rsidP="008C5AA8">
      <w:pPr>
        <w:widowControl w:val="0"/>
        <w:autoSpaceDE w:val="0"/>
        <w:autoSpaceDN w:val="0"/>
        <w:adjustRightInd w:val="0"/>
        <w:ind w:left="284" w:hanging="284"/>
        <w:rPr>
          <w:rFonts w:eastAsia="Calibri"/>
          <w:lang w:val="en-US"/>
        </w:rPr>
      </w:pPr>
      <w:proofErr w:type="spellStart"/>
      <w:r w:rsidRPr="001254F8">
        <w:rPr>
          <w:rFonts w:eastAsia="Calibri"/>
          <w:lang w:val="en-US"/>
        </w:rPr>
        <w:t>Cirera</w:t>
      </w:r>
      <w:proofErr w:type="spellEnd"/>
      <w:r w:rsidRPr="001254F8">
        <w:rPr>
          <w:rFonts w:eastAsia="Calibri"/>
          <w:lang w:val="en-US"/>
        </w:rPr>
        <w:t>, X.</w:t>
      </w:r>
      <w:r w:rsidR="001254F8" w:rsidRPr="001254F8">
        <w:rPr>
          <w:rFonts w:eastAsia="Calibri"/>
          <w:lang w:val="en-US"/>
        </w:rPr>
        <w:t xml:space="preserve"> and</w:t>
      </w:r>
      <w:r w:rsidRPr="001254F8">
        <w:rPr>
          <w:rFonts w:eastAsia="Calibri"/>
          <w:lang w:val="en-US"/>
        </w:rPr>
        <w:t xml:space="preserve"> Muzi, S. (2020)</w:t>
      </w:r>
      <w:r w:rsidR="001254F8">
        <w:rPr>
          <w:rFonts w:eastAsia="Calibri"/>
          <w:lang w:val="en-US"/>
        </w:rPr>
        <w:t>, “</w:t>
      </w:r>
      <w:r w:rsidRPr="00BA6D11">
        <w:rPr>
          <w:rFonts w:eastAsia="Calibri"/>
          <w:lang w:val="en-US"/>
        </w:rPr>
        <w:t xml:space="preserve">Measuring innovation using firm-level surveys: </w:t>
      </w:r>
      <w:r w:rsidR="001254F8" w:rsidRPr="00BA6D11">
        <w:rPr>
          <w:rFonts w:eastAsia="Calibri"/>
          <w:lang w:val="en-US"/>
        </w:rPr>
        <w:t>e</w:t>
      </w:r>
      <w:r w:rsidRPr="00BA6D11">
        <w:rPr>
          <w:rFonts w:eastAsia="Calibri"/>
          <w:lang w:val="en-US"/>
        </w:rPr>
        <w:t>vidence from developing countries</w:t>
      </w:r>
      <w:r w:rsidR="001254F8" w:rsidRPr="00BA6D11">
        <w:rPr>
          <w:rFonts w:eastAsia="Calibri"/>
          <w:lang w:val="en-US"/>
        </w:rPr>
        <w:t>”,</w:t>
      </w:r>
      <w:r w:rsidRPr="00BA6D11">
        <w:rPr>
          <w:rFonts w:eastAsia="Calibri"/>
          <w:lang w:val="en-US"/>
        </w:rPr>
        <w:t xml:space="preserve"> </w:t>
      </w:r>
      <w:r w:rsidRPr="00BA6D11">
        <w:rPr>
          <w:rFonts w:eastAsia="Calibri"/>
          <w:i/>
          <w:iCs/>
          <w:lang w:val="en-US"/>
        </w:rPr>
        <w:t>Research Policy</w:t>
      </w:r>
      <w:r w:rsidRPr="00BA6D11">
        <w:rPr>
          <w:rFonts w:eastAsia="Calibri"/>
          <w:lang w:val="en-US"/>
        </w:rPr>
        <w:t xml:space="preserve">, </w:t>
      </w:r>
      <w:r w:rsidR="001254F8" w:rsidRPr="00BA6D11">
        <w:rPr>
          <w:rFonts w:eastAsia="Calibri"/>
          <w:lang w:val="en-US"/>
        </w:rPr>
        <w:t xml:space="preserve">Vol. </w:t>
      </w:r>
      <w:r w:rsidRPr="00BA6D11">
        <w:rPr>
          <w:rFonts w:eastAsia="Calibri"/>
          <w:lang w:val="en-US"/>
        </w:rPr>
        <w:t>49</w:t>
      </w:r>
      <w:r w:rsidR="001254F8" w:rsidRPr="00BA6D11">
        <w:rPr>
          <w:rFonts w:eastAsia="Calibri"/>
          <w:lang w:val="en-US"/>
        </w:rPr>
        <w:t xml:space="preserve"> No. </w:t>
      </w:r>
      <w:r w:rsidRPr="00BA6D11">
        <w:rPr>
          <w:rFonts w:eastAsia="Calibri"/>
          <w:lang w:val="en-US"/>
        </w:rPr>
        <w:t xml:space="preserve">3, </w:t>
      </w:r>
      <w:r w:rsidR="001254F8" w:rsidRPr="00BA6D11">
        <w:rPr>
          <w:rFonts w:eastAsia="Calibri"/>
          <w:lang w:val="en-US"/>
        </w:rPr>
        <w:t xml:space="preserve">pp. </w:t>
      </w:r>
      <w:r w:rsidRPr="00BA6D11">
        <w:rPr>
          <w:rFonts w:eastAsia="Calibri"/>
          <w:lang w:val="en-US"/>
        </w:rPr>
        <w:t>103912.</w:t>
      </w:r>
    </w:p>
    <w:p w14:paraId="0A1BEDCF" w14:textId="512EC689"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Coreynen</w:t>
      </w:r>
      <w:proofErr w:type="spellEnd"/>
      <w:r w:rsidRPr="00BA6D11">
        <w:rPr>
          <w:rFonts w:eastAsia="Calibri"/>
          <w:lang w:val="en-US"/>
        </w:rPr>
        <w:t xml:space="preserve">, W., </w:t>
      </w:r>
      <w:proofErr w:type="spellStart"/>
      <w:r w:rsidRPr="00BA6D11">
        <w:rPr>
          <w:rFonts w:eastAsia="Calibri"/>
          <w:lang w:val="en-US"/>
        </w:rPr>
        <w:t>Matthyssens</w:t>
      </w:r>
      <w:proofErr w:type="spellEnd"/>
      <w:r w:rsidRPr="00BA6D11">
        <w:rPr>
          <w:rFonts w:eastAsia="Calibri"/>
          <w:lang w:val="en-US"/>
        </w:rPr>
        <w:t>, P.</w:t>
      </w:r>
      <w:r w:rsidR="0067500C" w:rsidRPr="00BA6D11">
        <w:rPr>
          <w:rFonts w:eastAsia="Calibri"/>
          <w:lang w:val="en-US"/>
        </w:rPr>
        <w:t xml:space="preserve"> and</w:t>
      </w:r>
      <w:r w:rsidRPr="00BA6D11">
        <w:rPr>
          <w:rFonts w:eastAsia="Calibri"/>
          <w:lang w:val="en-US"/>
        </w:rPr>
        <w:t xml:space="preserve"> Van </w:t>
      </w:r>
      <w:proofErr w:type="spellStart"/>
      <w:r w:rsidRPr="00BA6D11">
        <w:rPr>
          <w:rFonts w:eastAsia="Calibri"/>
          <w:lang w:val="en-US"/>
        </w:rPr>
        <w:t>Bockhaven</w:t>
      </w:r>
      <w:proofErr w:type="spellEnd"/>
      <w:r w:rsidRPr="00BA6D11">
        <w:rPr>
          <w:rFonts w:eastAsia="Calibri"/>
          <w:lang w:val="en-US"/>
        </w:rPr>
        <w:t>, W. (2017)</w:t>
      </w:r>
      <w:r w:rsidR="0067500C" w:rsidRPr="00BA6D11">
        <w:rPr>
          <w:rFonts w:eastAsia="Calibri"/>
          <w:lang w:val="en-US"/>
        </w:rPr>
        <w:t>, “</w:t>
      </w:r>
      <w:r w:rsidRPr="00BA6D11">
        <w:rPr>
          <w:rFonts w:eastAsia="Calibri"/>
          <w:lang w:val="en-US"/>
        </w:rPr>
        <w:t xml:space="preserve">Boosting </w:t>
      </w:r>
      <w:proofErr w:type="spellStart"/>
      <w:r w:rsidRPr="00BA6D11">
        <w:rPr>
          <w:rFonts w:eastAsia="Calibri"/>
          <w:lang w:val="en-US"/>
        </w:rPr>
        <w:t>servitization</w:t>
      </w:r>
      <w:proofErr w:type="spellEnd"/>
      <w:r w:rsidRPr="00BA6D11">
        <w:rPr>
          <w:rFonts w:eastAsia="Calibri"/>
          <w:lang w:val="en-US"/>
        </w:rPr>
        <w:t xml:space="preserve"> through digitization: </w:t>
      </w:r>
      <w:r w:rsidR="0067500C" w:rsidRPr="00BA6D11">
        <w:rPr>
          <w:rFonts w:eastAsia="Calibri"/>
          <w:lang w:val="en-US"/>
        </w:rPr>
        <w:t>p</w:t>
      </w:r>
      <w:r w:rsidRPr="00BA6D11">
        <w:rPr>
          <w:rFonts w:eastAsia="Calibri"/>
          <w:lang w:val="en-US"/>
        </w:rPr>
        <w:t>athways and dynamic resource configurations for manufacturers</w:t>
      </w:r>
      <w:r w:rsidR="0067500C" w:rsidRPr="00BA6D11">
        <w:rPr>
          <w:rFonts w:eastAsia="Calibri"/>
          <w:lang w:val="en-US"/>
        </w:rPr>
        <w:t>”,</w:t>
      </w:r>
      <w:r w:rsidRPr="00BA6D11">
        <w:rPr>
          <w:rFonts w:eastAsia="Calibri"/>
          <w:lang w:val="en-US"/>
        </w:rPr>
        <w:t xml:space="preserve"> </w:t>
      </w:r>
      <w:r w:rsidRPr="00BA6D11">
        <w:rPr>
          <w:rFonts w:eastAsia="Calibri"/>
          <w:i/>
          <w:iCs/>
          <w:lang w:val="en-US"/>
        </w:rPr>
        <w:t xml:space="preserve">Industrial </w:t>
      </w:r>
      <w:r w:rsidR="0067500C" w:rsidRPr="00BA6D11">
        <w:rPr>
          <w:rFonts w:eastAsia="Calibri"/>
          <w:i/>
          <w:iCs/>
          <w:lang w:val="en-US"/>
        </w:rPr>
        <w:t>M</w:t>
      </w:r>
      <w:r w:rsidRPr="00BA6D11">
        <w:rPr>
          <w:rFonts w:eastAsia="Calibri"/>
          <w:i/>
          <w:iCs/>
          <w:lang w:val="en-US"/>
        </w:rPr>
        <w:t xml:space="preserve">arketing </w:t>
      </w:r>
      <w:r w:rsidR="0067500C" w:rsidRPr="00BA6D11">
        <w:rPr>
          <w:rFonts w:eastAsia="Calibri"/>
          <w:i/>
          <w:iCs/>
          <w:lang w:val="en-US"/>
        </w:rPr>
        <w:t>M</w:t>
      </w:r>
      <w:r w:rsidRPr="00BA6D11">
        <w:rPr>
          <w:rFonts w:eastAsia="Calibri"/>
          <w:i/>
          <w:iCs/>
          <w:lang w:val="en-US"/>
        </w:rPr>
        <w:t>anagement</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 xml:space="preserve">60, </w:t>
      </w:r>
      <w:r w:rsidR="0067500C" w:rsidRPr="00BA6D11">
        <w:rPr>
          <w:rFonts w:eastAsia="Calibri"/>
          <w:lang w:val="en-US"/>
        </w:rPr>
        <w:t xml:space="preserve">pp. </w:t>
      </w:r>
      <w:r w:rsidRPr="00BA6D11">
        <w:rPr>
          <w:rFonts w:eastAsia="Calibri"/>
          <w:lang w:val="en-US"/>
        </w:rPr>
        <w:t>42-53.</w:t>
      </w:r>
    </w:p>
    <w:p w14:paraId="6C7ED784" w14:textId="33D78A43" w:rsidR="008C5AA8" w:rsidRPr="004931E9" w:rsidRDefault="008C5AA8" w:rsidP="008C5AA8">
      <w:pPr>
        <w:widowControl w:val="0"/>
        <w:autoSpaceDE w:val="0"/>
        <w:autoSpaceDN w:val="0"/>
        <w:adjustRightInd w:val="0"/>
        <w:ind w:left="284" w:hanging="284"/>
        <w:rPr>
          <w:rFonts w:eastAsia="Calibri"/>
          <w:lang w:val="en-US"/>
        </w:rPr>
      </w:pPr>
      <w:proofErr w:type="spellStart"/>
      <w:r w:rsidRPr="004931E9">
        <w:rPr>
          <w:rFonts w:eastAsia="Calibri"/>
          <w:lang w:val="en-US"/>
        </w:rPr>
        <w:t>Coreynen</w:t>
      </w:r>
      <w:proofErr w:type="spellEnd"/>
      <w:r w:rsidRPr="004931E9">
        <w:rPr>
          <w:rFonts w:eastAsia="Calibri"/>
          <w:lang w:val="en-US"/>
        </w:rPr>
        <w:t xml:space="preserve">, W., </w:t>
      </w:r>
      <w:proofErr w:type="spellStart"/>
      <w:r w:rsidRPr="004931E9">
        <w:rPr>
          <w:rFonts w:eastAsia="Calibri"/>
          <w:lang w:val="en-US"/>
        </w:rPr>
        <w:t>Matthyssens</w:t>
      </w:r>
      <w:proofErr w:type="spellEnd"/>
      <w:r w:rsidRPr="004931E9">
        <w:rPr>
          <w:rFonts w:eastAsia="Calibri"/>
          <w:lang w:val="en-US"/>
        </w:rPr>
        <w:t xml:space="preserve">, P., </w:t>
      </w:r>
      <w:proofErr w:type="spellStart"/>
      <w:r w:rsidRPr="004931E9">
        <w:rPr>
          <w:rFonts w:eastAsia="Calibri"/>
          <w:lang w:val="en-US"/>
        </w:rPr>
        <w:t>Vanderstraeten</w:t>
      </w:r>
      <w:proofErr w:type="spellEnd"/>
      <w:r w:rsidRPr="004931E9">
        <w:rPr>
          <w:rFonts w:eastAsia="Calibri"/>
          <w:lang w:val="en-US"/>
        </w:rPr>
        <w:t>, J.</w:t>
      </w:r>
      <w:r w:rsidR="0067500C" w:rsidRPr="004931E9">
        <w:rPr>
          <w:rFonts w:eastAsia="Calibri"/>
          <w:lang w:val="en-US"/>
        </w:rPr>
        <w:t xml:space="preserve"> and</w:t>
      </w:r>
      <w:r w:rsidRPr="004931E9">
        <w:rPr>
          <w:rFonts w:eastAsia="Calibri"/>
          <w:lang w:val="en-US"/>
        </w:rPr>
        <w:t xml:space="preserve"> van </w:t>
      </w:r>
      <w:proofErr w:type="spellStart"/>
      <w:r w:rsidRPr="004931E9">
        <w:rPr>
          <w:rFonts w:eastAsia="Calibri"/>
          <w:lang w:val="en-US"/>
        </w:rPr>
        <w:t>Witteloostuijn</w:t>
      </w:r>
      <w:proofErr w:type="spellEnd"/>
      <w:r w:rsidRPr="004931E9">
        <w:rPr>
          <w:rFonts w:eastAsia="Calibri"/>
          <w:lang w:val="en-US"/>
        </w:rPr>
        <w:t>, A. (2020)</w:t>
      </w:r>
      <w:r w:rsidR="0067500C" w:rsidRPr="004931E9">
        <w:rPr>
          <w:rFonts w:eastAsia="Calibri"/>
          <w:lang w:val="en-US"/>
        </w:rPr>
        <w:t>, “</w:t>
      </w:r>
      <w:r w:rsidRPr="004931E9">
        <w:rPr>
          <w:rFonts w:eastAsia="Calibri"/>
          <w:lang w:val="en-US"/>
        </w:rPr>
        <w:t xml:space="preserve">Unravelling the internal and external drivers of digital servitization: </w:t>
      </w:r>
      <w:r w:rsidR="0067500C" w:rsidRPr="004931E9">
        <w:rPr>
          <w:rFonts w:eastAsia="Calibri"/>
          <w:lang w:val="en-US"/>
        </w:rPr>
        <w:t>a</w:t>
      </w:r>
      <w:r w:rsidRPr="004931E9">
        <w:rPr>
          <w:rFonts w:eastAsia="Calibri"/>
          <w:lang w:val="en-US"/>
        </w:rPr>
        <w:t xml:space="preserve"> dynamic capabilities and contingency perspective on firm strategy</w:t>
      </w:r>
      <w:r w:rsidR="0067500C" w:rsidRPr="004931E9">
        <w:rPr>
          <w:rFonts w:eastAsia="Calibri"/>
          <w:lang w:val="en-US"/>
        </w:rPr>
        <w:t xml:space="preserve">”, </w:t>
      </w:r>
      <w:r w:rsidRPr="004931E9">
        <w:rPr>
          <w:rFonts w:eastAsia="Calibri"/>
          <w:i/>
          <w:iCs/>
          <w:lang w:val="en-US"/>
        </w:rPr>
        <w:t>Industrial Marketing Management</w:t>
      </w:r>
      <w:r w:rsidR="004931E9">
        <w:rPr>
          <w:rFonts w:eastAsia="Calibri"/>
          <w:lang w:val="en-US" w:eastAsia="en-US"/>
        </w:rPr>
        <w:t>, ahead-of-print.</w:t>
      </w:r>
    </w:p>
    <w:p w14:paraId="591EE16E" w14:textId="20CE39E0" w:rsidR="008C5AA8" w:rsidRPr="00BA6D11" w:rsidRDefault="008C5AA8" w:rsidP="008C5AA8">
      <w:pPr>
        <w:widowControl w:val="0"/>
        <w:autoSpaceDE w:val="0"/>
        <w:autoSpaceDN w:val="0"/>
        <w:adjustRightInd w:val="0"/>
        <w:ind w:left="284" w:hanging="284"/>
        <w:rPr>
          <w:rFonts w:eastAsia="Calibri"/>
          <w:lang w:val="en-US"/>
        </w:rPr>
      </w:pPr>
      <w:r w:rsidRPr="00C91C0D">
        <w:rPr>
          <w:rFonts w:eastAsia="Calibri"/>
          <w:lang w:val="en-US"/>
        </w:rPr>
        <w:t>Cormican, K.</w:t>
      </w:r>
      <w:r w:rsidR="00C91C0D" w:rsidRPr="00C91C0D">
        <w:rPr>
          <w:rFonts w:eastAsia="Calibri"/>
          <w:lang w:val="en-US"/>
        </w:rPr>
        <w:t xml:space="preserve"> and</w:t>
      </w:r>
      <w:r w:rsidRPr="00C91C0D">
        <w:rPr>
          <w:rFonts w:eastAsia="Calibri"/>
          <w:lang w:val="en-US"/>
        </w:rPr>
        <w:t xml:space="preserve"> O’Sullivan, D. (2004)</w:t>
      </w:r>
      <w:r w:rsidR="00C91C0D">
        <w:rPr>
          <w:rFonts w:eastAsia="Calibri"/>
          <w:lang w:val="en-US"/>
        </w:rPr>
        <w:t>, “</w:t>
      </w:r>
      <w:r w:rsidRPr="00BA6D11">
        <w:rPr>
          <w:rFonts w:eastAsia="Calibri"/>
          <w:lang w:val="en-US"/>
        </w:rPr>
        <w:t>Auditing best practice for effective product innovation management</w:t>
      </w:r>
      <w:r w:rsidR="00C91C0D" w:rsidRPr="00BA6D11">
        <w:rPr>
          <w:rFonts w:eastAsia="Calibri"/>
          <w:lang w:val="en-US"/>
        </w:rPr>
        <w:t xml:space="preserve">”, </w:t>
      </w:r>
      <w:proofErr w:type="spellStart"/>
      <w:r w:rsidRPr="00BA6D11">
        <w:rPr>
          <w:rFonts w:eastAsia="Calibri"/>
          <w:i/>
          <w:iCs/>
          <w:lang w:val="en-US"/>
        </w:rPr>
        <w:t>Technovation</w:t>
      </w:r>
      <w:proofErr w:type="spellEnd"/>
      <w:r w:rsidRPr="00BA6D11">
        <w:rPr>
          <w:rFonts w:eastAsia="Calibri"/>
          <w:lang w:val="en-US"/>
        </w:rPr>
        <w:t xml:space="preserve">, </w:t>
      </w:r>
      <w:r w:rsidR="00C91C0D" w:rsidRPr="00BA6D11">
        <w:rPr>
          <w:rFonts w:eastAsia="Calibri"/>
          <w:lang w:val="en-US"/>
        </w:rPr>
        <w:t xml:space="preserve">Vol. </w:t>
      </w:r>
      <w:r w:rsidRPr="00BA6D11">
        <w:rPr>
          <w:rFonts w:eastAsia="Calibri"/>
          <w:lang w:val="en-US"/>
        </w:rPr>
        <w:t>24</w:t>
      </w:r>
      <w:r w:rsidR="00C91C0D" w:rsidRPr="00BA6D11">
        <w:rPr>
          <w:rFonts w:eastAsia="Calibri"/>
          <w:lang w:val="en-US"/>
        </w:rPr>
        <w:t xml:space="preserve"> No. </w:t>
      </w:r>
      <w:r w:rsidRPr="00BA6D11">
        <w:rPr>
          <w:rFonts w:eastAsia="Calibri"/>
          <w:lang w:val="en-US"/>
        </w:rPr>
        <w:t xml:space="preserve">10, </w:t>
      </w:r>
      <w:r w:rsidR="00C91C0D" w:rsidRPr="00BA6D11">
        <w:rPr>
          <w:rFonts w:eastAsia="Calibri"/>
          <w:lang w:val="en-US"/>
        </w:rPr>
        <w:t xml:space="preserve">pp. </w:t>
      </w:r>
      <w:r w:rsidRPr="00BA6D11">
        <w:rPr>
          <w:rFonts w:eastAsia="Calibri"/>
          <w:lang w:val="en-US"/>
        </w:rPr>
        <w:t>819-829.</w:t>
      </w:r>
    </w:p>
    <w:p w14:paraId="06F581D9" w14:textId="4D339340" w:rsidR="00627CA4" w:rsidRPr="00BA6D11" w:rsidRDefault="00627CA4" w:rsidP="008C5AA8">
      <w:pPr>
        <w:widowControl w:val="0"/>
        <w:autoSpaceDE w:val="0"/>
        <w:autoSpaceDN w:val="0"/>
        <w:adjustRightInd w:val="0"/>
        <w:ind w:left="284" w:hanging="284"/>
        <w:rPr>
          <w:rFonts w:eastAsia="Calibri"/>
          <w:lang w:val="en-US"/>
        </w:rPr>
      </w:pPr>
      <w:r w:rsidRPr="00BA6D11">
        <w:rPr>
          <w:rFonts w:eastAsia="Calibri"/>
          <w:lang w:val="en-US"/>
        </w:rPr>
        <w:t>Couper, M. P. (2000)</w:t>
      </w:r>
      <w:r w:rsidR="001254F8" w:rsidRPr="00BA6D11">
        <w:rPr>
          <w:rFonts w:eastAsia="Calibri"/>
          <w:lang w:val="en-US"/>
        </w:rPr>
        <w:t>, “</w:t>
      </w:r>
      <w:r w:rsidRPr="00BA6D11">
        <w:rPr>
          <w:rFonts w:eastAsia="Calibri"/>
          <w:lang w:val="en-US"/>
        </w:rPr>
        <w:t>Usability evaluation of computer-assisted survey instruments</w:t>
      </w:r>
      <w:r w:rsidR="001254F8" w:rsidRPr="00BA6D11">
        <w:rPr>
          <w:rFonts w:eastAsia="Calibri"/>
          <w:lang w:val="en-US"/>
        </w:rPr>
        <w:t xml:space="preserve">”, </w:t>
      </w:r>
      <w:r w:rsidRPr="00BA6D11">
        <w:rPr>
          <w:rFonts w:eastAsia="Calibri"/>
          <w:i/>
          <w:iCs/>
          <w:lang w:val="en-US"/>
        </w:rPr>
        <w:t>Social Science Computer Review</w:t>
      </w:r>
      <w:r w:rsidRPr="00BA6D11">
        <w:rPr>
          <w:rFonts w:eastAsia="Calibri"/>
          <w:lang w:val="en-US"/>
        </w:rPr>
        <w:t xml:space="preserve">, </w:t>
      </w:r>
      <w:r w:rsidR="001254F8" w:rsidRPr="00BA6D11">
        <w:rPr>
          <w:rFonts w:eastAsia="Calibri"/>
          <w:lang w:val="en-US"/>
        </w:rPr>
        <w:t xml:space="preserve">Vol. </w:t>
      </w:r>
      <w:r w:rsidRPr="00BA6D11">
        <w:rPr>
          <w:rFonts w:eastAsia="Calibri"/>
          <w:lang w:val="en-US"/>
        </w:rPr>
        <w:t>18</w:t>
      </w:r>
      <w:r w:rsidR="001254F8" w:rsidRPr="00BA6D11">
        <w:rPr>
          <w:rFonts w:eastAsia="Calibri"/>
          <w:lang w:val="en-US"/>
        </w:rPr>
        <w:t xml:space="preserve"> No. </w:t>
      </w:r>
      <w:r w:rsidRPr="00BA6D11">
        <w:rPr>
          <w:rFonts w:eastAsia="Calibri"/>
          <w:lang w:val="en-US"/>
        </w:rPr>
        <w:t xml:space="preserve">4, </w:t>
      </w:r>
      <w:r w:rsidR="001254F8" w:rsidRPr="00BA6D11">
        <w:rPr>
          <w:rFonts w:eastAsia="Calibri"/>
          <w:lang w:val="en-US"/>
        </w:rPr>
        <w:t xml:space="preserve">pp. </w:t>
      </w:r>
      <w:r w:rsidRPr="00BA6D11">
        <w:rPr>
          <w:rFonts w:eastAsia="Calibri"/>
          <w:lang w:val="en-US"/>
        </w:rPr>
        <w:t>384</w:t>
      </w:r>
      <w:r w:rsidR="001254F8" w:rsidRPr="00BA6D11">
        <w:rPr>
          <w:rFonts w:eastAsia="Calibri"/>
          <w:lang w:val="en-US"/>
        </w:rPr>
        <w:t>-</w:t>
      </w:r>
      <w:r w:rsidRPr="00BA6D11">
        <w:rPr>
          <w:rFonts w:eastAsia="Calibri"/>
          <w:lang w:val="en-US"/>
        </w:rPr>
        <w:t>396.</w:t>
      </w:r>
    </w:p>
    <w:p w14:paraId="10BB2A2E" w14:textId="7358A434"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Damanpour</w:t>
      </w:r>
      <w:proofErr w:type="spellEnd"/>
      <w:r w:rsidRPr="00BA6D11">
        <w:rPr>
          <w:rFonts w:eastAsia="Calibri"/>
          <w:lang w:val="en-US"/>
        </w:rPr>
        <w:t>, F. (2010)</w:t>
      </w:r>
      <w:r w:rsidR="00E877E0" w:rsidRPr="00BA6D11">
        <w:rPr>
          <w:rFonts w:eastAsia="Calibri"/>
          <w:lang w:val="en-US"/>
        </w:rPr>
        <w:t>, “</w:t>
      </w:r>
      <w:r w:rsidRPr="00BA6D11">
        <w:rPr>
          <w:rFonts w:eastAsia="Calibri"/>
          <w:lang w:val="en-US"/>
        </w:rPr>
        <w:t>An integration of research findings of effects of firm size and market competition on product and process innovations</w:t>
      </w:r>
      <w:r w:rsidR="00E877E0" w:rsidRPr="00BA6D11">
        <w:rPr>
          <w:rFonts w:eastAsia="Calibri"/>
          <w:lang w:val="en-US"/>
        </w:rPr>
        <w:t xml:space="preserve">”, </w:t>
      </w:r>
      <w:r w:rsidRPr="00BA6D11">
        <w:rPr>
          <w:rFonts w:eastAsia="Calibri"/>
          <w:i/>
          <w:iCs/>
          <w:lang w:val="en-US"/>
        </w:rPr>
        <w:t>British Journal of Management</w:t>
      </w:r>
      <w:r w:rsidRPr="00BA6D11">
        <w:rPr>
          <w:rFonts w:eastAsia="Calibri"/>
          <w:lang w:val="en-US"/>
        </w:rPr>
        <w:t xml:space="preserve">, </w:t>
      </w:r>
      <w:r w:rsidR="00E877E0" w:rsidRPr="00BA6D11">
        <w:rPr>
          <w:rFonts w:eastAsia="Calibri"/>
          <w:lang w:val="en-US"/>
        </w:rPr>
        <w:t xml:space="preserve">Vol. </w:t>
      </w:r>
      <w:r w:rsidRPr="00BA6D11">
        <w:rPr>
          <w:rFonts w:eastAsia="Calibri"/>
          <w:lang w:val="en-US"/>
        </w:rPr>
        <w:t>21</w:t>
      </w:r>
      <w:r w:rsidR="00E877E0" w:rsidRPr="00BA6D11">
        <w:rPr>
          <w:rFonts w:eastAsia="Calibri"/>
          <w:lang w:val="en-US"/>
        </w:rPr>
        <w:t xml:space="preserve"> No. </w:t>
      </w:r>
      <w:r w:rsidRPr="00BA6D11">
        <w:rPr>
          <w:rFonts w:eastAsia="Calibri"/>
          <w:lang w:val="en-US"/>
        </w:rPr>
        <w:t xml:space="preserve">4, </w:t>
      </w:r>
      <w:r w:rsidR="00E877E0" w:rsidRPr="00BA6D11">
        <w:rPr>
          <w:rFonts w:eastAsia="Calibri"/>
          <w:lang w:val="en-US"/>
        </w:rPr>
        <w:t xml:space="preserve">pp. </w:t>
      </w:r>
      <w:r w:rsidRPr="00BA6D11">
        <w:rPr>
          <w:rFonts w:eastAsia="Calibri"/>
          <w:lang w:val="en-US"/>
        </w:rPr>
        <w:t>996-1010.</w:t>
      </w:r>
    </w:p>
    <w:p w14:paraId="774DEBCB" w14:textId="3D147E87"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Damanpour</w:t>
      </w:r>
      <w:proofErr w:type="spellEnd"/>
      <w:r w:rsidRPr="00BA6D11">
        <w:rPr>
          <w:rFonts w:eastAsia="Calibri"/>
          <w:lang w:val="en-US"/>
        </w:rPr>
        <w:t>, F. (2014)</w:t>
      </w:r>
      <w:r w:rsidR="00E877E0" w:rsidRPr="00BA6D11">
        <w:rPr>
          <w:rFonts w:eastAsia="Calibri"/>
          <w:lang w:val="en-US"/>
        </w:rPr>
        <w:t>, “</w:t>
      </w:r>
      <w:r w:rsidRPr="00BA6D11">
        <w:rPr>
          <w:rFonts w:eastAsia="Calibri"/>
          <w:lang w:val="en-US"/>
        </w:rPr>
        <w:t>Footnotes to research on management innovation</w:t>
      </w:r>
      <w:r w:rsidR="00E877E0" w:rsidRPr="00BA6D11">
        <w:rPr>
          <w:rFonts w:eastAsia="Calibri"/>
          <w:lang w:val="en-US"/>
        </w:rPr>
        <w:t>”,</w:t>
      </w:r>
      <w:r w:rsidRPr="00BA6D11">
        <w:rPr>
          <w:rFonts w:eastAsia="Calibri"/>
          <w:lang w:val="en-US"/>
        </w:rPr>
        <w:t xml:space="preserve"> </w:t>
      </w:r>
      <w:r w:rsidRPr="00BA6D11">
        <w:rPr>
          <w:rFonts w:eastAsia="Calibri"/>
          <w:i/>
          <w:iCs/>
          <w:lang w:val="en-US"/>
        </w:rPr>
        <w:t>Organization Studies</w:t>
      </w:r>
      <w:r w:rsidRPr="00BA6D11">
        <w:rPr>
          <w:rFonts w:eastAsia="Calibri"/>
          <w:lang w:val="en-US"/>
        </w:rPr>
        <w:t xml:space="preserve">, </w:t>
      </w:r>
      <w:r w:rsidR="00E877E0" w:rsidRPr="00BA6D11">
        <w:rPr>
          <w:rFonts w:eastAsia="Calibri"/>
          <w:lang w:val="en-US"/>
        </w:rPr>
        <w:t xml:space="preserve">Vol. </w:t>
      </w:r>
      <w:r w:rsidRPr="00BA6D11">
        <w:rPr>
          <w:rFonts w:eastAsia="Calibri"/>
          <w:lang w:val="en-US"/>
        </w:rPr>
        <w:t>35</w:t>
      </w:r>
      <w:r w:rsidR="00E877E0" w:rsidRPr="00BA6D11">
        <w:rPr>
          <w:rFonts w:eastAsia="Calibri"/>
          <w:lang w:val="en-US"/>
        </w:rPr>
        <w:t xml:space="preserve"> No. </w:t>
      </w:r>
      <w:r w:rsidRPr="00BA6D11">
        <w:rPr>
          <w:rFonts w:eastAsia="Calibri"/>
          <w:lang w:val="en-US"/>
        </w:rPr>
        <w:t xml:space="preserve">9, </w:t>
      </w:r>
      <w:r w:rsidR="00E877E0" w:rsidRPr="00BA6D11">
        <w:rPr>
          <w:rFonts w:eastAsia="Calibri"/>
          <w:lang w:val="en-US"/>
        </w:rPr>
        <w:t xml:space="preserve">pp. </w:t>
      </w:r>
      <w:r w:rsidRPr="00BA6D11">
        <w:rPr>
          <w:rFonts w:eastAsia="Calibri"/>
          <w:lang w:val="en-US"/>
        </w:rPr>
        <w:t>1265-1285.</w:t>
      </w:r>
    </w:p>
    <w:p w14:paraId="035BB6B9" w14:textId="438E58E4"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Dmitrijeva</w:t>
      </w:r>
      <w:proofErr w:type="spellEnd"/>
      <w:r w:rsidRPr="00BA6D11">
        <w:rPr>
          <w:rFonts w:eastAsia="Calibri"/>
          <w:lang w:val="en-US"/>
        </w:rPr>
        <w:t xml:space="preserve">, J., Schroeder, A., </w:t>
      </w:r>
      <w:proofErr w:type="spellStart"/>
      <w:r w:rsidRPr="00BA6D11">
        <w:rPr>
          <w:rFonts w:eastAsia="Calibri"/>
          <w:lang w:val="en-US"/>
        </w:rPr>
        <w:t>Ziaee</w:t>
      </w:r>
      <w:proofErr w:type="spellEnd"/>
      <w:r w:rsidRPr="00BA6D11">
        <w:rPr>
          <w:rFonts w:eastAsia="Calibri"/>
          <w:lang w:val="en-US"/>
        </w:rPr>
        <w:t xml:space="preserve"> </w:t>
      </w:r>
      <w:proofErr w:type="spellStart"/>
      <w:r w:rsidRPr="00BA6D11">
        <w:rPr>
          <w:rFonts w:eastAsia="Calibri"/>
          <w:lang w:val="en-US"/>
        </w:rPr>
        <w:t>Bigdeli</w:t>
      </w:r>
      <w:proofErr w:type="spellEnd"/>
      <w:r w:rsidRPr="00BA6D11">
        <w:rPr>
          <w:rFonts w:eastAsia="Calibri"/>
          <w:lang w:val="en-US"/>
        </w:rPr>
        <w:t>, A.</w:t>
      </w:r>
      <w:r w:rsidR="0067500C" w:rsidRPr="00BA6D11">
        <w:rPr>
          <w:rFonts w:eastAsia="Calibri"/>
          <w:lang w:val="en-US"/>
        </w:rPr>
        <w:t xml:space="preserve"> and</w:t>
      </w:r>
      <w:r w:rsidRPr="00BA6D11">
        <w:rPr>
          <w:rFonts w:eastAsia="Calibri"/>
          <w:lang w:val="en-US"/>
        </w:rPr>
        <w:t xml:space="preserve"> Baines, T. (2020)</w:t>
      </w:r>
      <w:r w:rsidR="0067500C" w:rsidRPr="00BA6D11">
        <w:rPr>
          <w:rFonts w:eastAsia="Calibri"/>
          <w:lang w:val="en-US"/>
        </w:rPr>
        <w:t>, “</w:t>
      </w:r>
      <w:r w:rsidRPr="00BA6D11">
        <w:rPr>
          <w:rFonts w:eastAsia="Calibri"/>
          <w:lang w:val="en-US"/>
        </w:rPr>
        <w:t xml:space="preserve">Context matters: how internal and external factors impact </w:t>
      </w:r>
      <w:proofErr w:type="spellStart"/>
      <w:r w:rsidRPr="00BA6D11">
        <w:rPr>
          <w:rFonts w:eastAsia="Calibri"/>
          <w:lang w:val="en-US"/>
        </w:rPr>
        <w:t>servitization</w:t>
      </w:r>
      <w:proofErr w:type="spellEnd"/>
      <w:r w:rsidR="0067500C" w:rsidRPr="00BA6D11">
        <w:rPr>
          <w:rFonts w:eastAsia="Calibri"/>
          <w:lang w:val="en-US"/>
        </w:rPr>
        <w:t xml:space="preserve">”, </w:t>
      </w:r>
      <w:r w:rsidRPr="00BA6D11">
        <w:rPr>
          <w:rFonts w:eastAsia="Calibri"/>
          <w:i/>
          <w:iCs/>
          <w:lang w:val="en-US"/>
        </w:rPr>
        <w:t>Production Planning &amp; Control</w:t>
      </w:r>
      <w:r w:rsidRPr="00BA6D11">
        <w:rPr>
          <w:rFonts w:eastAsia="Calibri"/>
          <w:lang w:val="en-US"/>
        </w:rPr>
        <w:t xml:space="preserve">, </w:t>
      </w:r>
      <w:r w:rsidR="0027180F" w:rsidRPr="00BA6D11">
        <w:rPr>
          <w:rFonts w:eastAsia="Calibri"/>
          <w:lang w:val="en-US"/>
        </w:rPr>
        <w:t>Vol</w:t>
      </w:r>
      <w:r w:rsidR="0067500C" w:rsidRPr="00BA6D11">
        <w:rPr>
          <w:rFonts w:eastAsia="Calibri"/>
          <w:lang w:val="en-US"/>
        </w:rPr>
        <w:t xml:space="preserve">. </w:t>
      </w:r>
      <w:r w:rsidRPr="00BA6D11">
        <w:rPr>
          <w:rFonts w:eastAsia="Calibri"/>
          <w:lang w:val="en-US"/>
        </w:rPr>
        <w:t>31</w:t>
      </w:r>
      <w:r w:rsidR="0067500C" w:rsidRPr="00BA6D11">
        <w:rPr>
          <w:rFonts w:eastAsia="Calibri"/>
          <w:lang w:val="en-US"/>
        </w:rPr>
        <w:t xml:space="preserve"> No. </w:t>
      </w:r>
      <w:r w:rsidRPr="00BA6D11">
        <w:rPr>
          <w:rFonts w:eastAsia="Calibri"/>
          <w:lang w:val="en-US"/>
        </w:rPr>
        <w:t xml:space="preserve">13, </w:t>
      </w:r>
      <w:r w:rsidR="0067500C" w:rsidRPr="00BA6D11">
        <w:rPr>
          <w:rFonts w:eastAsia="Calibri"/>
          <w:lang w:val="en-US"/>
        </w:rPr>
        <w:t xml:space="preserve">pp. </w:t>
      </w:r>
      <w:r w:rsidRPr="00BA6D11">
        <w:rPr>
          <w:rFonts w:eastAsia="Calibri"/>
          <w:lang w:val="en-US"/>
        </w:rPr>
        <w:t>1077-1097.</w:t>
      </w:r>
    </w:p>
    <w:p w14:paraId="4F5F1A0E" w14:textId="72F7C22A" w:rsidR="004931E9" w:rsidRPr="004931E9" w:rsidRDefault="004931E9" w:rsidP="004931E9">
      <w:pPr>
        <w:widowControl w:val="0"/>
        <w:autoSpaceDE w:val="0"/>
        <w:autoSpaceDN w:val="0"/>
        <w:adjustRightInd w:val="0"/>
        <w:ind w:left="284" w:hanging="284"/>
        <w:rPr>
          <w:rFonts w:eastAsia="Calibri"/>
          <w:lang w:val="en-US"/>
        </w:rPr>
      </w:pPr>
      <w:r w:rsidRPr="004931E9">
        <w:rPr>
          <w:rFonts w:eastAsia="Calibri"/>
          <w:lang w:val="en-US"/>
        </w:rPr>
        <w:t>Feng, C., Ma, R.</w:t>
      </w:r>
      <w:r>
        <w:rPr>
          <w:rFonts w:eastAsia="Calibri"/>
          <w:lang w:val="en-US"/>
        </w:rPr>
        <w:t xml:space="preserve"> and</w:t>
      </w:r>
      <w:r w:rsidRPr="004931E9">
        <w:rPr>
          <w:rFonts w:eastAsia="Calibri"/>
          <w:lang w:val="en-US"/>
        </w:rPr>
        <w:t xml:space="preserve"> Jiang, L. (2020)</w:t>
      </w:r>
      <w:r>
        <w:rPr>
          <w:rFonts w:eastAsia="Calibri"/>
          <w:lang w:val="en-US"/>
        </w:rPr>
        <w:t>, “</w:t>
      </w:r>
      <w:r w:rsidRPr="004931E9">
        <w:rPr>
          <w:rFonts w:eastAsia="Calibri"/>
          <w:lang w:val="en-US"/>
        </w:rPr>
        <w:t>The impact of service innovation on firm performance: a meta-analysis</w:t>
      </w:r>
      <w:r>
        <w:rPr>
          <w:rFonts w:eastAsia="Calibri"/>
          <w:lang w:val="en-US"/>
        </w:rPr>
        <w:t>”,</w:t>
      </w:r>
      <w:r w:rsidRPr="004931E9">
        <w:rPr>
          <w:rFonts w:eastAsia="Calibri"/>
          <w:lang w:val="en-US"/>
        </w:rPr>
        <w:t xml:space="preserve"> </w:t>
      </w:r>
      <w:r w:rsidRPr="004931E9">
        <w:rPr>
          <w:rFonts w:eastAsia="Calibri"/>
          <w:i/>
          <w:iCs/>
          <w:lang w:val="en-US"/>
        </w:rPr>
        <w:t>Journal of Service Management</w:t>
      </w:r>
      <w:r>
        <w:rPr>
          <w:rFonts w:eastAsia="Calibri"/>
          <w:lang w:val="en-US" w:eastAsia="en-US"/>
        </w:rPr>
        <w:t>, ahead-of-print.</w:t>
      </w:r>
    </w:p>
    <w:p w14:paraId="707D80F1" w14:textId="653F3457" w:rsidR="008C5AA8" w:rsidRPr="004931E9" w:rsidRDefault="008C5AA8" w:rsidP="008C5AA8">
      <w:pPr>
        <w:widowControl w:val="0"/>
        <w:autoSpaceDE w:val="0"/>
        <w:autoSpaceDN w:val="0"/>
        <w:adjustRightInd w:val="0"/>
        <w:ind w:left="284" w:hanging="284"/>
        <w:rPr>
          <w:rFonts w:eastAsia="Calibri"/>
          <w:lang w:val="en-US"/>
        </w:rPr>
      </w:pPr>
      <w:r w:rsidRPr="004931E9">
        <w:rPr>
          <w:rFonts w:eastAsia="Calibri"/>
          <w:lang w:val="en-US"/>
        </w:rPr>
        <w:t xml:space="preserve">Foroudi, P., </w:t>
      </w:r>
      <w:proofErr w:type="spellStart"/>
      <w:r w:rsidRPr="004931E9">
        <w:rPr>
          <w:rFonts w:eastAsia="Calibri"/>
          <w:lang w:val="en-US"/>
        </w:rPr>
        <w:t>Jin</w:t>
      </w:r>
      <w:proofErr w:type="spellEnd"/>
      <w:r w:rsidRPr="004931E9">
        <w:rPr>
          <w:rFonts w:eastAsia="Calibri"/>
          <w:lang w:val="en-US"/>
        </w:rPr>
        <w:t>, Z., Gupta, S., Melewar, T. C.</w:t>
      </w:r>
      <w:r w:rsidR="00C91C0D" w:rsidRPr="004931E9">
        <w:rPr>
          <w:rFonts w:eastAsia="Calibri"/>
          <w:lang w:val="en-US"/>
        </w:rPr>
        <w:t xml:space="preserve"> and</w:t>
      </w:r>
      <w:r w:rsidRPr="004931E9">
        <w:rPr>
          <w:rFonts w:eastAsia="Calibri"/>
          <w:lang w:val="en-US"/>
        </w:rPr>
        <w:t xml:space="preserve"> Foroudi, M. M. (2016)</w:t>
      </w:r>
      <w:r w:rsidR="00C91C0D" w:rsidRPr="004931E9">
        <w:rPr>
          <w:rFonts w:eastAsia="Calibri"/>
          <w:lang w:val="en-US"/>
        </w:rPr>
        <w:t>, “</w:t>
      </w:r>
      <w:r w:rsidRPr="004931E9">
        <w:rPr>
          <w:rFonts w:eastAsia="Calibri"/>
          <w:lang w:val="en-US"/>
        </w:rPr>
        <w:t>Influence of innovation capability and customer experience on reputation and loyalty</w:t>
      </w:r>
      <w:r w:rsidR="00C91C0D" w:rsidRPr="004931E9">
        <w:rPr>
          <w:rFonts w:eastAsia="Calibri"/>
          <w:lang w:val="en-US"/>
        </w:rPr>
        <w:t>”,</w:t>
      </w:r>
      <w:r w:rsidRPr="004931E9">
        <w:rPr>
          <w:rFonts w:eastAsia="Calibri"/>
          <w:lang w:val="en-US"/>
        </w:rPr>
        <w:t xml:space="preserve"> </w:t>
      </w:r>
      <w:r w:rsidRPr="004931E9">
        <w:rPr>
          <w:rFonts w:eastAsia="Calibri"/>
          <w:i/>
          <w:iCs/>
          <w:lang w:val="en-US"/>
        </w:rPr>
        <w:t xml:space="preserve">Journal of </w:t>
      </w:r>
      <w:r w:rsidR="00C91C0D" w:rsidRPr="004931E9">
        <w:rPr>
          <w:rFonts w:eastAsia="Calibri"/>
          <w:i/>
          <w:iCs/>
          <w:lang w:val="en-US"/>
        </w:rPr>
        <w:t>B</w:t>
      </w:r>
      <w:r w:rsidRPr="004931E9">
        <w:rPr>
          <w:rFonts w:eastAsia="Calibri"/>
          <w:i/>
          <w:iCs/>
          <w:lang w:val="en-US"/>
        </w:rPr>
        <w:t xml:space="preserve">usiness </w:t>
      </w:r>
      <w:r w:rsidR="00C91C0D" w:rsidRPr="004931E9">
        <w:rPr>
          <w:rFonts w:eastAsia="Calibri"/>
          <w:i/>
          <w:iCs/>
          <w:lang w:val="en-US"/>
        </w:rPr>
        <w:t>R</w:t>
      </w:r>
      <w:r w:rsidRPr="004931E9">
        <w:rPr>
          <w:rFonts w:eastAsia="Calibri"/>
          <w:i/>
          <w:iCs/>
          <w:lang w:val="en-US"/>
        </w:rPr>
        <w:t>esearch</w:t>
      </w:r>
      <w:r w:rsidRPr="004931E9">
        <w:rPr>
          <w:rFonts w:eastAsia="Calibri"/>
          <w:lang w:val="en-US"/>
        </w:rPr>
        <w:t xml:space="preserve">, </w:t>
      </w:r>
      <w:r w:rsidR="00C91C0D" w:rsidRPr="004931E9">
        <w:rPr>
          <w:rFonts w:eastAsia="Calibri"/>
          <w:lang w:val="en-US"/>
        </w:rPr>
        <w:t xml:space="preserve">Vol. </w:t>
      </w:r>
      <w:r w:rsidRPr="004931E9">
        <w:rPr>
          <w:rFonts w:eastAsia="Calibri"/>
          <w:lang w:val="en-US"/>
        </w:rPr>
        <w:t>69</w:t>
      </w:r>
      <w:r w:rsidR="00C91C0D" w:rsidRPr="004931E9">
        <w:rPr>
          <w:rFonts w:eastAsia="Calibri"/>
          <w:lang w:val="en-US"/>
        </w:rPr>
        <w:t xml:space="preserve"> No. </w:t>
      </w:r>
      <w:r w:rsidRPr="004931E9">
        <w:rPr>
          <w:rFonts w:eastAsia="Calibri"/>
          <w:lang w:val="en-US"/>
        </w:rPr>
        <w:t xml:space="preserve">11, </w:t>
      </w:r>
      <w:r w:rsidR="00C91C0D" w:rsidRPr="004931E9">
        <w:rPr>
          <w:rFonts w:eastAsia="Calibri"/>
          <w:lang w:val="en-US"/>
        </w:rPr>
        <w:t xml:space="preserve">pp. </w:t>
      </w:r>
      <w:r w:rsidRPr="004931E9">
        <w:rPr>
          <w:rFonts w:eastAsia="Calibri"/>
          <w:lang w:val="en-US"/>
        </w:rPr>
        <w:t>4882-4889.</w:t>
      </w:r>
    </w:p>
    <w:p w14:paraId="19C87E10" w14:textId="57A4FFFE"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Garc</w:t>
      </w:r>
      <w:r w:rsidR="00C91C0D" w:rsidRPr="00BA6D11">
        <w:rPr>
          <w:rFonts w:eastAsia="Calibri"/>
          <w:lang w:val="en-US"/>
        </w:rPr>
        <w:t>i</w:t>
      </w:r>
      <w:r w:rsidRPr="00BA6D11">
        <w:rPr>
          <w:rFonts w:eastAsia="Calibri"/>
          <w:lang w:val="en-US"/>
        </w:rPr>
        <w:t>a-</w:t>
      </w:r>
      <w:r w:rsidR="00C91C0D" w:rsidRPr="00BA6D11">
        <w:rPr>
          <w:rFonts w:eastAsia="Calibri"/>
          <w:lang w:val="en-US"/>
        </w:rPr>
        <w:t>Al</w:t>
      </w:r>
      <w:r w:rsidRPr="00BA6D11">
        <w:rPr>
          <w:rFonts w:eastAsia="Calibri"/>
          <w:lang w:val="en-US"/>
        </w:rPr>
        <w:t>varez, M. T. (2015)</w:t>
      </w:r>
      <w:r w:rsidR="00C91C0D" w:rsidRPr="00BA6D11">
        <w:rPr>
          <w:rFonts w:eastAsia="Calibri"/>
          <w:lang w:val="en-US"/>
        </w:rPr>
        <w:t>, “</w:t>
      </w:r>
      <w:r w:rsidRPr="00BA6D11">
        <w:rPr>
          <w:rFonts w:eastAsia="Calibri"/>
          <w:lang w:val="en-US"/>
        </w:rPr>
        <w:t xml:space="preserve">Analysis of the effects of ICTs in knowledge management and innovation: </w:t>
      </w:r>
      <w:r w:rsidR="00C91C0D" w:rsidRPr="00BA6D11">
        <w:rPr>
          <w:rFonts w:eastAsia="Calibri"/>
          <w:lang w:val="en-US"/>
        </w:rPr>
        <w:t>t</w:t>
      </w:r>
      <w:r w:rsidRPr="00BA6D11">
        <w:rPr>
          <w:rFonts w:eastAsia="Calibri"/>
          <w:lang w:val="en-US"/>
        </w:rPr>
        <w:t>he case of Zara Group</w:t>
      </w:r>
      <w:r w:rsidR="00C91C0D" w:rsidRPr="00BA6D11">
        <w:rPr>
          <w:rFonts w:eastAsia="Calibri"/>
          <w:lang w:val="en-US"/>
        </w:rPr>
        <w:t xml:space="preserve">”, </w:t>
      </w:r>
      <w:r w:rsidRPr="00BA6D11">
        <w:rPr>
          <w:rFonts w:eastAsia="Calibri"/>
          <w:i/>
          <w:iCs/>
          <w:lang w:val="en-US"/>
        </w:rPr>
        <w:t>Computers in Human Behavior</w:t>
      </w:r>
      <w:r w:rsidRPr="00BA6D11">
        <w:rPr>
          <w:rFonts w:eastAsia="Calibri"/>
          <w:lang w:val="en-US"/>
        </w:rPr>
        <w:t xml:space="preserve">, </w:t>
      </w:r>
      <w:r w:rsidR="00C91C0D" w:rsidRPr="00BA6D11">
        <w:rPr>
          <w:rFonts w:eastAsia="Calibri"/>
          <w:lang w:val="en-US"/>
        </w:rPr>
        <w:t xml:space="preserve">Vol. </w:t>
      </w:r>
      <w:r w:rsidRPr="00BA6D11">
        <w:rPr>
          <w:rFonts w:eastAsia="Calibri"/>
          <w:lang w:val="en-US"/>
        </w:rPr>
        <w:t xml:space="preserve">51, </w:t>
      </w:r>
      <w:r w:rsidR="00C91C0D" w:rsidRPr="00BA6D11">
        <w:rPr>
          <w:rFonts w:eastAsia="Calibri"/>
          <w:lang w:val="en-US"/>
        </w:rPr>
        <w:t xml:space="preserve">pp. </w:t>
      </w:r>
      <w:r w:rsidRPr="00BA6D11">
        <w:rPr>
          <w:rFonts w:eastAsia="Calibri"/>
          <w:lang w:val="en-US"/>
        </w:rPr>
        <w:t xml:space="preserve">994-1002. </w:t>
      </w:r>
    </w:p>
    <w:p w14:paraId="7275EEA8" w14:textId="236E037B" w:rsidR="008C5AA8" w:rsidRPr="00471388" w:rsidRDefault="008C5AA8" w:rsidP="008C5AA8">
      <w:pPr>
        <w:widowControl w:val="0"/>
        <w:autoSpaceDE w:val="0"/>
        <w:autoSpaceDN w:val="0"/>
        <w:adjustRightInd w:val="0"/>
        <w:ind w:left="284" w:hanging="284"/>
        <w:rPr>
          <w:rFonts w:eastAsia="Calibri"/>
          <w:lang w:val="en-US"/>
        </w:rPr>
      </w:pPr>
      <w:proofErr w:type="spellStart"/>
      <w:r w:rsidRPr="00471388">
        <w:rPr>
          <w:rFonts w:eastAsia="Calibri"/>
          <w:lang w:val="en-US"/>
        </w:rPr>
        <w:t>Gebauer</w:t>
      </w:r>
      <w:proofErr w:type="spellEnd"/>
      <w:r w:rsidRPr="00471388">
        <w:rPr>
          <w:rFonts w:eastAsia="Calibri"/>
          <w:lang w:val="en-US"/>
        </w:rPr>
        <w:t xml:space="preserve">, H., </w:t>
      </w:r>
      <w:proofErr w:type="spellStart"/>
      <w:r w:rsidRPr="00471388">
        <w:rPr>
          <w:rFonts w:eastAsia="Calibri"/>
          <w:lang w:val="en-US"/>
        </w:rPr>
        <w:t>Paiola</w:t>
      </w:r>
      <w:proofErr w:type="spellEnd"/>
      <w:r w:rsidRPr="00471388">
        <w:rPr>
          <w:rFonts w:eastAsia="Calibri"/>
          <w:lang w:val="en-US"/>
        </w:rPr>
        <w:t xml:space="preserve">, M., </w:t>
      </w:r>
      <w:proofErr w:type="spellStart"/>
      <w:r w:rsidRPr="00471388">
        <w:rPr>
          <w:rFonts w:eastAsia="Calibri"/>
          <w:lang w:val="en-US"/>
        </w:rPr>
        <w:t>Saccani</w:t>
      </w:r>
      <w:proofErr w:type="spellEnd"/>
      <w:r w:rsidRPr="00471388">
        <w:rPr>
          <w:rFonts w:eastAsia="Calibri"/>
          <w:lang w:val="en-US"/>
        </w:rPr>
        <w:t>, N.</w:t>
      </w:r>
      <w:r w:rsidR="00471388" w:rsidRPr="00471388">
        <w:rPr>
          <w:rFonts w:eastAsia="Calibri"/>
          <w:lang w:val="en-US"/>
        </w:rPr>
        <w:t xml:space="preserve"> and</w:t>
      </w:r>
      <w:r w:rsidRPr="00471388">
        <w:rPr>
          <w:rFonts w:eastAsia="Calibri"/>
          <w:lang w:val="en-US"/>
        </w:rPr>
        <w:t xml:space="preserve"> </w:t>
      </w:r>
      <w:proofErr w:type="spellStart"/>
      <w:r w:rsidRPr="00471388">
        <w:rPr>
          <w:rFonts w:eastAsia="Calibri"/>
          <w:lang w:val="en-US"/>
        </w:rPr>
        <w:t>Rapaccini</w:t>
      </w:r>
      <w:proofErr w:type="spellEnd"/>
      <w:r w:rsidRPr="00471388">
        <w:rPr>
          <w:rFonts w:eastAsia="Calibri"/>
          <w:lang w:val="en-US"/>
        </w:rPr>
        <w:t>, M. (2020a)</w:t>
      </w:r>
      <w:r w:rsidR="00471388">
        <w:rPr>
          <w:rFonts w:eastAsia="Calibri"/>
          <w:lang w:val="en-US"/>
        </w:rPr>
        <w:t>, “</w:t>
      </w:r>
      <w:r w:rsidRPr="004931E9">
        <w:rPr>
          <w:rFonts w:eastAsia="Calibri"/>
          <w:lang w:val="en-US"/>
        </w:rPr>
        <w:t xml:space="preserve">Digital servitization: </w:t>
      </w:r>
      <w:r w:rsidR="00471388" w:rsidRPr="004931E9">
        <w:rPr>
          <w:rFonts w:eastAsia="Calibri"/>
          <w:lang w:val="en-US"/>
        </w:rPr>
        <w:t>c</w:t>
      </w:r>
      <w:r w:rsidRPr="004931E9">
        <w:rPr>
          <w:rFonts w:eastAsia="Calibri"/>
          <w:lang w:val="en-US"/>
        </w:rPr>
        <w:t>rossing the perspectives of digitization and servitization</w:t>
      </w:r>
      <w:r w:rsidR="00471388" w:rsidRPr="004931E9">
        <w:rPr>
          <w:rFonts w:eastAsia="Calibri"/>
          <w:lang w:val="en-US"/>
        </w:rPr>
        <w:t>”,</w:t>
      </w:r>
      <w:r w:rsidRPr="004931E9">
        <w:rPr>
          <w:rFonts w:eastAsia="Calibri"/>
          <w:lang w:val="en-US"/>
        </w:rPr>
        <w:t xml:space="preserve"> </w:t>
      </w:r>
      <w:r w:rsidRPr="00471388">
        <w:rPr>
          <w:rFonts w:eastAsia="Calibri"/>
          <w:i/>
          <w:iCs/>
          <w:lang w:val="en-US"/>
        </w:rPr>
        <w:t>Industrial Marketing Management</w:t>
      </w:r>
      <w:r w:rsidR="004931E9">
        <w:rPr>
          <w:rFonts w:eastAsia="Calibri"/>
          <w:lang w:val="en-US" w:eastAsia="en-US"/>
        </w:rPr>
        <w:t>, ahead-of-print.</w:t>
      </w:r>
    </w:p>
    <w:p w14:paraId="4AC0CFE2" w14:textId="77777777" w:rsidR="00471388" w:rsidRPr="00BA6D11" w:rsidRDefault="00471388" w:rsidP="00471388">
      <w:pPr>
        <w:widowControl w:val="0"/>
        <w:autoSpaceDE w:val="0"/>
        <w:autoSpaceDN w:val="0"/>
        <w:adjustRightInd w:val="0"/>
        <w:ind w:left="284" w:hanging="284"/>
        <w:rPr>
          <w:rFonts w:eastAsia="Calibri"/>
          <w:lang w:val="en-US"/>
        </w:rPr>
      </w:pPr>
      <w:proofErr w:type="spellStart"/>
      <w:r w:rsidRPr="00BA6D11">
        <w:rPr>
          <w:rFonts w:eastAsia="Calibri"/>
          <w:lang w:val="en-US"/>
        </w:rPr>
        <w:t>Gebauer</w:t>
      </w:r>
      <w:proofErr w:type="spellEnd"/>
      <w:r w:rsidRPr="00BA6D11">
        <w:rPr>
          <w:rFonts w:eastAsia="Calibri"/>
          <w:lang w:val="en-US"/>
        </w:rPr>
        <w:t xml:space="preserve">, H., </w:t>
      </w:r>
      <w:proofErr w:type="spellStart"/>
      <w:r w:rsidRPr="00BA6D11">
        <w:rPr>
          <w:rFonts w:eastAsia="Calibri"/>
          <w:lang w:val="en-US"/>
        </w:rPr>
        <w:t>Fleisch</w:t>
      </w:r>
      <w:proofErr w:type="spellEnd"/>
      <w:r w:rsidRPr="00BA6D11">
        <w:rPr>
          <w:rFonts w:eastAsia="Calibri"/>
          <w:lang w:val="en-US"/>
        </w:rPr>
        <w:t xml:space="preserve">, E., Lamprecht, C. and Wortmann, F. (2020b), “Growth paths for overcoming the digitalization paradox”, </w:t>
      </w:r>
      <w:r w:rsidRPr="00BA6D11">
        <w:rPr>
          <w:rFonts w:eastAsia="Calibri"/>
          <w:i/>
          <w:iCs/>
          <w:lang w:val="en-US"/>
        </w:rPr>
        <w:t>Business Horizons</w:t>
      </w:r>
      <w:r w:rsidRPr="00BA6D11">
        <w:rPr>
          <w:rFonts w:eastAsia="Calibri"/>
          <w:lang w:val="en-US"/>
        </w:rPr>
        <w:t>, Vol. 63 No. 3, pp. 313-323</w:t>
      </w:r>
    </w:p>
    <w:p w14:paraId="3151929A" w14:textId="1A85F126" w:rsidR="008C5AA8" w:rsidRPr="00BA6D11" w:rsidRDefault="008C5AA8" w:rsidP="008C5AA8">
      <w:pPr>
        <w:widowControl w:val="0"/>
        <w:autoSpaceDE w:val="0"/>
        <w:autoSpaceDN w:val="0"/>
        <w:adjustRightInd w:val="0"/>
        <w:ind w:left="284" w:hanging="284"/>
        <w:rPr>
          <w:rFonts w:eastAsia="Calibri"/>
          <w:lang w:val="en-US"/>
        </w:rPr>
      </w:pPr>
      <w:r w:rsidRPr="0057019A">
        <w:rPr>
          <w:rFonts w:eastAsia="Calibri"/>
          <w:lang w:val="en-US"/>
        </w:rPr>
        <w:t>González-</w:t>
      </w:r>
      <w:proofErr w:type="spellStart"/>
      <w:r w:rsidRPr="0057019A">
        <w:rPr>
          <w:rFonts w:eastAsia="Calibri"/>
          <w:lang w:val="en-US"/>
        </w:rPr>
        <w:t>Pernía</w:t>
      </w:r>
      <w:proofErr w:type="spellEnd"/>
      <w:r w:rsidRPr="0057019A">
        <w:rPr>
          <w:rFonts w:eastAsia="Calibri"/>
          <w:lang w:val="en-US"/>
        </w:rPr>
        <w:t>, J. L., Peña-</w:t>
      </w:r>
      <w:proofErr w:type="spellStart"/>
      <w:r w:rsidRPr="0057019A">
        <w:rPr>
          <w:rFonts w:eastAsia="Calibri"/>
          <w:lang w:val="en-US"/>
        </w:rPr>
        <w:t>Legazkue</w:t>
      </w:r>
      <w:proofErr w:type="spellEnd"/>
      <w:r w:rsidRPr="0057019A">
        <w:rPr>
          <w:rFonts w:eastAsia="Calibri"/>
          <w:lang w:val="en-US"/>
        </w:rPr>
        <w:t>, I.</w:t>
      </w:r>
      <w:r w:rsidR="0057019A" w:rsidRPr="0057019A">
        <w:rPr>
          <w:rFonts w:eastAsia="Calibri"/>
          <w:lang w:val="en-US"/>
        </w:rPr>
        <w:t xml:space="preserve"> and</w:t>
      </w:r>
      <w:r w:rsidRPr="0057019A">
        <w:rPr>
          <w:rFonts w:eastAsia="Calibri"/>
          <w:lang w:val="en-US"/>
        </w:rPr>
        <w:t xml:space="preserve"> Vendrell-Herrero, F. (2012)</w:t>
      </w:r>
      <w:r w:rsidR="0057019A" w:rsidRPr="0057019A">
        <w:rPr>
          <w:rFonts w:eastAsia="Calibri"/>
          <w:lang w:val="en-US"/>
        </w:rPr>
        <w:t>,</w:t>
      </w:r>
      <w:r w:rsidR="0057019A">
        <w:rPr>
          <w:rFonts w:eastAsia="Calibri"/>
          <w:lang w:val="en-US"/>
        </w:rPr>
        <w:t xml:space="preserve"> “</w:t>
      </w:r>
      <w:r w:rsidRPr="00BA6D11">
        <w:rPr>
          <w:rFonts w:eastAsia="Calibri"/>
          <w:lang w:val="en-US"/>
        </w:rPr>
        <w:t>Innovation, entrepreneurial activity and competitiveness at a sub-national level</w:t>
      </w:r>
      <w:r w:rsidR="0057019A" w:rsidRPr="00BA6D11">
        <w:rPr>
          <w:rFonts w:eastAsia="Calibri"/>
          <w:lang w:val="en-US"/>
        </w:rPr>
        <w:t>”,</w:t>
      </w:r>
      <w:r w:rsidRPr="00BA6D11">
        <w:rPr>
          <w:rFonts w:eastAsia="Calibri"/>
          <w:lang w:val="en-US"/>
        </w:rPr>
        <w:t xml:space="preserve"> </w:t>
      </w:r>
      <w:r w:rsidRPr="00BA6D11">
        <w:rPr>
          <w:rFonts w:eastAsia="Calibri"/>
          <w:i/>
          <w:iCs/>
          <w:lang w:val="en-US"/>
        </w:rPr>
        <w:t>Small Business Economics</w:t>
      </w:r>
      <w:r w:rsidRPr="00BA6D11">
        <w:rPr>
          <w:rFonts w:eastAsia="Calibri"/>
          <w:lang w:val="en-US"/>
        </w:rPr>
        <w:t xml:space="preserve">, </w:t>
      </w:r>
      <w:r w:rsidR="0057019A" w:rsidRPr="00BA6D11">
        <w:rPr>
          <w:rFonts w:eastAsia="Calibri"/>
          <w:lang w:val="en-US"/>
        </w:rPr>
        <w:t xml:space="preserve">Vol. </w:t>
      </w:r>
      <w:r w:rsidRPr="00BA6D11">
        <w:rPr>
          <w:rFonts w:eastAsia="Calibri"/>
          <w:lang w:val="en-US"/>
        </w:rPr>
        <w:t>39</w:t>
      </w:r>
      <w:r w:rsidR="0057019A" w:rsidRPr="00BA6D11">
        <w:rPr>
          <w:rFonts w:eastAsia="Calibri"/>
          <w:lang w:val="en-US"/>
        </w:rPr>
        <w:t xml:space="preserve"> No. </w:t>
      </w:r>
      <w:r w:rsidRPr="00BA6D11">
        <w:rPr>
          <w:rFonts w:eastAsia="Calibri"/>
          <w:lang w:val="en-US"/>
        </w:rPr>
        <w:t xml:space="preserve">3, </w:t>
      </w:r>
      <w:r w:rsidR="0057019A" w:rsidRPr="00BA6D11">
        <w:rPr>
          <w:rFonts w:eastAsia="Calibri"/>
          <w:lang w:val="en-US"/>
        </w:rPr>
        <w:t xml:space="preserve">pp. </w:t>
      </w:r>
      <w:r w:rsidRPr="00BA6D11">
        <w:rPr>
          <w:rFonts w:eastAsia="Calibri"/>
          <w:lang w:val="en-US"/>
        </w:rPr>
        <w:t>561-574.</w:t>
      </w:r>
    </w:p>
    <w:p w14:paraId="2171E342" w14:textId="47E553E8"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Graham, C.M. and </w:t>
      </w:r>
      <w:proofErr w:type="spellStart"/>
      <w:r w:rsidRPr="00BA6D11">
        <w:rPr>
          <w:rFonts w:eastAsia="Calibri"/>
          <w:lang w:val="en-US"/>
        </w:rPr>
        <w:t>Nafukho</w:t>
      </w:r>
      <w:proofErr w:type="spellEnd"/>
      <w:r w:rsidRPr="00BA6D11">
        <w:rPr>
          <w:rFonts w:eastAsia="Calibri"/>
          <w:lang w:val="en-US"/>
        </w:rPr>
        <w:t xml:space="preserve">, F. (2007), "Culture, organizational learning and selected employee background variables in small‐size business enterprises", </w:t>
      </w:r>
      <w:r w:rsidRPr="00BA6D11">
        <w:rPr>
          <w:rFonts w:eastAsia="Calibri"/>
          <w:i/>
          <w:iCs/>
          <w:lang w:val="en-US"/>
        </w:rPr>
        <w:t>Journal of European Industrial Training</w:t>
      </w:r>
      <w:r w:rsidRPr="00BA6D11">
        <w:rPr>
          <w:rFonts w:eastAsia="Calibri"/>
          <w:lang w:val="en-US"/>
        </w:rPr>
        <w:t xml:space="preserve">, Vol. 31 No. 2, pp. 127-144. </w:t>
      </w:r>
    </w:p>
    <w:p w14:paraId="00D928A7" w14:textId="2E1F5D6E"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Hullova</w:t>
      </w:r>
      <w:proofErr w:type="spellEnd"/>
      <w:r w:rsidRPr="00BA6D11">
        <w:rPr>
          <w:rFonts w:eastAsia="Calibri"/>
          <w:lang w:val="en-US"/>
        </w:rPr>
        <w:t>, D., Trott, P.</w:t>
      </w:r>
      <w:r w:rsidR="00C91C0D" w:rsidRPr="00BA6D11">
        <w:rPr>
          <w:rFonts w:eastAsia="Calibri"/>
          <w:lang w:val="en-US"/>
        </w:rPr>
        <w:t xml:space="preserve"> and </w:t>
      </w:r>
      <w:r w:rsidRPr="00BA6D11">
        <w:rPr>
          <w:rFonts w:eastAsia="Calibri"/>
          <w:lang w:val="en-US"/>
        </w:rPr>
        <w:t>Simms, C. D. (2016)</w:t>
      </w:r>
      <w:r w:rsidR="00C91C0D" w:rsidRPr="00BA6D11">
        <w:rPr>
          <w:rFonts w:eastAsia="Calibri"/>
          <w:lang w:val="en-US"/>
        </w:rPr>
        <w:t>, “</w:t>
      </w:r>
      <w:r w:rsidRPr="00BA6D11">
        <w:rPr>
          <w:rFonts w:eastAsia="Calibri"/>
          <w:lang w:val="en-US"/>
        </w:rPr>
        <w:t>Uncovering the reciprocal complementarity between product and process innovation</w:t>
      </w:r>
      <w:r w:rsidR="00C91C0D" w:rsidRPr="00BA6D11">
        <w:rPr>
          <w:rFonts w:eastAsia="Calibri"/>
          <w:lang w:val="en-US"/>
        </w:rPr>
        <w:t xml:space="preserve">”, </w:t>
      </w:r>
      <w:r w:rsidRPr="00BA6D11">
        <w:rPr>
          <w:rFonts w:eastAsia="Calibri"/>
          <w:i/>
          <w:iCs/>
          <w:lang w:val="en-US"/>
        </w:rPr>
        <w:t xml:space="preserve">Research </w:t>
      </w:r>
      <w:r w:rsidR="00C91C0D" w:rsidRPr="00BA6D11">
        <w:rPr>
          <w:rFonts w:eastAsia="Calibri"/>
          <w:i/>
          <w:iCs/>
          <w:lang w:val="en-US"/>
        </w:rPr>
        <w:t>P</w:t>
      </w:r>
      <w:r w:rsidRPr="00BA6D11">
        <w:rPr>
          <w:rFonts w:eastAsia="Calibri"/>
          <w:i/>
          <w:iCs/>
          <w:lang w:val="en-US"/>
        </w:rPr>
        <w:t>olicy</w:t>
      </w:r>
      <w:r w:rsidRPr="00BA6D11">
        <w:rPr>
          <w:rFonts w:eastAsia="Calibri"/>
          <w:lang w:val="en-US"/>
        </w:rPr>
        <w:t xml:space="preserve">, </w:t>
      </w:r>
      <w:r w:rsidR="00C91C0D" w:rsidRPr="00BA6D11">
        <w:rPr>
          <w:rFonts w:eastAsia="Calibri"/>
          <w:lang w:val="en-US"/>
        </w:rPr>
        <w:t xml:space="preserve">Vol. </w:t>
      </w:r>
      <w:r w:rsidRPr="00BA6D11">
        <w:rPr>
          <w:rFonts w:eastAsia="Calibri"/>
          <w:lang w:val="en-US"/>
        </w:rPr>
        <w:t>45</w:t>
      </w:r>
      <w:r w:rsidR="00C91C0D" w:rsidRPr="00BA6D11">
        <w:rPr>
          <w:rFonts w:eastAsia="Calibri"/>
          <w:lang w:val="en-US"/>
        </w:rPr>
        <w:t xml:space="preserve"> No. </w:t>
      </w:r>
      <w:r w:rsidRPr="00BA6D11">
        <w:rPr>
          <w:rFonts w:eastAsia="Calibri"/>
          <w:lang w:val="en-US"/>
        </w:rPr>
        <w:t xml:space="preserve">5, </w:t>
      </w:r>
      <w:r w:rsidR="00C91C0D" w:rsidRPr="00BA6D11">
        <w:rPr>
          <w:rFonts w:eastAsia="Calibri"/>
          <w:lang w:val="en-US"/>
        </w:rPr>
        <w:t xml:space="preserve">pp. </w:t>
      </w:r>
      <w:r w:rsidRPr="00BA6D11">
        <w:rPr>
          <w:rFonts w:eastAsia="Calibri"/>
          <w:lang w:val="en-US"/>
        </w:rPr>
        <w:t>929-940.</w:t>
      </w:r>
    </w:p>
    <w:p w14:paraId="7E888C13" w14:textId="11D8E447" w:rsidR="00C91C0D" w:rsidRPr="00BA6D11" w:rsidRDefault="00C91C0D" w:rsidP="00C91C0D">
      <w:pPr>
        <w:widowControl w:val="0"/>
        <w:autoSpaceDE w:val="0"/>
        <w:autoSpaceDN w:val="0"/>
        <w:adjustRightInd w:val="0"/>
        <w:ind w:left="284" w:hanging="284"/>
        <w:rPr>
          <w:rFonts w:eastAsia="Calibri"/>
          <w:lang w:val="en-US"/>
        </w:rPr>
      </w:pPr>
      <w:proofErr w:type="spellStart"/>
      <w:r w:rsidRPr="00BA6D11">
        <w:rPr>
          <w:rFonts w:eastAsia="Calibri"/>
          <w:lang w:val="en-US"/>
        </w:rPr>
        <w:t>Hullova</w:t>
      </w:r>
      <w:proofErr w:type="spellEnd"/>
      <w:r w:rsidRPr="00BA6D11">
        <w:rPr>
          <w:rFonts w:eastAsia="Calibri"/>
          <w:lang w:val="en-US"/>
        </w:rPr>
        <w:t xml:space="preserve">, D., Simms, C. D., Trott, P. and </w:t>
      </w:r>
      <w:proofErr w:type="spellStart"/>
      <w:r w:rsidRPr="00BA6D11">
        <w:rPr>
          <w:rFonts w:eastAsia="Calibri"/>
          <w:lang w:val="en-US"/>
        </w:rPr>
        <w:t>Laczko</w:t>
      </w:r>
      <w:proofErr w:type="spellEnd"/>
      <w:r w:rsidRPr="00BA6D11">
        <w:rPr>
          <w:rFonts w:eastAsia="Calibri"/>
          <w:lang w:val="en-US"/>
        </w:rPr>
        <w:t xml:space="preserve">, P. (2019), “Critical capabilities for effective management of complementarity between product and process innovation: cases from the food and drink industry”, </w:t>
      </w:r>
      <w:r w:rsidRPr="00BA6D11">
        <w:rPr>
          <w:rFonts w:eastAsia="Calibri"/>
          <w:i/>
          <w:iCs/>
          <w:lang w:val="en-US"/>
        </w:rPr>
        <w:t>Research Policy</w:t>
      </w:r>
      <w:r w:rsidRPr="00BA6D11">
        <w:rPr>
          <w:rFonts w:eastAsia="Calibri"/>
          <w:lang w:val="en-US"/>
        </w:rPr>
        <w:t>, Vol. 48 No. 1, pp. 339-354.</w:t>
      </w:r>
    </w:p>
    <w:p w14:paraId="25F942F8" w14:textId="31EF796A"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lastRenderedPageBreak/>
        <w:t>Hwang, B.</w:t>
      </w:r>
      <w:r w:rsidR="0057019A" w:rsidRPr="00BA6D11">
        <w:rPr>
          <w:rFonts w:eastAsia="Calibri"/>
          <w:lang w:val="en-US"/>
        </w:rPr>
        <w:t xml:space="preserve"> </w:t>
      </w:r>
      <w:r w:rsidRPr="00BA6D11">
        <w:rPr>
          <w:rFonts w:eastAsia="Calibri"/>
          <w:lang w:val="en-US"/>
        </w:rPr>
        <w:t>N. and Hsu, M.</w:t>
      </w:r>
      <w:r w:rsidR="001254F8" w:rsidRPr="00BA6D11">
        <w:rPr>
          <w:rFonts w:eastAsia="Calibri"/>
          <w:lang w:val="en-US"/>
        </w:rPr>
        <w:t xml:space="preserve"> </w:t>
      </w:r>
      <w:r w:rsidRPr="00BA6D11">
        <w:rPr>
          <w:rFonts w:eastAsia="Calibri"/>
          <w:lang w:val="en-US"/>
        </w:rPr>
        <w:t xml:space="preserve">Y. (2019), "The impact of technological innovation upon </w:t>
      </w:r>
      <w:proofErr w:type="spellStart"/>
      <w:r w:rsidRPr="00BA6D11">
        <w:rPr>
          <w:rFonts w:eastAsia="Calibri"/>
          <w:lang w:val="en-US"/>
        </w:rPr>
        <w:t>servitization</w:t>
      </w:r>
      <w:proofErr w:type="spellEnd"/>
      <w:r w:rsidRPr="00BA6D11">
        <w:rPr>
          <w:rFonts w:eastAsia="Calibri"/>
          <w:lang w:val="en-US"/>
        </w:rPr>
        <w:t xml:space="preserve">: </w:t>
      </w:r>
      <w:r w:rsidR="001254F8" w:rsidRPr="00BA6D11">
        <w:rPr>
          <w:rFonts w:eastAsia="Calibri"/>
          <w:lang w:val="en-US"/>
        </w:rPr>
        <w:t>e</w:t>
      </w:r>
      <w:r w:rsidRPr="00BA6D11">
        <w:rPr>
          <w:rFonts w:eastAsia="Calibri"/>
          <w:lang w:val="en-US"/>
        </w:rPr>
        <w:t xml:space="preserve">vidence from Taiwan Community Innovation Survey", </w:t>
      </w:r>
      <w:r w:rsidRPr="00BA6D11">
        <w:rPr>
          <w:rFonts w:eastAsia="Calibri"/>
          <w:i/>
          <w:iCs/>
          <w:lang w:val="en-US"/>
        </w:rPr>
        <w:t>Journal of Manufacturing Technology Management</w:t>
      </w:r>
      <w:r w:rsidRPr="00BA6D11">
        <w:rPr>
          <w:rFonts w:eastAsia="Calibri"/>
          <w:lang w:val="en-US"/>
        </w:rPr>
        <w:t>, Vol. 30 No. 7, pp. 1097-1114.</w:t>
      </w:r>
    </w:p>
    <w:p w14:paraId="668AF5B1" w14:textId="3A870FF2" w:rsidR="008C5AA8" w:rsidRPr="00BA6D11" w:rsidRDefault="008C5AA8" w:rsidP="008C5AA8">
      <w:pPr>
        <w:widowControl w:val="0"/>
        <w:autoSpaceDE w:val="0"/>
        <w:autoSpaceDN w:val="0"/>
        <w:adjustRightInd w:val="0"/>
        <w:ind w:left="284" w:hanging="284"/>
        <w:rPr>
          <w:rFonts w:eastAsia="Calibri"/>
          <w:lang w:val="en-US"/>
        </w:rPr>
      </w:pPr>
      <w:r w:rsidRPr="001254F8">
        <w:rPr>
          <w:rFonts w:eastAsia="Calibri"/>
          <w:lang w:val="en-US"/>
        </w:rPr>
        <w:t>Jovanovic, M., Raja, J. Z., Visnjic, I.</w:t>
      </w:r>
      <w:r w:rsidR="001254F8" w:rsidRPr="001254F8">
        <w:rPr>
          <w:rFonts w:eastAsia="Calibri"/>
          <w:lang w:val="en-US"/>
        </w:rPr>
        <w:t xml:space="preserve"> and</w:t>
      </w:r>
      <w:r w:rsidRPr="001254F8">
        <w:rPr>
          <w:rFonts w:eastAsia="Calibri"/>
          <w:lang w:val="en-US"/>
        </w:rPr>
        <w:t xml:space="preserve"> </w:t>
      </w:r>
      <w:proofErr w:type="spellStart"/>
      <w:r w:rsidRPr="001254F8">
        <w:rPr>
          <w:rFonts w:eastAsia="Calibri"/>
          <w:lang w:val="en-US"/>
        </w:rPr>
        <w:t>Wiengarten</w:t>
      </w:r>
      <w:proofErr w:type="spellEnd"/>
      <w:r w:rsidRPr="001254F8">
        <w:rPr>
          <w:rFonts w:eastAsia="Calibri"/>
          <w:lang w:val="en-US"/>
        </w:rPr>
        <w:t>, F. (2019)</w:t>
      </w:r>
      <w:r w:rsidR="001254F8">
        <w:rPr>
          <w:rFonts w:eastAsia="Calibri"/>
          <w:lang w:val="en-US"/>
        </w:rPr>
        <w:t>, “</w:t>
      </w:r>
      <w:r w:rsidRPr="00BA6D11">
        <w:rPr>
          <w:rFonts w:eastAsia="Calibri"/>
          <w:lang w:val="en-US"/>
        </w:rPr>
        <w:t xml:space="preserve">Paths to service capability development for </w:t>
      </w:r>
      <w:proofErr w:type="spellStart"/>
      <w:r w:rsidRPr="00BA6D11">
        <w:rPr>
          <w:rFonts w:eastAsia="Calibri"/>
          <w:lang w:val="en-US"/>
        </w:rPr>
        <w:t>servitization</w:t>
      </w:r>
      <w:proofErr w:type="spellEnd"/>
      <w:r w:rsidRPr="00BA6D11">
        <w:rPr>
          <w:rFonts w:eastAsia="Calibri"/>
          <w:lang w:val="en-US"/>
        </w:rPr>
        <w:t xml:space="preserve">: </w:t>
      </w:r>
      <w:r w:rsidR="001254F8" w:rsidRPr="00BA6D11">
        <w:rPr>
          <w:rFonts w:eastAsia="Calibri"/>
          <w:lang w:val="en-US"/>
        </w:rPr>
        <w:t>e</w:t>
      </w:r>
      <w:r w:rsidRPr="00BA6D11">
        <w:rPr>
          <w:rFonts w:eastAsia="Calibri"/>
          <w:lang w:val="en-US"/>
        </w:rPr>
        <w:t>xamining an internal service ecosystem</w:t>
      </w:r>
      <w:r w:rsidR="001254F8" w:rsidRPr="00BA6D11">
        <w:rPr>
          <w:rFonts w:eastAsia="Calibri"/>
          <w:lang w:val="en-US"/>
        </w:rPr>
        <w:t>”,</w:t>
      </w:r>
      <w:r w:rsidRPr="00BA6D11">
        <w:rPr>
          <w:rFonts w:eastAsia="Calibri"/>
          <w:lang w:val="en-US"/>
        </w:rPr>
        <w:t xml:space="preserve"> </w:t>
      </w:r>
      <w:r w:rsidRPr="00BA6D11">
        <w:rPr>
          <w:rFonts w:eastAsia="Calibri"/>
          <w:i/>
          <w:iCs/>
          <w:lang w:val="en-US"/>
        </w:rPr>
        <w:t>Journal of Business Research</w:t>
      </w:r>
      <w:r w:rsidRPr="00BA6D11">
        <w:rPr>
          <w:rFonts w:eastAsia="Calibri"/>
          <w:lang w:val="en-US"/>
        </w:rPr>
        <w:t xml:space="preserve">, </w:t>
      </w:r>
      <w:r w:rsidR="001254F8" w:rsidRPr="00BA6D11">
        <w:rPr>
          <w:rFonts w:eastAsia="Calibri"/>
          <w:lang w:val="en-US"/>
        </w:rPr>
        <w:t xml:space="preserve">Vol. </w:t>
      </w:r>
      <w:r w:rsidRPr="00BA6D11">
        <w:rPr>
          <w:rFonts w:eastAsia="Calibri"/>
          <w:lang w:val="en-US"/>
        </w:rPr>
        <w:t xml:space="preserve">104, </w:t>
      </w:r>
      <w:r w:rsidR="001254F8" w:rsidRPr="00BA6D11">
        <w:rPr>
          <w:rFonts w:eastAsia="Calibri"/>
          <w:lang w:val="en-US"/>
        </w:rPr>
        <w:t xml:space="preserve">pp. </w:t>
      </w:r>
      <w:r w:rsidRPr="00BA6D11">
        <w:rPr>
          <w:rFonts w:eastAsia="Calibri"/>
          <w:lang w:val="en-US"/>
        </w:rPr>
        <w:t>472-485.</w:t>
      </w:r>
    </w:p>
    <w:p w14:paraId="36381CBD" w14:textId="6FB5B257" w:rsidR="008C5AA8" w:rsidRPr="00026635"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Kohtamäki</w:t>
      </w:r>
      <w:proofErr w:type="spellEnd"/>
      <w:r w:rsidRPr="00BA6D11">
        <w:rPr>
          <w:rFonts w:eastAsia="Calibri"/>
          <w:lang w:val="en-US"/>
        </w:rPr>
        <w:t xml:space="preserve">, M., Baines, T., </w:t>
      </w:r>
      <w:proofErr w:type="spellStart"/>
      <w:r w:rsidRPr="00BA6D11">
        <w:rPr>
          <w:rFonts w:eastAsia="Calibri"/>
          <w:lang w:val="en-US"/>
        </w:rPr>
        <w:t>Rabetino</w:t>
      </w:r>
      <w:proofErr w:type="spellEnd"/>
      <w:r w:rsidRPr="00BA6D11">
        <w:rPr>
          <w:rFonts w:eastAsia="Calibri"/>
          <w:lang w:val="en-US"/>
        </w:rPr>
        <w:t>, R.</w:t>
      </w:r>
      <w:r w:rsidR="00C144DD" w:rsidRPr="00BA6D11">
        <w:rPr>
          <w:rFonts w:eastAsia="Calibri"/>
          <w:lang w:val="en-US"/>
        </w:rPr>
        <w:t xml:space="preserve"> and </w:t>
      </w:r>
      <w:proofErr w:type="spellStart"/>
      <w:r w:rsidRPr="00BA6D11">
        <w:rPr>
          <w:rFonts w:eastAsia="Calibri"/>
          <w:lang w:val="en-US"/>
        </w:rPr>
        <w:t>Bigdeli</w:t>
      </w:r>
      <w:proofErr w:type="spellEnd"/>
      <w:r w:rsidRPr="00BA6D11">
        <w:rPr>
          <w:rFonts w:eastAsia="Calibri"/>
          <w:lang w:val="en-US"/>
        </w:rPr>
        <w:t>, A. Z. (2018)</w:t>
      </w:r>
      <w:r w:rsidR="00C144DD" w:rsidRPr="00BA6D11">
        <w:rPr>
          <w:rFonts w:eastAsia="Calibri"/>
          <w:lang w:val="en-US"/>
        </w:rPr>
        <w:t>, “</w:t>
      </w:r>
      <w:r w:rsidRPr="00BA6D11">
        <w:rPr>
          <w:rFonts w:eastAsia="Calibri"/>
          <w:lang w:val="en-US"/>
        </w:rPr>
        <w:t xml:space="preserve">Practices in </w:t>
      </w:r>
      <w:proofErr w:type="spellStart"/>
      <w:r w:rsidRPr="00BA6D11">
        <w:rPr>
          <w:rFonts w:eastAsia="Calibri"/>
          <w:lang w:val="en-US"/>
        </w:rPr>
        <w:t>servitization</w:t>
      </w:r>
      <w:proofErr w:type="spellEnd"/>
      <w:r w:rsidR="00C144DD" w:rsidRPr="00BA6D11">
        <w:rPr>
          <w:rFonts w:eastAsia="Calibri"/>
          <w:lang w:val="en-US"/>
        </w:rPr>
        <w:t xml:space="preserve">”, </w:t>
      </w:r>
      <w:proofErr w:type="spellStart"/>
      <w:r w:rsidR="00C144DD" w:rsidRPr="00BA6D11">
        <w:rPr>
          <w:rFonts w:eastAsia="Calibri"/>
          <w:lang w:val="en-US"/>
        </w:rPr>
        <w:t>Kohtamäki</w:t>
      </w:r>
      <w:proofErr w:type="spellEnd"/>
      <w:r w:rsidR="00C144DD" w:rsidRPr="00BA6D11">
        <w:rPr>
          <w:rFonts w:eastAsia="Calibri"/>
          <w:lang w:val="en-US"/>
        </w:rPr>
        <w:t xml:space="preserve">, M., Baines, T., </w:t>
      </w:r>
      <w:proofErr w:type="spellStart"/>
      <w:r w:rsidR="00C144DD" w:rsidRPr="00BA6D11">
        <w:rPr>
          <w:rFonts w:eastAsia="Calibri"/>
          <w:lang w:val="en-US"/>
        </w:rPr>
        <w:t>Rabetino</w:t>
      </w:r>
      <w:proofErr w:type="spellEnd"/>
      <w:r w:rsidR="00C144DD" w:rsidRPr="00BA6D11">
        <w:rPr>
          <w:rFonts w:eastAsia="Calibri"/>
          <w:lang w:val="en-US"/>
        </w:rPr>
        <w:t xml:space="preserve">, R. and </w:t>
      </w:r>
      <w:proofErr w:type="spellStart"/>
      <w:r w:rsidR="00C144DD" w:rsidRPr="00BA6D11">
        <w:rPr>
          <w:rFonts w:eastAsia="Calibri"/>
          <w:lang w:val="en-US"/>
        </w:rPr>
        <w:t>Bigdeli</w:t>
      </w:r>
      <w:proofErr w:type="spellEnd"/>
      <w:r w:rsidR="00C144DD" w:rsidRPr="00BA6D11">
        <w:rPr>
          <w:rFonts w:eastAsia="Calibri"/>
          <w:lang w:val="en-US"/>
        </w:rPr>
        <w:t xml:space="preserve">, A. Z. </w:t>
      </w:r>
      <w:r w:rsidR="00026635" w:rsidRPr="00BA6D11">
        <w:rPr>
          <w:rFonts w:eastAsia="Calibri"/>
          <w:lang w:val="en-US"/>
        </w:rPr>
        <w:t>(Ed.),</w:t>
      </w:r>
      <w:r w:rsidRPr="00BA6D11">
        <w:rPr>
          <w:rFonts w:eastAsia="Calibri"/>
          <w:lang w:val="en-US"/>
        </w:rPr>
        <w:t xml:space="preserve"> </w:t>
      </w:r>
      <w:r w:rsidRPr="00BA6D11">
        <w:rPr>
          <w:rFonts w:eastAsia="Calibri"/>
          <w:i/>
          <w:iCs/>
          <w:lang w:val="en-US"/>
        </w:rPr>
        <w:t xml:space="preserve">Practices and </w:t>
      </w:r>
      <w:r w:rsidR="00026635" w:rsidRPr="00BA6D11">
        <w:rPr>
          <w:rFonts w:eastAsia="Calibri"/>
          <w:i/>
          <w:iCs/>
          <w:lang w:val="en-US"/>
        </w:rPr>
        <w:t>T</w:t>
      </w:r>
      <w:r w:rsidRPr="00BA6D11">
        <w:rPr>
          <w:rFonts w:eastAsia="Calibri"/>
          <w:i/>
          <w:iCs/>
          <w:lang w:val="en-US"/>
        </w:rPr>
        <w:t xml:space="preserve">ools for </w:t>
      </w:r>
      <w:proofErr w:type="spellStart"/>
      <w:r w:rsidR="00026635" w:rsidRPr="00BA6D11">
        <w:rPr>
          <w:rFonts w:eastAsia="Calibri"/>
          <w:i/>
          <w:iCs/>
          <w:lang w:val="en-US"/>
        </w:rPr>
        <w:t>S</w:t>
      </w:r>
      <w:r w:rsidRPr="00BA6D11">
        <w:rPr>
          <w:rFonts w:eastAsia="Calibri"/>
          <w:i/>
          <w:iCs/>
          <w:lang w:val="en-US"/>
        </w:rPr>
        <w:t>ervitization</w:t>
      </w:r>
      <w:proofErr w:type="spellEnd"/>
      <w:r w:rsidR="00026635" w:rsidRPr="00BA6D11">
        <w:rPr>
          <w:rFonts w:eastAsia="Calibri"/>
          <w:lang w:val="en-US"/>
        </w:rPr>
        <w:t xml:space="preserve">, Cham, </w:t>
      </w:r>
      <w:r w:rsidRPr="00026635">
        <w:rPr>
          <w:rFonts w:eastAsia="Calibri"/>
          <w:lang w:val="en-US"/>
        </w:rPr>
        <w:t xml:space="preserve">Palgrave Macmillan, </w:t>
      </w:r>
      <w:r w:rsidR="00026635">
        <w:rPr>
          <w:rFonts w:eastAsia="Calibri"/>
          <w:lang w:val="en-US"/>
        </w:rPr>
        <w:t>pp. 1-21</w:t>
      </w:r>
      <w:r w:rsidRPr="00026635">
        <w:rPr>
          <w:rFonts w:eastAsia="Calibri"/>
          <w:lang w:val="en-US"/>
        </w:rPr>
        <w:t>.</w:t>
      </w:r>
    </w:p>
    <w:p w14:paraId="21B36131" w14:textId="1514109E" w:rsidR="008C5AA8" w:rsidRPr="00BA6D11" w:rsidRDefault="008C5AA8" w:rsidP="008C5AA8">
      <w:pPr>
        <w:widowControl w:val="0"/>
        <w:autoSpaceDE w:val="0"/>
        <w:autoSpaceDN w:val="0"/>
        <w:adjustRightInd w:val="0"/>
        <w:ind w:left="284" w:hanging="284"/>
        <w:rPr>
          <w:rFonts w:eastAsia="Calibri"/>
          <w:lang w:val="en-US"/>
        </w:rPr>
      </w:pPr>
      <w:r w:rsidRPr="0067500C">
        <w:rPr>
          <w:rFonts w:eastAsia="Calibri"/>
          <w:lang w:val="en-US"/>
        </w:rPr>
        <w:t xml:space="preserve">Kohtamäki, M., </w:t>
      </w:r>
      <w:proofErr w:type="spellStart"/>
      <w:r w:rsidRPr="0067500C">
        <w:rPr>
          <w:rFonts w:eastAsia="Calibri"/>
          <w:lang w:val="en-US"/>
        </w:rPr>
        <w:t>Parida</w:t>
      </w:r>
      <w:proofErr w:type="spellEnd"/>
      <w:r w:rsidRPr="0067500C">
        <w:rPr>
          <w:rFonts w:eastAsia="Calibri"/>
          <w:lang w:val="en-US"/>
        </w:rPr>
        <w:t xml:space="preserve">, V., </w:t>
      </w:r>
      <w:proofErr w:type="spellStart"/>
      <w:r w:rsidRPr="0067500C">
        <w:rPr>
          <w:rFonts w:eastAsia="Calibri"/>
          <w:lang w:val="en-US"/>
        </w:rPr>
        <w:t>Oghazi</w:t>
      </w:r>
      <w:proofErr w:type="spellEnd"/>
      <w:r w:rsidRPr="0067500C">
        <w:rPr>
          <w:rFonts w:eastAsia="Calibri"/>
          <w:lang w:val="en-US"/>
        </w:rPr>
        <w:t>, P., Gebauer, H.</w:t>
      </w:r>
      <w:r w:rsidR="0067500C" w:rsidRPr="0067500C">
        <w:rPr>
          <w:rFonts w:eastAsia="Calibri"/>
          <w:lang w:val="en-US"/>
        </w:rPr>
        <w:t xml:space="preserve"> and</w:t>
      </w:r>
      <w:r w:rsidRPr="0067500C">
        <w:rPr>
          <w:rFonts w:eastAsia="Calibri"/>
          <w:lang w:val="en-US"/>
        </w:rPr>
        <w:t xml:space="preserve"> Baines, T. (2019)</w:t>
      </w:r>
      <w:r w:rsidR="0067500C">
        <w:rPr>
          <w:rFonts w:eastAsia="Calibri"/>
          <w:lang w:val="en-US"/>
        </w:rPr>
        <w:t>, “</w:t>
      </w:r>
      <w:r w:rsidRPr="00BA6D11">
        <w:rPr>
          <w:rFonts w:eastAsia="Calibri"/>
          <w:lang w:val="en-US"/>
        </w:rPr>
        <w:t xml:space="preserve">Digital </w:t>
      </w:r>
      <w:proofErr w:type="spellStart"/>
      <w:r w:rsidRPr="00BA6D11">
        <w:rPr>
          <w:rFonts w:eastAsia="Calibri"/>
          <w:lang w:val="en-US"/>
        </w:rPr>
        <w:t>servitization</w:t>
      </w:r>
      <w:proofErr w:type="spellEnd"/>
      <w:r w:rsidRPr="00BA6D11">
        <w:rPr>
          <w:rFonts w:eastAsia="Calibri"/>
          <w:lang w:val="en-US"/>
        </w:rPr>
        <w:t xml:space="preserve"> business models in ecosystems: </w:t>
      </w:r>
      <w:r w:rsidR="0067500C" w:rsidRPr="00BA6D11">
        <w:rPr>
          <w:rFonts w:eastAsia="Calibri"/>
          <w:lang w:val="en-US"/>
        </w:rPr>
        <w:t>a</w:t>
      </w:r>
      <w:r w:rsidRPr="00BA6D11">
        <w:rPr>
          <w:rFonts w:eastAsia="Calibri"/>
          <w:lang w:val="en-US"/>
        </w:rPr>
        <w:t xml:space="preserve"> theory of the firm</w:t>
      </w:r>
      <w:r w:rsidR="0067500C" w:rsidRPr="00BA6D11">
        <w:rPr>
          <w:rFonts w:eastAsia="Calibri"/>
          <w:lang w:val="en-US"/>
        </w:rPr>
        <w:t xml:space="preserve">”, </w:t>
      </w:r>
      <w:r w:rsidRPr="00BA6D11">
        <w:rPr>
          <w:rFonts w:eastAsia="Calibri"/>
          <w:i/>
          <w:iCs/>
          <w:lang w:val="en-US"/>
        </w:rPr>
        <w:t>Journal of Business Research</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 xml:space="preserve">104, </w:t>
      </w:r>
      <w:r w:rsidR="0067500C" w:rsidRPr="00BA6D11">
        <w:rPr>
          <w:rFonts w:eastAsia="Calibri"/>
          <w:lang w:val="en-US"/>
        </w:rPr>
        <w:t xml:space="preserve">pp. </w:t>
      </w:r>
      <w:r w:rsidRPr="00BA6D11">
        <w:rPr>
          <w:rFonts w:eastAsia="Calibri"/>
          <w:lang w:val="en-US"/>
        </w:rPr>
        <w:t>380-392.</w:t>
      </w:r>
    </w:p>
    <w:p w14:paraId="79A4692B" w14:textId="79A9B97D" w:rsidR="008C5AA8" w:rsidRPr="00BA6D11" w:rsidRDefault="008C5AA8" w:rsidP="008C5AA8">
      <w:pPr>
        <w:widowControl w:val="0"/>
        <w:autoSpaceDE w:val="0"/>
        <w:autoSpaceDN w:val="0"/>
        <w:adjustRightInd w:val="0"/>
        <w:ind w:left="284" w:hanging="284"/>
        <w:rPr>
          <w:rFonts w:eastAsia="Calibri"/>
          <w:lang w:val="en-US"/>
        </w:rPr>
      </w:pPr>
      <w:proofErr w:type="spellStart"/>
      <w:r w:rsidRPr="00E877E0">
        <w:rPr>
          <w:rFonts w:eastAsia="Calibri"/>
          <w:lang w:val="en-US"/>
        </w:rPr>
        <w:t>Kohtamäki</w:t>
      </w:r>
      <w:proofErr w:type="spellEnd"/>
      <w:r w:rsidRPr="00E877E0">
        <w:rPr>
          <w:rFonts w:eastAsia="Calibri"/>
          <w:lang w:val="en-US"/>
        </w:rPr>
        <w:t xml:space="preserve">, M., </w:t>
      </w:r>
      <w:proofErr w:type="spellStart"/>
      <w:r w:rsidRPr="00E877E0">
        <w:rPr>
          <w:rFonts w:eastAsia="Calibri"/>
          <w:lang w:val="en-US"/>
        </w:rPr>
        <w:t>Parida</w:t>
      </w:r>
      <w:proofErr w:type="spellEnd"/>
      <w:r w:rsidRPr="00E877E0">
        <w:rPr>
          <w:rFonts w:eastAsia="Calibri"/>
          <w:lang w:val="en-US"/>
        </w:rPr>
        <w:t>, V., Patel, P. C.</w:t>
      </w:r>
      <w:r w:rsidR="0067500C">
        <w:rPr>
          <w:rFonts w:eastAsia="Calibri"/>
          <w:lang w:val="en-US"/>
        </w:rPr>
        <w:t xml:space="preserve"> and</w:t>
      </w:r>
      <w:r w:rsidRPr="00E877E0">
        <w:rPr>
          <w:rFonts w:eastAsia="Calibri"/>
          <w:lang w:val="en-US"/>
        </w:rPr>
        <w:t xml:space="preserve"> Gebauer, H. (2020)</w:t>
      </w:r>
      <w:r w:rsidR="0067500C">
        <w:rPr>
          <w:rFonts w:eastAsia="Calibri"/>
          <w:lang w:val="en-US"/>
        </w:rPr>
        <w:t>, “</w:t>
      </w:r>
      <w:r w:rsidRPr="00BA6D11">
        <w:rPr>
          <w:rFonts w:eastAsia="Calibri"/>
          <w:lang w:val="en-US"/>
        </w:rPr>
        <w:t xml:space="preserve">The relationship between digitalization and </w:t>
      </w:r>
      <w:proofErr w:type="spellStart"/>
      <w:r w:rsidRPr="00BA6D11">
        <w:rPr>
          <w:rFonts w:eastAsia="Calibri"/>
          <w:lang w:val="en-US"/>
        </w:rPr>
        <w:t>servitization</w:t>
      </w:r>
      <w:proofErr w:type="spellEnd"/>
      <w:r w:rsidRPr="00BA6D11">
        <w:rPr>
          <w:rFonts w:eastAsia="Calibri"/>
          <w:lang w:val="en-US"/>
        </w:rPr>
        <w:t xml:space="preserve">: </w:t>
      </w:r>
      <w:r w:rsidR="0067500C" w:rsidRPr="00BA6D11">
        <w:rPr>
          <w:rFonts w:eastAsia="Calibri"/>
          <w:lang w:val="en-US"/>
        </w:rPr>
        <w:t>t</w:t>
      </w:r>
      <w:r w:rsidRPr="00BA6D11">
        <w:rPr>
          <w:rFonts w:eastAsia="Calibri"/>
          <w:lang w:val="en-US"/>
        </w:rPr>
        <w:t xml:space="preserve">he role of </w:t>
      </w:r>
      <w:proofErr w:type="spellStart"/>
      <w:r w:rsidRPr="00BA6D11">
        <w:rPr>
          <w:rFonts w:eastAsia="Calibri"/>
          <w:lang w:val="en-US"/>
        </w:rPr>
        <w:t>servitization</w:t>
      </w:r>
      <w:proofErr w:type="spellEnd"/>
      <w:r w:rsidRPr="00BA6D11">
        <w:rPr>
          <w:rFonts w:eastAsia="Calibri"/>
          <w:lang w:val="en-US"/>
        </w:rPr>
        <w:t xml:space="preserve"> in capturing the financial potential of digitalization</w:t>
      </w:r>
      <w:r w:rsidR="0067500C" w:rsidRPr="00BA6D11">
        <w:rPr>
          <w:rFonts w:eastAsia="Calibri"/>
          <w:lang w:val="en-US"/>
        </w:rPr>
        <w:t>”,</w:t>
      </w:r>
      <w:r w:rsidRPr="00BA6D11">
        <w:rPr>
          <w:rFonts w:eastAsia="Calibri"/>
          <w:lang w:val="en-US"/>
        </w:rPr>
        <w:t xml:space="preserve"> </w:t>
      </w:r>
      <w:r w:rsidRPr="00BA6D11">
        <w:rPr>
          <w:rFonts w:eastAsia="Calibri"/>
          <w:i/>
          <w:iCs/>
          <w:lang w:val="en-US"/>
        </w:rPr>
        <w:t>Technological Forecasting and Social Change</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 xml:space="preserve">151, </w:t>
      </w:r>
      <w:r w:rsidR="0067500C" w:rsidRPr="00BA6D11">
        <w:rPr>
          <w:rFonts w:eastAsia="Calibri"/>
          <w:lang w:val="en-US"/>
        </w:rPr>
        <w:t xml:space="preserve">pp. </w:t>
      </w:r>
      <w:r w:rsidRPr="00BA6D11">
        <w:rPr>
          <w:rFonts w:eastAsia="Calibri"/>
          <w:lang w:val="en-US"/>
        </w:rPr>
        <w:t>119804.</w:t>
      </w:r>
    </w:p>
    <w:p w14:paraId="336384B1" w14:textId="0511BE17"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Kowalkowski</w:t>
      </w:r>
      <w:proofErr w:type="spellEnd"/>
      <w:r w:rsidRPr="00BA6D11">
        <w:rPr>
          <w:rFonts w:eastAsia="Calibri"/>
          <w:lang w:val="en-US"/>
        </w:rPr>
        <w:t xml:space="preserve">, C., </w:t>
      </w:r>
      <w:proofErr w:type="spellStart"/>
      <w:r w:rsidRPr="00BA6D11">
        <w:rPr>
          <w:rFonts w:eastAsia="Calibri"/>
          <w:lang w:val="en-US"/>
        </w:rPr>
        <w:t>Kindström</w:t>
      </w:r>
      <w:proofErr w:type="spellEnd"/>
      <w:r w:rsidRPr="00BA6D11">
        <w:rPr>
          <w:rFonts w:eastAsia="Calibri"/>
          <w:lang w:val="en-US"/>
        </w:rPr>
        <w:t>, D.</w:t>
      </w:r>
      <w:r w:rsidR="0067500C" w:rsidRPr="00BA6D11">
        <w:rPr>
          <w:rFonts w:eastAsia="Calibri"/>
          <w:lang w:val="en-US"/>
        </w:rPr>
        <w:t xml:space="preserve"> and </w:t>
      </w:r>
      <w:proofErr w:type="spellStart"/>
      <w:r w:rsidRPr="00BA6D11">
        <w:rPr>
          <w:rFonts w:eastAsia="Calibri"/>
          <w:lang w:val="en-US"/>
        </w:rPr>
        <w:t>Gebauer</w:t>
      </w:r>
      <w:proofErr w:type="spellEnd"/>
      <w:r w:rsidRPr="00BA6D11">
        <w:rPr>
          <w:rFonts w:eastAsia="Calibri"/>
          <w:lang w:val="en-US"/>
        </w:rPr>
        <w:t>, H. (2013)</w:t>
      </w:r>
      <w:r w:rsidR="0067500C" w:rsidRPr="00BA6D11">
        <w:rPr>
          <w:rFonts w:eastAsia="Calibri"/>
          <w:lang w:val="en-US"/>
        </w:rPr>
        <w:t>, “</w:t>
      </w:r>
      <w:r w:rsidRPr="00BA6D11">
        <w:rPr>
          <w:rFonts w:eastAsia="Calibri"/>
          <w:lang w:val="en-US"/>
        </w:rPr>
        <w:t>ICT as a catalyst for service business orientation</w:t>
      </w:r>
      <w:r w:rsidR="0067500C" w:rsidRPr="00BA6D11">
        <w:rPr>
          <w:rFonts w:eastAsia="Calibri"/>
          <w:lang w:val="en-US"/>
        </w:rPr>
        <w:t xml:space="preserve">”, </w:t>
      </w:r>
      <w:r w:rsidRPr="00BA6D11">
        <w:rPr>
          <w:rFonts w:eastAsia="Calibri"/>
          <w:i/>
          <w:iCs/>
          <w:lang w:val="en-US"/>
        </w:rPr>
        <w:t>The Journal of Business and Industrial Marketing</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28</w:t>
      </w:r>
      <w:r w:rsidR="0067500C" w:rsidRPr="00BA6D11">
        <w:rPr>
          <w:rFonts w:eastAsia="Calibri"/>
          <w:lang w:val="en-US"/>
        </w:rPr>
        <w:t xml:space="preserve"> No. </w:t>
      </w:r>
      <w:r w:rsidRPr="00BA6D11">
        <w:rPr>
          <w:rFonts w:eastAsia="Calibri"/>
          <w:lang w:val="en-US"/>
        </w:rPr>
        <w:t xml:space="preserve">6, </w:t>
      </w:r>
      <w:r w:rsidR="0067500C" w:rsidRPr="00BA6D11">
        <w:rPr>
          <w:rFonts w:eastAsia="Calibri"/>
          <w:lang w:val="en-US"/>
        </w:rPr>
        <w:t xml:space="preserve">pp. </w:t>
      </w:r>
      <w:r w:rsidRPr="00BA6D11">
        <w:rPr>
          <w:rFonts w:eastAsia="Calibri"/>
          <w:lang w:val="en-US"/>
        </w:rPr>
        <w:t>506-513.</w:t>
      </w:r>
    </w:p>
    <w:p w14:paraId="4E72B66C" w14:textId="5204D9D4" w:rsidR="00E34E1A" w:rsidRPr="00E34E1A" w:rsidRDefault="00E34E1A" w:rsidP="00E34E1A">
      <w:pPr>
        <w:widowControl w:val="0"/>
        <w:autoSpaceDE w:val="0"/>
        <w:autoSpaceDN w:val="0"/>
        <w:adjustRightInd w:val="0"/>
        <w:ind w:left="284" w:hanging="284"/>
        <w:rPr>
          <w:rFonts w:eastAsia="Calibri"/>
          <w:lang w:val="en-US"/>
        </w:rPr>
      </w:pPr>
      <w:proofErr w:type="spellStart"/>
      <w:r w:rsidRPr="00E34E1A">
        <w:rPr>
          <w:rFonts w:eastAsia="Calibri"/>
          <w:lang w:val="en-US"/>
        </w:rPr>
        <w:t>Kowalkowski</w:t>
      </w:r>
      <w:proofErr w:type="spellEnd"/>
      <w:r w:rsidRPr="00E34E1A">
        <w:rPr>
          <w:rFonts w:eastAsia="Calibri"/>
          <w:lang w:val="en-US"/>
        </w:rPr>
        <w:t>, C.</w:t>
      </w:r>
      <w:r>
        <w:rPr>
          <w:rFonts w:eastAsia="Calibri"/>
          <w:lang w:val="en-US"/>
        </w:rPr>
        <w:t xml:space="preserve"> and </w:t>
      </w:r>
      <w:proofErr w:type="spellStart"/>
      <w:r>
        <w:rPr>
          <w:rFonts w:eastAsia="Calibri"/>
          <w:lang w:val="en-US"/>
        </w:rPr>
        <w:t>Witell</w:t>
      </w:r>
      <w:proofErr w:type="spellEnd"/>
      <w:r>
        <w:rPr>
          <w:rFonts w:eastAsia="Calibri"/>
          <w:lang w:val="en-US"/>
        </w:rPr>
        <w:t>, L.</w:t>
      </w:r>
      <w:r w:rsidRPr="00E34E1A">
        <w:rPr>
          <w:rFonts w:eastAsia="Calibri"/>
          <w:lang w:val="en-US"/>
        </w:rPr>
        <w:t xml:space="preserve"> (20</w:t>
      </w:r>
      <w:r>
        <w:rPr>
          <w:rFonts w:eastAsia="Calibri"/>
          <w:lang w:val="en-US"/>
        </w:rPr>
        <w:t>20</w:t>
      </w:r>
      <w:r w:rsidRPr="00E34E1A">
        <w:rPr>
          <w:rFonts w:eastAsia="Calibri"/>
          <w:lang w:val="en-US"/>
        </w:rPr>
        <w:t>), “</w:t>
      </w:r>
      <w:r>
        <w:rPr>
          <w:rFonts w:eastAsia="Calibri"/>
          <w:lang w:val="en-US"/>
        </w:rPr>
        <w:t>Typologies and frameworks in service innovation</w:t>
      </w:r>
      <w:r w:rsidRPr="00E34E1A">
        <w:rPr>
          <w:rFonts w:eastAsia="Calibri"/>
          <w:lang w:val="en-US"/>
        </w:rPr>
        <w:t xml:space="preserve">”, </w:t>
      </w:r>
      <w:r w:rsidR="00B701FC">
        <w:rPr>
          <w:rFonts w:eastAsia="Calibri"/>
          <w:lang w:val="en-US"/>
        </w:rPr>
        <w:t>Bridges</w:t>
      </w:r>
      <w:r w:rsidRPr="00E34E1A">
        <w:rPr>
          <w:rFonts w:eastAsia="Calibri"/>
          <w:lang w:val="en-US"/>
        </w:rPr>
        <w:t xml:space="preserve">, </w:t>
      </w:r>
      <w:r w:rsidR="00B701FC">
        <w:rPr>
          <w:rFonts w:eastAsia="Calibri"/>
          <w:lang w:val="en-US"/>
        </w:rPr>
        <w:t>E</w:t>
      </w:r>
      <w:r w:rsidRPr="00E34E1A">
        <w:rPr>
          <w:rFonts w:eastAsia="Calibri"/>
          <w:lang w:val="en-US"/>
        </w:rPr>
        <w:t>.</w:t>
      </w:r>
      <w:r w:rsidR="00B701FC">
        <w:rPr>
          <w:rFonts w:eastAsia="Calibri"/>
          <w:lang w:val="en-US"/>
        </w:rPr>
        <w:t xml:space="preserve"> and</w:t>
      </w:r>
      <w:r w:rsidRPr="00E34E1A">
        <w:rPr>
          <w:rFonts w:eastAsia="Calibri"/>
          <w:lang w:val="en-US"/>
        </w:rPr>
        <w:t xml:space="preserve"> </w:t>
      </w:r>
      <w:r w:rsidR="00B701FC">
        <w:rPr>
          <w:rFonts w:eastAsia="Calibri"/>
          <w:lang w:val="en-US"/>
        </w:rPr>
        <w:t>Fowler</w:t>
      </w:r>
      <w:r w:rsidRPr="00E34E1A">
        <w:rPr>
          <w:rFonts w:eastAsia="Calibri"/>
          <w:lang w:val="en-US"/>
        </w:rPr>
        <w:t xml:space="preserve">, </w:t>
      </w:r>
      <w:r w:rsidR="00B701FC">
        <w:rPr>
          <w:rFonts w:eastAsia="Calibri"/>
          <w:lang w:val="en-US"/>
        </w:rPr>
        <w:t>K</w:t>
      </w:r>
      <w:r w:rsidRPr="00E34E1A">
        <w:rPr>
          <w:rFonts w:eastAsia="Calibri"/>
          <w:lang w:val="en-US"/>
        </w:rPr>
        <w:t xml:space="preserve">. (Ed.), </w:t>
      </w:r>
      <w:r w:rsidR="00B701FC" w:rsidRPr="00B701FC">
        <w:rPr>
          <w:rFonts w:eastAsia="Calibri"/>
          <w:i/>
          <w:iCs/>
          <w:lang w:val="en-US"/>
        </w:rPr>
        <w:t>The Routledge Handbook of Service Research Insights and Ideas</w:t>
      </w:r>
      <w:r w:rsidRPr="00E34E1A">
        <w:rPr>
          <w:rFonts w:eastAsia="Calibri"/>
          <w:lang w:val="en-US"/>
        </w:rPr>
        <w:t xml:space="preserve">, </w:t>
      </w:r>
      <w:proofErr w:type="spellStart"/>
      <w:r w:rsidR="00B701FC">
        <w:rPr>
          <w:rFonts w:eastAsia="Calibri"/>
          <w:lang w:val="en-US"/>
        </w:rPr>
        <w:t>Oxson</w:t>
      </w:r>
      <w:proofErr w:type="spellEnd"/>
      <w:r w:rsidR="00B701FC">
        <w:rPr>
          <w:rFonts w:eastAsia="Calibri"/>
          <w:lang w:val="en-US"/>
        </w:rPr>
        <w:t>, UK</w:t>
      </w:r>
      <w:r w:rsidRPr="00E34E1A">
        <w:rPr>
          <w:rFonts w:eastAsia="Calibri"/>
          <w:lang w:val="en-US"/>
        </w:rPr>
        <w:t xml:space="preserve">, </w:t>
      </w:r>
      <w:r w:rsidR="00B701FC">
        <w:rPr>
          <w:rFonts w:eastAsia="Calibri"/>
          <w:lang w:val="en-US"/>
        </w:rPr>
        <w:t>Routledge</w:t>
      </w:r>
      <w:r w:rsidRPr="00026635">
        <w:rPr>
          <w:rFonts w:eastAsia="Calibri"/>
          <w:lang w:val="en-US"/>
        </w:rPr>
        <w:t xml:space="preserve">, </w:t>
      </w:r>
      <w:r>
        <w:rPr>
          <w:rFonts w:eastAsia="Calibri"/>
          <w:lang w:val="en-US"/>
        </w:rPr>
        <w:t>pp. 1</w:t>
      </w:r>
      <w:r w:rsidR="00B701FC">
        <w:rPr>
          <w:rFonts w:eastAsia="Calibri"/>
          <w:lang w:val="en-US"/>
        </w:rPr>
        <w:t>09</w:t>
      </w:r>
      <w:r>
        <w:rPr>
          <w:rFonts w:eastAsia="Calibri"/>
          <w:lang w:val="en-US"/>
        </w:rPr>
        <w:t>-</w:t>
      </w:r>
      <w:r w:rsidR="00B701FC">
        <w:rPr>
          <w:rFonts w:eastAsia="Calibri"/>
          <w:lang w:val="en-US"/>
        </w:rPr>
        <w:t>130</w:t>
      </w:r>
      <w:r w:rsidRPr="00026635">
        <w:rPr>
          <w:rFonts w:eastAsia="Calibri"/>
          <w:lang w:val="en-US"/>
        </w:rPr>
        <w:t>.</w:t>
      </w:r>
    </w:p>
    <w:p w14:paraId="0BE64DB3" w14:textId="4884A76B" w:rsidR="008C5AA8" w:rsidRPr="00E34E1A" w:rsidRDefault="008C5AA8" w:rsidP="008C5AA8">
      <w:pPr>
        <w:widowControl w:val="0"/>
        <w:autoSpaceDE w:val="0"/>
        <w:autoSpaceDN w:val="0"/>
        <w:adjustRightInd w:val="0"/>
        <w:ind w:left="284" w:hanging="284"/>
        <w:rPr>
          <w:rFonts w:eastAsia="Calibri"/>
          <w:lang w:val="en-US"/>
        </w:rPr>
      </w:pPr>
      <w:r w:rsidRPr="00E34E1A">
        <w:rPr>
          <w:rFonts w:eastAsia="Calibri"/>
          <w:lang w:val="en-US"/>
        </w:rPr>
        <w:t xml:space="preserve">Lisboa, A., </w:t>
      </w:r>
      <w:proofErr w:type="spellStart"/>
      <w:r w:rsidRPr="00E34E1A">
        <w:rPr>
          <w:rFonts w:eastAsia="Calibri"/>
          <w:lang w:val="en-US"/>
        </w:rPr>
        <w:t>Skarmeas</w:t>
      </w:r>
      <w:proofErr w:type="spellEnd"/>
      <w:r w:rsidRPr="00E34E1A">
        <w:rPr>
          <w:rFonts w:eastAsia="Calibri"/>
          <w:lang w:val="en-US"/>
        </w:rPr>
        <w:t>, D.</w:t>
      </w:r>
      <w:r w:rsidR="00C91C0D" w:rsidRPr="00E34E1A">
        <w:rPr>
          <w:rFonts w:eastAsia="Calibri"/>
          <w:lang w:val="en-US"/>
        </w:rPr>
        <w:t xml:space="preserve"> and </w:t>
      </w:r>
      <w:r w:rsidRPr="00E34E1A">
        <w:rPr>
          <w:rFonts w:eastAsia="Calibri"/>
          <w:lang w:val="en-US"/>
        </w:rPr>
        <w:t>Lages, C. (2011)</w:t>
      </w:r>
      <w:r w:rsidR="00C91C0D" w:rsidRPr="00E34E1A">
        <w:rPr>
          <w:rFonts w:eastAsia="Calibri"/>
          <w:lang w:val="en-US"/>
        </w:rPr>
        <w:t>, “</w:t>
      </w:r>
      <w:r w:rsidRPr="00E34E1A">
        <w:rPr>
          <w:rFonts w:eastAsia="Calibri"/>
          <w:lang w:val="en-US"/>
        </w:rPr>
        <w:t xml:space="preserve">Innovative capabilities: </w:t>
      </w:r>
      <w:r w:rsidR="00C91C0D" w:rsidRPr="00E34E1A">
        <w:rPr>
          <w:rFonts w:eastAsia="Calibri"/>
          <w:lang w:val="en-US"/>
        </w:rPr>
        <w:t>t</w:t>
      </w:r>
      <w:r w:rsidRPr="00E34E1A">
        <w:rPr>
          <w:rFonts w:eastAsia="Calibri"/>
          <w:lang w:val="en-US"/>
        </w:rPr>
        <w:t>heir drivers and effects on current and future performance</w:t>
      </w:r>
      <w:r w:rsidR="00C91C0D" w:rsidRPr="00E34E1A">
        <w:rPr>
          <w:rFonts w:eastAsia="Calibri"/>
          <w:lang w:val="en-US"/>
        </w:rPr>
        <w:t>”,</w:t>
      </w:r>
      <w:r w:rsidRPr="00E34E1A">
        <w:rPr>
          <w:rFonts w:eastAsia="Calibri"/>
          <w:lang w:val="en-US"/>
        </w:rPr>
        <w:t xml:space="preserve"> </w:t>
      </w:r>
      <w:r w:rsidRPr="00E34E1A">
        <w:rPr>
          <w:rFonts w:eastAsia="Calibri"/>
          <w:i/>
          <w:iCs/>
          <w:lang w:val="en-US"/>
        </w:rPr>
        <w:t>Journal of Business Research</w:t>
      </w:r>
      <w:r w:rsidRPr="00E34E1A">
        <w:rPr>
          <w:rFonts w:eastAsia="Calibri"/>
          <w:lang w:val="en-US"/>
        </w:rPr>
        <w:t xml:space="preserve">, </w:t>
      </w:r>
      <w:r w:rsidR="00C91C0D" w:rsidRPr="00E34E1A">
        <w:rPr>
          <w:rFonts w:eastAsia="Calibri"/>
          <w:lang w:val="en-US"/>
        </w:rPr>
        <w:t xml:space="preserve">Vol. </w:t>
      </w:r>
      <w:r w:rsidRPr="00E34E1A">
        <w:rPr>
          <w:rFonts w:eastAsia="Calibri"/>
          <w:lang w:val="en-US"/>
        </w:rPr>
        <w:t>64</w:t>
      </w:r>
      <w:r w:rsidR="00C91C0D" w:rsidRPr="00E34E1A">
        <w:rPr>
          <w:rFonts w:eastAsia="Calibri"/>
          <w:lang w:val="en-US"/>
        </w:rPr>
        <w:t xml:space="preserve"> No. </w:t>
      </w:r>
      <w:r w:rsidRPr="00E34E1A">
        <w:rPr>
          <w:rFonts w:eastAsia="Calibri"/>
          <w:lang w:val="en-US"/>
        </w:rPr>
        <w:t xml:space="preserve">11, </w:t>
      </w:r>
      <w:r w:rsidR="00C91C0D" w:rsidRPr="00E34E1A">
        <w:rPr>
          <w:rFonts w:eastAsia="Calibri"/>
          <w:lang w:val="en-US"/>
        </w:rPr>
        <w:t xml:space="preserve">pp. </w:t>
      </w:r>
      <w:r w:rsidRPr="00E34E1A">
        <w:rPr>
          <w:rFonts w:eastAsia="Calibri"/>
          <w:lang w:val="en-US"/>
        </w:rPr>
        <w:t>1157-1161.</w:t>
      </w:r>
    </w:p>
    <w:p w14:paraId="1D3F85E0" w14:textId="77777777"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Liu, P. and Bell, R. (2019), "Exploration of the initiation and process of business model innovation of successful Chinese ICT enterprises", </w:t>
      </w:r>
      <w:r w:rsidRPr="00BA6D11">
        <w:rPr>
          <w:rFonts w:eastAsia="Calibri"/>
          <w:i/>
          <w:iCs/>
          <w:lang w:val="en-US"/>
        </w:rPr>
        <w:t>Journal of Entrepreneurship in Emerging Economies</w:t>
      </w:r>
      <w:r w:rsidRPr="00BA6D11">
        <w:rPr>
          <w:rFonts w:eastAsia="Calibri"/>
          <w:lang w:val="en-US"/>
        </w:rPr>
        <w:t>, Vol. 11 No. 4, pp. 515-536.</w:t>
      </w:r>
    </w:p>
    <w:p w14:paraId="28FF9E8B" w14:textId="65297FC0"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Longest, K. C.</w:t>
      </w:r>
      <w:r w:rsidR="001254F8" w:rsidRPr="00BA6D11">
        <w:rPr>
          <w:rFonts w:eastAsia="Calibri"/>
          <w:lang w:val="en-US"/>
        </w:rPr>
        <w:t xml:space="preserve"> and </w:t>
      </w:r>
      <w:r w:rsidRPr="00BA6D11">
        <w:rPr>
          <w:rFonts w:eastAsia="Calibri"/>
          <w:lang w:val="en-US"/>
        </w:rPr>
        <w:t>Vaisey, S. (2008)</w:t>
      </w:r>
      <w:r w:rsidR="001254F8" w:rsidRPr="00BA6D11">
        <w:rPr>
          <w:rFonts w:eastAsia="Calibri"/>
          <w:lang w:val="en-US"/>
        </w:rPr>
        <w:t>, “</w:t>
      </w:r>
      <w:r w:rsidRPr="00BA6D11">
        <w:rPr>
          <w:rFonts w:eastAsia="Calibri"/>
          <w:lang w:val="en-US"/>
        </w:rPr>
        <w:t xml:space="preserve">Fuzzy: </w:t>
      </w:r>
      <w:r w:rsidR="001254F8" w:rsidRPr="00BA6D11">
        <w:rPr>
          <w:rFonts w:eastAsia="Calibri"/>
          <w:lang w:val="en-US"/>
        </w:rPr>
        <w:t>a</w:t>
      </w:r>
      <w:r w:rsidRPr="00BA6D11">
        <w:rPr>
          <w:rFonts w:eastAsia="Calibri"/>
          <w:lang w:val="en-US"/>
        </w:rPr>
        <w:t xml:space="preserve"> program for performing qualitative comparative analyses (QCA) in Stata</w:t>
      </w:r>
      <w:r w:rsidR="001254F8" w:rsidRPr="00BA6D11">
        <w:rPr>
          <w:rFonts w:eastAsia="Calibri"/>
          <w:lang w:val="en-US"/>
        </w:rPr>
        <w:t>”,</w:t>
      </w:r>
      <w:r w:rsidRPr="00BA6D11">
        <w:rPr>
          <w:rFonts w:eastAsia="Calibri"/>
          <w:lang w:val="en-US"/>
        </w:rPr>
        <w:t xml:space="preserve"> </w:t>
      </w:r>
      <w:r w:rsidRPr="00BA6D11">
        <w:rPr>
          <w:rFonts w:eastAsia="Calibri"/>
          <w:i/>
          <w:iCs/>
          <w:lang w:val="en-US"/>
        </w:rPr>
        <w:t>Stata Journal</w:t>
      </w:r>
      <w:r w:rsidRPr="00BA6D11">
        <w:rPr>
          <w:rFonts w:eastAsia="Calibri"/>
          <w:lang w:val="en-US"/>
        </w:rPr>
        <w:t xml:space="preserve">, </w:t>
      </w:r>
      <w:r w:rsidR="001254F8" w:rsidRPr="00BA6D11">
        <w:rPr>
          <w:rFonts w:eastAsia="Calibri"/>
          <w:lang w:val="en-US"/>
        </w:rPr>
        <w:t xml:space="preserve">Vol. </w:t>
      </w:r>
      <w:r w:rsidRPr="00BA6D11">
        <w:rPr>
          <w:rFonts w:eastAsia="Calibri"/>
          <w:lang w:val="en-US"/>
        </w:rPr>
        <w:t>8</w:t>
      </w:r>
      <w:r w:rsidR="001254F8" w:rsidRPr="00BA6D11">
        <w:rPr>
          <w:rFonts w:eastAsia="Calibri"/>
          <w:lang w:val="en-US"/>
        </w:rPr>
        <w:t xml:space="preserve"> No. </w:t>
      </w:r>
      <w:r w:rsidRPr="00BA6D11">
        <w:rPr>
          <w:rFonts w:eastAsia="Calibri"/>
          <w:lang w:val="en-US"/>
        </w:rPr>
        <w:t xml:space="preserve">1, </w:t>
      </w:r>
      <w:r w:rsidR="001254F8" w:rsidRPr="00BA6D11">
        <w:rPr>
          <w:rFonts w:eastAsia="Calibri"/>
          <w:lang w:val="en-US"/>
        </w:rPr>
        <w:t xml:space="preserve">pp. </w:t>
      </w:r>
      <w:r w:rsidRPr="00BA6D11">
        <w:rPr>
          <w:rFonts w:eastAsia="Calibri"/>
          <w:lang w:val="en-US"/>
        </w:rPr>
        <w:t>79</w:t>
      </w:r>
      <w:r w:rsidR="001254F8" w:rsidRPr="00BA6D11">
        <w:rPr>
          <w:rFonts w:eastAsia="Calibri"/>
          <w:lang w:val="en-US"/>
        </w:rPr>
        <w:t>-</w:t>
      </w:r>
      <w:r w:rsidRPr="00BA6D11">
        <w:rPr>
          <w:rFonts w:eastAsia="Calibri"/>
          <w:lang w:val="en-US"/>
        </w:rPr>
        <w:t>104.</w:t>
      </w:r>
    </w:p>
    <w:p w14:paraId="71720EDD" w14:textId="7CD5C12B"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Lukas, B. A.</w:t>
      </w:r>
      <w:r w:rsidR="00471388" w:rsidRPr="00BA6D11">
        <w:rPr>
          <w:rFonts w:eastAsia="Calibri"/>
          <w:lang w:val="en-US"/>
        </w:rPr>
        <w:t xml:space="preserve"> and</w:t>
      </w:r>
      <w:r w:rsidRPr="00BA6D11">
        <w:rPr>
          <w:rFonts w:eastAsia="Calibri"/>
          <w:lang w:val="en-US"/>
        </w:rPr>
        <w:t xml:space="preserve"> Ferrell, O. C. (2000)</w:t>
      </w:r>
      <w:r w:rsidR="00471388" w:rsidRPr="00BA6D11">
        <w:rPr>
          <w:rFonts w:eastAsia="Calibri"/>
          <w:lang w:val="en-US"/>
        </w:rPr>
        <w:t>, “</w:t>
      </w:r>
      <w:r w:rsidRPr="00BA6D11">
        <w:rPr>
          <w:rFonts w:eastAsia="Calibri"/>
          <w:lang w:val="en-US"/>
        </w:rPr>
        <w:t>The effect of market orientation on product innovation</w:t>
      </w:r>
      <w:r w:rsidR="00471388" w:rsidRPr="00BA6D11">
        <w:rPr>
          <w:rFonts w:eastAsia="Calibri"/>
          <w:lang w:val="en-US"/>
        </w:rPr>
        <w:t>”,</w:t>
      </w:r>
      <w:r w:rsidRPr="00BA6D11">
        <w:rPr>
          <w:rFonts w:eastAsia="Calibri"/>
          <w:lang w:val="en-US"/>
        </w:rPr>
        <w:t xml:space="preserve"> </w:t>
      </w:r>
      <w:r w:rsidRPr="00BA6D11">
        <w:rPr>
          <w:rFonts w:eastAsia="Calibri"/>
          <w:i/>
          <w:iCs/>
          <w:lang w:val="en-US"/>
        </w:rPr>
        <w:t xml:space="preserve">Journal of the </w:t>
      </w:r>
      <w:r w:rsidR="00471388" w:rsidRPr="00BA6D11">
        <w:rPr>
          <w:rFonts w:eastAsia="Calibri"/>
          <w:i/>
          <w:iCs/>
          <w:lang w:val="en-US"/>
        </w:rPr>
        <w:t>A</w:t>
      </w:r>
      <w:r w:rsidRPr="00BA6D11">
        <w:rPr>
          <w:rFonts w:eastAsia="Calibri"/>
          <w:i/>
          <w:iCs/>
          <w:lang w:val="en-US"/>
        </w:rPr>
        <w:t xml:space="preserve">cademy of </w:t>
      </w:r>
      <w:r w:rsidR="00471388" w:rsidRPr="00BA6D11">
        <w:rPr>
          <w:rFonts w:eastAsia="Calibri"/>
          <w:i/>
          <w:iCs/>
          <w:lang w:val="en-US"/>
        </w:rPr>
        <w:t>M</w:t>
      </w:r>
      <w:r w:rsidRPr="00BA6D11">
        <w:rPr>
          <w:rFonts w:eastAsia="Calibri"/>
          <w:i/>
          <w:iCs/>
          <w:lang w:val="en-US"/>
        </w:rPr>
        <w:t xml:space="preserve">arketing </w:t>
      </w:r>
      <w:r w:rsidR="00471388" w:rsidRPr="00BA6D11">
        <w:rPr>
          <w:rFonts w:eastAsia="Calibri"/>
          <w:i/>
          <w:iCs/>
          <w:lang w:val="en-US"/>
        </w:rPr>
        <w:t>S</w:t>
      </w:r>
      <w:r w:rsidRPr="00BA6D11">
        <w:rPr>
          <w:rFonts w:eastAsia="Calibri"/>
          <w:i/>
          <w:iCs/>
          <w:lang w:val="en-US"/>
        </w:rPr>
        <w:t>cience</w:t>
      </w:r>
      <w:r w:rsidRPr="00BA6D11">
        <w:rPr>
          <w:rFonts w:eastAsia="Calibri"/>
          <w:lang w:val="en-US"/>
        </w:rPr>
        <w:t xml:space="preserve">, </w:t>
      </w:r>
      <w:r w:rsidR="00471388" w:rsidRPr="00BA6D11">
        <w:rPr>
          <w:rFonts w:eastAsia="Calibri"/>
          <w:lang w:val="en-US"/>
        </w:rPr>
        <w:t xml:space="preserve">Vol. </w:t>
      </w:r>
      <w:r w:rsidRPr="00BA6D11">
        <w:rPr>
          <w:rFonts w:eastAsia="Calibri"/>
          <w:lang w:val="en-US"/>
        </w:rPr>
        <w:t>28</w:t>
      </w:r>
      <w:r w:rsidR="00471388" w:rsidRPr="00BA6D11">
        <w:rPr>
          <w:rFonts w:eastAsia="Calibri"/>
          <w:lang w:val="en-US"/>
        </w:rPr>
        <w:t xml:space="preserve"> No. </w:t>
      </w:r>
      <w:r w:rsidRPr="00BA6D11">
        <w:rPr>
          <w:rFonts w:eastAsia="Calibri"/>
          <w:lang w:val="en-US"/>
        </w:rPr>
        <w:t xml:space="preserve">2, </w:t>
      </w:r>
      <w:r w:rsidR="00471388" w:rsidRPr="00BA6D11">
        <w:rPr>
          <w:rFonts w:eastAsia="Calibri"/>
          <w:lang w:val="en-US"/>
        </w:rPr>
        <w:t xml:space="preserve">pp. </w:t>
      </w:r>
      <w:r w:rsidRPr="00BA6D11">
        <w:rPr>
          <w:rFonts w:eastAsia="Calibri"/>
          <w:lang w:val="en-US"/>
        </w:rPr>
        <w:t>239-247.</w:t>
      </w:r>
    </w:p>
    <w:p w14:paraId="3FB1225B" w14:textId="31D3711C"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Mart</w:t>
      </w:r>
      <w:r w:rsidR="00A449DC" w:rsidRPr="00BA6D11">
        <w:rPr>
          <w:rFonts w:eastAsia="Calibri"/>
          <w:lang w:val="en-US"/>
        </w:rPr>
        <w:t>i</w:t>
      </w:r>
      <w:r w:rsidRPr="00BA6D11">
        <w:rPr>
          <w:rFonts w:eastAsia="Calibri"/>
          <w:lang w:val="en-US"/>
        </w:rPr>
        <w:t>nez-Ros, E. (2019)</w:t>
      </w:r>
      <w:r w:rsidR="00A449DC" w:rsidRPr="00BA6D11">
        <w:rPr>
          <w:rFonts w:eastAsia="Calibri"/>
          <w:lang w:val="en-US"/>
        </w:rPr>
        <w:t>,</w:t>
      </w:r>
      <w:r w:rsidRPr="00BA6D11">
        <w:rPr>
          <w:rFonts w:eastAsia="Calibri"/>
          <w:lang w:val="en-US"/>
        </w:rPr>
        <w:t xml:space="preserve"> </w:t>
      </w:r>
      <w:r w:rsidR="00A449DC" w:rsidRPr="00BA6D11">
        <w:rPr>
          <w:rFonts w:eastAsia="Calibri"/>
          <w:lang w:val="en-US"/>
        </w:rPr>
        <w:t>“</w:t>
      </w:r>
      <w:r w:rsidRPr="00BA6D11">
        <w:rPr>
          <w:rFonts w:eastAsia="Calibri"/>
          <w:lang w:val="en-US"/>
        </w:rPr>
        <w:t>Revisiting product and process innovations</w:t>
      </w:r>
      <w:r w:rsidR="00A449DC" w:rsidRPr="00BA6D11">
        <w:rPr>
          <w:rFonts w:eastAsia="Calibri"/>
          <w:lang w:val="en-US"/>
        </w:rPr>
        <w:t>”,</w:t>
      </w:r>
      <w:r w:rsidRPr="00BA6D11">
        <w:rPr>
          <w:rFonts w:eastAsia="Calibri"/>
          <w:lang w:val="en-US"/>
        </w:rPr>
        <w:t xml:space="preserve"> </w:t>
      </w:r>
      <w:r w:rsidRPr="00BA6D11">
        <w:rPr>
          <w:rFonts w:eastAsia="Calibri"/>
          <w:i/>
          <w:iCs/>
          <w:lang w:val="en-US"/>
        </w:rPr>
        <w:t>International Journal of Business Environment</w:t>
      </w:r>
      <w:r w:rsidRPr="00BA6D11">
        <w:rPr>
          <w:rFonts w:eastAsia="Calibri"/>
          <w:lang w:val="en-US"/>
        </w:rPr>
        <w:t xml:space="preserve">, </w:t>
      </w:r>
      <w:r w:rsidR="00A449DC" w:rsidRPr="00BA6D11">
        <w:rPr>
          <w:rFonts w:eastAsia="Calibri"/>
          <w:lang w:val="en-US"/>
        </w:rPr>
        <w:t xml:space="preserve">Vol. </w:t>
      </w:r>
      <w:r w:rsidRPr="00BA6D11">
        <w:rPr>
          <w:rFonts w:eastAsia="Calibri"/>
          <w:lang w:val="en-US"/>
        </w:rPr>
        <w:t>10</w:t>
      </w:r>
      <w:r w:rsidR="00A449DC" w:rsidRPr="00BA6D11">
        <w:rPr>
          <w:rFonts w:eastAsia="Calibri"/>
          <w:lang w:val="en-US"/>
        </w:rPr>
        <w:t xml:space="preserve"> No. </w:t>
      </w:r>
      <w:r w:rsidRPr="00BA6D11">
        <w:rPr>
          <w:rFonts w:eastAsia="Calibri"/>
          <w:lang w:val="en-US"/>
        </w:rPr>
        <w:t xml:space="preserve">3, </w:t>
      </w:r>
      <w:r w:rsidR="00A449DC" w:rsidRPr="00BA6D11">
        <w:rPr>
          <w:rFonts w:eastAsia="Calibri"/>
          <w:lang w:val="en-US"/>
        </w:rPr>
        <w:t xml:space="preserve">pp. </w:t>
      </w:r>
      <w:r w:rsidRPr="00BA6D11">
        <w:rPr>
          <w:rFonts w:eastAsia="Calibri"/>
          <w:lang w:val="en-US"/>
        </w:rPr>
        <w:t>270-280.</w:t>
      </w:r>
    </w:p>
    <w:p w14:paraId="097FD075" w14:textId="132629AF" w:rsidR="008C5AA8" w:rsidRPr="00BA6D11" w:rsidRDefault="008C5AA8" w:rsidP="008C5AA8">
      <w:pPr>
        <w:widowControl w:val="0"/>
        <w:autoSpaceDE w:val="0"/>
        <w:autoSpaceDN w:val="0"/>
        <w:adjustRightInd w:val="0"/>
        <w:ind w:left="284" w:hanging="284"/>
        <w:rPr>
          <w:rFonts w:eastAsia="Calibri"/>
          <w:lang w:val="en-US"/>
        </w:rPr>
      </w:pPr>
      <w:proofErr w:type="spellStart"/>
      <w:r w:rsidRPr="00E877E0">
        <w:rPr>
          <w:rFonts w:eastAsia="Calibri"/>
          <w:lang w:val="en-US"/>
        </w:rPr>
        <w:t>Miravete</w:t>
      </w:r>
      <w:proofErr w:type="spellEnd"/>
      <w:r w:rsidRPr="00E877E0">
        <w:rPr>
          <w:rFonts w:eastAsia="Calibri"/>
          <w:lang w:val="en-US"/>
        </w:rPr>
        <w:t>, E. J.</w:t>
      </w:r>
      <w:r w:rsidR="00C144DD">
        <w:rPr>
          <w:rFonts w:eastAsia="Calibri"/>
          <w:lang w:val="en-US"/>
        </w:rPr>
        <w:t xml:space="preserve"> and</w:t>
      </w:r>
      <w:r w:rsidRPr="00E877E0">
        <w:rPr>
          <w:rFonts w:eastAsia="Calibri"/>
          <w:lang w:val="en-US"/>
        </w:rPr>
        <w:t xml:space="preserve"> Pernias, J. C. (2006)</w:t>
      </w:r>
      <w:r w:rsidR="00C144DD">
        <w:rPr>
          <w:rFonts w:eastAsia="Calibri"/>
          <w:lang w:val="en-US"/>
        </w:rPr>
        <w:t>, “</w:t>
      </w:r>
      <w:r w:rsidRPr="00BA6D11">
        <w:rPr>
          <w:rFonts w:eastAsia="Calibri"/>
          <w:lang w:val="en-US"/>
        </w:rPr>
        <w:t>Innovation complementarity and scale of production</w:t>
      </w:r>
      <w:r w:rsidR="00C144DD" w:rsidRPr="00BA6D11">
        <w:rPr>
          <w:rFonts w:eastAsia="Calibri"/>
          <w:lang w:val="en-US"/>
        </w:rPr>
        <w:t xml:space="preserve">”, </w:t>
      </w:r>
      <w:r w:rsidRPr="00BA6D11">
        <w:rPr>
          <w:rFonts w:eastAsia="Calibri"/>
          <w:i/>
          <w:iCs/>
          <w:lang w:val="en-US"/>
        </w:rPr>
        <w:t>The Journal of Industrial Economics</w:t>
      </w:r>
      <w:r w:rsidRPr="00BA6D11">
        <w:rPr>
          <w:rFonts w:eastAsia="Calibri"/>
          <w:lang w:val="en-US"/>
        </w:rPr>
        <w:t xml:space="preserve">, </w:t>
      </w:r>
      <w:r w:rsidR="00C144DD" w:rsidRPr="00BA6D11">
        <w:rPr>
          <w:rFonts w:eastAsia="Calibri"/>
          <w:lang w:val="en-US"/>
        </w:rPr>
        <w:t xml:space="preserve">Vol. </w:t>
      </w:r>
      <w:r w:rsidRPr="00BA6D11">
        <w:rPr>
          <w:rFonts w:eastAsia="Calibri"/>
          <w:lang w:val="en-US"/>
        </w:rPr>
        <w:t>54</w:t>
      </w:r>
      <w:r w:rsidR="00C144DD" w:rsidRPr="00BA6D11">
        <w:rPr>
          <w:rFonts w:eastAsia="Calibri"/>
          <w:lang w:val="en-US"/>
        </w:rPr>
        <w:t xml:space="preserve"> No. </w:t>
      </w:r>
      <w:r w:rsidRPr="00BA6D11">
        <w:rPr>
          <w:rFonts w:eastAsia="Calibri"/>
          <w:lang w:val="en-US"/>
        </w:rPr>
        <w:t xml:space="preserve">1, </w:t>
      </w:r>
      <w:r w:rsidR="00C144DD" w:rsidRPr="00BA6D11">
        <w:rPr>
          <w:rFonts w:eastAsia="Calibri"/>
          <w:lang w:val="en-US"/>
        </w:rPr>
        <w:t xml:space="preserve">pp. </w:t>
      </w:r>
      <w:r w:rsidRPr="00BA6D11">
        <w:rPr>
          <w:rFonts w:eastAsia="Calibri"/>
          <w:lang w:val="en-US"/>
        </w:rPr>
        <w:t>1-29.</w:t>
      </w:r>
    </w:p>
    <w:p w14:paraId="076CD25A" w14:textId="5C645BCA" w:rsidR="008C5AA8" w:rsidRPr="004931E9" w:rsidRDefault="008C5AA8" w:rsidP="008C5AA8">
      <w:pPr>
        <w:widowControl w:val="0"/>
        <w:autoSpaceDE w:val="0"/>
        <w:autoSpaceDN w:val="0"/>
        <w:adjustRightInd w:val="0"/>
        <w:ind w:left="284" w:hanging="284"/>
        <w:rPr>
          <w:rFonts w:eastAsia="Calibri"/>
          <w:lang w:val="en-US"/>
        </w:rPr>
      </w:pPr>
      <w:r w:rsidRPr="004931E9">
        <w:rPr>
          <w:rFonts w:eastAsia="Calibri"/>
          <w:lang w:val="en-US"/>
        </w:rPr>
        <w:t>Naik, P., Schroeder, A., Kapoor, K. K., Bigdeli, A. Z.</w:t>
      </w:r>
      <w:r w:rsidR="00F95276" w:rsidRPr="004931E9">
        <w:rPr>
          <w:rFonts w:eastAsia="Calibri"/>
          <w:lang w:val="en-US"/>
        </w:rPr>
        <w:t xml:space="preserve"> and</w:t>
      </w:r>
      <w:r w:rsidRPr="004931E9">
        <w:rPr>
          <w:rFonts w:eastAsia="Calibri"/>
          <w:lang w:val="en-US"/>
        </w:rPr>
        <w:t xml:space="preserve"> Baines, T. (2020)</w:t>
      </w:r>
      <w:r w:rsidR="00F95276" w:rsidRPr="004931E9">
        <w:rPr>
          <w:rFonts w:eastAsia="Calibri"/>
          <w:lang w:val="en-US"/>
        </w:rPr>
        <w:t>, “</w:t>
      </w:r>
      <w:r w:rsidRPr="004931E9">
        <w:rPr>
          <w:rFonts w:eastAsia="Calibri"/>
          <w:lang w:val="en-US"/>
        </w:rPr>
        <w:t xml:space="preserve">Behind the scenes of digital </w:t>
      </w:r>
      <w:proofErr w:type="spellStart"/>
      <w:r w:rsidRPr="004931E9">
        <w:rPr>
          <w:rFonts w:eastAsia="Calibri"/>
          <w:lang w:val="en-US"/>
        </w:rPr>
        <w:t>servitization</w:t>
      </w:r>
      <w:proofErr w:type="spellEnd"/>
      <w:r w:rsidRPr="004931E9">
        <w:rPr>
          <w:rFonts w:eastAsia="Calibri"/>
          <w:lang w:val="en-US"/>
        </w:rPr>
        <w:t xml:space="preserve">: </w:t>
      </w:r>
      <w:proofErr w:type="spellStart"/>
      <w:r w:rsidR="00F95276" w:rsidRPr="004931E9">
        <w:rPr>
          <w:rFonts w:eastAsia="Calibri"/>
          <w:lang w:val="en-US"/>
        </w:rPr>
        <w:t>a</w:t>
      </w:r>
      <w:r w:rsidRPr="004931E9">
        <w:rPr>
          <w:rFonts w:eastAsia="Calibri"/>
          <w:lang w:val="en-US"/>
        </w:rPr>
        <w:t>ctualising</w:t>
      </w:r>
      <w:proofErr w:type="spellEnd"/>
      <w:r w:rsidRPr="004931E9">
        <w:rPr>
          <w:rFonts w:eastAsia="Calibri"/>
          <w:lang w:val="en-US"/>
        </w:rPr>
        <w:t xml:space="preserve"> IoT-enabled affordances</w:t>
      </w:r>
      <w:r w:rsidR="00F95276" w:rsidRPr="004931E9">
        <w:rPr>
          <w:rFonts w:eastAsia="Calibri"/>
          <w:lang w:val="en-US"/>
        </w:rPr>
        <w:t>”,</w:t>
      </w:r>
      <w:r w:rsidRPr="004931E9">
        <w:rPr>
          <w:rFonts w:eastAsia="Calibri"/>
          <w:lang w:val="en-US"/>
        </w:rPr>
        <w:t xml:space="preserve"> </w:t>
      </w:r>
      <w:r w:rsidRPr="004931E9">
        <w:rPr>
          <w:rFonts w:eastAsia="Calibri"/>
          <w:i/>
          <w:iCs/>
          <w:lang w:val="en-US"/>
        </w:rPr>
        <w:t>Industrial Marketing Management</w:t>
      </w:r>
      <w:r w:rsidR="004931E9">
        <w:rPr>
          <w:rFonts w:eastAsia="Calibri"/>
          <w:lang w:val="en-US" w:eastAsia="en-US"/>
        </w:rPr>
        <w:t>, ahead-of-print.</w:t>
      </w:r>
    </w:p>
    <w:p w14:paraId="74CE82DC" w14:textId="0B512561"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Najafi-Tavani, S., Najafi-Tavani, Z., </w:t>
      </w:r>
      <w:proofErr w:type="spellStart"/>
      <w:r w:rsidRPr="00BA6D11">
        <w:rPr>
          <w:rFonts w:eastAsia="Calibri"/>
          <w:lang w:val="en-US"/>
        </w:rPr>
        <w:t>Naudé</w:t>
      </w:r>
      <w:proofErr w:type="spellEnd"/>
      <w:r w:rsidRPr="00BA6D11">
        <w:rPr>
          <w:rFonts w:eastAsia="Calibri"/>
          <w:lang w:val="en-US"/>
        </w:rPr>
        <w:t xml:space="preserve">, P., </w:t>
      </w:r>
      <w:proofErr w:type="spellStart"/>
      <w:r w:rsidRPr="00BA6D11">
        <w:rPr>
          <w:rFonts w:eastAsia="Calibri"/>
          <w:lang w:val="en-US"/>
        </w:rPr>
        <w:t>Oghazi</w:t>
      </w:r>
      <w:proofErr w:type="spellEnd"/>
      <w:r w:rsidRPr="00BA6D11">
        <w:rPr>
          <w:rFonts w:eastAsia="Calibri"/>
          <w:lang w:val="en-US"/>
        </w:rPr>
        <w:t>, P.</w:t>
      </w:r>
      <w:r w:rsidR="00127D5C" w:rsidRPr="00BA6D11">
        <w:rPr>
          <w:rFonts w:eastAsia="Calibri"/>
          <w:lang w:val="en-US"/>
        </w:rPr>
        <w:t xml:space="preserve"> and</w:t>
      </w:r>
      <w:r w:rsidRPr="00BA6D11">
        <w:rPr>
          <w:rFonts w:eastAsia="Calibri"/>
          <w:lang w:val="en-US"/>
        </w:rPr>
        <w:t xml:space="preserve"> </w:t>
      </w:r>
      <w:proofErr w:type="spellStart"/>
      <w:r w:rsidRPr="00BA6D11">
        <w:rPr>
          <w:rFonts w:eastAsia="Calibri"/>
          <w:lang w:val="en-US"/>
        </w:rPr>
        <w:t>Zeynaloo</w:t>
      </w:r>
      <w:proofErr w:type="spellEnd"/>
      <w:r w:rsidRPr="00BA6D11">
        <w:rPr>
          <w:rFonts w:eastAsia="Calibri"/>
          <w:lang w:val="en-US"/>
        </w:rPr>
        <w:t>, E. (2018)</w:t>
      </w:r>
      <w:r w:rsidR="00127D5C" w:rsidRPr="00BA6D11">
        <w:rPr>
          <w:rFonts w:eastAsia="Calibri"/>
          <w:lang w:val="en-US"/>
        </w:rPr>
        <w:t>, “</w:t>
      </w:r>
      <w:r w:rsidRPr="00BA6D11">
        <w:rPr>
          <w:rFonts w:eastAsia="Calibri"/>
          <w:lang w:val="en-US"/>
        </w:rPr>
        <w:t xml:space="preserve">How collaborative innovation networks affect new product performance: </w:t>
      </w:r>
      <w:r w:rsidR="00127D5C" w:rsidRPr="00BA6D11">
        <w:rPr>
          <w:rFonts w:eastAsia="Calibri"/>
          <w:lang w:val="en-US"/>
        </w:rPr>
        <w:t>p</w:t>
      </w:r>
      <w:r w:rsidRPr="00BA6D11">
        <w:rPr>
          <w:rFonts w:eastAsia="Calibri"/>
          <w:lang w:val="en-US"/>
        </w:rPr>
        <w:t>roduct innovation capability, process innovation capability, and absorptive capacity</w:t>
      </w:r>
      <w:r w:rsidR="00127D5C" w:rsidRPr="00BA6D11">
        <w:rPr>
          <w:rFonts w:eastAsia="Calibri"/>
          <w:lang w:val="en-US"/>
        </w:rPr>
        <w:t>”,</w:t>
      </w:r>
      <w:r w:rsidRPr="00BA6D11">
        <w:rPr>
          <w:rFonts w:eastAsia="Calibri"/>
          <w:lang w:val="en-US"/>
        </w:rPr>
        <w:t xml:space="preserve"> </w:t>
      </w:r>
      <w:r w:rsidRPr="00BA6D11">
        <w:rPr>
          <w:rFonts w:eastAsia="Calibri"/>
          <w:i/>
          <w:iCs/>
          <w:lang w:val="en-US"/>
        </w:rPr>
        <w:t xml:space="preserve">Industrial </w:t>
      </w:r>
      <w:r w:rsidR="00127D5C" w:rsidRPr="00BA6D11">
        <w:rPr>
          <w:rFonts w:eastAsia="Calibri"/>
          <w:i/>
          <w:iCs/>
          <w:lang w:val="en-US"/>
        </w:rPr>
        <w:t>M</w:t>
      </w:r>
      <w:r w:rsidRPr="00BA6D11">
        <w:rPr>
          <w:rFonts w:eastAsia="Calibri"/>
          <w:i/>
          <w:iCs/>
          <w:lang w:val="en-US"/>
        </w:rPr>
        <w:t xml:space="preserve">arketing </w:t>
      </w:r>
      <w:r w:rsidR="00127D5C" w:rsidRPr="00BA6D11">
        <w:rPr>
          <w:rFonts w:eastAsia="Calibri"/>
          <w:i/>
          <w:iCs/>
          <w:lang w:val="en-US"/>
        </w:rPr>
        <w:t>M</w:t>
      </w:r>
      <w:r w:rsidRPr="00BA6D11">
        <w:rPr>
          <w:rFonts w:eastAsia="Calibri"/>
          <w:i/>
          <w:iCs/>
          <w:lang w:val="en-US"/>
        </w:rPr>
        <w:t>anagement</w:t>
      </w:r>
      <w:r w:rsidR="00127D5C" w:rsidRPr="00BA6D11">
        <w:rPr>
          <w:rFonts w:eastAsia="Calibri"/>
          <w:lang w:val="en-US"/>
        </w:rPr>
        <w:t xml:space="preserve">, Vol. </w:t>
      </w:r>
      <w:r w:rsidRPr="00BA6D11">
        <w:rPr>
          <w:rFonts w:eastAsia="Calibri"/>
          <w:lang w:val="en-US"/>
        </w:rPr>
        <w:t xml:space="preserve">73, </w:t>
      </w:r>
      <w:r w:rsidR="00127D5C" w:rsidRPr="00BA6D11">
        <w:rPr>
          <w:rFonts w:eastAsia="Calibri"/>
          <w:lang w:val="en-US"/>
        </w:rPr>
        <w:t xml:space="preserve">pp. </w:t>
      </w:r>
      <w:r w:rsidRPr="00BA6D11">
        <w:rPr>
          <w:rFonts w:eastAsia="Calibri"/>
          <w:lang w:val="en-US"/>
        </w:rPr>
        <w:t>193-205.</w:t>
      </w:r>
    </w:p>
    <w:p w14:paraId="317F2CA8" w14:textId="1BB9CBAD"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Nason</w:t>
      </w:r>
      <w:proofErr w:type="spellEnd"/>
      <w:r w:rsidRPr="00BA6D11">
        <w:rPr>
          <w:rFonts w:eastAsia="Calibri"/>
          <w:lang w:val="en-US"/>
        </w:rPr>
        <w:t>, R. S.</w:t>
      </w:r>
      <w:r w:rsidR="001254F8" w:rsidRPr="00BA6D11">
        <w:rPr>
          <w:rFonts w:eastAsia="Calibri"/>
          <w:lang w:val="en-US"/>
        </w:rPr>
        <w:t xml:space="preserve"> and </w:t>
      </w:r>
      <w:proofErr w:type="spellStart"/>
      <w:r w:rsidRPr="00BA6D11">
        <w:rPr>
          <w:rFonts w:eastAsia="Calibri"/>
          <w:lang w:val="en-US"/>
        </w:rPr>
        <w:t>Wiklund</w:t>
      </w:r>
      <w:proofErr w:type="spellEnd"/>
      <w:r w:rsidRPr="00BA6D11">
        <w:rPr>
          <w:rFonts w:eastAsia="Calibri"/>
          <w:lang w:val="en-US"/>
        </w:rPr>
        <w:t>, J. (2018)</w:t>
      </w:r>
      <w:r w:rsidR="001254F8" w:rsidRPr="00BA6D11">
        <w:rPr>
          <w:rFonts w:eastAsia="Calibri"/>
          <w:lang w:val="en-US"/>
        </w:rPr>
        <w:t>, “</w:t>
      </w:r>
      <w:r w:rsidRPr="00BA6D11">
        <w:rPr>
          <w:rFonts w:eastAsia="Calibri"/>
          <w:lang w:val="en-US"/>
        </w:rPr>
        <w:t>An assessment of resource-based theorizing on firm growth and suggestions for the future</w:t>
      </w:r>
      <w:r w:rsidR="001254F8" w:rsidRPr="00BA6D11">
        <w:rPr>
          <w:rFonts w:eastAsia="Calibri"/>
          <w:lang w:val="en-US"/>
        </w:rPr>
        <w:t xml:space="preserve">”, </w:t>
      </w:r>
      <w:r w:rsidRPr="00BA6D11">
        <w:rPr>
          <w:rFonts w:eastAsia="Calibri"/>
          <w:i/>
          <w:iCs/>
          <w:lang w:val="en-US"/>
        </w:rPr>
        <w:t>Journal of Management</w:t>
      </w:r>
      <w:r w:rsidRPr="00BA6D11">
        <w:rPr>
          <w:rFonts w:eastAsia="Calibri"/>
          <w:lang w:val="en-US"/>
        </w:rPr>
        <w:t xml:space="preserve">, </w:t>
      </w:r>
      <w:r w:rsidR="001254F8" w:rsidRPr="00BA6D11">
        <w:rPr>
          <w:rFonts w:eastAsia="Calibri"/>
          <w:lang w:val="en-US"/>
        </w:rPr>
        <w:t xml:space="preserve">Vol. </w:t>
      </w:r>
      <w:r w:rsidRPr="00BA6D11">
        <w:rPr>
          <w:rFonts w:eastAsia="Calibri"/>
          <w:lang w:val="en-US"/>
        </w:rPr>
        <w:t>44</w:t>
      </w:r>
      <w:r w:rsidR="001254F8" w:rsidRPr="00BA6D11">
        <w:rPr>
          <w:rFonts w:eastAsia="Calibri"/>
          <w:lang w:val="en-US"/>
        </w:rPr>
        <w:t xml:space="preserve"> No. </w:t>
      </w:r>
      <w:r w:rsidRPr="00BA6D11">
        <w:rPr>
          <w:rFonts w:eastAsia="Calibri"/>
          <w:lang w:val="en-US"/>
        </w:rPr>
        <w:t xml:space="preserve">1, </w:t>
      </w:r>
      <w:r w:rsidR="001254F8" w:rsidRPr="00BA6D11">
        <w:rPr>
          <w:rFonts w:eastAsia="Calibri"/>
          <w:lang w:val="en-US"/>
        </w:rPr>
        <w:t xml:space="preserve">pp. </w:t>
      </w:r>
      <w:r w:rsidRPr="00BA6D11">
        <w:rPr>
          <w:rFonts w:eastAsia="Calibri"/>
          <w:lang w:val="en-US"/>
        </w:rPr>
        <w:t>32-60.</w:t>
      </w:r>
    </w:p>
    <w:p w14:paraId="76E0F0BC" w14:textId="4C5D90F9"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OECD. </w:t>
      </w:r>
      <w:r w:rsidR="00E877E0" w:rsidRPr="00BA6D11">
        <w:rPr>
          <w:rFonts w:eastAsia="Calibri"/>
          <w:lang w:val="en-US"/>
        </w:rPr>
        <w:t>(</w:t>
      </w:r>
      <w:r w:rsidRPr="00BA6D11">
        <w:rPr>
          <w:rFonts w:eastAsia="Calibri"/>
          <w:lang w:val="en-US"/>
        </w:rPr>
        <w:t>2005</w:t>
      </w:r>
      <w:r w:rsidR="00E877E0" w:rsidRPr="00BA6D11">
        <w:rPr>
          <w:rFonts w:eastAsia="Calibri"/>
          <w:lang w:val="en-US"/>
        </w:rPr>
        <w:t>),</w:t>
      </w:r>
      <w:r w:rsidRPr="00BA6D11">
        <w:rPr>
          <w:rFonts w:eastAsia="Calibri"/>
          <w:lang w:val="en-US"/>
        </w:rPr>
        <w:t xml:space="preserve"> </w:t>
      </w:r>
      <w:r w:rsidRPr="00BA6D11">
        <w:rPr>
          <w:rFonts w:eastAsia="Calibri"/>
          <w:i/>
          <w:iCs/>
          <w:lang w:val="en-US"/>
        </w:rPr>
        <w:t>Oslo Manual: Guidelines for Collecting Data and Interpreting Innovation Data</w:t>
      </w:r>
      <w:r w:rsidR="00E877E0" w:rsidRPr="00BA6D11">
        <w:rPr>
          <w:rFonts w:eastAsia="Calibri"/>
          <w:lang w:val="en-US"/>
        </w:rPr>
        <w:t>,</w:t>
      </w:r>
      <w:r w:rsidRPr="00BA6D11">
        <w:rPr>
          <w:rFonts w:eastAsia="Calibri"/>
          <w:lang w:val="en-US"/>
        </w:rPr>
        <w:t xml:space="preserve"> 3rd ed.</w:t>
      </w:r>
      <w:r w:rsidR="00E877E0" w:rsidRPr="00BA6D11">
        <w:rPr>
          <w:rFonts w:eastAsia="Calibri"/>
          <w:lang w:val="en-US"/>
        </w:rPr>
        <w:t>,</w:t>
      </w:r>
      <w:r w:rsidRPr="00BA6D11">
        <w:rPr>
          <w:rFonts w:eastAsia="Calibri"/>
          <w:lang w:val="en-US"/>
        </w:rPr>
        <w:t xml:space="preserve"> </w:t>
      </w:r>
      <w:r w:rsidR="00E877E0" w:rsidRPr="00BA6D11">
        <w:rPr>
          <w:rFonts w:eastAsia="Calibri"/>
          <w:lang w:val="en-US"/>
        </w:rPr>
        <w:t xml:space="preserve">OECED, </w:t>
      </w:r>
      <w:r w:rsidRPr="00BA6D11">
        <w:rPr>
          <w:rFonts w:eastAsia="Calibri"/>
          <w:lang w:val="en-US"/>
        </w:rPr>
        <w:t>Paris.</w:t>
      </w:r>
    </w:p>
    <w:p w14:paraId="2E8055FB" w14:textId="5914ADD2"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Onufrey</w:t>
      </w:r>
      <w:proofErr w:type="spellEnd"/>
      <w:r w:rsidRPr="00BA6D11">
        <w:rPr>
          <w:rFonts w:eastAsia="Calibri"/>
          <w:lang w:val="en-US"/>
        </w:rPr>
        <w:t>, K.</w:t>
      </w:r>
      <w:r w:rsidR="00E877E0" w:rsidRPr="00BA6D11">
        <w:rPr>
          <w:rFonts w:eastAsia="Calibri"/>
          <w:lang w:val="en-US"/>
        </w:rPr>
        <w:t xml:space="preserve"> and</w:t>
      </w:r>
      <w:r w:rsidRPr="00BA6D11">
        <w:rPr>
          <w:rFonts w:eastAsia="Calibri"/>
          <w:lang w:val="en-US"/>
        </w:rPr>
        <w:t xml:space="preserve"> </w:t>
      </w:r>
      <w:proofErr w:type="spellStart"/>
      <w:r w:rsidRPr="00BA6D11">
        <w:rPr>
          <w:rFonts w:eastAsia="Calibri"/>
          <w:lang w:val="en-US"/>
        </w:rPr>
        <w:t>Bergek</w:t>
      </w:r>
      <w:proofErr w:type="spellEnd"/>
      <w:r w:rsidRPr="00BA6D11">
        <w:rPr>
          <w:rFonts w:eastAsia="Calibri"/>
          <w:lang w:val="en-US"/>
        </w:rPr>
        <w:t>, A. (2020)</w:t>
      </w:r>
      <w:r w:rsidR="00E877E0" w:rsidRPr="00BA6D11">
        <w:rPr>
          <w:rFonts w:eastAsia="Calibri"/>
          <w:lang w:val="en-US"/>
        </w:rPr>
        <w:t>, “</w:t>
      </w:r>
      <w:r w:rsidRPr="00BA6D11">
        <w:rPr>
          <w:rFonts w:eastAsia="Calibri"/>
          <w:lang w:val="en-US"/>
        </w:rPr>
        <w:t xml:space="preserve">Second wind for exploitation: </w:t>
      </w:r>
      <w:r w:rsidR="00E877E0" w:rsidRPr="00BA6D11">
        <w:rPr>
          <w:rFonts w:eastAsia="Calibri"/>
          <w:lang w:val="en-US"/>
        </w:rPr>
        <w:t>p</w:t>
      </w:r>
      <w:r w:rsidRPr="00BA6D11">
        <w:rPr>
          <w:rFonts w:eastAsia="Calibri"/>
          <w:lang w:val="en-US"/>
        </w:rPr>
        <w:t>ursuing high degrees of product and process innovativeness in mature industries</w:t>
      </w:r>
      <w:r w:rsidR="00E877E0" w:rsidRPr="00BA6D11">
        <w:rPr>
          <w:rFonts w:eastAsia="Calibri"/>
          <w:lang w:val="en-US"/>
        </w:rPr>
        <w:t>”,</w:t>
      </w:r>
      <w:r w:rsidRPr="00BA6D11">
        <w:rPr>
          <w:rFonts w:eastAsia="Calibri"/>
          <w:lang w:val="en-US"/>
        </w:rPr>
        <w:t xml:space="preserve"> </w:t>
      </w:r>
      <w:proofErr w:type="spellStart"/>
      <w:r w:rsidRPr="00BA6D11">
        <w:rPr>
          <w:rFonts w:eastAsia="Calibri"/>
          <w:i/>
          <w:iCs/>
          <w:lang w:val="en-US"/>
        </w:rPr>
        <w:t>Technovation</w:t>
      </w:r>
      <w:proofErr w:type="spellEnd"/>
      <w:r w:rsidRPr="00BA6D11">
        <w:rPr>
          <w:rFonts w:eastAsia="Calibri"/>
          <w:lang w:val="en-US"/>
        </w:rPr>
        <w:t xml:space="preserve">, </w:t>
      </w:r>
      <w:r w:rsidR="00E877E0" w:rsidRPr="00BA6D11">
        <w:rPr>
          <w:rFonts w:eastAsia="Calibri"/>
          <w:lang w:val="en-US"/>
        </w:rPr>
        <w:t xml:space="preserve">Vol. </w:t>
      </w:r>
      <w:r w:rsidRPr="00BA6D11">
        <w:rPr>
          <w:rFonts w:eastAsia="Calibri"/>
          <w:lang w:val="en-US"/>
        </w:rPr>
        <w:t xml:space="preserve">89, </w:t>
      </w:r>
      <w:r w:rsidR="00E877E0" w:rsidRPr="00BA6D11">
        <w:rPr>
          <w:rFonts w:eastAsia="Calibri"/>
          <w:lang w:val="en-US"/>
        </w:rPr>
        <w:t xml:space="preserve">pp. </w:t>
      </w:r>
      <w:r w:rsidRPr="00BA6D11">
        <w:rPr>
          <w:rFonts w:eastAsia="Calibri"/>
          <w:lang w:val="en-US"/>
        </w:rPr>
        <w:t>102068.</w:t>
      </w:r>
    </w:p>
    <w:p w14:paraId="0C6F576D" w14:textId="79AC8158" w:rsidR="008C5AA8" w:rsidRPr="00BA6D11" w:rsidRDefault="008C5AA8" w:rsidP="008C5AA8">
      <w:pPr>
        <w:widowControl w:val="0"/>
        <w:autoSpaceDE w:val="0"/>
        <w:autoSpaceDN w:val="0"/>
        <w:adjustRightInd w:val="0"/>
        <w:ind w:left="284" w:hanging="284"/>
        <w:rPr>
          <w:rFonts w:eastAsia="Calibri"/>
          <w:lang w:val="en-US"/>
        </w:rPr>
      </w:pPr>
      <w:proofErr w:type="spellStart"/>
      <w:r w:rsidRPr="00E877E0">
        <w:rPr>
          <w:rFonts w:eastAsia="Calibri"/>
          <w:lang w:val="en-US"/>
        </w:rPr>
        <w:t>Ort</w:t>
      </w:r>
      <w:r w:rsidR="001254F8">
        <w:rPr>
          <w:rFonts w:eastAsia="Calibri"/>
          <w:lang w:val="en-US"/>
        </w:rPr>
        <w:t>i</w:t>
      </w:r>
      <w:r w:rsidRPr="00E877E0">
        <w:rPr>
          <w:rFonts w:eastAsia="Calibri"/>
          <w:lang w:val="en-US"/>
        </w:rPr>
        <w:t>n</w:t>
      </w:r>
      <w:proofErr w:type="spellEnd"/>
      <w:r w:rsidRPr="00E877E0">
        <w:rPr>
          <w:rFonts w:eastAsia="Calibri"/>
          <w:lang w:val="en-US"/>
        </w:rPr>
        <w:t>-</w:t>
      </w:r>
      <w:r w:rsidR="001254F8">
        <w:rPr>
          <w:rFonts w:eastAsia="Calibri"/>
          <w:lang w:val="en-US"/>
        </w:rPr>
        <w:t>A</w:t>
      </w:r>
      <w:r w:rsidRPr="00E877E0">
        <w:rPr>
          <w:rFonts w:eastAsia="Calibri"/>
          <w:lang w:val="en-US"/>
        </w:rPr>
        <w:t>ngel, P.</w:t>
      </w:r>
      <w:r w:rsidR="00A449DC" w:rsidRPr="00E877E0">
        <w:rPr>
          <w:rFonts w:eastAsia="Calibri"/>
          <w:lang w:val="en-US"/>
        </w:rPr>
        <w:t xml:space="preserve"> and</w:t>
      </w:r>
      <w:r w:rsidRPr="00E877E0">
        <w:rPr>
          <w:rFonts w:eastAsia="Calibri"/>
          <w:lang w:val="en-US"/>
        </w:rPr>
        <w:t xml:space="preserve"> Vendrell-Herrero, F. (2014)</w:t>
      </w:r>
      <w:r w:rsidR="00A449DC" w:rsidRPr="00E877E0">
        <w:rPr>
          <w:rFonts w:eastAsia="Calibri"/>
          <w:lang w:val="en-US"/>
        </w:rPr>
        <w:t>,</w:t>
      </w:r>
      <w:r w:rsidRPr="00E877E0">
        <w:rPr>
          <w:rFonts w:eastAsia="Calibri"/>
          <w:lang w:val="en-US"/>
        </w:rPr>
        <w:t xml:space="preserve"> </w:t>
      </w:r>
      <w:r w:rsidR="00A449DC" w:rsidRPr="00E877E0">
        <w:rPr>
          <w:rFonts w:eastAsia="Calibri"/>
          <w:lang w:val="en-US"/>
        </w:rPr>
        <w:t>“</w:t>
      </w:r>
      <w:r w:rsidRPr="00BA6D11">
        <w:rPr>
          <w:rFonts w:eastAsia="Calibri"/>
          <w:lang w:val="en-US"/>
        </w:rPr>
        <w:t xml:space="preserve">University spin-offs vs. other NTBFs: </w:t>
      </w:r>
      <w:r w:rsidR="00A449DC" w:rsidRPr="00BA6D11">
        <w:rPr>
          <w:rFonts w:eastAsia="Calibri"/>
          <w:lang w:val="en-US"/>
        </w:rPr>
        <w:t>t</w:t>
      </w:r>
      <w:r w:rsidRPr="00BA6D11">
        <w:rPr>
          <w:rFonts w:eastAsia="Calibri"/>
          <w:lang w:val="en-US"/>
        </w:rPr>
        <w:t xml:space="preserve">otal </w:t>
      </w:r>
      <w:r w:rsidRPr="00BA6D11">
        <w:rPr>
          <w:rFonts w:eastAsia="Calibri"/>
          <w:lang w:val="en-US"/>
        </w:rPr>
        <w:lastRenderedPageBreak/>
        <w:t>factor productivity differences at outset and evolution</w:t>
      </w:r>
      <w:r w:rsidR="00A449DC" w:rsidRPr="00BA6D11">
        <w:rPr>
          <w:rFonts w:eastAsia="Calibri"/>
          <w:lang w:val="en-US"/>
        </w:rPr>
        <w:t>”,</w:t>
      </w:r>
      <w:r w:rsidRPr="00BA6D11">
        <w:rPr>
          <w:rFonts w:eastAsia="Calibri"/>
          <w:lang w:val="en-US"/>
        </w:rPr>
        <w:t xml:space="preserve"> </w:t>
      </w:r>
      <w:proofErr w:type="spellStart"/>
      <w:r w:rsidRPr="00BA6D11">
        <w:rPr>
          <w:rFonts w:eastAsia="Calibri"/>
          <w:i/>
          <w:iCs/>
          <w:lang w:val="en-US"/>
        </w:rPr>
        <w:t>Technovation</w:t>
      </w:r>
      <w:proofErr w:type="spellEnd"/>
      <w:r w:rsidRPr="00BA6D11">
        <w:rPr>
          <w:rFonts w:eastAsia="Calibri"/>
          <w:lang w:val="en-US"/>
        </w:rPr>
        <w:t xml:space="preserve">, </w:t>
      </w:r>
      <w:r w:rsidR="00A449DC" w:rsidRPr="00BA6D11">
        <w:rPr>
          <w:rFonts w:eastAsia="Calibri"/>
          <w:lang w:val="en-US"/>
        </w:rPr>
        <w:t xml:space="preserve">Vol. </w:t>
      </w:r>
      <w:r w:rsidRPr="00BA6D11">
        <w:rPr>
          <w:rFonts w:eastAsia="Calibri"/>
          <w:lang w:val="en-US"/>
        </w:rPr>
        <w:t>34</w:t>
      </w:r>
      <w:r w:rsidR="00A449DC" w:rsidRPr="00BA6D11">
        <w:rPr>
          <w:rFonts w:eastAsia="Calibri"/>
          <w:lang w:val="en-US"/>
        </w:rPr>
        <w:t xml:space="preserve"> No. </w:t>
      </w:r>
      <w:r w:rsidRPr="00BA6D11">
        <w:rPr>
          <w:rFonts w:eastAsia="Calibri"/>
          <w:lang w:val="en-US"/>
        </w:rPr>
        <w:t xml:space="preserve">2, </w:t>
      </w:r>
      <w:r w:rsidR="00A449DC" w:rsidRPr="00BA6D11">
        <w:rPr>
          <w:rFonts w:eastAsia="Calibri"/>
          <w:lang w:val="en-US"/>
        </w:rPr>
        <w:t xml:space="preserve">pp. </w:t>
      </w:r>
      <w:r w:rsidRPr="00BA6D11">
        <w:rPr>
          <w:rFonts w:eastAsia="Calibri"/>
          <w:lang w:val="en-US"/>
        </w:rPr>
        <w:t>101-112.</w:t>
      </w:r>
    </w:p>
    <w:p w14:paraId="2679B0E3" w14:textId="1A4E3915"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Pires, C. P., Sarkar, S.</w:t>
      </w:r>
      <w:r w:rsidR="00471388" w:rsidRPr="00BA6D11">
        <w:rPr>
          <w:rFonts w:eastAsia="Calibri"/>
          <w:lang w:val="en-US"/>
        </w:rPr>
        <w:t xml:space="preserve"> and </w:t>
      </w:r>
      <w:r w:rsidRPr="00BA6D11">
        <w:rPr>
          <w:rFonts w:eastAsia="Calibri"/>
          <w:lang w:val="en-US"/>
        </w:rPr>
        <w:t>Carvalho, L. (2008)</w:t>
      </w:r>
      <w:r w:rsidR="00471388" w:rsidRPr="00BA6D11">
        <w:rPr>
          <w:rFonts w:eastAsia="Calibri"/>
          <w:lang w:val="en-US"/>
        </w:rPr>
        <w:t>, “</w:t>
      </w:r>
      <w:r w:rsidRPr="00BA6D11">
        <w:rPr>
          <w:rFonts w:eastAsia="Calibri"/>
          <w:lang w:val="en-US"/>
        </w:rPr>
        <w:t>Innovation in services</w:t>
      </w:r>
      <w:r w:rsidR="00471388" w:rsidRPr="00BA6D11">
        <w:rPr>
          <w:rFonts w:eastAsia="Calibri"/>
          <w:lang w:val="en-US"/>
        </w:rPr>
        <w:t>: h</w:t>
      </w:r>
      <w:r w:rsidRPr="00BA6D11">
        <w:rPr>
          <w:rFonts w:eastAsia="Calibri"/>
          <w:lang w:val="en-US"/>
        </w:rPr>
        <w:t>ow different from manufacturing?</w:t>
      </w:r>
      <w:r w:rsidR="00471388" w:rsidRPr="00BA6D11">
        <w:rPr>
          <w:rFonts w:eastAsia="Calibri"/>
          <w:lang w:val="en-US"/>
        </w:rPr>
        <w:t xml:space="preserve">”, </w:t>
      </w:r>
      <w:r w:rsidRPr="00BA6D11">
        <w:rPr>
          <w:rFonts w:eastAsia="Calibri"/>
          <w:i/>
          <w:iCs/>
          <w:lang w:val="en-US"/>
        </w:rPr>
        <w:t>The Service Industries Journal</w:t>
      </w:r>
      <w:r w:rsidRPr="00BA6D11">
        <w:rPr>
          <w:rFonts w:eastAsia="Calibri"/>
          <w:lang w:val="en-US"/>
        </w:rPr>
        <w:t xml:space="preserve">, </w:t>
      </w:r>
      <w:r w:rsidR="00471388" w:rsidRPr="00BA6D11">
        <w:rPr>
          <w:rFonts w:eastAsia="Calibri"/>
          <w:lang w:val="en-US"/>
        </w:rPr>
        <w:t xml:space="preserve">Vol. </w:t>
      </w:r>
      <w:r w:rsidRPr="00BA6D11">
        <w:rPr>
          <w:rFonts w:eastAsia="Calibri"/>
          <w:lang w:val="en-US"/>
        </w:rPr>
        <w:t>28</w:t>
      </w:r>
      <w:r w:rsidR="00471388" w:rsidRPr="00BA6D11">
        <w:rPr>
          <w:rFonts w:eastAsia="Calibri"/>
          <w:lang w:val="en-US"/>
        </w:rPr>
        <w:t xml:space="preserve"> No. </w:t>
      </w:r>
      <w:r w:rsidRPr="00BA6D11">
        <w:rPr>
          <w:rFonts w:eastAsia="Calibri"/>
          <w:lang w:val="en-US"/>
        </w:rPr>
        <w:t xml:space="preserve">10, </w:t>
      </w:r>
      <w:r w:rsidR="00471388" w:rsidRPr="00BA6D11">
        <w:rPr>
          <w:rFonts w:eastAsia="Calibri"/>
          <w:lang w:val="en-US"/>
        </w:rPr>
        <w:t xml:space="preserve">pp. </w:t>
      </w:r>
      <w:r w:rsidRPr="00BA6D11">
        <w:rPr>
          <w:rFonts w:eastAsia="Calibri"/>
          <w:lang w:val="en-US"/>
        </w:rPr>
        <w:t>1339-1356.</w:t>
      </w:r>
    </w:p>
    <w:p w14:paraId="2583C876" w14:textId="55B5B4EA"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Porter, M. E.</w:t>
      </w:r>
      <w:r w:rsidR="0067500C" w:rsidRPr="00BA6D11">
        <w:rPr>
          <w:rFonts w:eastAsia="Calibri"/>
          <w:lang w:val="en-US"/>
        </w:rPr>
        <w:t xml:space="preserve"> and</w:t>
      </w:r>
      <w:r w:rsidRPr="00BA6D11">
        <w:rPr>
          <w:rFonts w:eastAsia="Calibri"/>
          <w:lang w:val="en-US"/>
        </w:rPr>
        <w:t xml:space="preserve"> </w:t>
      </w:r>
      <w:proofErr w:type="spellStart"/>
      <w:r w:rsidRPr="00BA6D11">
        <w:rPr>
          <w:rFonts w:eastAsia="Calibri"/>
          <w:lang w:val="en-US"/>
        </w:rPr>
        <w:t>Heppelmann</w:t>
      </w:r>
      <w:proofErr w:type="spellEnd"/>
      <w:r w:rsidRPr="00BA6D11">
        <w:rPr>
          <w:rFonts w:eastAsia="Calibri"/>
          <w:lang w:val="en-US"/>
        </w:rPr>
        <w:t>, J. E. (2015)</w:t>
      </w:r>
      <w:r w:rsidR="0067500C" w:rsidRPr="00BA6D11">
        <w:rPr>
          <w:rFonts w:eastAsia="Calibri"/>
          <w:lang w:val="en-US"/>
        </w:rPr>
        <w:t>, “</w:t>
      </w:r>
      <w:r w:rsidRPr="00BA6D11">
        <w:rPr>
          <w:rFonts w:eastAsia="Calibri"/>
          <w:lang w:val="en-US"/>
        </w:rPr>
        <w:t>How smart, connected products are transforming companies</w:t>
      </w:r>
      <w:r w:rsidR="0067500C" w:rsidRPr="00BA6D11">
        <w:rPr>
          <w:rFonts w:eastAsia="Calibri"/>
          <w:lang w:val="en-US"/>
        </w:rPr>
        <w:t xml:space="preserve">”, </w:t>
      </w:r>
      <w:r w:rsidRPr="00BA6D11">
        <w:rPr>
          <w:rFonts w:eastAsia="Calibri"/>
          <w:i/>
          <w:iCs/>
          <w:lang w:val="en-US"/>
        </w:rPr>
        <w:t xml:space="preserve">Harvard </w:t>
      </w:r>
      <w:r w:rsidR="0067500C" w:rsidRPr="00BA6D11">
        <w:rPr>
          <w:rFonts w:eastAsia="Calibri"/>
          <w:i/>
          <w:iCs/>
          <w:lang w:val="en-US"/>
        </w:rPr>
        <w:t>B</w:t>
      </w:r>
      <w:r w:rsidRPr="00BA6D11">
        <w:rPr>
          <w:rFonts w:eastAsia="Calibri"/>
          <w:i/>
          <w:iCs/>
          <w:lang w:val="en-US"/>
        </w:rPr>
        <w:t xml:space="preserve">usiness </w:t>
      </w:r>
      <w:r w:rsidR="0067500C" w:rsidRPr="00BA6D11">
        <w:rPr>
          <w:rFonts w:eastAsia="Calibri"/>
          <w:i/>
          <w:iCs/>
          <w:lang w:val="en-US"/>
        </w:rPr>
        <w:t>R</w:t>
      </w:r>
      <w:r w:rsidRPr="00BA6D11">
        <w:rPr>
          <w:rFonts w:eastAsia="Calibri"/>
          <w:i/>
          <w:iCs/>
          <w:lang w:val="en-US"/>
        </w:rPr>
        <w:t>eview</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93</w:t>
      </w:r>
      <w:r w:rsidR="0067500C" w:rsidRPr="00BA6D11">
        <w:rPr>
          <w:rFonts w:eastAsia="Calibri"/>
          <w:lang w:val="en-US"/>
        </w:rPr>
        <w:t xml:space="preserve"> No. </w:t>
      </w:r>
      <w:r w:rsidRPr="00BA6D11">
        <w:rPr>
          <w:rFonts w:eastAsia="Calibri"/>
          <w:lang w:val="en-US"/>
        </w:rPr>
        <w:t xml:space="preserve">10, </w:t>
      </w:r>
      <w:r w:rsidR="0067500C" w:rsidRPr="00BA6D11">
        <w:rPr>
          <w:rFonts w:eastAsia="Calibri"/>
          <w:lang w:val="en-US"/>
        </w:rPr>
        <w:t xml:space="preserve">pp. </w:t>
      </w:r>
      <w:r w:rsidRPr="00BA6D11">
        <w:rPr>
          <w:rFonts w:eastAsia="Calibri"/>
          <w:lang w:val="en-US"/>
        </w:rPr>
        <w:t>96-114.</w:t>
      </w:r>
    </w:p>
    <w:p w14:paraId="4BAE2218" w14:textId="5001940B"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Prajogo</w:t>
      </w:r>
      <w:proofErr w:type="spellEnd"/>
      <w:r w:rsidRPr="00BA6D11">
        <w:rPr>
          <w:rFonts w:eastAsia="Calibri"/>
          <w:lang w:val="en-US"/>
        </w:rPr>
        <w:t>, D. I. (2016)</w:t>
      </w:r>
      <w:r w:rsidR="00E877E0" w:rsidRPr="00BA6D11">
        <w:rPr>
          <w:rFonts w:eastAsia="Calibri"/>
          <w:lang w:val="en-US"/>
        </w:rPr>
        <w:t>, “</w:t>
      </w:r>
      <w:r w:rsidRPr="00BA6D11">
        <w:rPr>
          <w:rFonts w:eastAsia="Calibri"/>
          <w:lang w:val="en-US"/>
        </w:rPr>
        <w:t>The strategic fit between innovation strategies and business environment in delivering business performance</w:t>
      </w:r>
      <w:r w:rsidR="00E877E0" w:rsidRPr="00BA6D11">
        <w:rPr>
          <w:rFonts w:eastAsia="Calibri"/>
          <w:lang w:val="en-US"/>
        </w:rPr>
        <w:t>”,</w:t>
      </w:r>
      <w:r w:rsidRPr="00BA6D11">
        <w:rPr>
          <w:rFonts w:eastAsia="Calibri"/>
          <w:lang w:val="en-US"/>
        </w:rPr>
        <w:t xml:space="preserve"> </w:t>
      </w:r>
      <w:r w:rsidRPr="00BA6D11">
        <w:rPr>
          <w:rFonts w:eastAsia="Calibri"/>
          <w:i/>
          <w:iCs/>
          <w:lang w:val="en-US"/>
        </w:rPr>
        <w:t xml:space="preserve">International </w:t>
      </w:r>
      <w:r w:rsidR="00F95276" w:rsidRPr="00BA6D11">
        <w:rPr>
          <w:rFonts w:eastAsia="Calibri"/>
          <w:i/>
          <w:iCs/>
          <w:lang w:val="en-US"/>
        </w:rPr>
        <w:t>J</w:t>
      </w:r>
      <w:r w:rsidRPr="00BA6D11">
        <w:rPr>
          <w:rFonts w:eastAsia="Calibri"/>
          <w:i/>
          <w:iCs/>
          <w:lang w:val="en-US"/>
        </w:rPr>
        <w:t xml:space="preserve">ournal of </w:t>
      </w:r>
      <w:r w:rsidR="00F95276" w:rsidRPr="00BA6D11">
        <w:rPr>
          <w:rFonts w:eastAsia="Calibri"/>
          <w:i/>
          <w:iCs/>
          <w:lang w:val="en-US"/>
        </w:rPr>
        <w:t>P</w:t>
      </w:r>
      <w:r w:rsidRPr="00BA6D11">
        <w:rPr>
          <w:rFonts w:eastAsia="Calibri"/>
          <w:i/>
          <w:iCs/>
          <w:lang w:val="en-US"/>
        </w:rPr>
        <w:t>roduction Economics</w:t>
      </w:r>
      <w:r w:rsidRPr="00BA6D11">
        <w:rPr>
          <w:rFonts w:eastAsia="Calibri"/>
          <w:lang w:val="en-US"/>
        </w:rPr>
        <w:t xml:space="preserve">, </w:t>
      </w:r>
      <w:r w:rsidR="00E877E0" w:rsidRPr="00BA6D11">
        <w:rPr>
          <w:rFonts w:eastAsia="Calibri"/>
          <w:lang w:val="en-US"/>
        </w:rPr>
        <w:t xml:space="preserve">Vol. </w:t>
      </w:r>
      <w:r w:rsidRPr="00BA6D11">
        <w:rPr>
          <w:rFonts w:eastAsia="Calibri"/>
          <w:lang w:val="en-US"/>
        </w:rPr>
        <w:t xml:space="preserve">171, </w:t>
      </w:r>
      <w:r w:rsidR="00E877E0" w:rsidRPr="00BA6D11">
        <w:rPr>
          <w:rFonts w:eastAsia="Calibri"/>
          <w:lang w:val="en-US"/>
        </w:rPr>
        <w:t xml:space="preserve">pp. </w:t>
      </w:r>
      <w:r w:rsidRPr="00BA6D11">
        <w:rPr>
          <w:rFonts w:eastAsia="Calibri"/>
          <w:lang w:val="en-US"/>
        </w:rPr>
        <w:t>241-249.</w:t>
      </w:r>
    </w:p>
    <w:p w14:paraId="725EDAA4" w14:textId="05D2EE0A"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Raddats</w:t>
      </w:r>
      <w:proofErr w:type="spellEnd"/>
      <w:r w:rsidRPr="00BA6D11">
        <w:rPr>
          <w:rFonts w:eastAsia="Calibri"/>
          <w:lang w:val="en-US"/>
        </w:rPr>
        <w:t>, C., Baines, T., Burton, J., Story, V. M.</w:t>
      </w:r>
      <w:r w:rsidR="001254F8" w:rsidRPr="00BA6D11">
        <w:rPr>
          <w:rFonts w:eastAsia="Calibri"/>
          <w:lang w:val="en-US"/>
        </w:rPr>
        <w:t xml:space="preserve"> and</w:t>
      </w:r>
      <w:r w:rsidRPr="00BA6D11">
        <w:rPr>
          <w:rFonts w:eastAsia="Calibri"/>
          <w:lang w:val="en-US"/>
        </w:rPr>
        <w:t xml:space="preserve"> </w:t>
      </w:r>
      <w:proofErr w:type="spellStart"/>
      <w:r w:rsidRPr="00BA6D11">
        <w:rPr>
          <w:rFonts w:eastAsia="Calibri"/>
          <w:lang w:val="en-US"/>
        </w:rPr>
        <w:t>Zolkiewski</w:t>
      </w:r>
      <w:proofErr w:type="spellEnd"/>
      <w:r w:rsidRPr="00BA6D11">
        <w:rPr>
          <w:rFonts w:eastAsia="Calibri"/>
          <w:lang w:val="en-US"/>
        </w:rPr>
        <w:t>, J. (2016)</w:t>
      </w:r>
      <w:r w:rsidR="001254F8" w:rsidRPr="00BA6D11">
        <w:rPr>
          <w:rFonts w:eastAsia="Calibri"/>
          <w:lang w:val="en-US"/>
        </w:rPr>
        <w:t>, “</w:t>
      </w:r>
      <w:r w:rsidRPr="00BA6D11">
        <w:rPr>
          <w:rFonts w:eastAsia="Calibri"/>
          <w:lang w:val="en-US"/>
        </w:rPr>
        <w:t xml:space="preserve">Motivations for </w:t>
      </w:r>
      <w:proofErr w:type="spellStart"/>
      <w:r w:rsidRPr="00BA6D11">
        <w:rPr>
          <w:rFonts w:eastAsia="Calibri"/>
          <w:lang w:val="en-US"/>
        </w:rPr>
        <w:t>servitization</w:t>
      </w:r>
      <w:proofErr w:type="spellEnd"/>
      <w:r w:rsidRPr="00BA6D11">
        <w:rPr>
          <w:rFonts w:eastAsia="Calibri"/>
          <w:lang w:val="en-US"/>
        </w:rPr>
        <w:t>: the impact of product complexity</w:t>
      </w:r>
      <w:r w:rsidR="001254F8" w:rsidRPr="00BA6D11">
        <w:rPr>
          <w:rFonts w:eastAsia="Calibri"/>
          <w:lang w:val="en-US"/>
        </w:rPr>
        <w:t xml:space="preserve">”, </w:t>
      </w:r>
      <w:r w:rsidRPr="00BA6D11">
        <w:rPr>
          <w:rFonts w:eastAsia="Calibri"/>
          <w:i/>
          <w:iCs/>
          <w:lang w:val="en-US"/>
        </w:rPr>
        <w:t>International Journal of Operations &amp; Production Management</w:t>
      </w:r>
      <w:r w:rsidRPr="00BA6D11">
        <w:rPr>
          <w:rFonts w:eastAsia="Calibri"/>
          <w:lang w:val="en-US"/>
        </w:rPr>
        <w:t xml:space="preserve">, </w:t>
      </w:r>
      <w:r w:rsidR="001254F8" w:rsidRPr="00BA6D11">
        <w:rPr>
          <w:rFonts w:eastAsia="Calibri"/>
          <w:lang w:val="en-US"/>
        </w:rPr>
        <w:t xml:space="preserve">Vol. </w:t>
      </w:r>
      <w:r w:rsidRPr="00BA6D11">
        <w:rPr>
          <w:rFonts w:eastAsia="Calibri"/>
          <w:lang w:val="en-US"/>
        </w:rPr>
        <w:t>36</w:t>
      </w:r>
      <w:r w:rsidR="001254F8" w:rsidRPr="00BA6D11">
        <w:rPr>
          <w:rFonts w:eastAsia="Calibri"/>
          <w:lang w:val="en-US"/>
        </w:rPr>
        <w:t xml:space="preserve"> No. </w:t>
      </w:r>
      <w:r w:rsidRPr="00BA6D11">
        <w:rPr>
          <w:rFonts w:eastAsia="Calibri"/>
          <w:lang w:val="en-US"/>
        </w:rPr>
        <w:t xml:space="preserve">5, </w:t>
      </w:r>
      <w:r w:rsidR="001254F8" w:rsidRPr="00BA6D11">
        <w:rPr>
          <w:rFonts w:eastAsia="Calibri"/>
          <w:lang w:val="en-US"/>
        </w:rPr>
        <w:t xml:space="preserve">pp. </w:t>
      </w:r>
      <w:r w:rsidRPr="00BA6D11">
        <w:rPr>
          <w:rFonts w:eastAsia="Calibri"/>
          <w:lang w:val="en-US"/>
        </w:rPr>
        <w:t>572-591.</w:t>
      </w:r>
    </w:p>
    <w:p w14:paraId="3A6834CE" w14:textId="5087B349" w:rsidR="00CB6014" w:rsidRPr="00BA6D11" w:rsidRDefault="00CB6014" w:rsidP="008C5AA8">
      <w:pPr>
        <w:widowControl w:val="0"/>
        <w:autoSpaceDE w:val="0"/>
        <w:autoSpaceDN w:val="0"/>
        <w:adjustRightInd w:val="0"/>
        <w:ind w:left="284" w:hanging="284"/>
        <w:rPr>
          <w:rFonts w:eastAsia="Calibri"/>
          <w:lang w:val="en-US"/>
        </w:rPr>
      </w:pPr>
      <w:r w:rsidRPr="00BA6D11">
        <w:rPr>
          <w:rFonts w:eastAsia="Calibri"/>
          <w:lang w:val="en-US"/>
        </w:rPr>
        <w:t>Ragin, C. (2008)</w:t>
      </w:r>
      <w:r w:rsidR="001254F8" w:rsidRPr="00BA6D11">
        <w:rPr>
          <w:rFonts w:eastAsia="Calibri"/>
          <w:lang w:val="en-US"/>
        </w:rPr>
        <w:t xml:space="preserve">, </w:t>
      </w:r>
      <w:r w:rsidRPr="00BA6D11">
        <w:rPr>
          <w:rFonts w:eastAsia="Calibri"/>
          <w:i/>
          <w:iCs/>
          <w:lang w:val="en-US"/>
        </w:rPr>
        <w:t>Redesigning Social Inquiry: Fuzzy Sets and Beyond</w:t>
      </w:r>
      <w:r w:rsidR="001254F8" w:rsidRPr="00BA6D11">
        <w:rPr>
          <w:rFonts w:eastAsia="Calibri"/>
          <w:lang w:val="en-US"/>
        </w:rPr>
        <w:t>,</w:t>
      </w:r>
      <w:r w:rsidRPr="00BA6D11">
        <w:rPr>
          <w:rFonts w:eastAsia="Calibri"/>
          <w:lang w:val="en-US"/>
        </w:rPr>
        <w:t xml:space="preserve"> University of Chicago Press</w:t>
      </w:r>
      <w:r w:rsidR="001254F8" w:rsidRPr="00BA6D11">
        <w:rPr>
          <w:rFonts w:eastAsia="Calibri"/>
          <w:lang w:val="en-US"/>
        </w:rPr>
        <w:t>, Chicago</w:t>
      </w:r>
      <w:r w:rsidRPr="00BA6D11">
        <w:rPr>
          <w:rFonts w:eastAsia="Calibri"/>
          <w:lang w:val="en-US"/>
        </w:rPr>
        <w:t>.</w:t>
      </w:r>
    </w:p>
    <w:p w14:paraId="3BF6C34F" w14:textId="51FB435E"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Ragin, C. C.</w:t>
      </w:r>
      <w:r w:rsidR="001254F8" w:rsidRPr="00BA6D11">
        <w:rPr>
          <w:rFonts w:eastAsia="Calibri"/>
          <w:lang w:val="en-US"/>
        </w:rPr>
        <w:t xml:space="preserve"> and</w:t>
      </w:r>
      <w:r w:rsidRPr="00BA6D11">
        <w:rPr>
          <w:rFonts w:eastAsia="Calibri"/>
          <w:lang w:val="en-US"/>
        </w:rPr>
        <w:t xml:space="preserve"> Davey, S. (2014)</w:t>
      </w:r>
      <w:r w:rsidR="001254F8" w:rsidRPr="00BA6D11">
        <w:rPr>
          <w:rFonts w:eastAsia="Calibri"/>
          <w:lang w:val="en-US"/>
        </w:rPr>
        <w:t>,</w:t>
      </w:r>
      <w:r w:rsidRPr="00BA6D11">
        <w:rPr>
          <w:rFonts w:eastAsia="Calibri"/>
          <w:lang w:val="en-US"/>
        </w:rPr>
        <w:t xml:space="preserve"> </w:t>
      </w:r>
      <w:r w:rsidRPr="00BA6D11">
        <w:rPr>
          <w:rFonts w:eastAsia="Calibri"/>
          <w:i/>
          <w:iCs/>
          <w:lang w:val="en-US"/>
        </w:rPr>
        <w:t xml:space="preserve">fs/QCA [Computer </w:t>
      </w:r>
      <w:proofErr w:type="spellStart"/>
      <w:r w:rsidRPr="00BA6D11">
        <w:rPr>
          <w:rFonts w:eastAsia="Calibri"/>
          <w:i/>
          <w:iCs/>
          <w:lang w:val="en-US"/>
        </w:rPr>
        <w:t>Programme</w:t>
      </w:r>
      <w:proofErr w:type="spellEnd"/>
      <w:r w:rsidRPr="00BA6D11">
        <w:rPr>
          <w:rFonts w:eastAsia="Calibri"/>
          <w:i/>
          <w:iCs/>
          <w:lang w:val="en-US"/>
        </w:rPr>
        <w:t>]</w:t>
      </w:r>
      <w:r w:rsidRPr="00BA6D11">
        <w:rPr>
          <w:rFonts w:eastAsia="Calibri"/>
          <w:lang w:val="en-US"/>
        </w:rPr>
        <w:t>, version 2.5</w:t>
      </w:r>
      <w:r w:rsidR="001254F8" w:rsidRPr="00BA6D11">
        <w:rPr>
          <w:rFonts w:eastAsia="Calibri"/>
          <w:lang w:val="en-US"/>
        </w:rPr>
        <w:t xml:space="preserve">, </w:t>
      </w:r>
      <w:r w:rsidRPr="00BA6D11">
        <w:rPr>
          <w:rFonts w:eastAsia="Calibri"/>
          <w:lang w:val="en-US"/>
        </w:rPr>
        <w:t>University of California</w:t>
      </w:r>
      <w:r w:rsidR="001254F8" w:rsidRPr="00BA6D11">
        <w:rPr>
          <w:rFonts w:eastAsia="Calibri"/>
          <w:lang w:val="en-US"/>
        </w:rPr>
        <w:t>, Irvine, CA.</w:t>
      </w:r>
    </w:p>
    <w:p w14:paraId="04AF7F9A" w14:textId="19E90423"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Rivkin, J. W. (2000)</w:t>
      </w:r>
      <w:r w:rsidR="00C144DD" w:rsidRPr="00BA6D11">
        <w:rPr>
          <w:rFonts w:eastAsia="Calibri"/>
          <w:lang w:val="en-US"/>
        </w:rPr>
        <w:t>, “</w:t>
      </w:r>
      <w:r w:rsidRPr="00BA6D11">
        <w:rPr>
          <w:rFonts w:eastAsia="Calibri"/>
          <w:lang w:val="en-US"/>
        </w:rPr>
        <w:t>Imitation of complex strategies</w:t>
      </w:r>
      <w:r w:rsidR="00C144DD" w:rsidRPr="00BA6D11">
        <w:rPr>
          <w:rFonts w:eastAsia="Calibri"/>
          <w:lang w:val="en-US"/>
        </w:rPr>
        <w:t>”,</w:t>
      </w:r>
      <w:r w:rsidRPr="00BA6D11">
        <w:rPr>
          <w:rFonts w:eastAsia="Calibri"/>
          <w:lang w:val="en-US"/>
        </w:rPr>
        <w:t xml:space="preserve"> </w:t>
      </w:r>
      <w:r w:rsidRPr="00BA6D11">
        <w:rPr>
          <w:rFonts w:eastAsia="Calibri"/>
          <w:i/>
          <w:iCs/>
          <w:lang w:val="en-US"/>
        </w:rPr>
        <w:t xml:space="preserve">Management </w:t>
      </w:r>
      <w:r w:rsidR="00C144DD" w:rsidRPr="00BA6D11">
        <w:rPr>
          <w:rFonts w:eastAsia="Calibri"/>
          <w:i/>
          <w:iCs/>
          <w:lang w:val="en-US"/>
        </w:rPr>
        <w:t>S</w:t>
      </w:r>
      <w:r w:rsidRPr="00BA6D11">
        <w:rPr>
          <w:rFonts w:eastAsia="Calibri"/>
          <w:i/>
          <w:iCs/>
          <w:lang w:val="en-US"/>
        </w:rPr>
        <w:t>cience</w:t>
      </w:r>
      <w:r w:rsidRPr="00BA6D11">
        <w:rPr>
          <w:rFonts w:eastAsia="Calibri"/>
          <w:lang w:val="en-US"/>
        </w:rPr>
        <w:t xml:space="preserve">, </w:t>
      </w:r>
      <w:r w:rsidR="00C144DD" w:rsidRPr="00BA6D11">
        <w:rPr>
          <w:rFonts w:eastAsia="Calibri"/>
          <w:lang w:val="en-US"/>
        </w:rPr>
        <w:t xml:space="preserve">Vol. </w:t>
      </w:r>
      <w:r w:rsidRPr="00BA6D11">
        <w:rPr>
          <w:rFonts w:eastAsia="Calibri"/>
          <w:lang w:val="en-US"/>
        </w:rPr>
        <w:t>46</w:t>
      </w:r>
      <w:r w:rsidR="00C144DD" w:rsidRPr="00BA6D11">
        <w:rPr>
          <w:rFonts w:eastAsia="Calibri"/>
          <w:lang w:val="en-US"/>
        </w:rPr>
        <w:t xml:space="preserve"> No. </w:t>
      </w:r>
      <w:r w:rsidRPr="00BA6D11">
        <w:rPr>
          <w:rFonts w:eastAsia="Calibri"/>
          <w:lang w:val="en-US"/>
        </w:rPr>
        <w:t xml:space="preserve">6, </w:t>
      </w:r>
      <w:r w:rsidR="00C144DD" w:rsidRPr="00BA6D11">
        <w:rPr>
          <w:rFonts w:eastAsia="Calibri"/>
          <w:lang w:val="en-US"/>
        </w:rPr>
        <w:t xml:space="preserve">pp. </w:t>
      </w:r>
      <w:r w:rsidRPr="00BA6D11">
        <w:rPr>
          <w:rFonts w:eastAsia="Calibri"/>
          <w:lang w:val="en-US"/>
        </w:rPr>
        <w:t xml:space="preserve">824-844. </w:t>
      </w:r>
    </w:p>
    <w:p w14:paraId="438501D1" w14:textId="5E60A3BF"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Schneider, C. Q.</w:t>
      </w:r>
      <w:r w:rsidR="001254F8" w:rsidRPr="00BA6D11">
        <w:rPr>
          <w:rFonts w:eastAsia="Calibri"/>
          <w:lang w:val="en-US"/>
        </w:rPr>
        <w:t xml:space="preserve"> and</w:t>
      </w:r>
      <w:r w:rsidRPr="00BA6D11">
        <w:rPr>
          <w:rFonts w:eastAsia="Calibri"/>
          <w:lang w:val="en-US"/>
        </w:rPr>
        <w:t xml:space="preserve"> </w:t>
      </w:r>
      <w:proofErr w:type="spellStart"/>
      <w:r w:rsidRPr="00BA6D11">
        <w:rPr>
          <w:rFonts w:eastAsia="Calibri"/>
          <w:lang w:val="en-US"/>
        </w:rPr>
        <w:t>Wagemann</w:t>
      </w:r>
      <w:proofErr w:type="spellEnd"/>
      <w:r w:rsidRPr="00BA6D11">
        <w:rPr>
          <w:rFonts w:eastAsia="Calibri"/>
          <w:lang w:val="en-US"/>
        </w:rPr>
        <w:t>, C. (2012)</w:t>
      </w:r>
      <w:r w:rsidR="001254F8" w:rsidRPr="00BA6D11">
        <w:rPr>
          <w:rFonts w:eastAsia="Calibri"/>
          <w:lang w:val="en-US"/>
        </w:rPr>
        <w:t xml:space="preserve">, </w:t>
      </w:r>
      <w:r w:rsidRPr="00BA6D11">
        <w:rPr>
          <w:rFonts w:eastAsia="Calibri"/>
          <w:i/>
          <w:iCs/>
          <w:lang w:val="en-US"/>
        </w:rPr>
        <w:t xml:space="preserve">Set-theoretic </w:t>
      </w:r>
      <w:r w:rsidR="001254F8" w:rsidRPr="00BA6D11">
        <w:rPr>
          <w:rFonts w:eastAsia="Calibri"/>
          <w:i/>
          <w:iCs/>
          <w:lang w:val="en-US"/>
        </w:rPr>
        <w:t>M</w:t>
      </w:r>
      <w:r w:rsidRPr="00BA6D11">
        <w:rPr>
          <w:rFonts w:eastAsia="Calibri"/>
          <w:i/>
          <w:iCs/>
          <w:lang w:val="en-US"/>
        </w:rPr>
        <w:t xml:space="preserve">ethods for the </w:t>
      </w:r>
      <w:r w:rsidR="001254F8" w:rsidRPr="00BA6D11">
        <w:rPr>
          <w:rFonts w:eastAsia="Calibri"/>
          <w:i/>
          <w:iCs/>
          <w:lang w:val="en-US"/>
        </w:rPr>
        <w:t>S</w:t>
      </w:r>
      <w:r w:rsidRPr="00BA6D11">
        <w:rPr>
          <w:rFonts w:eastAsia="Calibri"/>
          <w:i/>
          <w:iCs/>
          <w:lang w:val="en-US"/>
        </w:rPr>
        <w:t xml:space="preserve">ocial </w:t>
      </w:r>
      <w:r w:rsidR="001254F8" w:rsidRPr="00BA6D11">
        <w:rPr>
          <w:rFonts w:eastAsia="Calibri"/>
          <w:i/>
          <w:iCs/>
          <w:lang w:val="en-US"/>
        </w:rPr>
        <w:t>S</w:t>
      </w:r>
      <w:r w:rsidRPr="00BA6D11">
        <w:rPr>
          <w:rFonts w:eastAsia="Calibri"/>
          <w:i/>
          <w:iCs/>
          <w:lang w:val="en-US"/>
        </w:rPr>
        <w:t xml:space="preserve">ciences: A </w:t>
      </w:r>
      <w:r w:rsidR="001254F8" w:rsidRPr="00BA6D11">
        <w:rPr>
          <w:rFonts w:eastAsia="Calibri"/>
          <w:i/>
          <w:iCs/>
          <w:lang w:val="en-US"/>
        </w:rPr>
        <w:t>G</w:t>
      </w:r>
      <w:r w:rsidRPr="00BA6D11">
        <w:rPr>
          <w:rFonts w:eastAsia="Calibri"/>
          <w:i/>
          <w:iCs/>
          <w:lang w:val="en-US"/>
        </w:rPr>
        <w:t xml:space="preserve">uide to </w:t>
      </w:r>
      <w:r w:rsidR="001254F8" w:rsidRPr="00BA6D11">
        <w:rPr>
          <w:rFonts w:eastAsia="Calibri"/>
          <w:i/>
          <w:iCs/>
          <w:lang w:val="en-US"/>
        </w:rPr>
        <w:t>Q</w:t>
      </w:r>
      <w:r w:rsidRPr="00BA6D11">
        <w:rPr>
          <w:rFonts w:eastAsia="Calibri"/>
          <w:i/>
          <w:iCs/>
          <w:lang w:val="en-US"/>
        </w:rPr>
        <w:t xml:space="preserve">ualitative </w:t>
      </w:r>
      <w:r w:rsidR="001254F8" w:rsidRPr="00BA6D11">
        <w:rPr>
          <w:rFonts w:eastAsia="Calibri"/>
          <w:i/>
          <w:iCs/>
          <w:lang w:val="en-US"/>
        </w:rPr>
        <w:t>C</w:t>
      </w:r>
      <w:r w:rsidRPr="00BA6D11">
        <w:rPr>
          <w:rFonts w:eastAsia="Calibri"/>
          <w:i/>
          <w:iCs/>
          <w:lang w:val="en-US"/>
        </w:rPr>
        <w:t xml:space="preserve">omparative </w:t>
      </w:r>
      <w:r w:rsidR="001254F8" w:rsidRPr="00BA6D11">
        <w:rPr>
          <w:rFonts w:eastAsia="Calibri"/>
          <w:i/>
          <w:iCs/>
          <w:lang w:val="en-US"/>
        </w:rPr>
        <w:t>A</w:t>
      </w:r>
      <w:r w:rsidRPr="00BA6D11">
        <w:rPr>
          <w:rFonts w:eastAsia="Calibri"/>
          <w:i/>
          <w:iCs/>
          <w:lang w:val="en-US"/>
        </w:rPr>
        <w:t>nalysis</w:t>
      </w:r>
      <w:r w:rsidR="001254F8" w:rsidRPr="00BA6D11">
        <w:rPr>
          <w:rFonts w:eastAsia="Calibri"/>
          <w:lang w:val="en-US"/>
        </w:rPr>
        <w:t>,</w:t>
      </w:r>
      <w:r w:rsidRPr="00BA6D11">
        <w:rPr>
          <w:rFonts w:eastAsia="Calibri"/>
          <w:lang w:val="en-US"/>
        </w:rPr>
        <w:t xml:space="preserve"> Cambridge University Press</w:t>
      </w:r>
      <w:r w:rsidR="001254F8" w:rsidRPr="00BA6D11">
        <w:rPr>
          <w:rFonts w:eastAsia="Calibri"/>
          <w:lang w:val="en-US"/>
        </w:rPr>
        <w:t>, Cambridge</w:t>
      </w:r>
      <w:r w:rsidR="00316AF3" w:rsidRPr="00BA6D11">
        <w:rPr>
          <w:rFonts w:eastAsia="Calibri"/>
          <w:lang w:val="en-US"/>
        </w:rPr>
        <w:t>, UK</w:t>
      </w:r>
      <w:r w:rsidRPr="00BA6D11">
        <w:rPr>
          <w:rFonts w:eastAsia="Calibri"/>
          <w:lang w:val="en-US"/>
        </w:rPr>
        <w:t>.</w:t>
      </w:r>
    </w:p>
    <w:p w14:paraId="1934A3DB" w14:textId="5D3BD378" w:rsidR="001254F8" w:rsidRPr="00BA6D11" w:rsidRDefault="001254F8" w:rsidP="001254F8">
      <w:pPr>
        <w:widowControl w:val="0"/>
        <w:autoSpaceDE w:val="0"/>
        <w:autoSpaceDN w:val="0"/>
        <w:adjustRightInd w:val="0"/>
        <w:ind w:left="284" w:hanging="284"/>
        <w:rPr>
          <w:rFonts w:eastAsia="Calibri"/>
          <w:lang w:val="en-US"/>
        </w:rPr>
      </w:pPr>
      <w:r w:rsidRPr="00BA6D11">
        <w:rPr>
          <w:rFonts w:eastAsia="Calibri"/>
          <w:lang w:val="en-US"/>
        </w:rPr>
        <w:t>Schneider, C. Q.</w:t>
      </w:r>
      <w:r w:rsidR="00316AF3" w:rsidRPr="00BA6D11">
        <w:rPr>
          <w:rFonts w:eastAsia="Calibri"/>
          <w:lang w:val="en-US"/>
        </w:rPr>
        <w:t xml:space="preserve"> and</w:t>
      </w:r>
      <w:r w:rsidRPr="00BA6D11">
        <w:rPr>
          <w:rFonts w:eastAsia="Calibri"/>
          <w:lang w:val="en-US"/>
        </w:rPr>
        <w:t xml:space="preserve"> Rohlfing, I. (2016)</w:t>
      </w:r>
      <w:r w:rsidR="00316AF3" w:rsidRPr="00BA6D11">
        <w:rPr>
          <w:rFonts w:eastAsia="Calibri"/>
          <w:lang w:val="en-US"/>
        </w:rPr>
        <w:t>, “</w:t>
      </w:r>
      <w:r w:rsidRPr="00BA6D11">
        <w:rPr>
          <w:rFonts w:eastAsia="Calibri"/>
          <w:lang w:val="en-US"/>
        </w:rPr>
        <w:t xml:space="preserve">Case studies nested in fuzzy-set QCA on sufficiency: </w:t>
      </w:r>
      <w:r w:rsidR="00316AF3" w:rsidRPr="00BA6D11">
        <w:rPr>
          <w:rFonts w:eastAsia="Calibri"/>
          <w:lang w:val="en-US"/>
        </w:rPr>
        <w:t>f</w:t>
      </w:r>
      <w:r w:rsidRPr="00BA6D11">
        <w:rPr>
          <w:rFonts w:eastAsia="Calibri"/>
          <w:lang w:val="en-US"/>
        </w:rPr>
        <w:t>ormalizing case selection and causal inference</w:t>
      </w:r>
      <w:r w:rsidR="00316AF3" w:rsidRPr="00BA6D11">
        <w:rPr>
          <w:rFonts w:eastAsia="Calibri"/>
          <w:lang w:val="en-US"/>
        </w:rPr>
        <w:t>”,</w:t>
      </w:r>
      <w:r w:rsidRPr="00BA6D11">
        <w:rPr>
          <w:rFonts w:eastAsia="Calibri"/>
          <w:lang w:val="en-US"/>
        </w:rPr>
        <w:t xml:space="preserve"> </w:t>
      </w:r>
      <w:r w:rsidRPr="00BA6D11">
        <w:rPr>
          <w:rFonts w:eastAsia="Calibri"/>
          <w:i/>
          <w:iCs/>
          <w:lang w:val="en-US"/>
        </w:rPr>
        <w:t>Sociological Methods &amp;</w:t>
      </w:r>
      <w:r w:rsidR="00316AF3" w:rsidRPr="00BA6D11">
        <w:rPr>
          <w:rFonts w:eastAsia="Calibri"/>
          <w:i/>
          <w:iCs/>
          <w:lang w:val="en-US"/>
        </w:rPr>
        <w:t xml:space="preserve"> </w:t>
      </w:r>
      <w:r w:rsidRPr="00BA6D11">
        <w:rPr>
          <w:rFonts w:eastAsia="Calibri"/>
          <w:i/>
          <w:iCs/>
          <w:lang w:val="en-US"/>
        </w:rPr>
        <w:t>Research</w:t>
      </w:r>
      <w:r w:rsidRPr="00BA6D11">
        <w:rPr>
          <w:rFonts w:eastAsia="Calibri"/>
          <w:lang w:val="en-US"/>
        </w:rPr>
        <w:t xml:space="preserve">, </w:t>
      </w:r>
      <w:r w:rsidR="00316AF3" w:rsidRPr="00BA6D11">
        <w:rPr>
          <w:rFonts w:eastAsia="Calibri"/>
          <w:lang w:val="en-US"/>
        </w:rPr>
        <w:t xml:space="preserve">Vol. </w:t>
      </w:r>
      <w:r w:rsidRPr="00BA6D11">
        <w:rPr>
          <w:rFonts w:eastAsia="Calibri"/>
          <w:lang w:val="en-US"/>
        </w:rPr>
        <w:t>45</w:t>
      </w:r>
      <w:r w:rsidR="00316AF3" w:rsidRPr="00BA6D11">
        <w:rPr>
          <w:rFonts w:eastAsia="Calibri"/>
          <w:lang w:val="en-US"/>
        </w:rPr>
        <w:t xml:space="preserve"> No. </w:t>
      </w:r>
      <w:r w:rsidRPr="00BA6D11">
        <w:rPr>
          <w:rFonts w:eastAsia="Calibri"/>
          <w:lang w:val="en-US"/>
        </w:rPr>
        <w:t xml:space="preserve">3, </w:t>
      </w:r>
      <w:r w:rsidR="00316AF3" w:rsidRPr="00BA6D11">
        <w:rPr>
          <w:rFonts w:eastAsia="Calibri"/>
          <w:lang w:val="en-US"/>
        </w:rPr>
        <w:t xml:space="preserve">pp. </w:t>
      </w:r>
      <w:r w:rsidRPr="00BA6D11">
        <w:rPr>
          <w:rFonts w:eastAsia="Calibri"/>
          <w:lang w:val="en-US"/>
        </w:rPr>
        <w:t>526-568.</w:t>
      </w:r>
    </w:p>
    <w:p w14:paraId="60A37BCD" w14:textId="605E05FA"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Schroeder, A., </w:t>
      </w:r>
      <w:proofErr w:type="spellStart"/>
      <w:r w:rsidRPr="00BA6D11">
        <w:rPr>
          <w:rFonts w:eastAsia="Calibri"/>
          <w:lang w:val="en-US"/>
        </w:rPr>
        <w:t>Bigdeli</w:t>
      </w:r>
      <w:proofErr w:type="spellEnd"/>
      <w:r w:rsidRPr="00BA6D11">
        <w:rPr>
          <w:rFonts w:eastAsia="Calibri"/>
          <w:lang w:val="en-US"/>
        </w:rPr>
        <w:t>, A.</w:t>
      </w:r>
      <w:r w:rsidR="0067500C" w:rsidRPr="00BA6D11">
        <w:rPr>
          <w:rFonts w:eastAsia="Calibri"/>
          <w:lang w:val="en-US"/>
        </w:rPr>
        <w:t xml:space="preserve"> Z.</w:t>
      </w:r>
      <w:r w:rsidRPr="00BA6D11">
        <w:rPr>
          <w:rFonts w:eastAsia="Calibri"/>
          <w:lang w:val="en-US"/>
        </w:rPr>
        <w:t>, Galera</w:t>
      </w:r>
      <w:r w:rsidR="0067500C" w:rsidRPr="00BA6D11">
        <w:rPr>
          <w:rFonts w:eastAsia="Calibri"/>
          <w:lang w:val="en-US"/>
        </w:rPr>
        <w:t>-</w:t>
      </w:r>
      <w:proofErr w:type="spellStart"/>
      <w:r w:rsidRPr="00BA6D11">
        <w:rPr>
          <w:rFonts w:eastAsia="Calibri"/>
          <w:lang w:val="en-US"/>
        </w:rPr>
        <w:t>Zarco</w:t>
      </w:r>
      <w:proofErr w:type="spellEnd"/>
      <w:r w:rsidRPr="00BA6D11">
        <w:rPr>
          <w:rFonts w:eastAsia="Calibri"/>
          <w:lang w:val="en-US"/>
        </w:rPr>
        <w:t>, C.</w:t>
      </w:r>
      <w:r w:rsidR="0067500C" w:rsidRPr="00BA6D11">
        <w:rPr>
          <w:rFonts w:eastAsia="Calibri"/>
          <w:lang w:val="en-US"/>
        </w:rPr>
        <w:t xml:space="preserve"> and</w:t>
      </w:r>
      <w:r w:rsidRPr="00BA6D11">
        <w:rPr>
          <w:rFonts w:eastAsia="Calibri"/>
          <w:lang w:val="en-US"/>
        </w:rPr>
        <w:t xml:space="preserve"> Baines, T. (2019)</w:t>
      </w:r>
      <w:r w:rsidR="0067500C" w:rsidRPr="00BA6D11">
        <w:rPr>
          <w:rFonts w:eastAsia="Calibri"/>
          <w:lang w:val="en-US"/>
        </w:rPr>
        <w:t>, “</w:t>
      </w:r>
      <w:r w:rsidRPr="00BA6D11">
        <w:rPr>
          <w:rFonts w:eastAsia="Calibri"/>
          <w:lang w:val="en-US"/>
        </w:rPr>
        <w:t>Capturing the benefits of industry 4.0: a business network perspective</w:t>
      </w:r>
      <w:r w:rsidR="0067500C" w:rsidRPr="00BA6D11">
        <w:rPr>
          <w:rFonts w:eastAsia="Calibri"/>
          <w:lang w:val="en-US"/>
        </w:rPr>
        <w:t xml:space="preserve">”, </w:t>
      </w:r>
      <w:r w:rsidRPr="00BA6D11">
        <w:rPr>
          <w:rFonts w:eastAsia="Calibri"/>
          <w:i/>
          <w:iCs/>
          <w:lang w:val="en-US"/>
        </w:rPr>
        <w:t>Production Planning &amp; Control</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30</w:t>
      </w:r>
      <w:r w:rsidR="0067500C" w:rsidRPr="00BA6D11">
        <w:rPr>
          <w:rFonts w:eastAsia="Calibri"/>
          <w:lang w:val="en-US"/>
        </w:rPr>
        <w:t xml:space="preserve"> No. </w:t>
      </w:r>
      <w:r w:rsidRPr="00BA6D11">
        <w:rPr>
          <w:rFonts w:eastAsia="Calibri"/>
          <w:lang w:val="en-US"/>
        </w:rPr>
        <w:t xml:space="preserve">16, </w:t>
      </w:r>
      <w:r w:rsidR="0067500C" w:rsidRPr="00BA6D11">
        <w:rPr>
          <w:rFonts w:eastAsia="Calibri"/>
          <w:lang w:val="en-US"/>
        </w:rPr>
        <w:t xml:space="preserve">pp. </w:t>
      </w:r>
      <w:r w:rsidRPr="00BA6D11">
        <w:rPr>
          <w:rFonts w:eastAsia="Calibri"/>
          <w:lang w:val="en-US"/>
        </w:rPr>
        <w:t>1305-1321.</w:t>
      </w:r>
    </w:p>
    <w:p w14:paraId="7AD14F3F" w14:textId="530F577E" w:rsidR="008C5AA8" w:rsidRPr="00BA6D11" w:rsidRDefault="008C5AA8" w:rsidP="008C5AA8">
      <w:pPr>
        <w:widowControl w:val="0"/>
        <w:autoSpaceDE w:val="0"/>
        <w:autoSpaceDN w:val="0"/>
        <w:adjustRightInd w:val="0"/>
        <w:ind w:left="284" w:hanging="284"/>
        <w:rPr>
          <w:rFonts w:eastAsia="Calibri"/>
          <w:lang w:val="en-US"/>
        </w:rPr>
      </w:pPr>
      <w:proofErr w:type="spellStart"/>
      <w:r w:rsidRPr="00E877E0">
        <w:rPr>
          <w:rFonts w:eastAsia="Calibri"/>
          <w:lang w:val="en-US"/>
        </w:rPr>
        <w:t>Sjödin</w:t>
      </w:r>
      <w:proofErr w:type="spellEnd"/>
      <w:r w:rsidRPr="00E877E0">
        <w:rPr>
          <w:rFonts w:eastAsia="Calibri"/>
          <w:lang w:val="en-US"/>
        </w:rPr>
        <w:t xml:space="preserve">, D., </w:t>
      </w:r>
      <w:proofErr w:type="spellStart"/>
      <w:r w:rsidRPr="00E877E0">
        <w:rPr>
          <w:rFonts w:eastAsia="Calibri"/>
          <w:lang w:val="en-US"/>
        </w:rPr>
        <w:t>Parida</w:t>
      </w:r>
      <w:proofErr w:type="spellEnd"/>
      <w:r w:rsidRPr="00E877E0">
        <w:rPr>
          <w:rFonts w:eastAsia="Calibri"/>
          <w:lang w:val="en-US"/>
        </w:rPr>
        <w:t>, V.</w:t>
      </w:r>
      <w:r w:rsidR="00A449DC" w:rsidRPr="00E877E0">
        <w:rPr>
          <w:rFonts w:eastAsia="Calibri"/>
          <w:lang w:val="en-US"/>
        </w:rPr>
        <w:t xml:space="preserve"> and</w:t>
      </w:r>
      <w:r w:rsidRPr="00E877E0">
        <w:rPr>
          <w:rFonts w:eastAsia="Calibri"/>
          <w:lang w:val="en-US"/>
        </w:rPr>
        <w:t xml:space="preserve"> Kohtamäki, M. (2019)</w:t>
      </w:r>
      <w:r w:rsidR="00A449DC" w:rsidRPr="00E877E0">
        <w:rPr>
          <w:rFonts w:eastAsia="Calibri"/>
          <w:lang w:val="en-US"/>
        </w:rPr>
        <w:t>,</w:t>
      </w:r>
      <w:r w:rsidRPr="00E877E0">
        <w:rPr>
          <w:rFonts w:eastAsia="Calibri"/>
          <w:lang w:val="en-US"/>
        </w:rPr>
        <w:t xml:space="preserve"> </w:t>
      </w:r>
      <w:r w:rsidR="00A449DC" w:rsidRPr="00E877E0">
        <w:rPr>
          <w:rFonts w:eastAsia="Calibri"/>
          <w:lang w:val="en-US"/>
        </w:rPr>
        <w:t>“</w:t>
      </w:r>
      <w:r w:rsidRPr="00BA6D11">
        <w:rPr>
          <w:rFonts w:eastAsia="Calibri"/>
          <w:lang w:val="en-US"/>
        </w:rPr>
        <w:t xml:space="preserve">Relational governance strategies for advanced service provision: </w:t>
      </w:r>
      <w:r w:rsidR="00A449DC" w:rsidRPr="00BA6D11">
        <w:rPr>
          <w:rFonts w:eastAsia="Calibri"/>
          <w:lang w:val="en-US"/>
        </w:rPr>
        <w:t>m</w:t>
      </w:r>
      <w:r w:rsidRPr="00BA6D11">
        <w:rPr>
          <w:rFonts w:eastAsia="Calibri"/>
          <w:lang w:val="en-US"/>
        </w:rPr>
        <w:t xml:space="preserve">ultiple paths to superior financial performance in </w:t>
      </w:r>
      <w:proofErr w:type="spellStart"/>
      <w:r w:rsidRPr="00BA6D11">
        <w:rPr>
          <w:rFonts w:eastAsia="Calibri"/>
          <w:lang w:val="en-US"/>
        </w:rPr>
        <w:t>servitization</w:t>
      </w:r>
      <w:proofErr w:type="spellEnd"/>
      <w:r w:rsidR="00A449DC" w:rsidRPr="00BA6D11">
        <w:rPr>
          <w:rFonts w:eastAsia="Calibri"/>
          <w:lang w:val="en-US"/>
        </w:rPr>
        <w:t>”,</w:t>
      </w:r>
      <w:r w:rsidRPr="00BA6D11">
        <w:rPr>
          <w:rFonts w:eastAsia="Calibri"/>
          <w:lang w:val="en-US"/>
        </w:rPr>
        <w:t xml:space="preserve"> </w:t>
      </w:r>
      <w:r w:rsidRPr="00BA6D11">
        <w:rPr>
          <w:rFonts w:eastAsia="Calibri"/>
          <w:i/>
          <w:iCs/>
          <w:lang w:val="en-US"/>
        </w:rPr>
        <w:t>Journal of Business Research</w:t>
      </w:r>
      <w:r w:rsidRPr="00BA6D11">
        <w:rPr>
          <w:rFonts w:eastAsia="Calibri"/>
          <w:lang w:val="en-US"/>
        </w:rPr>
        <w:t xml:space="preserve">, </w:t>
      </w:r>
      <w:r w:rsidR="00A449DC" w:rsidRPr="00BA6D11">
        <w:rPr>
          <w:rFonts w:eastAsia="Calibri"/>
          <w:lang w:val="en-US"/>
        </w:rPr>
        <w:t xml:space="preserve">Vol. </w:t>
      </w:r>
      <w:proofErr w:type="gramStart"/>
      <w:r w:rsidRPr="00BA6D11">
        <w:rPr>
          <w:rFonts w:eastAsia="Calibri"/>
          <w:lang w:val="en-US"/>
        </w:rPr>
        <w:t>101</w:t>
      </w:r>
      <w:r w:rsidR="00A449DC" w:rsidRPr="00BA6D11">
        <w:rPr>
          <w:rFonts w:eastAsia="Calibri"/>
          <w:lang w:val="en-US"/>
        </w:rPr>
        <w:t xml:space="preserve"> </w:t>
      </w:r>
      <w:r w:rsidRPr="00BA6D11">
        <w:rPr>
          <w:rFonts w:eastAsia="Calibri"/>
          <w:lang w:val="en-US"/>
        </w:rPr>
        <w:t>,</w:t>
      </w:r>
      <w:proofErr w:type="gramEnd"/>
      <w:r w:rsidRPr="00BA6D11">
        <w:rPr>
          <w:rFonts w:eastAsia="Calibri"/>
          <w:lang w:val="en-US"/>
        </w:rPr>
        <w:t xml:space="preserve"> </w:t>
      </w:r>
      <w:r w:rsidR="00A449DC" w:rsidRPr="00BA6D11">
        <w:rPr>
          <w:rFonts w:eastAsia="Calibri"/>
          <w:lang w:val="en-US"/>
        </w:rPr>
        <w:t xml:space="preserve">pp. </w:t>
      </w:r>
      <w:r w:rsidRPr="00BA6D11">
        <w:rPr>
          <w:rFonts w:eastAsia="Calibri"/>
          <w:lang w:val="en-US"/>
        </w:rPr>
        <w:t>906-915.</w:t>
      </w:r>
    </w:p>
    <w:p w14:paraId="4ADA13AE" w14:textId="29E47ACA"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Sklyar</w:t>
      </w:r>
      <w:proofErr w:type="spellEnd"/>
      <w:r w:rsidRPr="00BA6D11">
        <w:rPr>
          <w:rFonts w:eastAsia="Calibri"/>
          <w:lang w:val="en-US"/>
        </w:rPr>
        <w:t xml:space="preserve">, A., </w:t>
      </w:r>
      <w:proofErr w:type="spellStart"/>
      <w:r w:rsidRPr="00BA6D11">
        <w:rPr>
          <w:rFonts w:eastAsia="Calibri"/>
          <w:lang w:val="en-US"/>
        </w:rPr>
        <w:t>Kowalkowski</w:t>
      </w:r>
      <w:proofErr w:type="spellEnd"/>
      <w:r w:rsidRPr="00BA6D11">
        <w:rPr>
          <w:rFonts w:eastAsia="Calibri"/>
          <w:lang w:val="en-US"/>
        </w:rPr>
        <w:t xml:space="preserve">, C., </w:t>
      </w:r>
      <w:proofErr w:type="spellStart"/>
      <w:r w:rsidRPr="00BA6D11">
        <w:rPr>
          <w:rFonts w:eastAsia="Calibri"/>
          <w:lang w:val="en-US"/>
        </w:rPr>
        <w:t>Tronvoll</w:t>
      </w:r>
      <w:proofErr w:type="spellEnd"/>
      <w:r w:rsidRPr="00BA6D11">
        <w:rPr>
          <w:rFonts w:eastAsia="Calibri"/>
          <w:lang w:val="en-US"/>
        </w:rPr>
        <w:t>, B.</w:t>
      </w:r>
      <w:r w:rsidR="00C144DD" w:rsidRPr="00BA6D11">
        <w:rPr>
          <w:rFonts w:eastAsia="Calibri"/>
          <w:lang w:val="en-US"/>
        </w:rPr>
        <w:t xml:space="preserve"> and </w:t>
      </w:r>
      <w:proofErr w:type="spellStart"/>
      <w:r w:rsidRPr="00BA6D11">
        <w:rPr>
          <w:rFonts w:eastAsia="Calibri"/>
          <w:lang w:val="en-US"/>
        </w:rPr>
        <w:t>Sörhammar</w:t>
      </w:r>
      <w:proofErr w:type="spellEnd"/>
      <w:r w:rsidRPr="00BA6D11">
        <w:rPr>
          <w:rFonts w:eastAsia="Calibri"/>
          <w:lang w:val="en-US"/>
        </w:rPr>
        <w:t>, D. (2019)</w:t>
      </w:r>
      <w:r w:rsidR="00C144DD" w:rsidRPr="00BA6D11">
        <w:rPr>
          <w:rFonts w:eastAsia="Calibri"/>
          <w:lang w:val="en-US"/>
        </w:rPr>
        <w:t>, “</w:t>
      </w:r>
      <w:r w:rsidRPr="00BA6D11">
        <w:rPr>
          <w:rFonts w:eastAsia="Calibri"/>
          <w:lang w:val="en-US"/>
        </w:rPr>
        <w:t xml:space="preserve">Organizing for digital </w:t>
      </w:r>
      <w:proofErr w:type="spellStart"/>
      <w:r w:rsidRPr="00BA6D11">
        <w:rPr>
          <w:rFonts w:eastAsia="Calibri"/>
          <w:lang w:val="en-US"/>
        </w:rPr>
        <w:t>servitization</w:t>
      </w:r>
      <w:proofErr w:type="spellEnd"/>
      <w:r w:rsidRPr="00BA6D11">
        <w:rPr>
          <w:rFonts w:eastAsia="Calibri"/>
          <w:lang w:val="en-US"/>
        </w:rPr>
        <w:t xml:space="preserve">: </w:t>
      </w:r>
      <w:r w:rsidR="00C144DD" w:rsidRPr="00BA6D11">
        <w:rPr>
          <w:rFonts w:eastAsia="Calibri"/>
          <w:lang w:val="en-US"/>
        </w:rPr>
        <w:t>a</w:t>
      </w:r>
      <w:r w:rsidRPr="00BA6D11">
        <w:rPr>
          <w:rFonts w:eastAsia="Calibri"/>
          <w:lang w:val="en-US"/>
        </w:rPr>
        <w:t xml:space="preserve"> service ecosystem perspective</w:t>
      </w:r>
      <w:r w:rsidR="00C144DD" w:rsidRPr="00BA6D11">
        <w:rPr>
          <w:rFonts w:eastAsia="Calibri"/>
          <w:lang w:val="en-US"/>
        </w:rPr>
        <w:t>”,</w:t>
      </w:r>
      <w:r w:rsidRPr="00BA6D11">
        <w:rPr>
          <w:rFonts w:eastAsia="Calibri"/>
          <w:lang w:val="en-US"/>
        </w:rPr>
        <w:t xml:space="preserve"> </w:t>
      </w:r>
      <w:r w:rsidRPr="00BA6D11">
        <w:rPr>
          <w:rFonts w:eastAsia="Calibri"/>
          <w:i/>
          <w:iCs/>
          <w:lang w:val="en-US"/>
        </w:rPr>
        <w:t>Journal of Business Research</w:t>
      </w:r>
      <w:r w:rsidRPr="00BA6D11">
        <w:rPr>
          <w:rFonts w:eastAsia="Calibri"/>
          <w:lang w:val="en-US"/>
        </w:rPr>
        <w:t xml:space="preserve">, </w:t>
      </w:r>
      <w:r w:rsidR="00C144DD" w:rsidRPr="00BA6D11">
        <w:rPr>
          <w:rFonts w:eastAsia="Calibri"/>
          <w:lang w:val="en-US"/>
        </w:rPr>
        <w:t xml:space="preserve">Vol. </w:t>
      </w:r>
      <w:r w:rsidRPr="00BA6D11">
        <w:rPr>
          <w:rFonts w:eastAsia="Calibri"/>
          <w:lang w:val="en-US"/>
        </w:rPr>
        <w:t xml:space="preserve">104, </w:t>
      </w:r>
      <w:r w:rsidR="00C144DD" w:rsidRPr="00BA6D11">
        <w:rPr>
          <w:rFonts w:eastAsia="Calibri"/>
          <w:lang w:val="en-US"/>
        </w:rPr>
        <w:t xml:space="preserve">pp. </w:t>
      </w:r>
      <w:r w:rsidRPr="00BA6D11">
        <w:rPr>
          <w:rFonts w:eastAsia="Calibri"/>
          <w:lang w:val="en-US"/>
        </w:rPr>
        <w:t>450-460.</w:t>
      </w:r>
    </w:p>
    <w:p w14:paraId="2B31D45A" w14:textId="335CAE6F" w:rsidR="008C5AA8" w:rsidRPr="00BA6D11" w:rsidRDefault="008C5AA8" w:rsidP="008C5AA8">
      <w:pPr>
        <w:widowControl w:val="0"/>
        <w:autoSpaceDE w:val="0"/>
        <w:autoSpaceDN w:val="0"/>
        <w:adjustRightInd w:val="0"/>
        <w:ind w:left="284" w:hanging="284"/>
        <w:rPr>
          <w:rFonts w:eastAsia="Calibri"/>
          <w:lang w:val="en-US"/>
        </w:rPr>
      </w:pPr>
      <w:proofErr w:type="spellStart"/>
      <w:r w:rsidRPr="00BA6D11">
        <w:rPr>
          <w:rFonts w:eastAsia="Calibri"/>
          <w:lang w:val="en-US"/>
        </w:rPr>
        <w:t>Sok</w:t>
      </w:r>
      <w:proofErr w:type="spellEnd"/>
      <w:r w:rsidRPr="00BA6D11">
        <w:rPr>
          <w:rFonts w:eastAsia="Calibri"/>
          <w:lang w:val="en-US"/>
        </w:rPr>
        <w:t>, P.</w:t>
      </w:r>
      <w:r w:rsidR="00C91C0D" w:rsidRPr="00BA6D11">
        <w:rPr>
          <w:rFonts w:eastAsia="Calibri"/>
          <w:lang w:val="en-US"/>
        </w:rPr>
        <w:t xml:space="preserve"> and</w:t>
      </w:r>
      <w:r w:rsidRPr="00BA6D11">
        <w:rPr>
          <w:rFonts w:eastAsia="Calibri"/>
          <w:lang w:val="en-US"/>
        </w:rPr>
        <w:t xml:space="preserve"> </w:t>
      </w:r>
      <w:proofErr w:type="spellStart"/>
      <w:r w:rsidRPr="00BA6D11">
        <w:rPr>
          <w:rFonts w:eastAsia="Calibri"/>
          <w:lang w:val="en-US"/>
        </w:rPr>
        <w:t>O'Cass</w:t>
      </w:r>
      <w:proofErr w:type="spellEnd"/>
      <w:r w:rsidRPr="00BA6D11">
        <w:rPr>
          <w:rFonts w:eastAsia="Calibri"/>
          <w:lang w:val="en-US"/>
        </w:rPr>
        <w:t>, A. (2015)</w:t>
      </w:r>
      <w:r w:rsidR="00C91C0D" w:rsidRPr="00BA6D11">
        <w:rPr>
          <w:rFonts w:eastAsia="Calibri"/>
          <w:lang w:val="en-US"/>
        </w:rPr>
        <w:t>, “</w:t>
      </w:r>
      <w:r w:rsidRPr="00BA6D11">
        <w:rPr>
          <w:rFonts w:eastAsia="Calibri"/>
          <w:lang w:val="en-US"/>
        </w:rPr>
        <w:t xml:space="preserve">Examining the new product innovation–performance relationship: </w:t>
      </w:r>
      <w:r w:rsidR="00C91C0D" w:rsidRPr="00BA6D11">
        <w:rPr>
          <w:rFonts w:eastAsia="Calibri"/>
          <w:lang w:val="en-US"/>
        </w:rPr>
        <w:t>o</w:t>
      </w:r>
      <w:r w:rsidRPr="00BA6D11">
        <w:rPr>
          <w:rFonts w:eastAsia="Calibri"/>
          <w:lang w:val="en-US"/>
        </w:rPr>
        <w:t>ptimizing the role of individual-level creativity and attention-to-detail</w:t>
      </w:r>
      <w:r w:rsidR="00C91C0D" w:rsidRPr="00BA6D11">
        <w:rPr>
          <w:rFonts w:eastAsia="Calibri"/>
          <w:lang w:val="en-US"/>
        </w:rPr>
        <w:t>”,</w:t>
      </w:r>
      <w:r w:rsidRPr="00BA6D11">
        <w:rPr>
          <w:rFonts w:eastAsia="Calibri"/>
          <w:lang w:val="en-US"/>
        </w:rPr>
        <w:t xml:space="preserve"> </w:t>
      </w:r>
      <w:r w:rsidRPr="00BA6D11">
        <w:rPr>
          <w:rFonts w:eastAsia="Calibri"/>
          <w:i/>
          <w:iCs/>
          <w:lang w:val="en-US"/>
        </w:rPr>
        <w:t>Industrial Marketing Management</w:t>
      </w:r>
      <w:r w:rsidRPr="00BA6D11">
        <w:rPr>
          <w:rFonts w:eastAsia="Calibri"/>
          <w:lang w:val="en-US"/>
        </w:rPr>
        <w:t xml:space="preserve">, </w:t>
      </w:r>
      <w:r w:rsidR="00C91C0D" w:rsidRPr="00BA6D11">
        <w:rPr>
          <w:rFonts w:eastAsia="Calibri"/>
          <w:lang w:val="en-US"/>
        </w:rPr>
        <w:t xml:space="preserve">Vol. </w:t>
      </w:r>
      <w:r w:rsidRPr="00BA6D11">
        <w:rPr>
          <w:rFonts w:eastAsia="Calibri"/>
          <w:lang w:val="en-US"/>
        </w:rPr>
        <w:t xml:space="preserve">47, </w:t>
      </w:r>
      <w:r w:rsidR="00C91C0D" w:rsidRPr="00BA6D11">
        <w:rPr>
          <w:rFonts w:eastAsia="Calibri"/>
          <w:lang w:val="en-US"/>
        </w:rPr>
        <w:t xml:space="preserve">pp. </w:t>
      </w:r>
      <w:r w:rsidRPr="00BA6D11">
        <w:rPr>
          <w:rFonts w:eastAsia="Calibri"/>
          <w:lang w:val="en-US"/>
        </w:rPr>
        <w:t xml:space="preserve">156-165. </w:t>
      </w:r>
    </w:p>
    <w:p w14:paraId="31AC47E1" w14:textId="24D74503"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Sousa, R. and da Silveira, G.J.C. (2017), "Capability antecedents and performance outcomes of </w:t>
      </w:r>
      <w:proofErr w:type="spellStart"/>
      <w:r w:rsidRPr="00BA6D11">
        <w:rPr>
          <w:rFonts w:eastAsia="Calibri"/>
          <w:lang w:val="en-US"/>
        </w:rPr>
        <w:t>servitization</w:t>
      </w:r>
      <w:proofErr w:type="spellEnd"/>
      <w:r w:rsidRPr="00BA6D11">
        <w:rPr>
          <w:rFonts w:eastAsia="Calibri"/>
          <w:lang w:val="en-US"/>
        </w:rPr>
        <w:t xml:space="preserve">: </w:t>
      </w:r>
      <w:r w:rsidR="0067500C" w:rsidRPr="00BA6D11">
        <w:rPr>
          <w:rFonts w:eastAsia="Calibri"/>
          <w:lang w:val="en-US"/>
        </w:rPr>
        <w:t>d</w:t>
      </w:r>
      <w:r w:rsidRPr="00BA6D11">
        <w:rPr>
          <w:rFonts w:eastAsia="Calibri"/>
          <w:lang w:val="en-US"/>
        </w:rPr>
        <w:t xml:space="preserve">ifferences between basic and advanced services", </w:t>
      </w:r>
      <w:r w:rsidRPr="00BA6D11">
        <w:rPr>
          <w:rFonts w:eastAsia="Calibri"/>
          <w:i/>
          <w:iCs/>
          <w:lang w:val="en-US"/>
        </w:rPr>
        <w:t>International Journal of Operations &amp; Production Management</w:t>
      </w:r>
      <w:r w:rsidRPr="00BA6D11">
        <w:rPr>
          <w:rFonts w:eastAsia="Calibri"/>
          <w:lang w:val="en-US"/>
        </w:rPr>
        <w:t>, Vol. 37 No. 4, pp. 444-467.</w:t>
      </w:r>
    </w:p>
    <w:p w14:paraId="394E4BA5" w14:textId="5009B3B7" w:rsidR="008C5AA8" w:rsidRPr="00BA6D11" w:rsidRDefault="008C5AA8" w:rsidP="008C5AA8">
      <w:pPr>
        <w:widowControl w:val="0"/>
        <w:autoSpaceDE w:val="0"/>
        <w:autoSpaceDN w:val="0"/>
        <w:adjustRightInd w:val="0"/>
        <w:ind w:left="284" w:hanging="284"/>
        <w:rPr>
          <w:rFonts w:eastAsia="Calibri"/>
          <w:lang w:val="en-US"/>
        </w:rPr>
      </w:pPr>
      <w:r w:rsidRPr="00BA6D11">
        <w:rPr>
          <w:rFonts w:eastAsia="Calibri"/>
          <w:lang w:val="en-US"/>
        </w:rPr>
        <w:t xml:space="preserve">Story, V. M., </w:t>
      </w:r>
      <w:proofErr w:type="spellStart"/>
      <w:r w:rsidRPr="00BA6D11">
        <w:rPr>
          <w:rFonts w:eastAsia="Calibri"/>
          <w:lang w:val="en-US"/>
        </w:rPr>
        <w:t>Raddats</w:t>
      </w:r>
      <w:proofErr w:type="spellEnd"/>
      <w:r w:rsidRPr="00BA6D11">
        <w:rPr>
          <w:rFonts w:eastAsia="Calibri"/>
          <w:lang w:val="en-US"/>
        </w:rPr>
        <w:t xml:space="preserve">, C., Burton, J., </w:t>
      </w:r>
      <w:proofErr w:type="spellStart"/>
      <w:r w:rsidRPr="00BA6D11">
        <w:rPr>
          <w:rFonts w:eastAsia="Calibri"/>
          <w:lang w:val="en-US"/>
        </w:rPr>
        <w:t>Zolkiewski</w:t>
      </w:r>
      <w:proofErr w:type="spellEnd"/>
      <w:r w:rsidRPr="00BA6D11">
        <w:rPr>
          <w:rFonts w:eastAsia="Calibri"/>
          <w:lang w:val="en-US"/>
        </w:rPr>
        <w:t>, J.</w:t>
      </w:r>
      <w:r w:rsidR="0067500C" w:rsidRPr="00BA6D11">
        <w:rPr>
          <w:rFonts w:eastAsia="Calibri"/>
          <w:lang w:val="en-US"/>
        </w:rPr>
        <w:t xml:space="preserve"> and</w:t>
      </w:r>
      <w:r w:rsidRPr="00BA6D11">
        <w:rPr>
          <w:rFonts w:eastAsia="Calibri"/>
          <w:lang w:val="en-US"/>
        </w:rPr>
        <w:t xml:space="preserve"> Baines, T. (2017)</w:t>
      </w:r>
      <w:r w:rsidR="0067500C" w:rsidRPr="00BA6D11">
        <w:rPr>
          <w:rFonts w:eastAsia="Calibri"/>
          <w:lang w:val="en-US"/>
        </w:rPr>
        <w:t>, “</w:t>
      </w:r>
      <w:r w:rsidRPr="00BA6D11">
        <w:rPr>
          <w:rFonts w:eastAsia="Calibri"/>
          <w:lang w:val="en-US"/>
        </w:rPr>
        <w:t xml:space="preserve">Capabilities for advanced services: </w:t>
      </w:r>
      <w:r w:rsidR="0067500C" w:rsidRPr="00BA6D11">
        <w:rPr>
          <w:rFonts w:eastAsia="Calibri"/>
          <w:lang w:val="en-US"/>
        </w:rPr>
        <w:t>a</w:t>
      </w:r>
      <w:r w:rsidRPr="00BA6D11">
        <w:rPr>
          <w:rFonts w:eastAsia="Calibri"/>
          <w:lang w:val="en-US"/>
        </w:rPr>
        <w:t xml:space="preserve"> multi-actor perspective</w:t>
      </w:r>
      <w:r w:rsidR="0067500C" w:rsidRPr="00BA6D11">
        <w:rPr>
          <w:rFonts w:eastAsia="Calibri"/>
          <w:lang w:val="en-US"/>
        </w:rPr>
        <w:t xml:space="preserve">”, </w:t>
      </w:r>
      <w:r w:rsidRPr="00BA6D11">
        <w:rPr>
          <w:rFonts w:eastAsia="Calibri"/>
          <w:i/>
          <w:iCs/>
          <w:lang w:val="en-US"/>
        </w:rPr>
        <w:t>Industrial Marketing Management</w:t>
      </w:r>
      <w:r w:rsidRPr="00BA6D11">
        <w:rPr>
          <w:rFonts w:eastAsia="Calibri"/>
          <w:lang w:val="en-US"/>
        </w:rPr>
        <w:t xml:space="preserve">, </w:t>
      </w:r>
      <w:r w:rsidR="0067500C" w:rsidRPr="00BA6D11">
        <w:rPr>
          <w:rFonts w:eastAsia="Calibri"/>
          <w:lang w:val="en-US"/>
        </w:rPr>
        <w:t xml:space="preserve">Vol. </w:t>
      </w:r>
      <w:r w:rsidRPr="00BA6D11">
        <w:rPr>
          <w:rFonts w:eastAsia="Calibri"/>
          <w:lang w:val="en-US"/>
        </w:rPr>
        <w:t xml:space="preserve">60, </w:t>
      </w:r>
      <w:r w:rsidR="0067500C" w:rsidRPr="00BA6D11">
        <w:rPr>
          <w:rFonts w:eastAsia="Calibri"/>
          <w:lang w:val="en-US"/>
        </w:rPr>
        <w:t xml:space="preserve">pp. </w:t>
      </w:r>
      <w:r w:rsidRPr="00BA6D11">
        <w:rPr>
          <w:rFonts w:eastAsia="Calibri"/>
          <w:lang w:val="en-US"/>
        </w:rPr>
        <w:t>54-68.</w:t>
      </w:r>
    </w:p>
    <w:p w14:paraId="0BB8C8AB" w14:textId="21B99BA7" w:rsidR="008C5AA8" w:rsidRPr="001254F8" w:rsidRDefault="008C5AA8" w:rsidP="008C5AA8">
      <w:pPr>
        <w:widowControl w:val="0"/>
        <w:autoSpaceDE w:val="0"/>
        <w:autoSpaceDN w:val="0"/>
        <w:adjustRightInd w:val="0"/>
        <w:ind w:left="284" w:hanging="284"/>
        <w:rPr>
          <w:rFonts w:eastAsia="Calibri"/>
          <w:lang w:val="en-US"/>
        </w:rPr>
      </w:pPr>
      <w:r w:rsidRPr="001254F8">
        <w:rPr>
          <w:rFonts w:eastAsia="Calibri"/>
          <w:lang w:val="en-US"/>
        </w:rPr>
        <w:t>Suarez, F. F., Cusumano, M. A.</w:t>
      </w:r>
      <w:r w:rsidR="001254F8" w:rsidRPr="001254F8">
        <w:rPr>
          <w:rFonts w:eastAsia="Calibri"/>
          <w:lang w:val="en-US"/>
        </w:rPr>
        <w:t xml:space="preserve"> and</w:t>
      </w:r>
      <w:r w:rsidRPr="001254F8">
        <w:rPr>
          <w:rFonts w:eastAsia="Calibri"/>
          <w:lang w:val="en-US"/>
        </w:rPr>
        <w:t xml:space="preserve"> Kahl, S. J. (2013)</w:t>
      </w:r>
      <w:r w:rsidR="001254F8">
        <w:rPr>
          <w:rFonts w:eastAsia="Calibri"/>
          <w:lang w:val="en-US"/>
        </w:rPr>
        <w:t>, “</w:t>
      </w:r>
      <w:r w:rsidRPr="00BA6D11">
        <w:rPr>
          <w:rFonts w:eastAsia="Calibri"/>
          <w:lang w:val="en-US"/>
        </w:rPr>
        <w:t xml:space="preserve">Services and the business models of product firms: </w:t>
      </w:r>
      <w:r w:rsidR="001254F8" w:rsidRPr="00BA6D11">
        <w:rPr>
          <w:rFonts w:eastAsia="Calibri"/>
          <w:lang w:val="en-US"/>
        </w:rPr>
        <w:t>a</w:t>
      </w:r>
      <w:r w:rsidRPr="00BA6D11">
        <w:rPr>
          <w:rFonts w:eastAsia="Calibri"/>
          <w:lang w:val="en-US"/>
        </w:rPr>
        <w:t>n empirical analysis of the software industry</w:t>
      </w:r>
      <w:r w:rsidR="001254F8" w:rsidRPr="00BA6D11">
        <w:rPr>
          <w:rFonts w:eastAsia="Calibri"/>
          <w:lang w:val="en-US"/>
        </w:rPr>
        <w:t xml:space="preserve">”, </w:t>
      </w:r>
      <w:r w:rsidRPr="001254F8">
        <w:rPr>
          <w:rFonts w:eastAsia="Calibri"/>
          <w:i/>
          <w:iCs/>
          <w:lang w:val="en-US"/>
        </w:rPr>
        <w:t>Management Science</w:t>
      </w:r>
      <w:r w:rsidRPr="001254F8">
        <w:rPr>
          <w:rFonts w:eastAsia="Calibri"/>
          <w:lang w:val="en-US"/>
        </w:rPr>
        <w:t xml:space="preserve">, </w:t>
      </w:r>
      <w:r w:rsidR="001254F8">
        <w:rPr>
          <w:rFonts w:eastAsia="Calibri"/>
          <w:lang w:val="en-US"/>
        </w:rPr>
        <w:t xml:space="preserve">Vol. </w:t>
      </w:r>
      <w:r w:rsidRPr="001254F8">
        <w:rPr>
          <w:rFonts w:eastAsia="Calibri"/>
          <w:lang w:val="en-US"/>
        </w:rPr>
        <w:t>59</w:t>
      </w:r>
      <w:r w:rsidR="001254F8">
        <w:rPr>
          <w:rFonts w:eastAsia="Calibri"/>
          <w:lang w:val="en-US"/>
        </w:rPr>
        <w:t xml:space="preserve"> No. </w:t>
      </w:r>
      <w:r w:rsidRPr="001254F8">
        <w:rPr>
          <w:rFonts w:eastAsia="Calibri"/>
          <w:lang w:val="en-US"/>
        </w:rPr>
        <w:t xml:space="preserve">2, </w:t>
      </w:r>
      <w:r w:rsidR="001254F8">
        <w:rPr>
          <w:rFonts w:eastAsia="Calibri"/>
          <w:lang w:val="en-US"/>
        </w:rPr>
        <w:t xml:space="preserve">pp. </w:t>
      </w:r>
      <w:r w:rsidRPr="001254F8">
        <w:rPr>
          <w:rFonts w:eastAsia="Calibri"/>
          <w:lang w:val="en-US"/>
        </w:rPr>
        <w:t>420-435.</w:t>
      </w:r>
    </w:p>
    <w:p w14:paraId="308C2158" w14:textId="0E4E1CD1" w:rsidR="00E34E1A" w:rsidRPr="00E34E1A" w:rsidRDefault="00E34E1A" w:rsidP="00E34E1A">
      <w:pPr>
        <w:widowControl w:val="0"/>
        <w:autoSpaceDE w:val="0"/>
        <w:autoSpaceDN w:val="0"/>
        <w:adjustRightInd w:val="0"/>
        <w:ind w:left="284" w:hanging="284"/>
        <w:rPr>
          <w:rFonts w:eastAsia="Calibri"/>
          <w:lang w:val="en-US"/>
        </w:rPr>
      </w:pPr>
      <w:proofErr w:type="spellStart"/>
      <w:r w:rsidRPr="00E34E1A">
        <w:rPr>
          <w:rFonts w:eastAsia="Calibri"/>
          <w:lang w:val="en-US"/>
        </w:rPr>
        <w:t>Tronvoll</w:t>
      </w:r>
      <w:proofErr w:type="spellEnd"/>
      <w:r w:rsidRPr="00E34E1A">
        <w:rPr>
          <w:rFonts w:eastAsia="Calibri"/>
          <w:lang w:val="en-US"/>
        </w:rPr>
        <w:t xml:space="preserve">, B., Sklyar, A., </w:t>
      </w:r>
      <w:proofErr w:type="spellStart"/>
      <w:r w:rsidRPr="00E34E1A">
        <w:rPr>
          <w:rFonts w:eastAsia="Calibri"/>
          <w:lang w:val="en-US"/>
        </w:rPr>
        <w:t>Sörhammar</w:t>
      </w:r>
      <w:proofErr w:type="spellEnd"/>
      <w:r w:rsidRPr="00E34E1A">
        <w:rPr>
          <w:rFonts w:eastAsia="Calibri"/>
          <w:lang w:val="en-US"/>
        </w:rPr>
        <w:t>, D.</w:t>
      </w:r>
      <w:r>
        <w:rPr>
          <w:rFonts w:eastAsia="Calibri"/>
          <w:lang w:val="en-US"/>
        </w:rPr>
        <w:t xml:space="preserve"> and</w:t>
      </w:r>
      <w:r w:rsidRPr="00E34E1A">
        <w:rPr>
          <w:rFonts w:eastAsia="Calibri"/>
          <w:lang w:val="en-US"/>
        </w:rPr>
        <w:t xml:space="preserve"> Kowalkowski, C. (2020)</w:t>
      </w:r>
      <w:r>
        <w:rPr>
          <w:rFonts w:eastAsia="Calibri"/>
          <w:lang w:val="en-US"/>
        </w:rPr>
        <w:t>, “</w:t>
      </w:r>
      <w:r w:rsidRPr="00E34E1A">
        <w:rPr>
          <w:rFonts w:eastAsia="Calibri"/>
          <w:lang w:val="en-US"/>
        </w:rPr>
        <w:t>Transformational shifts through digital servitization</w:t>
      </w:r>
      <w:r>
        <w:rPr>
          <w:rFonts w:eastAsia="Calibri"/>
          <w:lang w:val="en-US"/>
        </w:rPr>
        <w:t>”,</w:t>
      </w:r>
      <w:r w:rsidRPr="00E34E1A">
        <w:rPr>
          <w:rFonts w:eastAsia="Calibri"/>
          <w:lang w:val="en-US"/>
        </w:rPr>
        <w:t xml:space="preserve"> </w:t>
      </w:r>
      <w:r w:rsidRPr="00E34E1A">
        <w:rPr>
          <w:rFonts w:eastAsia="Calibri"/>
          <w:i/>
          <w:iCs/>
          <w:lang w:val="en-US"/>
        </w:rPr>
        <w:t>Industrial Marketing Management</w:t>
      </w:r>
      <w:r>
        <w:rPr>
          <w:rFonts w:eastAsia="Calibri"/>
          <w:lang w:val="en-US"/>
        </w:rPr>
        <w:t>, Vol. 89, pp. 293-305.</w:t>
      </w:r>
    </w:p>
    <w:p w14:paraId="01A5DCAB" w14:textId="7A286E2D" w:rsidR="008C5AA8" w:rsidRPr="00E34E1A" w:rsidRDefault="008C5AA8" w:rsidP="008C5AA8">
      <w:pPr>
        <w:widowControl w:val="0"/>
        <w:autoSpaceDE w:val="0"/>
        <w:autoSpaceDN w:val="0"/>
        <w:adjustRightInd w:val="0"/>
        <w:ind w:left="284" w:hanging="284"/>
        <w:rPr>
          <w:rFonts w:eastAsia="Calibri"/>
          <w:lang w:val="en-US"/>
        </w:rPr>
      </w:pPr>
      <w:r w:rsidRPr="00E34E1A">
        <w:rPr>
          <w:rFonts w:eastAsia="Calibri"/>
          <w:lang w:val="en-US"/>
        </w:rPr>
        <w:t>Vendrell-Herrero, F., Bustinza, O. F., Parry, G.</w:t>
      </w:r>
      <w:r w:rsidR="00A449DC" w:rsidRPr="00E34E1A">
        <w:rPr>
          <w:rFonts w:eastAsia="Calibri"/>
          <w:lang w:val="en-US"/>
        </w:rPr>
        <w:t xml:space="preserve"> and</w:t>
      </w:r>
      <w:r w:rsidRPr="00E34E1A">
        <w:rPr>
          <w:rFonts w:eastAsia="Calibri"/>
          <w:lang w:val="en-US"/>
        </w:rPr>
        <w:t xml:space="preserve"> </w:t>
      </w:r>
      <w:proofErr w:type="spellStart"/>
      <w:r w:rsidRPr="00E34E1A">
        <w:rPr>
          <w:rFonts w:eastAsia="Calibri"/>
          <w:lang w:val="en-US"/>
        </w:rPr>
        <w:t>Georgantzis</w:t>
      </w:r>
      <w:proofErr w:type="spellEnd"/>
      <w:r w:rsidRPr="00E34E1A">
        <w:rPr>
          <w:rFonts w:eastAsia="Calibri"/>
          <w:lang w:val="en-US"/>
        </w:rPr>
        <w:t>, N. (2017)</w:t>
      </w:r>
      <w:r w:rsidR="00A449DC" w:rsidRPr="00E34E1A">
        <w:rPr>
          <w:rFonts w:eastAsia="Calibri"/>
          <w:lang w:val="en-US"/>
        </w:rPr>
        <w:t>, “</w:t>
      </w:r>
      <w:r w:rsidRPr="00E34E1A">
        <w:rPr>
          <w:rFonts w:eastAsia="Calibri"/>
          <w:lang w:val="en-US"/>
        </w:rPr>
        <w:t>Servitization, digitization and supply chain interdependency</w:t>
      </w:r>
      <w:r w:rsidR="00A449DC" w:rsidRPr="00E34E1A">
        <w:rPr>
          <w:rFonts w:eastAsia="Calibri"/>
          <w:lang w:val="en-US"/>
        </w:rPr>
        <w:t>”,</w:t>
      </w:r>
      <w:r w:rsidRPr="00E34E1A">
        <w:rPr>
          <w:rFonts w:eastAsia="Calibri"/>
          <w:lang w:val="en-US"/>
        </w:rPr>
        <w:t xml:space="preserve"> </w:t>
      </w:r>
      <w:r w:rsidRPr="00E34E1A">
        <w:rPr>
          <w:rFonts w:eastAsia="Calibri"/>
          <w:i/>
          <w:iCs/>
          <w:lang w:val="en-US"/>
        </w:rPr>
        <w:t>Industrial Marketing Management</w:t>
      </w:r>
      <w:r w:rsidRPr="00E34E1A">
        <w:rPr>
          <w:rFonts w:eastAsia="Calibri"/>
          <w:lang w:val="en-US"/>
        </w:rPr>
        <w:t xml:space="preserve">, </w:t>
      </w:r>
      <w:r w:rsidR="00A449DC" w:rsidRPr="00E34E1A">
        <w:rPr>
          <w:rFonts w:eastAsia="Calibri"/>
          <w:lang w:val="en-US"/>
        </w:rPr>
        <w:t xml:space="preserve">Vol. </w:t>
      </w:r>
      <w:r w:rsidRPr="00E34E1A">
        <w:rPr>
          <w:rFonts w:eastAsia="Calibri"/>
          <w:lang w:val="en-US"/>
        </w:rPr>
        <w:t xml:space="preserve">60, </w:t>
      </w:r>
      <w:r w:rsidR="00A449DC" w:rsidRPr="00E34E1A">
        <w:rPr>
          <w:rFonts w:eastAsia="Calibri"/>
          <w:lang w:val="en-US"/>
        </w:rPr>
        <w:t xml:space="preserve">pp. </w:t>
      </w:r>
      <w:r w:rsidRPr="00E34E1A">
        <w:rPr>
          <w:rFonts w:eastAsia="Calibri"/>
          <w:lang w:val="en-US"/>
        </w:rPr>
        <w:t>69-81.</w:t>
      </w:r>
    </w:p>
    <w:p w14:paraId="06897604" w14:textId="66A79A23" w:rsidR="00A449DC" w:rsidRPr="004931E9" w:rsidRDefault="00A449DC" w:rsidP="00A449DC">
      <w:pPr>
        <w:widowControl w:val="0"/>
        <w:autoSpaceDE w:val="0"/>
        <w:autoSpaceDN w:val="0"/>
        <w:adjustRightInd w:val="0"/>
        <w:ind w:left="284" w:hanging="284"/>
        <w:rPr>
          <w:rFonts w:eastAsia="Calibri"/>
          <w:lang w:val="en-US"/>
        </w:rPr>
      </w:pPr>
      <w:r w:rsidRPr="00E877E0">
        <w:rPr>
          <w:rFonts w:eastAsia="Calibri"/>
          <w:lang w:val="en-US"/>
        </w:rPr>
        <w:lastRenderedPageBreak/>
        <w:t xml:space="preserve">Vendrell-Herrero, F., Bustinza, O. F. and </w:t>
      </w:r>
      <w:proofErr w:type="spellStart"/>
      <w:r w:rsidRPr="00E877E0">
        <w:rPr>
          <w:rFonts w:eastAsia="Calibri"/>
          <w:lang w:val="en-US"/>
        </w:rPr>
        <w:t>Opazo-Basaez</w:t>
      </w:r>
      <w:proofErr w:type="spellEnd"/>
      <w:r w:rsidRPr="00E877E0">
        <w:rPr>
          <w:rFonts w:eastAsia="Calibri"/>
          <w:lang w:val="en-US"/>
        </w:rPr>
        <w:t xml:space="preserve">, M. (2020), </w:t>
      </w:r>
      <w:r>
        <w:rPr>
          <w:rFonts w:eastAsia="Calibri"/>
          <w:lang w:val="en-US"/>
        </w:rPr>
        <w:t>“</w:t>
      </w:r>
      <w:r w:rsidRPr="004931E9">
        <w:rPr>
          <w:rFonts w:eastAsia="Calibri"/>
          <w:lang w:val="en-US"/>
        </w:rPr>
        <w:t xml:space="preserve">Information technologies and product-service innovation: the moderating role of service R&amp;D team structure”, </w:t>
      </w:r>
      <w:r w:rsidRPr="004931E9">
        <w:rPr>
          <w:rFonts w:eastAsia="Calibri"/>
          <w:i/>
          <w:iCs/>
          <w:lang w:val="en-US"/>
        </w:rPr>
        <w:t>Journal of Business Research</w:t>
      </w:r>
      <w:r w:rsidR="004931E9">
        <w:rPr>
          <w:rFonts w:eastAsia="Calibri"/>
          <w:lang w:val="en-US" w:eastAsia="en-US"/>
        </w:rPr>
        <w:t>, ahead-of-print.</w:t>
      </w:r>
    </w:p>
    <w:p w14:paraId="28FF7E5E" w14:textId="4414C506" w:rsidR="00E877E0" w:rsidRDefault="00471388" w:rsidP="008C5AA8">
      <w:pPr>
        <w:widowControl w:val="0"/>
        <w:autoSpaceDE w:val="0"/>
        <w:autoSpaceDN w:val="0"/>
        <w:adjustRightInd w:val="0"/>
        <w:ind w:left="284" w:hanging="284"/>
        <w:rPr>
          <w:rFonts w:eastAsia="Calibri"/>
          <w:lang w:val="en-US"/>
        </w:rPr>
      </w:pPr>
      <w:r>
        <w:rPr>
          <w:rFonts w:eastAsia="Calibri"/>
          <w:lang w:val="en-US"/>
        </w:rPr>
        <w:t>Visnjic-</w:t>
      </w:r>
      <w:r w:rsidR="00E877E0" w:rsidRPr="00E877E0">
        <w:rPr>
          <w:rFonts w:eastAsia="Calibri"/>
          <w:lang w:val="en-US"/>
        </w:rPr>
        <w:t>Kastalli, I. V.</w:t>
      </w:r>
      <w:r w:rsidR="00E877E0">
        <w:rPr>
          <w:rFonts w:eastAsia="Calibri"/>
          <w:lang w:val="en-US"/>
        </w:rPr>
        <w:t xml:space="preserve"> and</w:t>
      </w:r>
      <w:r w:rsidR="00E877E0" w:rsidRPr="00E877E0">
        <w:rPr>
          <w:rFonts w:eastAsia="Calibri"/>
          <w:lang w:val="en-US"/>
        </w:rPr>
        <w:t xml:space="preserve"> Van Looy, B. (2013)</w:t>
      </w:r>
      <w:r w:rsidR="00E877E0">
        <w:rPr>
          <w:rFonts w:eastAsia="Calibri"/>
          <w:lang w:val="en-US"/>
        </w:rPr>
        <w:t>, “</w:t>
      </w:r>
      <w:r w:rsidR="00E877E0" w:rsidRPr="00E877E0">
        <w:rPr>
          <w:rFonts w:eastAsia="Calibri"/>
          <w:lang w:val="en-US"/>
        </w:rPr>
        <w:t xml:space="preserve">Servitization: </w:t>
      </w:r>
      <w:r w:rsidR="00E877E0">
        <w:rPr>
          <w:rFonts w:eastAsia="Calibri"/>
          <w:lang w:val="en-US"/>
        </w:rPr>
        <w:t>d</w:t>
      </w:r>
      <w:r w:rsidR="00E877E0" w:rsidRPr="00E877E0">
        <w:rPr>
          <w:rFonts w:eastAsia="Calibri"/>
          <w:lang w:val="en-US"/>
        </w:rPr>
        <w:t>isentangling the impact of service business model innovation on manufacturing firm performance</w:t>
      </w:r>
      <w:r w:rsidR="00E877E0">
        <w:rPr>
          <w:rFonts w:eastAsia="Calibri"/>
          <w:lang w:val="en-US"/>
        </w:rPr>
        <w:t>”,</w:t>
      </w:r>
      <w:r w:rsidR="00E877E0" w:rsidRPr="00E877E0">
        <w:rPr>
          <w:rFonts w:eastAsia="Calibri"/>
          <w:lang w:val="en-US"/>
        </w:rPr>
        <w:t xml:space="preserve"> </w:t>
      </w:r>
      <w:r w:rsidR="00E877E0" w:rsidRPr="00E877E0">
        <w:rPr>
          <w:rFonts w:eastAsia="Calibri"/>
          <w:i/>
          <w:iCs/>
          <w:lang w:val="en-US"/>
        </w:rPr>
        <w:t xml:space="preserve">Journal of </w:t>
      </w:r>
      <w:r w:rsidR="00E877E0">
        <w:rPr>
          <w:rFonts w:eastAsia="Calibri"/>
          <w:i/>
          <w:iCs/>
          <w:lang w:val="en-US"/>
        </w:rPr>
        <w:t>O</w:t>
      </w:r>
      <w:r w:rsidR="00E877E0" w:rsidRPr="00E877E0">
        <w:rPr>
          <w:rFonts w:eastAsia="Calibri"/>
          <w:i/>
          <w:iCs/>
          <w:lang w:val="en-US"/>
        </w:rPr>
        <w:t xml:space="preserve">perations </w:t>
      </w:r>
      <w:r w:rsidR="00E877E0">
        <w:rPr>
          <w:rFonts w:eastAsia="Calibri"/>
          <w:i/>
          <w:iCs/>
          <w:lang w:val="en-US"/>
        </w:rPr>
        <w:t>M</w:t>
      </w:r>
      <w:r w:rsidR="00E877E0" w:rsidRPr="00E877E0">
        <w:rPr>
          <w:rFonts w:eastAsia="Calibri"/>
          <w:i/>
          <w:iCs/>
          <w:lang w:val="en-US"/>
        </w:rPr>
        <w:t>anagement</w:t>
      </w:r>
      <w:r w:rsidR="00E877E0" w:rsidRPr="00E877E0">
        <w:rPr>
          <w:rFonts w:eastAsia="Calibri"/>
          <w:lang w:val="en-US"/>
        </w:rPr>
        <w:t xml:space="preserve">, </w:t>
      </w:r>
      <w:r w:rsidR="00E877E0">
        <w:rPr>
          <w:rFonts w:eastAsia="Calibri"/>
          <w:lang w:val="en-US"/>
        </w:rPr>
        <w:t xml:space="preserve">Vol. </w:t>
      </w:r>
      <w:r w:rsidR="00E877E0" w:rsidRPr="00E877E0">
        <w:rPr>
          <w:rFonts w:eastAsia="Calibri"/>
          <w:lang w:val="en-US"/>
        </w:rPr>
        <w:t>31</w:t>
      </w:r>
      <w:r w:rsidR="00E877E0">
        <w:rPr>
          <w:rFonts w:eastAsia="Calibri"/>
          <w:lang w:val="en-US"/>
        </w:rPr>
        <w:t xml:space="preserve"> No. </w:t>
      </w:r>
      <w:r w:rsidR="00E877E0" w:rsidRPr="00E877E0">
        <w:rPr>
          <w:rFonts w:eastAsia="Calibri"/>
          <w:lang w:val="en-US"/>
        </w:rPr>
        <w:t xml:space="preserve">4, </w:t>
      </w:r>
      <w:r w:rsidR="00E877E0">
        <w:rPr>
          <w:rFonts w:eastAsia="Calibri"/>
          <w:lang w:val="en-US"/>
        </w:rPr>
        <w:t xml:space="preserve">pp. </w:t>
      </w:r>
      <w:r w:rsidR="00E877E0" w:rsidRPr="00E877E0">
        <w:rPr>
          <w:rFonts w:eastAsia="Calibri"/>
          <w:lang w:val="en-US"/>
        </w:rPr>
        <w:t xml:space="preserve">169-180. </w:t>
      </w:r>
    </w:p>
    <w:p w14:paraId="145B3FAD" w14:textId="77777777" w:rsidR="008C5AA8" w:rsidRPr="00BA6D11" w:rsidRDefault="008C5AA8" w:rsidP="008C5AA8">
      <w:pPr>
        <w:spacing w:line="360" w:lineRule="auto"/>
        <w:rPr>
          <w:lang w:val="en-US"/>
        </w:rPr>
      </w:pPr>
    </w:p>
    <w:p w14:paraId="0BA68859" w14:textId="77777777" w:rsidR="008C5AA8" w:rsidRDefault="008C5AA8" w:rsidP="008C5AA8">
      <w:pPr>
        <w:spacing w:line="360" w:lineRule="auto"/>
        <w:rPr>
          <w:lang w:val="en-US"/>
        </w:rPr>
      </w:pPr>
    </w:p>
    <w:p w14:paraId="0EC9872A" w14:textId="77777777" w:rsidR="008C5AA8" w:rsidRDefault="008C5AA8" w:rsidP="008C5AA8">
      <w:pPr>
        <w:spacing w:line="360" w:lineRule="auto"/>
        <w:rPr>
          <w:lang w:val="en-US"/>
        </w:rPr>
      </w:pPr>
    </w:p>
    <w:p w14:paraId="17F64878" w14:textId="77777777" w:rsidR="008C5AA8" w:rsidRDefault="008C5AA8" w:rsidP="008C5AA8">
      <w:pPr>
        <w:spacing w:line="360" w:lineRule="auto"/>
        <w:rPr>
          <w:lang w:val="en-US"/>
        </w:rPr>
      </w:pPr>
    </w:p>
    <w:p w14:paraId="6509687F" w14:textId="77777777" w:rsidR="008C5AA8" w:rsidRDefault="008C5AA8" w:rsidP="008C5AA8">
      <w:pPr>
        <w:spacing w:line="360" w:lineRule="auto"/>
        <w:rPr>
          <w:lang w:val="en-US"/>
        </w:rPr>
      </w:pPr>
    </w:p>
    <w:p w14:paraId="34FAB19F" w14:textId="77777777" w:rsidR="008C5AA8" w:rsidRDefault="008C5AA8" w:rsidP="008C5AA8">
      <w:pPr>
        <w:spacing w:line="360" w:lineRule="auto"/>
        <w:rPr>
          <w:lang w:val="en-US"/>
        </w:rPr>
      </w:pPr>
    </w:p>
    <w:p w14:paraId="107CE04E" w14:textId="77777777" w:rsidR="008C5AA8" w:rsidRDefault="008C5AA8" w:rsidP="008C5AA8">
      <w:pPr>
        <w:spacing w:line="360" w:lineRule="auto"/>
        <w:rPr>
          <w:lang w:val="en-US"/>
        </w:rPr>
      </w:pPr>
    </w:p>
    <w:p w14:paraId="7CA427BB" w14:textId="77777777" w:rsidR="00F95276" w:rsidRDefault="00F95276" w:rsidP="00782E9D">
      <w:pPr>
        <w:spacing w:line="480" w:lineRule="auto"/>
        <w:rPr>
          <w:i/>
          <w:lang w:val="en-US"/>
        </w:rPr>
      </w:pPr>
    </w:p>
    <w:p w14:paraId="6B2576B3" w14:textId="77777777" w:rsidR="00782E9D" w:rsidRDefault="00782E9D">
      <w:pPr>
        <w:rPr>
          <w:i/>
          <w:lang w:val="en-US"/>
        </w:rPr>
      </w:pPr>
      <w:r>
        <w:rPr>
          <w:i/>
          <w:lang w:val="en-US"/>
        </w:rPr>
        <w:br w:type="page"/>
      </w:r>
    </w:p>
    <w:p w14:paraId="04EAAB3F" w14:textId="7216AE31" w:rsidR="00985FB1" w:rsidRDefault="00985FB1" w:rsidP="00985FB1">
      <w:pPr>
        <w:spacing w:line="480" w:lineRule="auto"/>
        <w:jc w:val="center"/>
        <w:rPr>
          <w:i/>
          <w:lang w:val="en-US"/>
        </w:rPr>
      </w:pPr>
      <w:r>
        <w:rPr>
          <w:i/>
          <w:lang w:val="en-US"/>
        </w:rPr>
        <w:lastRenderedPageBreak/>
        <w:t>TABLES</w:t>
      </w:r>
    </w:p>
    <w:p w14:paraId="5485223F" w14:textId="77777777" w:rsidR="004B4F6B" w:rsidRDefault="004B4F6B" w:rsidP="004B4F6B">
      <w:pPr>
        <w:spacing w:line="480" w:lineRule="auto"/>
        <w:rPr>
          <w:i/>
          <w:lang w:val="en-US"/>
        </w:rPr>
      </w:pPr>
      <w:r>
        <w:rPr>
          <w:i/>
          <w:lang w:val="en-US"/>
        </w:rPr>
        <w:t>Table 1: Technological Innovation Portfolios, number of firms.</w:t>
      </w:r>
    </w:p>
    <w:tbl>
      <w:tblPr>
        <w:tblStyle w:val="Tablaconcuadrcula"/>
        <w:tblW w:w="0" w:type="auto"/>
        <w:jc w:val="center"/>
        <w:tblLook w:val="04A0" w:firstRow="1" w:lastRow="0" w:firstColumn="1" w:lastColumn="0" w:noHBand="0" w:noVBand="1"/>
      </w:tblPr>
      <w:tblGrid>
        <w:gridCol w:w="2769"/>
        <w:gridCol w:w="1195"/>
        <w:gridCol w:w="1386"/>
        <w:gridCol w:w="1682"/>
        <w:gridCol w:w="1984"/>
      </w:tblGrid>
      <w:tr w:rsidR="004B4F6B" w:rsidRPr="003B3EE8" w14:paraId="6C1C100C" w14:textId="77777777" w:rsidTr="00F95276">
        <w:trPr>
          <w:jc w:val="center"/>
        </w:trPr>
        <w:tc>
          <w:tcPr>
            <w:tcW w:w="0" w:type="auto"/>
          </w:tcPr>
          <w:p w14:paraId="127FA674" w14:textId="77777777" w:rsidR="004B4F6B" w:rsidRPr="00B63536" w:rsidRDefault="004B4F6B" w:rsidP="00F95276">
            <w:pPr>
              <w:spacing w:line="360" w:lineRule="auto"/>
              <w:rPr>
                <w:i/>
                <w:lang w:val="en-US"/>
              </w:rPr>
            </w:pPr>
          </w:p>
        </w:tc>
        <w:tc>
          <w:tcPr>
            <w:tcW w:w="1195" w:type="dxa"/>
          </w:tcPr>
          <w:p w14:paraId="46216245" w14:textId="77777777" w:rsidR="004B4F6B" w:rsidRPr="00122DB0" w:rsidRDefault="004B4F6B" w:rsidP="00F95276">
            <w:pPr>
              <w:spacing w:line="360" w:lineRule="auto"/>
              <w:jc w:val="center"/>
              <w:rPr>
                <w:b/>
                <w:i/>
                <w:lang w:val="en-US"/>
              </w:rPr>
            </w:pPr>
            <w:r w:rsidRPr="00122DB0">
              <w:rPr>
                <w:b/>
                <w:i/>
                <w:lang w:val="en-US"/>
              </w:rPr>
              <w:t>All firms</w:t>
            </w:r>
          </w:p>
        </w:tc>
        <w:tc>
          <w:tcPr>
            <w:tcW w:w="1386" w:type="dxa"/>
          </w:tcPr>
          <w:p w14:paraId="09C3B867" w14:textId="77777777" w:rsidR="004B4F6B" w:rsidRPr="00122DB0" w:rsidRDefault="004B4F6B" w:rsidP="00F95276">
            <w:pPr>
              <w:spacing w:line="360" w:lineRule="auto"/>
              <w:jc w:val="center"/>
              <w:rPr>
                <w:b/>
                <w:bCs/>
                <w:sz w:val="21"/>
                <w:szCs w:val="21"/>
              </w:rPr>
            </w:pPr>
            <w:r w:rsidRPr="00122DB0">
              <w:rPr>
                <w:b/>
                <w:bCs/>
                <w:sz w:val="21"/>
                <w:szCs w:val="21"/>
              </w:rPr>
              <w:t>NAICS-31</w:t>
            </w:r>
          </w:p>
        </w:tc>
        <w:tc>
          <w:tcPr>
            <w:tcW w:w="1612" w:type="dxa"/>
          </w:tcPr>
          <w:p w14:paraId="3485F7E6" w14:textId="77777777" w:rsidR="004B4F6B" w:rsidRPr="00F5564F" w:rsidRDefault="004B4F6B" w:rsidP="00F95276">
            <w:pPr>
              <w:spacing w:line="360" w:lineRule="auto"/>
              <w:jc w:val="center"/>
              <w:rPr>
                <w:b/>
                <w:i/>
                <w:lang w:val="en-US"/>
              </w:rPr>
            </w:pPr>
            <w:r w:rsidRPr="00F5564F">
              <w:rPr>
                <w:b/>
                <w:bCs/>
                <w:sz w:val="21"/>
                <w:szCs w:val="21"/>
              </w:rPr>
              <w:t>NAICS-32</w:t>
            </w:r>
          </w:p>
        </w:tc>
        <w:tc>
          <w:tcPr>
            <w:tcW w:w="1984" w:type="dxa"/>
          </w:tcPr>
          <w:p w14:paraId="1283FA0A" w14:textId="77777777" w:rsidR="004B4F6B" w:rsidRPr="00F5564F" w:rsidRDefault="004B4F6B" w:rsidP="00F95276">
            <w:pPr>
              <w:spacing w:line="360" w:lineRule="auto"/>
              <w:jc w:val="center"/>
              <w:rPr>
                <w:b/>
                <w:bCs/>
                <w:sz w:val="21"/>
                <w:szCs w:val="21"/>
              </w:rPr>
            </w:pPr>
            <w:r w:rsidRPr="00F5564F">
              <w:rPr>
                <w:b/>
                <w:bCs/>
                <w:sz w:val="21"/>
                <w:szCs w:val="21"/>
              </w:rPr>
              <w:t>NAICS-33</w:t>
            </w:r>
          </w:p>
        </w:tc>
      </w:tr>
      <w:tr w:rsidR="004B4F6B" w:rsidRPr="003B3EE8" w14:paraId="1FB0A985" w14:textId="77777777" w:rsidTr="00F95276">
        <w:trPr>
          <w:jc w:val="center"/>
        </w:trPr>
        <w:tc>
          <w:tcPr>
            <w:tcW w:w="0" w:type="auto"/>
          </w:tcPr>
          <w:p w14:paraId="0BA081F7" w14:textId="77777777" w:rsidR="004B4F6B" w:rsidRPr="003B3EE8" w:rsidRDefault="004B4F6B" w:rsidP="00F95276">
            <w:pPr>
              <w:spacing w:line="360" w:lineRule="auto"/>
              <w:rPr>
                <w:i/>
                <w:lang w:val="en-US"/>
              </w:rPr>
            </w:pPr>
          </w:p>
        </w:tc>
        <w:tc>
          <w:tcPr>
            <w:tcW w:w="1195" w:type="dxa"/>
          </w:tcPr>
          <w:p w14:paraId="27A69FE6" w14:textId="77777777" w:rsidR="004B4F6B" w:rsidRPr="003B3EE8" w:rsidRDefault="004B4F6B" w:rsidP="00F95276">
            <w:pPr>
              <w:spacing w:line="360" w:lineRule="auto"/>
              <w:jc w:val="center"/>
              <w:rPr>
                <w:lang w:val="en-US"/>
              </w:rPr>
            </w:pPr>
          </w:p>
        </w:tc>
        <w:tc>
          <w:tcPr>
            <w:tcW w:w="1386" w:type="dxa"/>
            <w:vAlign w:val="bottom"/>
          </w:tcPr>
          <w:p w14:paraId="427D926E" w14:textId="36D87A0C" w:rsidR="004B4F6B" w:rsidRPr="003B3EE8" w:rsidRDefault="004B4F6B" w:rsidP="00F95276">
            <w:pPr>
              <w:widowControl w:val="0"/>
              <w:spacing w:line="360" w:lineRule="auto"/>
              <w:jc w:val="center"/>
              <w:rPr>
                <w:lang w:val="en-US"/>
              </w:rPr>
            </w:pPr>
            <w:r w:rsidRPr="003B3EE8">
              <w:rPr>
                <w:lang w:val="en-US"/>
              </w:rPr>
              <w:t>Food, beverage,</w:t>
            </w:r>
            <w:r w:rsidR="00F95276">
              <w:rPr>
                <w:lang w:val="en-US"/>
              </w:rPr>
              <w:t xml:space="preserve"> </w:t>
            </w:r>
            <w:r w:rsidRPr="003B3EE8">
              <w:rPr>
                <w:lang w:val="en-US"/>
              </w:rPr>
              <w:t xml:space="preserve">and textile </w:t>
            </w:r>
          </w:p>
        </w:tc>
        <w:tc>
          <w:tcPr>
            <w:tcW w:w="1612" w:type="dxa"/>
            <w:vAlign w:val="bottom"/>
          </w:tcPr>
          <w:p w14:paraId="410F8E49" w14:textId="77777777" w:rsidR="00F95276" w:rsidRDefault="004B4F6B" w:rsidP="00F95276">
            <w:pPr>
              <w:widowControl w:val="0"/>
              <w:spacing w:line="360" w:lineRule="auto"/>
              <w:jc w:val="center"/>
              <w:rPr>
                <w:lang w:val="en-US"/>
              </w:rPr>
            </w:pPr>
            <w:r w:rsidRPr="003B3EE8">
              <w:rPr>
                <w:lang w:val="en-US"/>
              </w:rPr>
              <w:t>Printing,</w:t>
            </w:r>
          </w:p>
          <w:p w14:paraId="66676844" w14:textId="06A3480B" w:rsidR="004B4F6B" w:rsidRPr="003B3EE8" w:rsidRDefault="004B4F6B" w:rsidP="00F95276">
            <w:pPr>
              <w:widowControl w:val="0"/>
              <w:spacing w:line="360" w:lineRule="auto"/>
              <w:jc w:val="center"/>
              <w:rPr>
                <w:lang w:val="en-US"/>
              </w:rPr>
            </w:pPr>
            <w:r w:rsidRPr="003B3EE8">
              <w:rPr>
                <w:lang w:val="en-US"/>
              </w:rPr>
              <w:t xml:space="preserve">chemical, and pharmaceutical </w:t>
            </w:r>
          </w:p>
        </w:tc>
        <w:tc>
          <w:tcPr>
            <w:tcW w:w="1984" w:type="dxa"/>
            <w:vAlign w:val="bottom"/>
          </w:tcPr>
          <w:p w14:paraId="2817DE88" w14:textId="4D1E74AB" w:rsidR="004B4F6B" w:rsidRPr="003B3EE8" w:rsidRDefault="004B4F6B" w:rsidP="00F95276">
            <w:pPr>
              <w:widowControl w:val="0"/>
              <w:spacing w:line="360" w:lineRule="auto"/>
              <w:jc w:val="center"/>
              <w:rPr>
                <w:lang w:val="en-US"/>
              </w:rPr>
            </w:pPr>
            <w:proofErr w:type="gramStart"/>
            <w:r w:rsidRPr="003B3EE8">
              <w:rPr>
                <w:lang w:val="en-US"/>
              </w:rPr>
              <w:t xml:space="preserve">Metal, </w:t>
            </w:r>
            <w:r w:rsidR="00F95276">
              <w:rPr>
                <w:lang w:val="en-US"/>
              </w:rPr>
              <w:t xml:space="preserve">  </w:t>
            </w:r>
            <w:proofErr w:type="gramEnd"/>
            <w:r w:rsidR="00F95276">
              <w:rPr>
                <w:lang w:val="en-US"/>
              </w:rPr>
              <w:t xml:space="preserve"> </w:t>
            </w:r>
            <w:r w:rsidRPr="003B3EE8">
              <w:rPr>
                <w:lang w:val="en-US"/>
              </w:rPr>
              <w:t>machinery,</w:t>
            </w:r>
          </w:p>
          <w:p w14:paraId="36C0DB7A" w14:textId="77777777" w:rsidR="004B4F6B" w:rsidRPr="003B3EE8" w:rsidRDefault="004B4F6B" w:rsidP="00F95276">
            <w:pPr>
              <w:widowControl w:val="0"/>
              <w:spacing w:line="360" w:lineRule="auto"/>
              <w:jc w:val="center"/>
              <w:rPr>
                <w:lang w:val="en-US"/>
              </w:rPr>
            </w:pPr>
            <w:r w:rsidRPr="003B3EE8">
              <w:rPr>
                <w:lang w:val="en-US"/>
              </w:rPr>
              <w:t xml:space="preserve">and hardware </w:t>
            </w:r>
          </w:p>
        </w:tc>
      </w:tr>
      <w:tr w:rsidR="004B4F6B" w:rsidRPr="003B3EE8" w14:paraId="000E1580" w14:textId="77777777" w:rsidTr="00F95276">
        <w:trPr>
          <w:jc w:val="center"/>
        </w:trPr>
        <w:tc>
          <w:tcPr>
            <w:tcW w:w="0" w:type="auto"/>
          </w:tcPr>
          <w:p w14:paraId="576410C2" w14:textId="77777777" w:rsidR="004B4F6B" w:rsidRPr="003B3EE8" w:rsidRDefault="004B4F6B" w:rsidP="00F95276">
            <w:pPr>
              <w:spacing w:line="360" w:lineRule="auto"/>
              <w:rPr>
                <w:i/>
                <w:lang w:val="en-US"/>
              </w:rPr>
            </w:pPr>
            <w:r w:rsidRPr="003B3EE8">
              <w:rPr>
                <w:i/>
                <w:lang w:val="en-US"/>
              </w:rPr>
              <w:t>No innovation</w:t>
            </w:r>
          </w:p>
        </w:tc>
        <w:tc>
          <w:tcPr>
            <w:tcW w:w="1195" w:type="dxa"/>
          </w:tcPr>
          <w:p w14:paraId="34E3BA38" w14:textId="77777777" w:rsidR="004B4F6B" w:rsidRPr="003B3EE8" w:rsidRDefault="004B4F6B" w:rsidP="00F95276">
            <w:pPr>
              <w:spacing w:line="360" w:lineRule="auto"/>
              <w:jc w:val="center"/>
              <w:rPr>
                <w:lang w:val="en-US"/>
              </w:rPr>
            </w:pPr>
            <w:r w:rsidRPr="003B3EE8">
              <w:rPr>
                <w:lang w:val="en-US"/>
              </w:rPr>
              <w:t>6</w:t>
            </w:r>
          </w:p>
        </w:tc>
        <w:tc>
          <w:tcPr>
            <w:tcW w:w="1386" w:type="dxa"/>
          </w:tcPr>
          <w:p w14:paraId="1F6BC4B9" w14:textId="77777777" w:rsidR="004B4F6B" w:rsidRPr="003B3EE8" w:rsidRDefault="004B4F6B" w:rsidP="00F95276">
            <w:pPr>
              <w:spacing w:line="360" w:lineRule="auto"/>
              <w:jc w:val="center"/>
              <w:rPr>
                <w:lang w:val="en-US"/>
              </w:rPr>
            </w:pPr>
            <w:r w:rsidRPr="003B3EE8">
              <w:rPr>
                <w:lang w:val="en-US"/>
              </w:rPr>
              <w:t>2</w:t>
            </w:r>
          </w:p>
        </w:tc>
        <w:tc>
          <w:tcPr>
            <w:tcW w:w="1612" w:type="dxa"/>
          </w:tcPr>
          <w:p w14:paraId="0466A089" w14:textId="77777777" w:rsidR="004B4F6B" w:rsidRPr="003B3EE8" w:rsidRDefault="004B4F6B" w:rsidP="00F95276">
            <w:pPr>
              <w:spacing w:line="360" w:lineRule="auto"/>
              <w:jc w:val="center"/>
              <w:rPr>
                <w:lang w:val="en-US"/>
              </w:rPr>
            </w:pPr>
            <w:r w:rsidRPr="003B3EE8">
              <w:rPr>
                <w:lang w:val="en-US"/>
              </w:rPr>
              <w:t>2</w:t>
            </w:r>
          </w:p>
        </w:tc>
        <w:tc>
          <w:tcPr>
            <w:tcW w:w="1984" w:type="dxa"/>
          </w:tcPr>
          <w:p w14:paraId="70296B81" w14:textId="77777777" w:rsidR="004B4F6B" w:rsidRPr="003B3EE8" w:rsidRDefault="004B4F6B" w:rsidP="00F95276">
            <w:pPr>
              <w:spacing w:line="360" w:lineRule="auto"/>
              <w:jc w:val="center"/>
              <w:rPr>
                <w:lang w:val="en-US"/>
              </w:rPr>
            </w:pPr>
            <w:r w:rsidRPr="003B3EE8">
              <w:rPr>
                <w:lang w:val="en-US"/>
              </w:rPr>
              <w:t>2</w:t>
            </w:r>
          </w:p>
        </w:tc>
      </w:tr>
      <w:tr w:rsidR="004B4F6B" w:rsidRPr="003B3EE8" w14:paraId="47EDF6C6" w14:textId="77777777" w:rsidTr="00F95276">
        <w:trPr>
          <w:jc w:val="center"/>
        </w:trPr>
        <w:tc>
          <w:tcPr>
            <w:tcW w:w="0" w:type="auto"/>
          </w:tcPr>
          <w:p w14:paraId="375B76B0" w14:textId="77777777" w:rsidR="004B4F6B" w:rsidRPr="003B3EE8" w:rsidRDefault="004B4F6B" w:rsidP="00F95276">
            <w:pPr>
              <w:spacing w:line="360" w:lineRule="auto"/>
              <w:rPr>
                <w:i/>
                <w:lang w:val="en-US"/>
              </w:rPr>
            </w:pPr>
          </w:p>
        </w:tc>
        <w:tc>
          <w:tcPr>
            <w:tcW w:w="1195" w:type="dxa"/>
          </w:tcPr>
          <w:p w14:paraId="4AE517B4" w14:textId="77777777" w:rsidR="004B4F6B" w:rsidRPr="003B3EE8" w:rsidRDefault="004B4F6B" w:rsidP="00F95276">
            <w:pPr>
              <w:spacing w:line="360" w:lineRule="auto"/>
              <w:jc w:val="center"/>
              <w:rPr>
                <w:i/>
                <w:lang w:val="en-US"/>
              </w:rPr>
            </w:pPr>
            <w:r w:rsidRPr="003B3EE8">
              <w:rPr>
                <w:i/>
                <w:lang w:val="en-US"/>
              </w:rPr>
              <w:t>1.42%</w:t>
            </w:r>
          </w:p>
        </w:tc>
        <w:tc>
          <w:tcPr>
            <w:tcW w:w="1386" w:type="dxa"/>
          </w:tcPr>
          <w:p w14:paraId="51CB2CBB" w14:textId="77777777" w:rsidR="004B4F6B" w:rsidRPr="003B3EE8" w:rsidRDefault="004B4F6B" w:rsidP="00F95276">
            <w:pPr>
              <w:spacing w:line="360" w:lineRule="auto"/>
              <w:jc w:val="center"/>
              <w:rPr>
                <w:i/>
                <w:lang w:val="en-US"/>
              </w:rPr>
            </w:pPr>
            <w:r w:rsidRPr="003B3EE8">
              <w:rPr>
                <w:i/>
                <w:lang w:val="en-US"/>
              </w:rPr>
              <w:t>1.63%</w:t>
            </w:r>
          </w:p>
        </w:tc>
        <w:tc>
          <w:tcPr>
            <w:tcW w:w="1612" w:type="dxa"/>
          </w:tcPr>
          <w:p w14:paraId="7A7FE1B0" w14:textId="77777777" w:rsidR="004B4F6B" w:rsidRPr="003B3EE8" w:rsidRDefault="004B4F6B" w:rsidP="00F95276">
            <w:pPr>
              <w:spacing w:line="360" w:lineRule="auto"/>
              <w:jc w:val="center"/>
              <w:rPr>
                <w:i/>
                <w:lang w:val="en-US"/>
              </w:rPr>
            </w:pPr>
            <w:r w:rsidRPr="003B3EE8">
              <w:rPr>
                <w:i/>
                <w:lang w:val="en-US"/>
              </w:rPr>
              <w:t>1.65%</w:t>
            </w:r>
          </w:p>
        </w:tc>
        <w:tc>
          <w:tcPr>
            <w:tcW w:w="1984" w:type="dxa"/>
          </w:tcPr>
          <w:p w14:paraId="17022263" w14:textId="77777777" w:rsidR="004B4F6B" w:rsidRPr="003B3EE8" w:rsidRDefault="004B4F6B" w:rsidP="00F95276">
            <w:pPr>
              <w:spacing w:line="360" w:lineRule="auto"/>
              <w:jc w:val="center"/>
              <w:rPr>
                <w:i/>
                <w:lang w:val="en-US"/>
              </w:rPr>
            </w:pPr>
            <w:r w:rsidRPr="003B3EE8">
              <w:rPr>
                <w:i/>
                <w:lang w:val="en-US"/>
              </w:rPr>
              <w:t>1.12%</w:t>
            </w:r>
          </w:p>
        </w:tc>
      </w:tr>
      <w:tr w:rsidR="004B4F6B" w:rsidRPr="003B3EE8" w14:paraId="18058A11" w14:textId="77777777" w:rsidTr="00F95276">
        <w:trPr>
          <w:jc w:val="center"/>
        </w:trPr>
        <w:tc>
          <w:tcPr>
            <w:tcW w:w="0" w:type="auto"/>
          </w:tcPr>
          <w:p w14:paraId="0F20D65C" w14:textId="77777777" w:rsidR="004B4F6B" w:rsidRPr="003B3EE8" w:rsidRDefault="004B4F6B" w:rsidP="00F95276">
            <w:pPr>
              <w:spacing w:line="360" w:lineRule="auto"/>
              <w:rPr>
                <w:i/>
                <w:lang w:val="en-US"/>
              </w:rPr>
            </w:pPr>
            <w:r w:rsidRPr="003B3EE8">
              <w:rPr>
                <w:i/>
                <w:lang w:val="en-US"/>
              </w:rPr>
              <w:t>Product innovation only</w:t>
            </w:r>
          </w:p>
        </w:tc>
        <w:tc>
          <w:tcPr>
            <w:tcW w:w="1195" w:type="dxa"/>
          </w:tcPr>
          <w:p w14:paraId="79CC4562" w14:textId="77777777" w:rsidR="004B4F6B" w:rsidRPr="003B3EE8" w:rsidRDefault="004B4F6B" w:rsidP="00F95276">
            <w:pPr>
              <w:spacing w:line="360" w:lineRule="auto"/>
              <w:jc w:val="center"/>
              <w:rPr>
                <w:lang w:val="en-US"/>
              </w:rPr>
            </w:pPr>
            <w:r w:rsidRPr="003B3EE8">
              <w:rPr>
                <w:lang w:val="en-US"/>
              </w:rPr>
              <w:t>1</w:t>
            </w:r>
          </w:p>
        </w:tc>
        <w:tc>
          <w:tcPr>
            <w:tcW w:w="1386" w:type="dxa"/>
          </w:tcPr>
          <w:p w14:paraId="2C8EC91F" w14:textId="77777777" w:rsidR="004B4F6B" w:rsidRPr="003B3EE8" w:rsidRDefault="004B4F6B" w:rsidP="00F95276">
            <w:pPr>
              <w:spacing w:line="360" w:lineRule="auto"/>
              <w:jc w:val="center"/>
              <w:rPr>
                <w:lang w:val="en-US"/>
              </w:rPr>
            </w:pPr>
            <w:r w:rsidRPr="003B3EE8">
              <w:rPr>
                <w:lang w:val="en-US"/>
              </w:rPr>
              <w:t>3</w:t>
            </w:r>
          </w:p>
        </w:tc>
        <w:tc>
          <w:tcPr>
            <w:tcW w:w="1612" w:type="dxa"/>
          </w:tcPr>
          <w:p w14:paraId="7CC6824D" w14:textId="77777777" w:rsidR="004B4F6B" w:rsidRPr="003B3EE8" w:rsidRDefault="004B4F6B" w:rsidP="00F95276">
            <w:pPr>
              <w:spacing w:line="360" w:lineRule="auto"/>
              <w:jc w:val="center"/>
              <w:rPr>
                <w:lang w:val="en-US"/>
              </w:rPr>
            </w:pPr>
            <w:r w:rsidRPr="003B3EE8">
              <w:rPr>
                <w:lang w:val="en-US"/>
              </w:rPr>
              <w:t>1</w:t>
            </w:r>
          </w:p>
        </w:tc>
        <w:tc>
          <w:tcPr>
            <w:tcW w:w="1984" w:type="dxa"/>
          </w:tcPr>
          <w:p w14:paraId="6681AE38" w14:textId="77777777" w:rsidR="004B4F6B" w:rsidRPr="003B3EE8" w:rsidRDefault="004B4F6B" w:rsidP="00F95276">
            <w:pPr>
              <w:spacing w:line="360" w:lineRule="auto"/>
              <w:jc w:val="center"/>
              <w:rPr>
                <w:lang w:val="en-US"/>
              </w:rPr>
            </w:pPr>
            <w:r w:rsidRPr="003B3EE8">
              <w:rPr>
                <w:lang w:val="en-US"/>
              </w:rPr>
              <w:t>0</w:t>
            </w:r>
          </w:p>
        </w:tc>
      </w:tr>
      <w:tr w:rsidR="004B4F6B" w:rsidRPr="003B3EE8" w14:paraId="26D7BDF0" w14:textId="77777777" w:rsidTr="00F95276">
        <w:trPr>
          <w:jc w:val="center"/>
        </w:trPr>
        <w:tc>
          <w:tcPr>
            <w:tcW w:w="0" w:type="auto"/>
          </w:tcPr>
          <w:p w14:paraId="278E5AFC" w14:textId="77777777" w:rsidR="004B4F6B" w:rsidRPr="003B3EE8" w:rsidRDefault="004B4F6B" w:rsidP="00F95276">
            <w:pPr>
              <w:spacing w:line="360" w:lineRule="auto"/>
              <w:rPr>
                <w:i/>
                <w:lang w:val="en-US"/>
              </w:rPr>
            </w:pPr>
          </w:p>
        </w:tc>
        <w:tc>
          <w:tcPr>
            <w:tcW w:w="1195" w:type="dxa"/>
          </w:tcPr>
          <w:p w14:paraId="1B4540DA" w14:textId="77777777" w:rsidR="004B4F6B" w:rsidRPr="003B3EE8" w:rsidRDefault="004B4F6B" w:rsidP="00F95276">
            <w:pPr>
              <w:spacing w:line="360" w:lineRule="auto"/>
              <w:jc w:val="center"/>
              <w:rPr>
                <w:i/>
                <w:lang w:val="en-US"/>
              </w:rPr>
            </w:pPr>
            <w:r w:rsidRPr="003B3EE8">
              <w:rPr>
                <w:i/>
                <w:lang w:val="en-US"/>
              </w:rPr>
              <w:t>0.95%</w:t>
            </w:r>
          </w:p>
        </w:tc>
        <w:tc>
          <w:tcPr>
            <w:tcW w:w="1386" w:type="dxa"/>
          </w:tcPr>
          <w:p w14:paraId="4AD5B3BA" w14:textId="77777777" w:rsidR="004B4F6B" w:rsidRPr="003B3EE8" w:rsidRDefault="004B4F6B" w:rsidP="00F95276">
            <w:pPr>
              <w:spacing w:line="360" w:lineRule="auto"/>
              <w:jc w:val="center"/>
              <w:rPr>
                <w:i/>
                <w:lang w:val="en-US"/>
              </w:rPr>
            </w:pPr>
            <w:r w:rsidRPr="003B3EE8">
              <w:rPr>
                <w:i/>
                <w:lang w:val="en-US"/>
              </w:rPr>
              <w:t>2.44%</w:t>
            </w:r>
          </w:p>
        </w:tc>
        <w:tc>
          <w:tcPr>
            <w:tcW w:w="1612" w:type="dxa"/>
          </w:tcPr>
          <w:p w14:paraId="035CB9D2" w14:textId="77777777" w:rsidR="004B4F6B" w:rsidRPr="003B3EE8" w:rsidRDefault="004B4F6B" w:rsidP="00F95276">
            <w:pPr>
              <w:spacing w:line="360" w:lineRule="auto"/>
              <w:jc w:val="center"/>
              <w:rPr>
                <w:i/>
                <w:lang w:val="en-US"/>
              </w:rPr>
            </w:pPr>
            <w:r w:rsidRPr="003B3EE8">
              <w:rPr>
                <w:i/>
                <w:lang w:val="en-US"/>
              </w:rPr>
              <w:t>0.83%</w:t>
            </w:r>
          </w:p>
        </w:tc>
        <w:tc>
          <w:tcPr>
            <w:tcW w:w="1984" w:type="dxa"/>
          </w:tcPr>
          <w:p w14:paraId="17515933" w14:textId="77777777" w:rsidR="004B4F6B" w:rsidRPr="003B3EE8" w:rsidRDefault="004B4F6B" w:rsidP="00F95276">
            <w:pPr>
              <w:spacing w:line="360" w:lineRule="auto"/>
              <w:jc w:val="center"/>
              <w:rPr>
                <w:i/>
                <w:lang w:val="en-US"/>
              </w:rPr>
            </w:pPr>
            <w:r w:rsidRPr="003B3EE8">
              <w:rPr>
                <w:i/>
                <w:lang w:val="en-US"/>
              </w:rPr>
              <w:t>0.00%</w:t>
            </w:r>
          </w:p>
        </w:tc>
      </w:tr>
      <w:tr w:rsidR="004B4F6B" w:rsidRPr="003B3EE8" w14:paraId="0CBCD88D" w14:textId="77777777" w:rsidTr="00F95276">
        <w:trPr>
          <w:jc w:val="center"/>
        </w:trPr>
        <w:tc>
          <w:tcPr>
            <w:tcW w:w="0" w:type="auto"/>
          </w:tcPr>
          <w:p w14:paraId="3D9E73CF" w14:textId="77777777" w:rsidR="004B4F6B" w:rsidRPr="003B3EE8" w:rsidRDefault="004B4F6B" w:rsidP="00F95276">
            <w:pPr>
              <w:spacing w:line="360" w:lineRule="auto"/>
              <w:rPr>
                <w:i/>
                <w:lang w:val="en-US"/>
              </w:rPr>
            </w:pPr>
            <w:r w:rsidRPr="003B3EE8">
              <w:rPr>
                <w:i/>
                <w:lang w:val="en-US"/>
              </w:rPr>
              <w:t>Process innovation only</w:t>
            </w:r>
          </w:p>
        </w:tc>
        <w:tc>
          <w:tcPr>
            <w:tcW w:w="1195" w:type="dxa"/>
          </w:tcPr>
          <w:p w14:paraId="02CD9AF4" w14:textId="77777777" w:rsidR="004B4F6B" w:rsidRPr="003B3EE8" w:rsidRDefault="004B4F6B" w:rsidP="00F95276">
            <w:pPr>
              <w:spacing w:line="360" w:lineRule="auto"/>
              <w:jc w:val="center"/>
              <w:rPr>
                <w:lang w:val="en-US"/>
              </w:rPr>
            </w:pPr>
            <w:r w:rsidRPr="003B3EE8">
              <w:rPr>
                <w:lang w:val="en-US"/>
              </w:rPr>
              <w:t>22</w:t>
            </w:r>
          </w:p>
        </w:tc>
        <w:tc>
          <w:tcPr>
            <w:tcW w:w="1386" w:type="dxa"/>
          </w:tcPr>
          <w:p w14:paraId="24BE3272" w14:textId="77777777" w:rsidR="004B4F6B" w:rsidRPr="003B3EE8" w:rsidRDefault="004B4F6B" w:rsidP="00F95276">
            <w:pPr>
              <w:spacing w:line="360" w:lineRule="auto"/>
              <w:jc w:val="center"/>
              <w:rPr>
                <w:lang w:val="en-US"/>
              </w:rPr>
            </w:pPr>
            <w:r w:rsidRPr="003B3EE8">
              <w:rPr>
                <w:lang w:val="en-US"/>
              </w:rPr>
              <w:t>8</w:t>
            </w:r>
          </w:p>
        </w:tc>
        <w:tc>
          <w:tcPr>
            <w:tcW w:w="1612" w:type="dxa"/>
          </w:tcPr>
          <w:p w14:paraId="2FA214E9" w14:textId="77777777" w:rsidR="004B4F6B" w:rsidRPr="003B3EE8" w:rsidRDefault="004B4F6B" w:rsidP="00F95276">
            <w:pPr>
              <w:spacing w:line="360" w:lineRule="auto"/>
              <w:jc w:val="center"/>
              <w:rPr>
                <w:lang w:val="en-US"/>
              </w:rPr>
            </w:pPr>
            <w:r w:rsidRPr="003B3EE8">
              <w:rPr>
                <w:lang w:val="en-US"/>
              </w:rPr>
              <w:t>6</w:t>
            </w:r>
          </w:p>
        </w:tc>
        <w:tc>
          <w:tcPr>
            <w:tcW w:w="1984" w:type="dxa"/>
          </w:tcPr>
          <w:p w14:paraId="780902C9" w14:textId="77777777" w:rsidR="004B4F6B" w:rsidRPr="003B3EE8" w:rsidRDefault="004B4F6B" w:rsidP="00F95276">
            <w:pPr>
              <w:spacing w:line="360" w:lineRule="auto"/>
              <w:jc w:val="center"/>
              <w:rPr>
                <w:lang w:val="en-US"/>
              </w:rPr>
            </w:pPr>
            <w:r w:rsidRPr="003B3EE8">
              <w:rPr>
                <w:lang w:val="en-US"/>
              </w:rPr>
              <w:t>8</w:t>
            </w:r>
          </w:p>
        </w:tc>
      </w:tr>
      <w:tr w:rsidR="004B4F6B" w:rsidRPr="003B3EE8" w14:paraId="5E71533C" w14:textId="77777777" w:rsidTr="00F95276">
        <w:trPr>
          <w:jc w:val="center"/>
        </w:trPr>
        <w:tc>
          <w:tcPr>
            <w:tcW w:w="0" w:type="auto"/>
          </w:tcPr>
          <w:p w14:paraId="43CC52B1" w14:textId="77777777" w:rsidR="004B4F6B" w:rsidRPr="003B3EE8" w:rsidRDefault="004B4F6B" w:rsidP="00F95276">
            <w:pPr>
              <w:spacing w:line="360" w:lineRule="auto"/>
              <w:rPr>
                <w:i/>
                <w:lang w:val="en-US"/>
              </w:rPr>
            </w:pPr>
          </w:p>
        </w:tc>
        <w:tc>
          <w:tcPr>
            <w:tcW w:w="1195" w:type="dxa"/>
            <w:shd w:val="clear" w:color="auto" w:fill="auto"/>
            <w:vAlign w:val="bottom"/>
          </w:tcPr>
          <w:p w14:paraId="108D365B" w14:textId="77777777" w:rsidR="004B4F6B" w:rsidRPr="003B3EE8" w:rsidRDefault="004B4F6B" w:rsidP="00F95276">
            <w:pPr>
              <w:spacing w:line="360" w:lineRule="auto"/>
              <w:jc w:val="center"/>
              <w:rPr>
                <w:i/>
                <w:lang w:val="en-US"/>
              </w:rPr>
            </w:pPr>
            <w:r w:rsidRPr="003B3EE8">
              <w:rPr>
                <w:i/>
                <w:lang w:val="en-US"/>
              </w:rPr>
              <w:t>5.20%</w:t>
            </w:r>
          </w:p>
        </w:tc>
        <w:tc>
          <w:tcPr>
            <w:tcW w:w="1386" w:type="dxa"/>
            <w:shd w:val="clear" w:color="auto" w:fill="auto"/>
            <w:vAlign w:val="bottom"/>
          </w:tcPr>
          <w:p w14:paraId="146B03AC" w14:textId="77777777" w:rsidR="004B4F6B" w:rsidRPr="003B3EE8" w:rsidRDefault="004B4F6B" w:rsidP="00F95276">
            <w:pPr>
              <w:spacing w:line="360" w:lineRule="auto"/>
              <w:jc w:val="center"/>
              <w:rPr>
                <w:i/>
                <w:lang w:val="en-US"/>
              </w:rPr>
            </w:pPr>
            <w:r w:rsidRPr="003B3EE8">
              <w:rPr>
                <w:i/>
                <w:lang w:val="en-US"/>
              </w:rPr>
              <w:t>6.50%</w:t>
            </w:r>
          </w:p>
        </w:tc>
        <w:tc>
          <w:tcPr>
            <w:tcW w:w="1612" w:type="dxa"/>
            <w:shd w:val="clear" w:color="auto" w:fill="auto"/>
            <w:vAlign w:val="bottom"/>
          </w:tcPr>
          <w:p w14:paraId="6878A351" w14:textId="77777777" w:rsidR="004B4F6B" w:rsidRPr="003B3EE8" w:rsidRDefault="004B4F6B" w:rsidP="00F95276">
            <w:pPr>
              <w:spacing w:line="360" w:lineRule="auto"/>
              <w:jc w:val="center"/>
              <w:rPr>
                <w:i/>
                <w:lang w:val="en-US"/>
              </w:rPr>
            </w:pPr>
            <w:r w:rsidRPr="003B3EE8">
              <w:rPr>
                <w:i/>
                <w:lang w:val="en-US"/>
              </w:rPr>
              <w:t>4.96%</w:t>
            </w:r>
          </w:p>
        </w:tc>
        <w:tc>
          <w:tcPr>
            <w:tcW w:w="1984" w:type="dxa"/>
            <w:shd w:val="clear" w:color="auto" w:fill="auto"/>
            <w:vAlign w:val="bottom"/>
          </w:tcPr>
          <w:p w14:paraId="771E3F5A" w14:textId="77777777" w:rsidR="004B4F6B" w:rsidRPr="003B3EE8" w:rsidRDefault="004B4F6B" w:rsidP="00F95276">
            <w:pPr>
              <w:spacing w:line="360" w:lineRule="auto"/>
              <w:jc w:val="center"/>
              <w:rPr>
                <w:i/>
                <w:lang w:val="en-US"/>
              </w:rPr>
            </w:pPr>
            <w:r w:rsidRPr="003B3EE8">
              <w:rPr>
                <w:i/>
                <w:lang w:val="en-US"/>
              </w:rPr>
              <w:t>4.47%</w:t>
            </w:r>
          </w:p>
        </w:tc>
      </w:tr>
      <w:tr w:rsidR="004B4F6B" w:rsidRPr="003B3EE8" w14:paraId="5BAE5B4E" w14:textId="77777777" w:rsidTr="00F95276">
        <w:trPr>
          <w:jc w:val="center"/>
        </w:trPr>
        <w:tc>
          <w:tcPr>
            <w:tcW w:w="0" w:type="auto"/>
          </w:tcPr>
          <w:p w14:paraId="3C93023C" w14:textId="77777777" w:rsidR="004B4F6B" w:rsidRPr="003B3EE8" w:rsidRDefault="004B4F6B" w:rsidP="00F95276">
            <w:pPr>
              <w:spacing w:line="360" w:lineRule="auto"/>
              <w:rPr>
                <w:i/>
                <w:lang w:val="en-US"/>
              </w:rPr>
            </w:pPr>
            <w:r w:rsidRPr="003B3EE8">
              <w:rPr>
                <w:i/>
                <w:lang w:val="en-US"/>
              </w:rPr>
              <w:t>Service innovation only</w:t>
            </w:r>
          </w:p>
        </w:tc>
        <w:tc>
          <w:tcPr>
            <w:tcW w:w="1195" w:type="dxa"/>
          </w:tcPr>
          <w:p w14:paraId="6EC97EAD" w14:textId="77777777" w:rsidR="004B4F6B" w:rsidRPr="003B3EE8" w:rsidRDefault="004B4F6B" w:rsidP="00F95276">
            <w:pPr>
              <w:spacing w:line="360" w:lineRule="auto"/>
              <w:jc w:val="center"/>
              <w:rPr>
                <w:lang w:val="en-US"/>
              </w:rPr>
            </w:pPr>
            <w:r w:rsidRPr="003B3EE8">
              <w:rPr>
                <w:lang w:val="en-US"/>
              </w:rPr>
              <w:t>3</w:t>
            </w:r>
          </w:p>
        </w:tc>
        <w:tc>
          <w:tcPr>
            <w:tcW w:w="1386" w:type="dxa"/>
          </w:tcPr>
          <w:p w14:paraId="430DAC9B" w14:textId="77777777" w:rsidR="004B4F6B" w:rsidRPr="003B3EE8" w:rsidRDefault="004B4F6B" w:rsidP="00F95276">
            <w:pPr>
              <w:spacing w:line="360" w:lineRule="auto"/>
              <w:jc w:val="center"/>
              <w:rPr>
                <w:lang w:val="en-US"/>
              </w:rPr>
            </w:pPr>
            <w:r w:rsidRPr="003B3EE8">
              <w:rPr>
                <w:lang w:val="en-US"/>
              </w:rPr>
              <w:t>1</w:t>
            </w:r>
          </w:p>
        </w:tc>
        <w:tc>
          <w:tcPr>
            <w:tcW w:w="1612" w:type="dxa"/>
          </w:tcPr>
          <w:p w14:paraId="7EA39697" w14:textId="77777777" w:rsidR="004B4F6B" w:rsidRPr="003B3EE8" w:rsidRDefault="004B4F6B" w:rsidP="00F95276">
            <w:pPr>
              <w:spacing w:line="360" w:lineRule="auto"/>
              <w:jc w:val="center"/>
              <w:rPr>
                <w:lang w:val="en-US"/>
              </w:rPr>
            </w:pPr>
            <w:r w:rsidRPr="003B3EE8">
              <w:rPr>
                <w:lang w:val="en-US"/>
              </w:rPr>
              <w:t>0</w:t>
            </w:r>
          </w:p>
        </w:tc>
        <w:tc>
          <w:tcPr>
            <w:tcW w:w="1984" w:type="dxa"/>
          </w:tcPr>
          <w:p w14:paraId="64D5085A" w14:textId="77777777" w:rsidR="004B4F6B" w:rsidRPr="003B3EE8" w:rsidRDefault="004B4F6B" w:rsidP="00F95276">
            <w:pPr>
              <w:spacing w:line="360" w:lineRule="auto"/>
              <w:jc w:val="center"/>
              <w:rPr>
                <w:lang w:val="en-US"/>
              </w:rPr>
            </w:pPr>
            <w:r w:rsidRPr="003B3EE8">
              <w:rPr>
                <w:lang w:val="en-US"/>
              </w:rPr>
              <w:t>2</w:t>
            </w:r>
          </w:p>
        </w:tc>
      </w:tr>
      <w:tr w:rsidR="004B4F6B" w:rsidRPr="003B3EE8" w14:paraId="7AF3AF15" w14:textId="77777777" w:rsidTr="00F95276">
        <w:trPr>
          <w:jc w:val="center"/>
        </w:trPr>
        <w:tc>
          <w:tcPr>
            <w:tcW w:w="0" w:type="auto"/>
            <w:shd w:val="clear" w:color="auto" w:fill="auto"/>
          </w:tcPr>
          <w:p w14:paraId="4AF1ADC8" w14:textId="77777777" w:rsidR="004B4F6B" w:rsidRPr="003B3EE8" w:rsidRDefault="004B4F6B" w:rsidP="00F95276">
            <w:pPr>
              <w:spacing w:line="360" w:lineRule="auto"/>
              <w:rPr>
                <w:i/>
                <w:lang w:val="en-US"/>
              </w:rPr>
            </w:pPr>
          </w:p>
        </w:tc>
        <w:tc>
          <w:tcPr>
            <w:tcW w:w="1195" w:type="dxa"/>
            <w:shd w:val="clear" w:color="auto" w:fill="auto"/>
            <w:vAlign w:val="bottom"/>
          </w:tcPr>
          <w:p w14:paraId="34A4A175" w14:textId="77777777" w:rsidR="004B4F6B" w:rsidRPr="003B3EE8" w:rsidRDefault="004B4F6B" w:rsidP="00F95276">
            <w:pPr>
              <w:spacing w:line="360" w:lineRule="auto"/>
              <w:jc w:val="center"/>
              <w:rPr>
                <w:i/>
                <w:lang w:val="en-US"/>
              </w:rPr>
            </w:pPr>
            <w:r w:rsidRPr="003B3EE8">
              <w:rPr>
                <w:i/>
                <w:lang w:val="en-US"/>
              </w:rPr>
              <w:t>0.71%</w:t>
            </w:r>
          </w:p>
        </w:tc>
        <w:tc>
          <w:tcPr>
            <w:tcW w:w="1386" w:type="dxa"/>
            <w:shd w:val="clear" w:color="auto" w:fill="auto"/>
            <w:vAlign w:val="bottom"/>
          </w:tcPr>
          <w:p w14:paraId="2AD2CA24" w14:textId="77777777" w:rsidR="004B4F6B" w:rsidRPr="003B3EE8" w:rsidRDefault="004B4F6B" w:rsidP="00F95276">
            <w:pPr>
              <w:spacing w:line="360" w:lineRule="auto"/>
              <w:jc w:val="center"/>
              <w:rPr>
                <w:i/>
                <w:lang w:val="en-US"/>
              </w:rPr>
            </w:pPr>
            <w:r w:rsidRPr="003B3EE8">
              <w:rPr>
                <w:i/>
                <w:lang w:val="en-US"/>
              </w:rPr>
              <w:t>0.81%</w:t>
            </w:r>
          </w:p>
        </w:tc>
        <w:tc>
          <w:tcPr>
            <w:tcW w:w="1612" w:type="dxa"/>
            <w:shd w:val="clear" w:color="auto" w:fill="auto"/>
            <w:vAlign w:val="bottom"/>
          </w:tcPr>
          <w:p w14:paraId="73A1893D" w14:textId="77777777" w:rsidR="004B4F6B" w:rsidRPr="003B3EE8" w:rsidRDefault="004B4F6B" w:rsidP="00F95276">
            <w:pPr>
              <w:spacing w:line="360" w:lineRule="auto"/>
              <w:jc w:val="center"/>
              <w:rPr>
                <w:i/>
                <w:lang w:val="en-US"/>
              </w:rPr>
            </w:pPr>
            <w:r w:rsidRPr="003B3EE8">
              <w:rPr>
                <w:i/>
                <w:lang w:val="en-US"/>
              </w:rPr>
              <w:t>0.00%</w:t>
            </w:r>
          </w:p>
        </w:tc>
        <w:tc>
          <w:tcPr>
            <w:tcW w:w="1984" w:type="dxa"/>
            <w:shd w:val="clear" w:color="auto" w:fill="auto"/>
            <w:vAlign w:val="bottom"/>
          </w:tcPr>
          <w:p w14:paraId="171AD1EA" w14:textId="77777777" w:rsidR="004B4F6B" w:rsidRPr="003B3EE8" w:rsidRDefault="004B4F6B" w:rsidP="00F95276">
            <w:pPr>
              <w:spacing w:line="360" w:lineRule="auto"/>
              <w:jc w:val="center"/>
              <w:rPr>
                <w:i/>
                <w:lang w:val="en-US"/>
              </w:rPr>
            </w:pPr>
            <w:r w:rsidRPr="003B3EE8">
              <w:rPr>
                <w:i/>
                <w:lang w:val="en-US"/>
              </w:rPr>
              <w:t>1.12%</w:t>
            </w:r>
          </w:p>
        </w:tc>
      </w:tr>
      <w:tr w:rsidR="004B4F6B" w:rsidRPr="003B3EE8" w14:paraId="6136175A" w14:textId="77777777" w:rsidTr="00F95276">
        <w:trPr>
          <w:jc w:val="center"/>
        </w:trPr>
        <w:tc>
          <w:tcPr>
            <w:tcW w:w="0" w:type="auto"/>
            <w:shd w:val="clear" w:color="auto" w:fill="auto"/>
          </w:tcPr>
          <w:p w14:paraId="7190B7DB" w14:textId="77777777" w:rsidR="004B4F6B" w:rsidRPr="003B3EE8" w:rsidRDefault="004B4F6B" w:rsidP="00F95276">
            <w:pPr>
              <w:spacing w:line="360" w:lineRule="auto"/>
              <w:rPr>
                <w:i/>
                <w:lang w:val="en-US"/>
              </w:rPr>
            </w:pPr>
            <w:r w:rsidRPr="003B3EE8">
              <w:rPr>
                <w:i/>
                <w:lang w:val="en-US"/>
              </w:rPr>
              <w:t>Product and Process innovation</w:t>
            </w:r>
          </w:p>
        </w:tc>
        <w:tc>
          <w:tcPr>
            <w:tcW w:w="1195" w:type="dxa"/>
            <w:shd w:val="clear" w:color="auto" w:fill="auto"/>
          </w:tcPr>
          <w:p w14:paraId="57EA36E1" w14:textId="77777777" w:rsidR="004B4F6B" w:rsidRPr="003B3EE8" w:rsidRDefault="004B4F6B" w:rsidP="00F95276">
            <w:pPr>
              <w:spacing w:line="360" w:lineRule="auto"/>
              <w:jc w:val="center"/>
              <w:rPr>
                <w:lang w:val="en-US"/>
              </w:rPr>
            </w:pPr>
            <w:r w:rsidRPr="003B3EE8">
              <w:rPr>
                <w:lang w:val="en-US"/>
              </w:rPr>
              <w:t>264</w:t>
            </w:r>
          </w:p>
        </w:tc>
        <w:tc>
          <w:tcPr>
            <w:tcW w:w="1386" w:type="dxa"/>
            <w:shd w:val="clear" w:color="auto" w:fill="auto"/>
          </w:tcPr>
          <w:p w14:paraId="4F484C59" w14:textId="77777777" w:rsidR="004B4F6B" w:rsidRPr="003B3EE8" w:rsidRDefault="004B4F6B" w:rsidP="00F95276">
            <w:pPr>
              <w:spacing w:line="360" w:lineRule="auto"/>
              <w:jc w:val="center"/>
              <w:rPr>
                <w:lang w:val="en-US"/>
              </w:rPr>
            </w:pPr>
            <w:r w:rsidRPr="003B3EE8">
              <w:rPr>
                <w:lang w:val="en-US"/>
              </w:rPr>
              <w:t>76</w:t>
            </w:r>
          </w:p>
        </w:tc>
        <w:tc>
          <w:tcPr>
            <w:tcW w:w="1612" w:type="dxa"/>
            <w:shd w:val="clear" w:color="auto" w:fill="auto"/>
          </w:tcPr>
          <w:p w14:paraId="23A5E0C7" w14:textId="77777777" w:rsidR="004B4F6B" w:rsidRPr="003B3EE8" w:rsidRDefault="004B4F6B" w:rsidP="00F95276">
            <w:pPr>
              <w:spacing w:line="360" w:lineRule="auto"/>
              <w:jc w:val="center"/>
              <w:rPr>
                <w:lang w:val="en-US"/>
              </w:rPr>
            </w:pPr>
            <w:r w:rsidRPr="003B3EE8">
              <w:rPr>
                <w:lang w:val="en-US"/>
              </w:rPr>
              <w:t>79</w:t>
            </w:r>
          </w:p>
        </w:tc>
        <w:tc>
          <w:tcPr>
            <w:tcW w:w="1984" w:type="dxa"/>
            <w:shd w:val="clear" w:color="auto" w:fill="auto"/>
          </w:tcPr>
          <w:p w14:paraId="2DAD0218" w14:textId="77777777" w:rsidR="004B4F6B" w:rsidRPr="003B3EE8" w:rsidRDefault="004B4F6B" w:rsidP="00F95276">
            <w:pPr>
              <w:spacing w:line="360" w:lineRule="auto"/>
              <w:jc w:val="center"/>
              <w:rPr>
                <w:lang w:val="en-US"/>
              </w:rPr>
            </w:pPr>
            <w:r w:rsidRPr="003B3EE8">
              <w:rPr>
                <w:lang w:val="en-US"/>
              </w:rPr>
              <w:t>109</w:t>
            </w:r>
          </w:p>
        </w:tc>
      </w:tr>
      <w:tr w:rsidR="004B4F6B" w:rsidRPr="003B3EE8" w14:paraId="3F44C6E8" w14:textId="77777777" w:rsidTr="00F95276">
        <w:trPr>
          <w:jc w:val="center"/>
        </w:trPr>
        <w:tc>
          <w:tcPr>
            <w:tcW w:w="0" w:type="auto"/>
            <w:shd w:val="clear" w:color="auto" w:fill="auto"/>
          </w:tcPr>
          <w:p w14:paraId="732AC038" w14:textId="77777777" w:rsidR="004B4F6B" w:rsidRPr="003B3EE8" w:rsidRDefault="004B4F6B" w:rsidP="00F95276">
            <w:pPr>
              <w:spacing w:line="360" w:lineRule="auto"/>
              <w:rPr>
                <w:i/>
                <w:lang w:val="en-US"/>
              </w:rPr>
            </w:pPr>
          </w:p>
        </w:tc>
        <w:tc>
          <w:tcPr>
            <w:tcW w:w="1195" w:type="dxa"/>
            <w:shd w:val="clear" w:color="auto" w:fill="auto"/>
            <w:vAlign w:val="bottom"/>
          </w:tcPr>
          <w:p w14:paraId="4A1D0D18" w14:textId="77777777" w:rsidR="004B4F6B" w:rsidRPr="003B3EE8" w:rsidRDefault="004B4F6B" w:rsidP="00F95276">
            <w:pPr>
              <w:spacing w:line="360" w:lineRule="auto"/>
              <w:jc w:val="center"/>
              <w:rPr>
                <w:i/>
                <w:lang w:val="en-US"/>
              </w:rPr>
            </w:pPr>
            <w:r w:rsidRPr="003B3EE8">
              <w:rPr>
                <w:i/>
                <w:lang w:val="en-US"/>
              </w:rPr>
              <w:t>62.41%</w:t>
            </w:r>
          </w:p>
        </w:tc>
        <w:tc>
          <w:tcPr>
            <w:tcW w:w="1386" w:type="dxa"/>
            <w:shd w:val="clear" w:color="auto" w:fill="auto"/>
            <w:vAlign w:val="bottom"/>
          </w:tcPr>
          <w:p w14:paraId="578C2929" w14:textId="77777777" w:rsidR="004B4F6B" w:rsidRPr="003B3EE8" w:rsidRDefault="004B4F6B" w:rsidP="00F95276">
            <w:pPr>
              <w:spacing w:line="360" w:lineRule="auto"/>
              <w:jc w:val="center"/>
              <w:rPr>
                <w:i/>
                <w:lang w:val="en-US"/>
              </w:rPr>
            </w:pPr>
            <w:r w:rsidRPr="003B3EE8">
              <w:rPr>
                <w:i/>
                <w:lang w:val="en-US"/>
              </w:rPr>
              <w:t>61.79%</w:t>
            </w:r>
          </w:p>
        </w:tc>
        <w:tc>
          <w:tcPr>
            <w:tcW w:w="1612" w:type="dxa"/>
            <w:shd w:val="clear" w:color="auto" w:fill="auto"/>
            <w:vAlign w:val="bottom"/>
          </w:tcPr>
          <w:p w14:paraId="3713E2C3" w14:textId="77777777" w:rsidR="004B4F6B" w:rsidRPr="003B3EE8" w:rsidRDefault="004B4F6B" w:rsidP="00F95276">
            <w:pPr>
              <w:spacing w:line="360" w:lineRule="auto"/>
              <w:jc w:val="center"/>
              <w:rPr>
                <w:i/>
                <w:lang w:val="en-US"/>
              </w:rPr>
            </w:pPr>
            <w:r w:rsidRPr="003B3EE8">
              <w:rPr>
                <w:i/>
                <w:lang w:val="en-US"/>
              </w:rPr>
              <w:t>65.29%</w:t>
            </w:r>
          </w:p>
        </w:tc>
        <w:tc>
          <w:tcPr>
            <w:tcW w:w="1984" w:type="dxa"/>
            <w:shd w:val="clear" w:color="auto" w:fill="auto"/>
            <w:vAlign w:val="bottom"/>
          </w:tcPr>
          <w:p w14:paraId="10EF16A7" w14:textId="77777777" w:rsidR="004B4F6B" w:rsidRPr="003B3EE8" w:rsidRDefault="004B4F6B" w:rsidP="00F95276">
            <w:pPr>
              <w:spacing w:line="360" w:lineRule="auto"/>
              <w:jc w:val="center"/>
              <w:rPr>
                <w:i/>
                <w:lang w:val="en-US"/>
              </w:rPr>
            </w:pPr>
            <w:r w:rsidRPr="003B3EE8">
              <w:rPr>
                <w:i/>
                <w:lang w:val="en-US"/>
              </w:rPr>
              <w:t>60.89%</w:t>
            </w:r>
          </w:p>
        </w:tc>
      </w:tr>
      <w:tr w:rsidR="004B4F6B" w:rsidRPr="003B3EE8" w14:paraId="0D57F24A" w14:textId="77777777" w:rsidTr="00F95276">
        <w:trPr>
          <w:jc w:val="center"/>
        </w:trPr>
        <w:tc>
          <w:tcPr>
            <w:tcW w:w="0" w:type="auto"/>
            <w:shd w:val="clear" w:color="auto" w:fill="auto"/>
          </w:tcPr>
          <w:p w14:paraId="4C8F7BA3" w14:textId="77777777" w:rsidR="004B4F6B" w:rsidRPr="003B3EE8" w:rsidRDefault="004B4F6B" w:rsidP="00F95276">
            <w:pPr>
              <w:spacing w:line="360" w:lineRule="auto"/>
              <w:rPr>
                <w:i/>
                <w:lang w:val="en-US"/>
              </w:rPr>
            </w:pPr>
            <w:r w:rsidRPr="003B3EE8">
              <w:rPr>
                <w:i/>
                <w:lang w:val="en-US"/>
              </w:rPr>
              <w:t>Product and Service innovation</w:t>
            </w:r>
          </w:p>
        </w:tc>
        <w:tc>
          <w:tcPr>
            <w:tcW w:w="1195" w:type="dxa"/>
            <w:shd w:val="clear" w:color="auto" w:fill="auto"/>
            <w:vAlign w:val="center"/>
          </w:tcPr>
          <w:p w14:paraId="3786EF63" w14:textId="77777777" w:rsidR="004B4F6B" w:rsidRPr="003B3EE8" w:rsidRDefault="004B4F6B" w:rsidP="00F95276">
            <w:pPr>
              <w:spacing w:line="360" w:lineRule="auto"/>
              <w:jc w:val="center"/>
              <w:rPr>
                <w:lang w:val="en-US"/>
              </w:rPr>
            </w:pPr>
            <w:r w:rsidRPr="003B3EE8">
              <w:rPr>
                <w:lang w:val="en-US"/>
              </w:rPr>
              <w:t>15</w:t>
            </w:r>
          </w:p>
        </w:tc>
        <w:tc>
          <w:tcPr>
            <w:tcW w:w="1386" w:type="dxa"/>
            <w:shd w:val="clear" w:color="auto" w:fill="auto"/>
            <w:vAlign w:val="center"/>
          </w:tcPr>
          <w:p w14:paraId="4E9A7444" w14:textId="77777777" w:rsidR="004B4F6B" w:rsidRPr="003B3EE8" w:rsidRDefault="004B4F6B" w:rsidP="00F95276">
            <w:pPr>
              <w:spacing w:line="360" w:lineRule="auto"/>
              <w:jc w:val="center"/>
              <w:rPr>
                <w:lang w:val="en-US"/>
              </w:rPr>
            </w:pPr>
            <w:r w:rsidRPr="003B3EE8">
              <w:rPr>
                <w:lang w:val="en-US"/>
              </w:rPr>
              <w:t>3</w:t>
            </w:r>
          </w:p>
        </w:tc>
        <w:tc>
          <w:tcPr>
            <w:tcW w:w="1612" w:type="dxa"/>
            <w:shd w:val="clear" w:color="auto" w:fill="auto"/>
            <w:vAlign w:val="center"/>
          </w:tcPr>
          <w:p w14:paraId="166B439A" w14:textId="77777777" w:rsidR="004B4F6B" w:rsidRPr="003B3EE8" w:rsidRDefault="004B4F6B" w:rsidP="00F95276">
            <w:pPr>
              <w:spacing w:line="360" w:lineRule="auto"/>
              <w:jc w:val="center"/>
              <w:rPr>
                <w:lang w:val="en-US"/>
              </w:rPr>
            </w:pPr>
            <w:r w:rsidRPr="003B3EE8">
              <w:rPr>
                <w:lang w:val="en-US"/>
              </w:rPr>
              <w:t>7</w:t>
            </w:r>
          </w:p>
        </w:tc>
        <w:tc>
          <w:tcPr>
            <w:tcW w:w="1984" w:type="dxa"/>
            <w:shd w:val="clear" w:color="auto" w:fill="auto"/>
            <w:vAlign w:val="center"/>
          </w:tcPr>
          <w:p w14:paraId="2C0D17D4" w14:textId="77777777" w:rsidR="004B4F6B" w:rsidRPr="003B3EE8" w:rsidRDefault="004B4F6B" w:rsidP="00F95276">
            <w:pPr>
              <w:spacing w:line="360" w:lineRule="auto"/>
              <w:jc w:val="center"/>
              <w:rPr>
                <w:lang w:val="en-US"/>
              </w:rPr>
            </w:pPr>
            <w:r w:rsidRPr="003B3EE8">
              <w:rPr>
                <w:lang w:val="en-US"/>
              </w:rPr>
              <w:t>5</w:t>
            </w:r>
          </w:p>
        </w:tc>
      </w:tr>
      <w:tr w:rsidR="004B4F6B" w:rsidRPr="003B3EE8" w14:paraId="76748B76" w14:textId="77777777" w:rsidTr="00F95276">
        <w:trPr>
          <w:jc w:val="center"/>
        </w:trPr>
        <w:tc>
          <w:tcPr>
            <w:tcW w:w="0" w:type="auto"/>
            <w:shd w:val="clear" w:color="auto" w:fill="auto"/>
          </w:tcPr>
          <w:p w14:paraId="01F6C54C" w14:textId="77777777" w:rsidR="004B4F6B" w:rsidRPr="003B3EE8" w:rsidRDefault="004B4F6B" w:rsidP="00F95276">
            <w:pPr>
              <w:spacing w:line="360" w:lineRule="auto"/>
              <w:rPr>
                <w:i/>
                <w:lang w:val="en-US"/>
              </w:rPr>
            </w:pPr>
          </w:p>
        </w:tc>
        <w:tc>
          <w:tcPr>
            <w:tcW w:w="1195" w:type="dxa"/>
            <w:shd w:val="clear" w:color="auto" w:fill="auto"/>
            <w:vAlign w:val="bottom"/>
          </w:tcPr>
          <w:p w14:paraId="72FBA1DD" w14:textId="77777777" w:rsidR="004B4F6B" w:rsidRPr="003B3EE8" w:rsidRDefault="004B4F6B" w:rsidP="00F95276">
            <w:pPr>
              <w:spacing w:line="360" w:lineRule="auto"/>
              <w:jc w:val="center"/>
              <w:rPr>
                <w:i/>
                <w:lang w:val="en-US"/>
              </w:rPr>
            </w:pPr>
            <w:r w:rsidRPr="003B3EE8">
              <w:rPr>
                <w:i/>
                <w:lang w:val="en-US"/>
              </w:rPr>
              <w:t>3.55%</w:t>
            </w:r>
          </w:p>
        </w:tc>
        <w:tc>
          <w:tcPr>
            <w:tcW w:w="1386" w:type="dxa"/>
            <w:shd w:val="clear" w:color="auto" w:fill="auto"/>
            <w:vAlign w:val="bottom"/>
          </w:tcPr>
          <w:p w14:paraId="3A7D9067" w14:textId="77777777" w:rsidR="004B4F6B" w:rsidRPr="003B3EE8" w:rsidRDefault="004B4F6B" w:rsidP="00F95276">
            <w:pPr>
              <w:spacing w:line="360" w:lineRule="auto"/>
              <w:jc w:val="center"/>
              <w:rPr>
                <w:i/>
                <w:lang w:val="en-US"/>
              </w:rPr>
            </w:pPr>
            <w:r w:rsidRPr="003B3EE8">
              <w:rPr>
                <w:i/>
                <w:lang w:val="en-US"/>
              </w:rPr>
              <w:t>2.44%</w:t>
            </w:r>
          </w:p>
        </w:tc>
        <w:tc>
          <w:tcPr>
            <w:tcW w:w="1612" w:type="dxa"/>
            <w:shd w:val="clear" w:color="auto" w:fill="auto"/>
            <w:vAlign w:val="bottom"/>
          </w:tcPr>
          <w:p w14:paraId="7E198639" w14:textId="77777777" w:rsidR="004B4F6B" w:rsidRPr="003B3EE8" w:rsidRDefault="004B4F6B" w:rsidP="00F95276">
            <w:pPr>
              <w:spacing w:line="360" w:lineRule="auto"/>
              <w:jc w:val="center"/>
              <w:rPr>
                <w:i/>
                <w:lang w:val="en-US"/>
              </w:rPr>
            </w:pPr>
            <w:r w:rsidRPr="003B3EE8">
              <w:rPr>
                <w:i/>
                <w:lang w:val="en-US"/>
              </w:rPr>
              <w:t>5.79%</w:t>
            </w:r>
          </w:p>
        </w:tc>
        <w:tc>
          <w:tcPr>
            <w:tcW w:w="1984" w:type="dxa"/>
            <w:shd w:val="clear" w:color="auto" w:fill="auto"/>
            <w:vAlign w:val="bottom"/>
          </w:tcPr>
          <w:p w14:paraId="343F2B80" w14:textId="77777777" w:rsidR="004B4F6B" w:rsidRPr="003B3EE8" w:rsidRDefault="004B4F6B" w:rsidP="00F95276">
            <w:pPr>
              <w:spacing w:line="360" w:lineRule="auto"/>
              <w:jc w:val="center"/>
              <w:rPr>
                <w:i/>
                <w:lang w:val="en-US"/>
              </w:rPr>
            </w:pPr>
            <w:r w:rsidRPr="003B3EE8">
              <w:rPr>
                <w:i/>
                <w:lang w:val="en-US"/>
              </w:rPr>
              <w:t>2.79%</w:t>
            </w:r>
          </w:p>
        </w:tc>
      </w:tr>
      <w:tr w:rsidR="004B4F6B" w:rsidRPr="003B3EE8" w14:paraId="7FCD94F6" w14:textId="77777777" w:rsidTr="00F95276">
        <w:trPr>
          <w:jc w:val="center"/>
        </w:trPr>
        <w:tc>
          <w:tcPr>
            <w:tcW w:w="0" w:type="auto"/>
            <w:shd w:val="clear" w:color="auto" w:fill="auto"/>
          </w:tcPr>
          <w:p w14:paraId="70173662" w14:textId="77777777" w:rsidR="004B4F6B" w:rsidRPr="003B3EE8" w:rsidRDefault="004B4F6B" w:rsidP="00F95276">
            <w:pPr>
              <w:spacing w:line="360" w:lineRule="auto"/>
              <w:rPr>
                <w:i/>
                <w:lang w:val="en-US"/>
              </w:rPr>
            </w:pPr>
            <w:r w:rsidRPr="003B3EE8">
              <w:rPr>
                <w:i/>
                <w:lang w:val="en-US"/>
              </w:rPr>
              <w:t>Process and Service innovation</w:t>
            </w:r>
          </w:p>
        </w:tc>
        <w:tc>
          <w:tcPr>
            <w:tcW w:w="1195" w:type="dxa"/>
            <w:shd w:val="clear" w:color="auto" w:fill="auto"/>
            <w:vAlign w:val="center"/>
          </w:tcPr>
          <w:p w14:paraId="458E4C01" w14:textId="77777777" w:rsidR="004B4F6B" w:rsidRPr="003B3EE8" w:rsidRDefault="004B4F6B" w:rsidP="00F95276">
            <w:pPr>
              <w:spacing w:line="360" w:lineRule="auto"/>
              <w:jc w:val="center"/>
              <w:rPr>
                <w:lang w:val="en-US"/>
              </w:rPr>
            </w:pPr>
            <w:r w:rsidRPr="003B3EE8">
              <w:rPr>
                <w:lang w:val="en-US"/>
              </w:rPr>
              <w:t>17</w:t>
            </w:r>
          </w:p>
        </w:tc>
        <w:tc>
          <w:tcPr>
            <w:tcW w:w="1386" w:type="dxa"/>
            <w:shd w:val="clear" w:color="auto" w:fill="auto"/>
            <w:vAlign w:val="center"/>
          </w:tcPr>
          <w:p w14:paraId="7F06ACAF" w14:textId="77777777" w:rsidR="004B4F6B" w:rsidRPr="003B3EE8" w:rsidRDefault="004B4F6B" w:rsidP="00F95276">
            <w:pPr>
              <w:spacing w:line="360" w:lineRule="auto"/>
              <w:jc w:val="center"/>
              <w:rPr>
                <w:lang w:val="en-US"/>
              </w:rPr>
            </w:pPr>
            <w:r w:rsidRPr="003B3EE8">
              <w:rPr>
                <w:lang w:val="en-US"/>
              </w:rPr>
              <w:t>6</w:t>
            </w:r>
          </w:p>
        </w:tc>
        <w:tc>
          <w:tcPr>
            <w:tcW w:w="1612" w:type="dxa"/>
            <w:shd w:val="clear" w:color="auto" w:fill="auto"/>
            <w:vAlign w:val="center"/>
          </w:tcPr>
          <w:p w14:paraId="3E1BAC1C" w14:textId="77777777" w:rsidR="004B4F6B" w:rsidRPr="003B3EE8" w:rsidRDefault="004B4F6B" w:rsidP="00F95276">
            <w:pPr>
              <w:spacing w:line="360" w:lineRule="auto"/>
              <w:jc w:val="center"/>
              <w:rPr>
                <w:lang w:val="en-US"/>
              </w:rPr>
            </w:pPr>
            <w:r w:rsidRPr="003B3EE8">
              <w:rPr>
                <w:lang w:val="en-US"/>
              </w:rPr>
              <w:t>1</w:t>
            </w:r>
          </w:p>
        </w:tc>
        <w:tc>
          <w:tcPr>
            <w:tcW w:w="1984" w:type="dxa"/>
            <w:shd w:val="clear" w:color="auto" w:fill="auto"/>
            <w:vAlign w:val="center"/>
          </w:tcPr>
          <w:p w14:paraId="46A695CC" w14:textId="77777777" w:rsidR="004B4F6B" w:rsidRPr="003B3EE8" w:rsidRDefault="004B4F6B" w:rsidP="00F95276">
            <w:pPr>
              <w:spacing w:line="360" w:lineRule="auto"/>
              <w:jc w:val="center"/>
              <w:rPr>
                <w:lang w:val="en-US"/>
              </w:rPr>
            </w:pPr>
            <w:r w:rsidRPr="003B3EE8">
              <w:rPr>
                <w:lang w:val="en-US"/>
              </w:rPr>
              <w:t>10</w:t>
            </w:r>
          </w:p>
        </w:tc>
      </w:tr>
      <w:tr w:rsidR="004B4F6B" w:rsidRPr="003B3EE8" w14:paraId="7FF763DE" w14:textId="77777777" w:rsidTr="00F95276">
        <w:trPr>
          <w:jc w:val="center"/>
        </w:trPr>
        <w:tc>
          <w:tcPr>
            <w:tcW w:w="0" w:type="auto"/>
            <w:shd w:val="clear" w:color="auto" w:fill="auto"/>
          </w:tcPr>
          <w:p w14:paraId="0CD8AA1D" w14:textId="77777777" w:rsidR="004B4F6B" w:rsidRPr="003B3EE8" w:rsidRDefault="004B4F6B" w:rsidP="00F95276">
            <w:pPr>
              <w:spacing w:line="360" w:lineRule="auto"/>
              <w:rPr>
                <w:i/>
                <w:lang w:val="en-US"/>
              </w:rPr>
            </w:pPr>
          </w:p>
        </w:tc>
        <w:tc>
          <w:tcPr>
            <w:tcW w:w="1195" w:type="dxa"/>
            <w:shd w:val="clear" w:color="auto" w:fill="auto"/>
            <w:vAlign w:val="bottom"/>
          </w:tcPr>
          <w:p w14:paraId="6F02E10A" w14:textId="77777777" w:rsidR="004B4F6B" w:rsidRPr="003B3EE8" w:rsidRDefault="004B4F6B" w:rsidP="00F95276">
            <w:pPr>
              <w:spacing w:line="360" w:lineRule="auto"/>
              <w:jc w:val="center"/>
              <w:rPr>
                <w:i/>
                <w:lang w:val="en-US"/>
              </w:rPr>
            </w:pPr>
            <w:r w:rsidRPr="003B3EE8">
              <w:rPr>
                <w:i/>
                <w:lang w:val="en-US"/>
              </w:rPr>
              <w:t>4.02%</w:t>
            </w:r>
          </w:p>
        </w:tc>
        <w:tc>
          <w:tcPr>
            <w:tcW w:w="1386" w:type="dxa"/>
            <w:shd w:val="clear" w:color="auto" w:fill="auto"/>
            <w:vAlign w:val="bottom"/>
          </w:tcPr>
          <w:p w14:paraId="5C8039E9" w14:textId="77777777" w:rsidR="004B4F6B" w:rsidRPr="003B3EE8" w:rsidRDefault="004B4F6B" w:rsidP="00F95276">
            <w:pPr>
              <w:spacing w:line="360" w:lineRule="auto"/>
              <w:jc w:val="center"/>
              <w:rPr>
                <w:i/>
                <w:lang w:val="en-US"/>
              </w:rPr>
            </w:pPr>
            <w:r w:rsidRPr="003B3EE8">
              <w:rPr>
                <w:i/>
                <w:lang w:val="en-US"/>
              </w:rPr>
              <w:t>4.88%</w:t>
            </w:r>
          </w:p>
        </w:tc>
        <w:tc>
          <w:tcPr>
            <w:tcW w:w="1612" w:type="dxa"/>
            <w:shd w:val="clear" w:color="auto" w:fill="auto"/>
            <w:vAlign w:val="bottom"/>
          </w:tcPr>
          <w:p w14:paraId="3E3A9475" w14:textId="77777777" w:rsidR="004B4F6B" w:rsidRPr="003B3EE8" w:rsidRDefault="004B4F6B" w:rsidP="00F95276">
            <w:pPr>
              <w:spacing w:line="360" w:lineRule="auto"/>
              <w:jc w:val="center"/>
              <w:rPr>
                <w:i/>
                <w:lang w:val="en-US"/>
              </w:rPr>
            </w:pPr>
            <w:r w:rsidRPr="003B3EE8">
              <w:rPr>
                <w:i/>
                <w:lang w:val="en-US"/>
              </w:rPr>
              <w:t>0.83%</w:t>
            </w:r>
          </w:p>
        </w:tc>
        <w:tc>
          <w:tcPr>
            <w:tcW w:w="1984" w:type="dxa"/>
            <w:shd w:val="clear" w:color="auto" w:fill="auto"/>
            <w:vAlign w:val="bottom"/>
          </w:tcPr>
          <w:p w14:paraId="685E2D29" w14:textId="77777777" w:rsidR="004B4F6B" w:rsidRPr="003B3EE8" w:rsidRDefault="004B4F6B" w:rsidP="00F95276">
            <w:pPr>
              <w:spacing w:line="360" w:lineRule="auto"/>
              <w:jc w:val="center"/>
              <w:rPr>
                <w:i/>
                <w:lang w:val="en-US"/>
              </w:rPr>
            </w:pPr>
            <w:r w:rsidRPr="003B3EE8">
              <w:rPr>
                <w:i/>
                <w:lang w:val="en-US"/>
              </w:rPr>
              <w:t>5.59%</w:t>
            </w:r>
          </w:p>
        </w:tc>
      </w:tr>
      <w:tr w:rsidR="004B4F6B" w:rsidRPr="003B3EE8" w14:paraId="6A10F2A0" w14:textId="77777777" w:rsidTr="00F95276">
        <w:trPr>
          <w:jc w:val="center"/>
        </w:trPr>
        <w:tc>
          <w:tcPr>
            <w:tcW w:w="0" w:type="auto"/>
            <w:shd w:val="clear" w:color="auto" w:fill="auto"/>
          </w:tcPr>
          <w:p w14:paraId="50BF4404" w14:textId="77777777" w:rsidR="004B4F6B" w:rsidRPr="003B3EE8" w:rsidRDefault="004B4F6B" w:rsidP="00F95276">
            <w:pPr>
              <w:spacing w:line="360" w:lineRule="auto"/>
              <w:rPr>
                <w:i/>
                <w:lang w:val="en-US"/>
              </w:rPr>
            </w:pPr>
            <w:r w:rsidRPr="003B3EE8">
              <w:rPr>
                <w:i/>
                <w:lang w:val="en-US"/>
              </w:rPr>
              <w:t>All innovations</w:t>
            </w:r>
          </w:p>
        </w:tc>
        <w:tc>
          <w:tcPr>
            <w:tcW w:w="1195" w:type="dxa"/>
            <w:shd w:val="clear" w:color="auto" w:fill="auto"/>
          </w:tcPr>
          <w:p w14:paraId="54A13DC5" w14:textId="77777777" w:rsidR="004B4F6B" w:rsidRPr="003B3EE8" w:rsidRDefault="004B4F6B" w:rsidP="00F95276">
            <w:pPr>
              <w:spacing w:line="360" w:lineRule="auto"/>
              <w:jc w:val="center"/>
              <w:rPr>
                <w:lang w:val="en-US"/>
              </w:rPr>
            </w:pPr>
            <w:r w:rsidRPr="003B3EE8">
              <w:rPr>
                <w:lang w:val="en-US"/>
              </w:rPr>
              <w:t>92</w:t>
            </w:r>
          </w:p>
        </w:tc>
        <w:tc>
          <w:tcPr>
            <w:tcW w:w="1386" w:type="dxa"/>
            <w:shd w:val="clear" w:color="auto" w:fill="auto"/>
            <w:vAlign w:val="bottom"/>
          </w:tcPr>
          <w:p w14:paraId="48CB931F" w14:textId="77777777" w:rsidR="004B4F6B" w:rsidRPr="003B3EE8" w:rsidRDefault="004B4F6B" w:rsidP="00F95276">
            <w:pPr>
              <w:spacing w:line="360" w:lineRule="auto"/>
              <w:jc w:val="center"/>
              <w:rPr>
                <w:lang w:val="en-US"/>
              </w:rPr>
            </w:pPr>
            <w:r w:rsidRPr="003B3EE8">
              <w:rPr>
                <w:lang w:val="en-US"/>
              </w:rPr>
              <w:t>24</w:t>
            </w:r>
          </w:p>
        </w:tc>
        <w:tc>
          <w:tcPr>
            <w:tcW w:w="1612" w:type="dxa"/>
            <w:shd w:val="clear" w:color="auto" w:fill="auto"/>
            <w:vAlign w:val="bottom"/>
          </w:tcPr>
          <w:p w14:paraId="44D7DCF6" w14:textId="77777777" w:rsidR="004B4F6B" w:rsidRPr="003B3EE8" w:rsidRDefault="004B4F6B" w:rsidP="00F95276">
            <w:pPr>
              <w:spacing w:line="360" w:lineRule="auto"/>
              <w:jc w:val="center"/>
              <w:rPr>
                <w:lang w:val="en-US"/>
              </w:rPr>
            </w:pPr>
            <w:r w:rsidRPr="003B3EE8">
              <w:rPr>
                <w:lang w:val="en-US"/>
              </w:rPr>
              <w:t>25</w:t>
            </w:r>
          </w:p>
        </w:tc>
        <w:tc>
          <w:tcPr>
            <w:tcW w:w="1984" w:type="dxa"/>
            <w:shd w:val="clear" w:color="auto" w:fill="auto"/>
            <w:vAlign w:val="bottom"/>
          </w:tcPr>
          <w:p w14:paraId="284494E6" w14:textId="77777777" w:rsidR="004B4F6B" w:rsidRPr="003B3EE8" w:rsidRDefault="004B4F6B" w:rsidP="00F95276">
            <w:pPr>
              <w:spacing w:line="360" w:lineRule="auto"/>
              <w:jc w:val="center"/>
              <w:rPr>
                <w:lang w:val="en-US"/>
              </w:rPr>
            </w:pPr>
            <w:r w:rsidRPr="003B3EE8">
              <w:rPr>
                <w:lang w:val="en-US"/>
              </w:rPr>
              <w:t>43</w:t>
            </w:r>
          </w:p>
        </w:tc>
      </w:tr>
      <w:tr w:rsidR="004B4F6B" w:rsidRPr="003B3EE8" w14:paraId="6CBCE797" w14:textId="77777777" w:rsidTr="00F95276">
        <w:trPr>
          <w:jc w:val="center"/>
        </w:trPr>
        <w:tc>
          <w:tcPr>
            <w:tcW w:w="0" w:type="auto"/>
            <w:shd w:val="clear" w:color="auto" w:fill="auto"/>
          </w:tcPr>
          <w:p w14:paraId="2738D15F" w14:textId="77777777" w:rsidR="004B4F6B" w:rsidRPr="003B3EE8" w:rsidRDefault="004B4F6B" w:rsidP="00F95276">
            <w:pPr>
              <w:spacing w:line="360" w:lineRule="auto"/>
              <w:rPr>
                <w:i/>
                <w:lang w:val="en-US"/>
              </w:rPr>
            </w:pPr>
          </w:p>
        </w:tc>
        <w:tc>
          <w:tcPr>
            <w:tcW w:w="1195" w:type="dxa"/>
            <w:shd w:val="clear" w:color="auto" w:fill="auto"/>
            <w:vAlign w:val="bottom"/>
          </w:tcPr>
          <w:p w14:paraId="49C4FCE8" w14:textId="77777777" w:rsidR="004B4F6B" w:rsidRPr="003B3EE8" w:rsidRDefault="004B4F6B" w:rsidP="00F95276">
            <w:pPr>
              <w:spacing w:line="360" w:lineRule="auto"/>
              <w:jc w:val="center"/>
              <w:rPr>
                <w:i/>
                <w:lang w:val="en-US"/>
              </w:rPr>
            </w:pPr>
            <w:r w:rsidRPr="003B3EE8">
              <w:rPr>
                <w:i/>
                <w:lang w:val="en-US"/>
              </w:rPr>
              <w:t>21.75%</w:t>
            </w:r>
          </w:p>
        </w:tc>
        <w:tc>
          <w:tcPr>
            <w:tcW w:w="1386" w:type="dxa"/>
            <w:shd w:val="clear" w:color="auto" w:fill="auto"/>
            <w:vAlign w:val="bottom"/>
          </w:tcPr>
          <w:p w14:paraId="2527307E" w14:textId="77777777" w:rsidR="004B4F6B" w:rsidRPr="003B3EE8" w:rsidRDefault="004B4F6B" w:rsidP="00F95276">
            <w:pPr>
              <w:spacing w:line="360" w:lineRule="auto"/>
              <w:jc w:val="center"/>
              <w:rPr>
                <w:i/>
                <w:lang w:val="en-US"/>
              </w:rPr>
            </w:pPr>
            <w:r w:rsidRPr="003B3EE8">
              <w:rPr>
                <w:i/>
                <w:lang w:val="en-US"/>
              </w:rPr>
              <w:t>19.51%</w:t>
            </w:r>
          </w:p>
        </w:tc>
        <w:tc>
          <w:tcPr>
            <w:tcW w:w="1612" w:type="dxa"/>
            <w:shd w:val="clear" w:color="auto" w:fill="auto"/>
            <w:vAlign w:val="bottom"/>
          </w:tcPr>
          <w:p w14:paraId="6B7C0DF0" w14:textId="77777777" w:rsidR="004B4F6B" w:rsidRPr="003B3EE8" w:rsidRDefault="004B4F6B" w:rsidP="00F95276">
            <w:pPr>
              <w:spacing w:line="360" w:lineRule="auto"/>
              <w:jc w:val="center"/>
              <w:rPr>
                <w:i/>
                <w:lang w:val="en-US"/>
              </w:rPr>
            </w:pPr>
            <w:r w:rsidRPr="003B3EE8">
              <w:rPr>
                <w:i/>
                <w:lang w:val="en-US"/>
              </w:rPr>
              <w:t>20.66%</w:t>
            </w:r>
          </w:p>
        </w:tc>
        <w:tc>
          <w:tcPr>
            <w:tcW w:w="1984" w:type="dxa"/>
            <w:shd w:val="clear" w:color="auto" w:fill="auto"/>
            <w:vAlign w:val="bottom"/>
          </w:tcPr>
          <w:p w14:paraId="112FAAEC" w14:textId="77777777" w:rsidR="004B4F6B" w:rsidRPr="003B3EE8" w:rsidRDefault="004B4F6B" w:rsidP="00F95276">
            <w:pPr>
              <w:spacing w:line="360" w:lineRule="auto"/>
              <w:jc w:val="center"/>
              <w:rPr>
                <w:i/>
                <w:lang w:val="en-US"/>
              </w:rPr>
            </w:pPr>
            <w:r w:rsidRPr="003B3EE8">
              <w:rPr>
                <w:i/>
                <w:lang w:val="en-US"/>
              </w:rPr>
              <w:t>24.02%</w:t>
            </w:r>
          </w:p>
        </w:tc>
      </w:tr>
      <w:tr w:rsidR="004B4F6B" w:rsidRPr="00B63536" w14:paraId="28C8350D" w14:textId="77777777" w:rsidTr="00F95276">
        <w:trPr>
          <w:jc w:val="center"/>
        </w:trPr>
        <w:tc>
          <w:tcPr>
            <w:tcW w:w="0" w:type="auto"/>
          </w:tcPr>
          <w:p w14:paraId="260D6D1D" w14:textId="77777777" w:rsidR="004B4F6B" w:rsidRPr="003B3EE8" w:rsidRDefault="004B4F6B" w:rsidP="00F95276">
            <w:pPr>
              <w:spacing w:line="360" w:lineRule="auto"/>
              <w:rPr>
                <w:b/>
                <w:i/>
                <w:lang w:val="en-US"/>
              </w:rPr>
            </w:pPr>
            <w:r w:rsidRPr="003B3EE8">
              <w:rPr>
                <w:b/>
                <w:i/>
                <w:lang w:val="en-US"/>
              </w:rPr>
              <w:t>Total firms</w:t>
            </w:r>
          </w:p>
        </w:tc>
        <w:tc>
          <w:tcPr>
            <w:tcW w:w="1195" w:type="dxa"/>
          </w:tcPr>
          <w:p w14:paraId="6C1FC2AE" w14:textId="77777777" w:rsidR="004B4F6B" w:rsidRPr="003B3EE8" w:rsidRDefault="004B4F6B" w:rsidP="00F95276">
            <w:pPr>
              <w:spacing w:line="360" w:lineRule="auto"/>
              <w:jc w:val="center"/>
              <w:rPr>
                <w:b/>
                <w:lang w:val="en-US"/>
              </w:rPr>
            </w:pPr>
            <w:r w:rsidRPr="003B3EE8">
              <w:rPr>
                <w:b/>
                <w:lang w:val="en-US"/>
              </w:rPr>
              <w:t>423</w:t>
            </w:r>
          </w:p>
        </w:tc>
        <w:tc>
          <w:tcPr>
            <w:tcW w:w="1386" w:type="dxa"/>
          </w:tcPr>
          <w:p w14:paraId="197C828D" w14:textId="77777777" w:rsidR="004B4F6B" w:rsidRPr="003B3EE8" w:rsidRDefault="004B4F6B" w:rsidP="00F95276">
            <w:pPr>
              <w:spacing w:line="360" w:lineRule="auto"/>
              <w:jc w:val="center"/>
              <w:rPr>
                <w:b/>
                <w:lang w:val="en-US"/>
              </w:rPr>
            </w:pPr>
            <w:r w:rsidRPr="003B3EE8">
              <w:rPr>
                <w:b/>
                <w:lang w:val="en-US"/>
              </w:rPr>
              <w:t>123</w:t>
            </w:r>
          </w:p>
        </w:tc>
        <w:tc>
          <w:tcPr>
            <w:tcW w:w="1612" w:type="dxa"/>
          </w:tcPr>
          <w:p w14:paraId="58A92015" w14:textId="77777777" w:rsidR="004B4F6B" w:rsidRPr="003B3EE8" w:rsidRDefault="004B4F6B" w:rsidP="00F95276">
            <w:pPr>
              <w:spacing w:line="360" w:lineRule="auto"/>
              <w:jc w:val="center"/>
              <w:rPr>
                <w:b/>
                <w:lang w:val="en-US"/>
              </w:rPr>
            </w:pPr>
            <w:r w:rsidRPr="003B3EE8">
              <w:rPr>
                <w:b/>
                <w:lang w:val="en-US"/>
              </w:rPr>
              <w:t>121</w:t>
            </w:r>
          </w:p>
        </w:tc>
        <w:tc>
          <w:tcPr>
            <w:tcW w:w="1984" w:type="dxa"/>
          </w:tcPr>
          <w:p w14:paraId="6B409CB1" w14:textId="77777777" w:rsidR="004B4F6B" w:rsidRPr="00584539" w:rsidRDefault="004B4F6B" w:rsidP="00F95276">
            <w:pPr>
              <w:spacing w:line="360" w:lineRule="auto"/>
              <w:jc w:val="center"/>
              <w:rPr>
                <w:b/>
                <w:lang w:val="en-US"/>
              </w:rPr>
            </w:pPr>
            <w:r w:rsidRPr="003B3EE8">
              <w:rPr>
                <w:b/>
                <w:lang w:val="en-US"/>
              </w:rPr>
              <w:t>179</w:t>
            </w:r>
          </w:p>
        </w:tc>
      </w:tr>
    </w:tbl>
    <w:p w14:paraId="23A80C37" w14:textId="77777777" w:rsidR="004B4F6B" w:rsidRDefault="004B4F6B" w:rsidP="004B4F6B">
      <w:pPr>
        <w:spacing w:line="480" w:lineRule="auto"/>
        <w:rPr>
          <w:i/>
          <w:lang w:val="en-US"/>
        </w:rPr>
      </w:pPr>
    </w:p>
    <w:p w14:paraId="4639CC9D" w14:textId="77777777" w:rsidR="003F7963" w:rsidRDefault="003F7963" w:rsidP="004B4F6B">
      <w:pPr>
        <w:spacing w:line="480" w:lineRule="auto"/>
        <w:rPr>
          <w:i/>
          <w:lang w:val="en-US"/>
        </w:rPr>
      </w:pPr>
    </w:p>
    <w:p w14:paraId="326B704A" w14:textId="77777777" w:rsidR="003F7963" w:rsidRDefault="003F7963" w:rsidP="004B4F6B">
      <w:pPr>
        <w:spacing w:line="480" w:lineRule="auto"/>
        <w:rPr>
          <w:i/>
          <w:lang w:val="en-US"/>
        </w:rPr>
      </w:pPr>
    </w:p>
    <w:p w14:paraId="7782DA67" w14:textId="1D09DDB6" w:rsidR="004B4F6B" w:rsidRDefault="004B4F6B" w:rsidP="004B4F6B">
      <w:pPr>
        <w:spacing w:line="480" w:lineRule="auto"/>
        <w:rPr>
          <w:i/>
          <w:lang w:val="en-US"/>
        </w:rPr>
      </w:pPr>
    </w:p>
    <w:p w14:paraId="31C3E651" w14:textId="77777777" w:rsidR="00F95276" w:rsidRDefault="00F95276" w:rsidP="00782E9D">
      <w:pPr>
        <w:spacing w:line="480" w:lineRule="auto"/>
        <w:rPr>
          <w:i/>
          <w:lang w:val="en-US"/>
        </w:rPr>
      </w:pPr>
    </w:p>
    <w:p w14:paraId="6AF597D4" w14:textId="2F0D7164" w:rsidR="004B4F6B" w:rsidRPr="008B0A8F" w:rsidRDefault="004B4F6B" w:rsidP="008B0A8F">
      <w:pPr>
        <w:spacing w:line="480" w:lineRule="auto"/>
        <w:jc w:val="center"/>
        <w:rPr>
          <w:i/>
          <w:lang w:val="en-US"/>
        </w:rPr>
      </w:pPr>
      <w:r>
        <w:rPr>
          <w:i/>
          <w:lang w:val="en-US"/>
        </w:rPr>
        <w:lastRenderedPageBreak/>
        <w:t>Table 2. A</w:t>
      </w:r>
      <w:r w:rsidR="008B0A8F">
        <w:rPr>
          <w:i/>
          <w:lang w:val="en-US"/>
        </w:rPr>
        <w:t>nalysis of necessary conditions</w:t>
      </w:r>
    </w:p>
    <w:tbl>
      <w:tblPr>
        <w:tblStyle w:val="Tablaconcuadrcula1"/>
        <w:tblW w:w="5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1318"/>
        <w:gridCol w:w="1206"/>
        <w:gridCol w:w="41"/>
      </w:tblGrid>
      <w:tr w:rsidR="004B4F6B" w:rsidRPr="002124DE" w14:paraId="313789DD" w14:textId="77777777" w:rsidTr="004B4F6B">
        <w:trPr>
          <w:jc w:val="center"/>
        </w:trPr>
        <w:tc>
          <w:tcPr>
            <w:tcW w:w="2709" w:type="dxa"/>
            <w:tcBorders>
              <w:top w:val="single" w:sz="4" w:space="0" w:color="auto"/>
              <w:bottom w:val="single" w:sz="4" w:space="0" w:color="auto"/>
            </w:tcBorders>
            <w:shd w:val="clear" w:color="auto" w:fill="auto"/>
          </w:tcPr>
          <w:p w14:paraId="03927E15" w14:textId="77777777" w:rsidR="004B4F6B" w:rsidRPr="002124DE" w:rsidRDefault="004B4F6B" w:rsidP="00E61B6B">
            <w:pPr>
              <w:pStyle w:val="NormalWeb"/>
              <w:spacing w:before="60" w:beforeAutospacing="0" w:after="60" w:afterAutospacing="0"/>
              <w:rPr>
                <w:rFonts w:eastAsia="Calibri"/>
                <w:i/>
                <w:color w:val="000000" w:themeColor="text1"/>
                <w:sz w:val="22"/>
                <w:szCs w:val="22"/>
                <w:lang w:val="en-US" w:eastAsia="en-US"/>
              </w:rPr>
            </w:pPr>
          </w:p>
        </w:tc>
        <w:tc>
          <w:tcPr>
            <w:tcW w:w="2565" w:type="dxa"/>
            <w:gridSpan w:val="3"/>
            <w:tcBorders>
              <w:top w:val="single" w:sz="4" w:space="0" w:color="auto"/>
              <w:bottom w:val="single" w:sz="4" w:space="0" w:color="auto"/>
            </w:tcBorders>
            <w:shd w:val="clear" w:color="auto" w:fill="auto"/>
          </w:tcPr>
          <w:p w14:paraId="25FB918B" w14:textId="4674191A" w:rsidR="004B4F6B" w:rsidRPr="002124DE" w:rsidRDefault="004B4F6B" w:rsidP="00E61B6B">
            <w:pPr>
              <w:pStyle w:val="NormalWeb"/>
              <w:spacing w:before="60" w:beforeAutospacing="0" w:after="60" w:afterAutospacing="0"/>
              <w:jc w:val="center"/>
              <w:rPr>
                <w:i/>
                <w:color w:val="000000" w:themeColor="text1"/>
                <w:sz w:val="22"/>
                <w:szCs w:val="22"/>
                <w:lang w:val="en-US"/>
              </w:rPr>
            </w:pPr>
            <w:r>
              <w:rPr>
                <w:rFonts w:eastAsia="Calibri"/>
                <w:i/>
                <w:color w:val="000000" w:themeColor="text1"/>
                <w:sz w:val="22"/>
                <w:szCs w:val="22"/>
                <w:lang w:val="en-US" w:eastAsia="en-US"/>
              </w:rPr>
              <w:t>Profit margin</w:t>
            </w:r>
          </w:p>
        </w:tc>
      </w:tr>
      <w:tr w:rsidR="004B4F6B" w:rsidRPr="002124DE" w14:paraId="7B3D2312" w14:textId="77777777" w:rsidTr="004B4F6B">
        <w:trPr>
          <w:jc w:val="center"/>
        </w:trPr>
        <w:tc>
          <w:tcPr>
            <w:tcW w:w="2709" w:type="dxa"/>
            <w:tcBorders>
              <w:top w:val="single" w:sz="4" w:space="0" w:color="auto"/>
              <w:bottom w:val="single" w:sz="4" w:space="0" w:color="auto"/>
            </w:tcBorders>
            <w:shd w:val="clear" w:color="auto" w:fill="auto"/>
          </w:tcPr>
          <w:p w14:paraId="3AB0BA6D" w14:textId="77777777" w:rsidR="004B4F6B" w:rsidRPr="003760FE" w:rsidRDefault="004B4F6B" w:rsidP="00E61B6B">
            <w:pPr>
              <w:pStyle w:val="NormalWeb"/>
              <w:spacing w:before="60" w:beforeAutospacing="0" w:after="60" w:afterAutospacing="0"/>
              <w:rPr>
                <w:i/>
                <w:color w:val="000000" w:themeColor="text1"/>
                <w:sz w:val="22"/>
                <w:szCs w:val="22"/>
                <w:lang w:val="en-US"/>
              </w:rPr>
            </w:pPr>
            <w:r w:rsidRPr="003760FE">
              <w:rPr>
                <w:rFonts w:eastAsia="Calibri"/>
                <w:i/>
                <w:color w:val="000000" w:themeColor="text1"/>
                <w:sz w:val="22"/>
                <w:szCs w:val="22"/>
                <w:lang w:val="en-US" w:eastAsia="en-US"/>
              </w:rPr>
              <w:t>Condition</w:t>
            </w:r>
          </w:p>
        </w:tc>
        <w:tc>
          <w:tcPr>
            <w:tcW w:w="1318" w:type="dxa"/>
            <w:tcBorders>
              <w:top w:val="single" w:sz="4" w:space="0" w:color="auto"/>
              <w:bottom w:val="single" w:sz="4" w:space="0" w:color="auto"/>
            </w:tcBorders>
            <w:shd w:val="clear" w:color="auto" w:fill="auto"/>
          </w:tcPr>
          <w:p w14:paraId="28ECCAF4" w14:textId="77777777" w:rsidR="004B4F6B" w:rsidRPr="003760FE" w:rsidRDefault="004B4F6B" w:rsidP="00E61B6B">
            <w:pPr>
              <w:pStyle w:val="NormalWeb"/>
              <w:spacing w:before="60" w:beforeAutospacing="0" w:after="60" w:afterAutospacing="0"/>
              <w:jc w:val="center"/>
              <w:rPr>
                <w:color w:val="000000" w:themeColor="text1"/>
                <w:sz w:val="22"/>
                <w:szCs w:val="22"/>
                <w:lang w:eastAsia="en-US"/>
              </w:rPr>
            </w:pPr>
            <w:r w:rsidRPr="003760FE">
              <w:rPr>
                <w:rFonts w:eastAsia="Calibri"/>
                <w:i/>
                <w:color w:val="000000" w:themeColor="text1"/>
                <w:sz w:val="22"/>
                <w:szCs w:val="22"/>
                <w:lang w:val="en-US" w:eastAsia="en-US"/>
              </w:rPr>
              <w:t>Consistency</w:t>
            </w:r>
          </w:p>
        </w:tc>
        <w:tc>
          <w:tcPr>
            <w:tcW w:w="1247" w:type="dxa"/>
            <w:gridSpan w:val="2"/>
            <w:tcBorders>
              <w:top w:val="single" w:sz="4" w:space="0" w:color="auto"/>
              <w:bottom w:val="single" w:sz="4" w:space="0" w:color="auto"/>
            </w:tcBorders>
            <w:shd w:val="clear" w:color="auto" w:fill="auto"/>
          </w:tcPr>
          <w:p w14:paraId="1F32C6F0" w14:textId="77777777" w:rsidR="004B4F6B" w:rsidRPr="003760FE" w:rsidRDefault="004B4F6B" w:rsidP="00E61B6B">
            <w:pPr>
              <w:pStyle w:val="NormalWeb"/>
              <w:spacing w:before="60" w:beforeAutospacing="0" w:after="60" w:afterAutospacing="0"/>
              <w:jc w:val="center"/>
              <w:rPr>
                <w:i/>
                <w:color w:val="000000" w:themeColor="text1"/>
                <w:sz w:val="22"/>
                <w:szCs w:val="22"/>
                <w:lang w:val="en-US"/>
              </w:rPr>
            </w:pPr>
            <w:r w:rsidRPr="003760FE">
              <w:rPr>
                <w:rFonts w:eastAsia="Calibri"/>
                <w:i/>
                <w:color w:val="000000" w:themeColor="text1"/>
                <w:sz w:val="22"/>
                <w:szCs w:val="22"/>
                <w:lang w:val="en-US" w:eastAsia="en-US"/>
              </w:rPr>
              <w:t>Coverage</w:t>
            </w:r>
          </w:p>
        </w:tc>
      </w:tr>
      <w:tr w:rsidR="004B4F6B" w:rsidRPr="002124DE" w14:paraId="21E22F67" w14:textId="77777777" w:rsidTr="00E61B6B">
        <w:trPr>
          <w:jc w:val="center"/>
        </w:trPr>
        <w:tc>
          <w:tcPr>
            <w:tcW w:w="5274" w:type="dxa"/>
            <w:gridSpan w:val="4"/>
            <w:tcBorders>
              <w:top w:val="single" w:sz="4" w:space="0" w:color="auto"/>
              <w:bottom w:val="single" w:sz="4" w:space="0" w:color="auto"/>
            </w:tcBorders>
            <w:shd w:val="clear" w:color="auto" w:fill="auto"/>
          </w:tcPr>
          <w:p w14:paraId="742A9D51" w14:textId="74EDF12C" w:rsidR="004B4F6B" w:rsidRPr="003760FE" w:rsidRDefault="004B4F6B" w:rsidP="00E61B6B">
            <w:pPr>
              <w:pStyle w:val="NormalWeb"/>
              <w:spacing w:before="60" w:beforeAutospacing="0" w:after="60" w:afterAutospacing="0"/>
              <w:jc w:val="center"/>
              <w:rPr>
                <w:rFonts w:eastAsia="Calibri"/>
                <w:i/>
                <w:color w:val="000000" w:themeColor="text1"/>
                <w:sz w:val="22"/>
                <w:szCs w:val="22"/>
                <w:lang w:val="en-US" w:eastAsia="en-US"/>
              </w:rPr>
            </w:pPr>
            <w:r w:rsidRPr="003760FE">
              <w:rPr>
                <w:rFonts w:eastAsia="Calibri"/>
                <w:i/>
                <w:color w:val="000000" w:themeColor="text1"/>
                <w:sz w:val="22"/>
                <w:szCs w:val="22"/>
                <w:lang w:val="en-US" w:eastAsia="en-US"/>
              </w:rPr>
              <w:t xml:space="preserve">Full sample </w:t>
            </w:r>
          </w:p>
        </w:tc>
      </w:tr>
      <w:tr w:rsidR="004B4F6B" w:rsidRPr="002124DE" w14:paraId="1899666F" w14:textId="77777777" w:rsidTr="004B4F6B">
        <w:trPr>
          <w:jc w:val="center"/>
        </w:trPr>
        <w:tc>
          <w:tcPr>
            <w:tcW w:w="2709" w:type="dxa"/>
            <w:shd w:val="clear" w:color="auto" w:fill="auto"/>
          </w:tcPr>
          <w:p w14:paraId="1B69FEDE" w14:textId="6245AFF7" w:rsidR="004B4F6B" w:rsidRPr="003760FE" w:rsidRDefault="004B4F6B" w:rsidP="00E61B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Product innovation</w:t>
            </w:r>
          </w:p>
        </w:tc>
        <w:tc>
          <w:tcPr>
            <w:tcW w:w="1318" w:type="dxa"/>
            <w:shd w:val="clear" w:color="auto" w:fill="auto"/>
          </w:tcPr>
          <w:p w14:paraId="4C635D85" w14:textId="77777777" w:rsidR="004B4F6B" w:rsidRPr="003760FE" w:rsidRDefault="004B4F6B" w:rsidP="00E61B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0.932</w:t>
            </w:r>
          </w:p>
        </w:tc>
        <w:tc>
          <w:tcPr>
            <w:tcW w:w="1247" w:type="dxa"/>
            <w:gridSpan w:val="2"/>
            <w:shd w:val="clear" w:color="auto" w:fill="auto"/>
          </w:tcPr>
          <w:p w14:paraId="1B078D1D" w14:textId="77777777" w:rsidR="004B4F6B" w:rsidRPr="003760FE" w:rsidRDefault="004B4F6B" w:rsidP="00E61B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0.707</w:t>
            </w:r>
          </w:p>
        </w:tc>
      </w:tr>
      <w:tr w:rsidR="004B4F6B" w:rsidRPr="002124DE" w14:paraId="72FF1D39" w14:textId="77777777" w:rsidTr="004B4F6B">
        <w:trPr>
          <w:jc w:val="center"/>
        </w:trPr>
        <w:tc>
          <w:tcPr>
            <w:tcW w:w="2709" w:type="dxa"/>
            <w:shd w:val="clear" w:color="auto" w:fill="auto"/>
          </w:tcPr>
          <w:p w14:paraId="1DE7D66D" w14:textId="269830E6" w:rsidR="004B4F6B" w:rsidRPr="003760FE" w:rsidRDefault="004B4F6B" w:rsidP="00E61B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Process innovation</w:t>
            </w:r>
          </w:p>
        </w:tc>
        <w:tc>
          <w:tcPr>
            <w:tcW w:w="1318" w:type="dxa"/>
            <w:shd w:val="clear" w:color="auto" w:fill="auto"/>
          </w:tcPr>
          <w:p w14:paraId="6219D037" w14:textId="0D7C599F" w:rsidR="004B4F6B" w:rsidRPr="003760FE" w:rsidRDefault="003760FE" w:rsidP="003760FE">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0.916</w:t>
            </w:r>
          </w:p>
        </w:tc>
        <w:tc>
          <w:tcPr>
            <w:tcW w:w="1247" w:type="dxa"/>
            <w:gridSpan w:val="2"/>
            <w:shd w:val="clear" w:color="auto" w:fill="auto"/>
          </w:tcPr>
          <w:p w14:paraId="1355A5CD" w14:textId="77777777" w:rsidR="004B4F6B" w:rsidRPr="003760FE" w:rsidRDefault="004B4F6B" w:rsidP="00E61B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0.632</w:t>
            </w:r>
          </w:p>
        </w:tc>
      </w:tr>
      <w:tr w:rsidR="004B4F6B" w:rsidRPr="002124DE" w14:paraId="56F47FCE" w14:textId="77777777" w:rsidTr="004B4F6B">
        <w:trPr>
          <w:jc w:val="center"/>
        </w:trPr>
        <w:tc>
          <w:tcPr>
            <w:tcW w:w="2709" w:type="dxa"/>
            <w:tcBorders>
              <w:bottom w:val="single" w:sz="4" w:space="0" w:color="auto"/>
            </w:tcBorders>
            <w:shd w:val="clear" w:color="auto" w:fill="auto"/>
          </w:tcPr>
          <w:p w14:paraId="40111841" w14:textId="5C745A17" w:rsidR="004B4F6B" w:rsidRPr="003760FE" w:rsidRDefault="004B4F6B" w:rsidP="00E61B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Service innovation</w:t>
            </w:r>
          </w:p>
        </w:tc>
        <w:tc>
          <w:tcPr>
            <w:tcW w:w="1318" w:type="dxa"/>
            <w:tcBorders>
              <w:bottom w:val="single" w:sz="4" w:space="0" w:color="auto"/>
            </w:tcBorders>
            <w:shd w:val="clear" w:color="auto" w:fill="auto"/>
          </w:tcPr>
          <w:p w14:paraId="6ADC5BE3" w14:textId="1D3EAC8A"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w:t>
            </w:r>
            <w:r w:rsidR="003760FE" w:rsidRPr="003760FE">
              <w:rPr>
                <w:rFonts w:eastAsia="Calibri"/>
                <w:color w:val="000000" w:themeColor="text1"/>
                <w:sz w:val="22"/>
                <w:szCs w:val="22"/>
                <w:lang w:val="en-US" w:eastAsia="en-US"/>
              </w:rPr>
              <w:t>774</w:t>
            </w:r>
          </w:p>
        </w:tc>
        <w:tc>
          <w:tcPr>
            <w:tcW w:w="1247" w:type="dxa"/>
            <w:gridSpan w:val="2"/>
            <w:tcBorders>
              <w:bottom w:val="single" w:sz="4" w:space="0" w:color="auto"/>
            </w:tcBorders>
            <w:shd w:val="clear" w:color="auto" w:fill="auto"/>
          </w:tcPr>
          <w:p w14:paraId="22BE1159" w14:textId="77777777" w:rsidR="004B4F6B" w:rsidRPr="003760FE" w:rsidRDefault="004B4F6B" w:rsidP="00E61B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0.641</w:t>
            </w:r>
          </w:p>
        </w:tc>
      </w:tr>
      <w:tr w:rsidR="004B4F6B" w:rsidRPr="002124DE" w14:paraId="5949069E" w14:textId="77777777" w:rsidTr="00E61B6B">
        <w:trPr>
          <w:jc w:val="center"/>
        </w:trPr>
        <w:tc>
          <w:tcPr>
            <w:tcW w:w="5274" w:type="dxa"/>
            <w:gridSpan w:val="4"/>
            <w:tcBorders>
              <w:bottom w:val="single" w:sz="4" w:space="0" w:color="auto"/>
            </w:tcBorders>
            <w:shd w:val="clear" w:color="auto" w:fill="auto"/>
          </w:tcPr>
          <w:p w14:paraId="474C6845" w14:textId="0C31DF1C" w:rsidR="004B4F6B" w:rsidRPr="003760FE" w:rsidRDefault="004B4F6B" w:rsidP="00E61B6B">
            <w:pPr>
              <w:pStyle w:val="NormalWeb"/>
              <w:spacing w:before="60" w:beforeAutospacing="0" w:after="60" w:afterAutospacing="0"/>
              <w:jc w:val="center"/>
              <w:rPr>
                <w:rFonts w:eastAsia="Calibri"/>
                <w:color w:val="000000" w:themeColor="text1"/>
                <w:sz w:val="22"/>
                <w:szCs w:val="22"/>
                <w:lang w:val="en-US" w:eastAsia="en-US"/>
              </w:rPr>
            </w:pPr>
            <w:r w:rsidRPr="003760FE">
              <w:rPr>
                <w:rFonts w:eastAsia="Calibri"/>
                <w:color w:val="000000" w:themeColor="text1"/>
                <w:sz w:val="22"/>
                <w:szCs w:val="22"/>
                <w:lang w:val="en-US" w:eastAsia="en-US"/>
              </w:rPr>
              <w:t>NAICS-31</w:t>
            </w:r>
          </w:p>
        </w:tc>
      </w:tr>
      <w:tr w:rsidR="004B4F6B" w:rsidRPr="002124DE" w14:paraId="4F00F91A" w14:textId="77777777" w:rsidTr="004B4F6B">
        <w:trPr>
          <w:jc w:val="center"/>
        </w:trPr>
        <w:tc>
          <w:tcPr>
            <w:tcW w:w="2709" w:type="dxa"/>
            <w:tcBorders>
              <w:top w:val="single" w:sz="4" w:space="0" w:color="auto"/>
            </w:tcBorders>
            <w:shd w:val="clear" w:color="auto" w:fill="auto"/>
          </w:tcPr>
          <w:p w14:paraId="1B4A3FA4" w14:textId="2DD87DFB"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Product innovation</w:t>
            </w:r>
          </w:p>
        </w:tc>
        <w:tc>
          <w:tcPr>
            <w:tcW w:w="1318" w:type="dxa"/>
            <w:tcBorders>
              <w:top w:val="single" w:sz="4" w:space="0" w:color="auto"/>
            </w:tcBorders>
            <w:shd w:val="clear" w:color="auto" w:fill="auto"/>
          </w:tcPr>
          <w:p w14:paraId="0A782D81" w14:textId="7036B339"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0.9</w:t>
            </w:r>
            <w:r w:rsidR="003760FE" w:rsidRPr="003760FE">
              <w:rPr>
                <w:rFonts w:eastAsia="Calibri"/>
                <w:color w:val="000000" w:themeColor="text1"/>
                <w:sz w:val="22"/>
                <w:szCs w:val="22"/>
                <w:lang w:val="en-US" w:eastAsia="en-US"/>
              </w:rPr>
              <w:t>44</w:t>
            </w:r>
          </w:p>
        </w:tc>
        <w:tc>
          <w:tcPr>
            <w:tcW w:w="1247" w:type="dxa"/>
            <w:gridSpan w:val="2"/>
            <w:tcBorders>
              <w:top w:val="single" w:sz="4" w:space="0" w:color="auto"/>
            </w:tcBorders>
            <w:shd w:val="clear" w:color="auto" w:fill="auto"/>
          </w:tcPr>
          <w:p w14:paraId="3F7666CF"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0.719</w:t>
            </w:r>
          </w:p>
        </w:tc>
      </w:tr>
      <w:tr w:rsidR="004B4F6B" w:rsidRPr="002124DE" w14:paraId="133A53FB" w14:textId="77777777" w:rsidTr="004B4F6B">
        <w:trPr>
          <w:jc w:val="center"/>
        </w:trPr>
        <w:tc>
          <w:tcPr>
            <w:tcW w:w="2709" w:type="dxa"/>
            <w:shd w:val="clear" w:color="auto" w:fill="auto"/>
          </w:tcPr>
          <w:p w14:paraId="76D0559D" w14:textId="0F0586BA"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Process innovation</w:t>
            </w:r>
          </w:p>
        </w:tc>
        <w:tc>
          <w:tcPr>
            <w:tcW w:w="1318" w:type="dxa"/>
            <w:shd w:val="clear" w:color="auto" w:fill="auto"/>
          </w:tcPr>
          <w:p w14:paraId="3171543C" w14:textId="7DCF5FE0"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w:t>
            </w:r>
            <w:r w:rsidR="003760FE" w:rsidRPr="003760FE">
              <w:rPr>
                <w:rFonts w:eastAsia="Calibri"/>
                <w:color w:val="000000" w:themeColor="text1"/>
                <w:sz w:val="22"/>
                <w:szCs w:val="22"/>
                <w:lang w:val="en-US" w:eastAsia="en-US"/>
              </w:rPr>
              <w:t>906</w:t>
            </w:r>
          </w:p>
        </w:tc>
        <w:tc>
          <w:tcPr>
            <w:tcW w:w="1247" w:type="dxa"/>
            <w:gridSpan w:val="2"/>
            <w:shd w:val="clear" w:color="auto" w:fill="auto"/>
          </w:tcPr>
          <w:p w14:paraId="63B9405C"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0.642</w:t>
            </w:r>
          </w:p>
        </w:tc>
      </w:tr>
      <w:tr w:rsidR="004B4F6B" w:rsidRPr="002124DE" w14:paraId="66C329D4" w14:textId="77777777" w:rsidTr="004B4F6B">
        <w:trPr>
          <w:jc w:val="center"/>
        </w:trPr>
        <w:tc>
          <w:tcPr>
            <w:tcW w:w="2709" w:type="dxa"/>
            <w:tcBorders>
              <w:bottom w:val="single" w:sz="4" w:space="0" w:color="auto"/>
            </w:tcBorders>
            <w:shd w:val="clear" w:color="auto" w:fill="auto"/>
          </w:tcPr>
          <w:p w14:paraId="3FB47975" w14:textId="59D94466"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Service innovation</w:t>
            </w:r>
          </w:p>
        </w:tc>
        <w:tc>
          <w:tcPr>
            <w:tcW w:w="1318" w:type="dxa"/>
            <w:tcBorders>
              <w:bottom w:val="single" w:sz="4" w:space="0" w:color="auto"/>
            </w:tcBorders>
            <w:shd w:val="clear" w:color="auto" w:fill="auto"/>
          </w:tcPr>
          <w:p w14:paraId="09A45CF7" w14:textId="40C9CA16"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w:t>
            </w:r>
            <w:r w:rsidR="003760FE" w:rsidRPr="003760FE">
              <w:rPr>
                <w:rFonts w:eastAsia="Calibri"/>
                <w:color w:val="000000" w:themeColor="text1"/>
                <w:sz w:val="22"/>
                <w:szCs w:val="22"/>
                <w:lang w:val="en-US" w:eastAsia="en-US"/>
              </w:rPr>
              <w:t>606</w:t>
            </w:r>
          </w:p>
        </w:tc>
        <w:tc>
          <w:tcPr>
            <w:tcW w:w="1247" w:type="dxa"/>
            <w:gridSpan w:val="2"/>
            <w:tcBorders>
              <w:bottom w:val="single" w:sz="4" w:space="0" w:color="auto"/>
            </w:tcBorders>
            <w:shd w:val="clear" w:color="auto" w:fill="auto"/>
          </w:tcPr>
          <w:p w14:paraId="018F32F2"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rFonts w:eastAsia="Calibri"/>
                <w:color w:val="000000" w:themeColor="text1"/>
                <w:sz w:val="22"/>
                <w:szCs w:val="22"/>
                <w:lang w:val="en-US" w:eastAsia="en-US"/>
              </w:rPr>
              <w:t>0.638</w:t>
            </w:r>
          </w:p>
        </w:tc>
      </w:tr>
      <w:tr w:rsidR="004B4F6B" w:rsidRPr="002124DE" w14:paraId="3E103F07" w14:textId="77777777" w:rsidTr="00E61B6B">
        <w:trPr>
          <w:jc w:val="center"/>
        </w:trPr>
        <w:tc>
          <w:tcPr>
            <w:tcW w:w="5274" w:type="dxa"/>
            <w:gridSpan w:val="4"/>
            <w:tcBorders>
              <w:bottom w:val="single" w:sz="4" w:space="0" w:color="auto"/>
            </w:tcBorders>
            <w:shd w:val="clear" w:color="auto" w:fill="auto"/>
          </w:tcPr>
          <w:p w14:paraId="5D41BD83" w14:textId="38564CD9" w:rsidR="004B4F6B" w:rsidRPr="003760FE" w:rsidRDefault="004B4F6B" w:rsidP="00E61B6B">
            <w:pPr>
              <w:pStyle w:val="NormalWeb"/>
              <w:spacing w:before="60" w:beforeAutospacing="0" w:after="60" w:afterAutospacing="0"/>
              <w:jc w:val="center"/>
              <w:rPr>
                <w:rFonts w:eastAsia="Calibri"/>
                <w:color w:val="000000" w:themeColor="text1"/>
                <w:sz w:val="22"/>
                <w:szCs w:val="22"/>
                <w:lang w:val="en-US" w:eastAsia="en-US"/>
              </w:rPr>
            </w:pPr>
            <w:r w:rsidRPr="003760FE">
              <w:rPr>
                <w:rFonts w:eastAsia="Calibri"/>
                <w:color w:val="000000" w:themeColor="text1"/>
                <w:sz w:val="22"/>
                <w:szCs w:val="22"/>
                <w:lang w:val="en-US" w:eastAsia="en-US"/>
              </w:rPr>
              <w:t>NAICS-32</w:t>
            </w:r>
          </w:p>
        </w:tc>
      </w:tr>
      <w:tr w:rsidR="004B4F6B" w:rsidRPr="002124DE" w14:paraId="3F1F6498" w14:textId="77777777" w:rsidTr="004B4F6B">
        <w:trPr>
          <w:gridAfter w:val="1"/>
          <w:wAfter w:w="41" w:type="dxa"/>
          <w:jc w:val="center"/>
        </w:trPr>
        <w:tc>
          <w:tcPr>
            <w:tcW w:w="2709" w:type="dxa"/>
            <w:shd w:val="clear" w:color="auto" w:fill="auto"/>
          </w:tcPr>
          <w:p w14:paraId="0A72222E" w14:textId="454D5E85"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Product innovation</w:t>
            </w:r>
          </w:p>
        </w:tc>
        <w:tc>
          <w:tcPr>
            <w:tcW w:w="1318" w:type="dxa"/>
            <w:shd w:val="clear" w:color="auto" w:fill="auto"/>
          </w:tcPr>
          <w:p w14:paraId="5795FC13" w14:textId="2DCDA538"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0.9</w:t>
            </w:r>
            <w:r w:rsidR="003760FE" w:rsidRPr="003760FE">
              <w:rPr>
                <w:color w:val="000000" w:themeColor="text1"/>
                <w:sz w:val="22"/>
                <w:szCs w:val="22"/>
                <w:lang w:eastAsia="en-US"/>
              </w:rPr>
              <w:t>36</w:t>
            </w:r>
          </w:p>
        </w:tc>
        <w:tc>
          <w:tcPr>
            <w:tcW w:w="1206" w:type="dxa"/>
            <w:shd w:val="clear" w:color="auto" w:fill="auto"/>
          </w:tcPr>
          <w:p w14:paraId="2FF45C0A"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0.693</w:t>
            </w:r>
          </w:p>
        </w:tc>
      </w:tr>
      <w:tr w:rsidR="004B4F6B" w:rsidRPr="002124DE" w14:paraId="71011555" w14:textId="77777777" w:rsidTr="004B4F6B">
        <w:trPr>
          <w:gridAfter w:val="1"/>
          <w:wAfter w:w="41" w:type="dxa"/>
          <w:jc w:val="center"/>
        </w:trPr>
        <w:tc>
          <w:tcPr>
            <w:tcW w:w="2709" w:type="dxa"/>
            <w:shd w:val="clear" w:color="auto" w:fill="auto"/>
          </w:tcPr>
          <w:p w14:paraId="3262EB18" w14:textId="7B8E8032"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Process innovation</w:t>
            </w:r>
          </w:p>
        </w:tc>
        <w:tc>
          <w:tcPr>
            <w:tcW w:w="1318" w:type="dxa"/>
            <w:shd w:val="clear" w:color="auto" w:fill="auto"/>
          </w:tcPr>
          <w:p w14:paraId="17E1C353" w14:textId="31265141"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w:t>
            </w:r>
            <w:r w:rsidR="003760FE" w:rsidRPr="003760FE">
              <w:rPr>
                <w:color w:val="000000" w:themeColor="text1"/>
                <w:sz w:val="22"/>
                <w:szCs w:val="22"/>
                <w:lang w:eastAsia="en-US"/>
              </w:rPr>
              <w:t>920</w:t>
            </w:r>
          </w:p>
        </w:tc>
        <w:tc>
          <w:tcPr>
            <w:tcW w:w="1206" w:type="dxa"/>
            <w:shd w:val="clear" w:color="auto" w:fill="auto"/>
          </w:tcPr>
          <w:p w14:paraId="4B0F0531"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0.633</w:t>
            </w:r>
          </w:p>
        </w:tc>
      </w:tr>
      <w:tr w:rsidR="004B4F6B" w:rsidRPr="002124DE" w14:paraId="6C889FF9" w14:textId="77777777" w:rsidTr="004B4F6B">
        <w:trPr>
          <w:gridAfter w:val="1"/>
          <w:wAfter w:w="41" w:type="dxa"/>
          <w:jc w:val="center"/>
        </w:trPr>
        <w:tc>
          <w:tcPr>
            <w:tcW w:w="2709" w:type="dxa"/>
            <w:tcBorders>
              <w:bottom w:val="single" w:sz="4" w:space="0" w:color="auto"/>
            </w:tcBorders>
            <w:shd w:val="clear" w:color="auto" w:fill="auto"/>
          </w:tcPr>
          <w:p w14:paraId="519C522B" w14:textId="313929A0"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Service innovation</w:t>
            </w:r>
          </w:p>
        </w:tc>
        <w:tc>
          <w:tcPr>
            <w:tcW w:w="1318" w:type="dxa"/>
            <w:tcBorders>
              <w:bottom w:val="single" w:sz="4" w:space="0" w:color="auto"/>
            </w:tcBorders>
            <w:shd w:val="clear" w:color="auto" w:fill="auto"/>
          </w:tcPr>
          <w:p w14:paraId="750911DC" w14:textId="1B301CA7"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w:t>
            </w:r>
            <w:r w:rsidR="003760FE" w:rsidRPr="003760FE">
              <w:rPr>
                <w:color w:val="000000" w:themeColor="text1"/>
                <w:sz w:val="22"/>
                <w:szCs w:val="22"/>
                <w:lang w:eastAsia="en-US"/>
              </w:rPr>
              <w:t>784</w:t>
            </w:r>
          </w:p>
        </w:tc>
        <w:tc>
          <w:tcPr>
            <w:tcW w:w="1206" w:type="dxa"/>
            <w:tcBorders>
              <w:bottom w:val="single" w:sz="4" w:space="0" w:color="auto"/>
            </w:tcBorders>
            <w:shd w:val="clear" w:color="auto" w:fill="auto"/>
          </w:tcPr>
          <w:p w14:paraId="77FF27BE"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0.602</w:t>
            </w:r>
          </w:p>
        </w:tc>
      </w:tr>
      <w:tr w:rsidR="004B4F6B" w:rsidRPr="002124DE" w14:paraId="1C47DC14" w14:textId="77777777" w:rsidTr="00E61B6B">
        <w:trPr>
          <w:gridAfter w:val="1"/>
          <w:wAfter w:w="41" w:type="dxa"/>
          <w:jc w:val="center"/>
        </w:trPr>
        <w:tc>
          <w:tcPr>
            <w:tcW w:w="5233" w:type="dxa"/>
            <w:gridSpan w:val="3"/>
            <w:tcBorders>
              <w:bottom w:val="single" w:sz="4" w:space="0" w:color="auto"/>
            </w:tcBorders>
            <w:shd w:val="clear" w:color="auto" w:fill="auto"/>
          </w:tcPr>
          <w:p w14:paraId="115C4821" w14:textId="1BC6DCA5" w:rsidR="004B4F6B" w:rsidRPr="003760FE" w:rsidRDefault="004B4F6B" w:rsidP="00E61B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NAICS-33</w:t>
            </w:r>
          </w:p>
        </w:tc>
      </w:tr>
      <w:tr w:rsidR="004B4F6B" w:rsidRPr="002124DE" w14:paraId="04ACADBA" w14:textId="77777777" w:rsidTr="004B4F6B">
        <w:trPr>
          <w:gridAfter w:val="1"/>
          <w:wAfter w:w="41" w:type="dxa"/>
          <w:jc w:val="center"/>
        </w:trPr>
        <w:tc>
          <w:tcPr>
            <w:tcW w:w="2709" w:type="dxa"/>
            <w:shd w:val="clear" w:color="auto" w:fill="auto"/>
          </w:tcPr>
          <w:p w14:paraId="66CE2AD4" w14:textId="46E9DF4B" w:rsidR="004B4F6B" w:rsidRPr="003760FE" w:rsidRDefault="004B4F6B" w:rsidP="004B4F6B">
            <w:pPr>
              <w:pStyle w:val="NormalWeb"/>
              <w:spacing w:before="60" w:beforeAutospacing="0" w:after="60" w:afterAutospacing="0"/>
              <w:rPr>
                <w:color w:val="000000" w:themeColor="text1"/>
                <w:sz w:val="22"/>
                <w:szCs w:val="22"/>
                <w:lang w:val="en-US" w:eastAsia="en-US"/>
              </w:rPr>
            </w:pPr>
            <w:r w:rsidRPr="003760FE">
              <w:rPr>
                <w:rFonts w:eastAsia="Calibri"/>
                <w:color w:val="000000" w:themeColor="text1"/>
                <w:sz w:val="22"/>
                <w:szCs w:val="22"/>
                <w:lang w:val="en-US" w:eastAsia="en-US"/>
              </w:rPr>
              <w:t>Product innovation</w:t>
            </w:r>
          </w:p>
        </w:tc>
        <w:tc>
          <w:tcPr>
            <w:tcW w:w="1318" w:type="dxa"/>
            <w:shd w:val="clear" w:color="auto" w:fill="auto"/>
          </w:tcPr>
          <w:p w14:paraId="0E4DEA73" w14:textId="48966509" w:rsidR="004B4F6B" w:rsidRPr="003760FE" w:rsidRDefault="004B4F6B" w:rsidP="003760FE">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0.9</w:t>
            </w:r>
            <w:r w:rsidR="003760FE" w:rsidRPr="003760FE">
              <w:rPr>
                <w:color w:val="000000" w:themeColor="text1"/>
                <w:sz w:val="22"/>
                <w:szCs w:val="22"/>
                <w:lang w:eastAsia="en-US"/>
              </w:rPr>
              <w:t>26</w:t>
            </w:r>
          </w:p>
        </w:tc>
        <w:tc>
          <w:tcPr>
            <w:tcW w:w="1206" w:type="dxa"/>
            <w:shd w:val="clear" w:color="auto" w:fill="auto"/>
          </w:tcPr>
          <w:p w14:paraId="5E27F2AD" w14:textId="77777777" w:rsidR="004B4F6B" w:rsidRPr="003760FE" w:rsidRDefault="004B4F6B"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0.728</w:t>
            </w:r>
          </w:p>
        </w:tc>
      </w:tr>
      <w:tr w:rsidR="004B4F6B" w:rsidRPr="002124DE" w14:paraId="165877BE" w14:textId="77777777" w:rsidTr="004B4F6B">
        <w:trPr>
          <w:gridAfter w:val="1"/>
          <w:wAfter w:w="41" w:type="dxa"/>
          <w:jc w:val="center"/>
        </w:trPr>
        <w:tc>
          <w:tcPr>
            <w:tcW w:w="2709" w:type="dxa"/>
            <w:shd w:val="clear" w:color="auto" w:fill="auto"/>
          </w:tcPr>
          <w:p w14:paraId="5B88304F" w14:textId="152825ED" w:rsidR="004B4F6B" w:rsidRPr="003760FE" w:rsidRDefault="004B4F6B" w:rsidP="004B4F6B">
            <w:pPr>
              <w:pStyle w:val="NormalWeb"/>
              <w:spacing w:before="60" w:beforeAutospacing="0" w:after="60" w:afterAutospacing="0"/>
              <w:rPr>
                <w:color w:val="000000" w:themeColor="text1"/>
                <w:lang w:val="en-US"/>
              </w:rPr>
            </w:pPr>
            <w:r w:rsidRPr="003760FE">
              <w:rPr>
                <w:rFonts w:eastAsia="Calibri"/>
                <w:color w:val="000000" w:themeColor="text1"/>
                <w:sz w:val="22"/>
                <w:szCs w:val="22"/>
                <w:lang w:val="en-US" w:eastAsia="en-US"/>
              </w:rPr>
              <w:t>Process innovation</w:t>
            </w:r>
          </w:p>
        </w:tc>
        <w:tc>
          <w:tcPr>
            <w:tcW w:w="1318" w:type="dxa"/>
            <w:shd w:val="clear" w:color="auto" w:fill="auto"/>
          </w:tcPr>
          <w:p w14:paraId="12B21ED1" w14:textId="4EE80A9C" w:rsidR="004B4F6B" w:rsidRPr="003760FE" w:rsidRDefault="003760FE"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0.922</w:t>
            </w:r>
          </w:p>
        </w:tc>
        <w:tc>
          <w:tcPr>
            <w:tcW w:w="1206" w:type="dxa"/>
            <w:shd w:val="clear" w:color="auto" w:fill="auto"/>
          </w:tcPr>
          <w:p w14:paraId="565502C7" w14:textId="0B782DE8" w:rsidR="004B4F6B" w:rsidRPr="003760FE" w:rsidRDefault="003760FE"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0.674</w:t>
            </w:r>
          </w:p>
        </w:tc>
      </w:tr>
      <w:tr w:rsidR="004B4F6B" w:rsidRPr="002124DE" w14:paraId="09F93E94" w14:textId="77777777" w:rsidTr="004B4F6B">
        <w:trPr>
          <w:gridAfter w:val="1"/>
          <w:wAfter w:w="41" w:type="dxa"/>
          <w:jc w:val="center"/>
        </w:trPr>
        <w:tc>
          <w:tcPr>
            <w:tcW w:w="2709" w:type="dxa"/>
            <w:tcBorders>
              <w:bottom w:val="single" w:sz="4" w:space="0" w:color="auto"/>
            </w:tcBorders>
            <w:shd w:val="clear" w:color="auto" w:fill="auto"/>
          </w:tcPr>
          <w:p w14:paraId="78C8D079" w14:textId="4043BB3B" w:rsidR="004B4F6B" w:rsidRPr="003760FE" w:rsidRDefault="004B4F6B" w:rsidP="004B4F6B">
            <w:pPr>
              <w:pStyle w:val="NormalWeb"/>
              <w:spacing w:before="60" w:beforeAutospacing="0" w:after="60" w:afterAutospacing="0"/>
              <w:rPr>
                <w:color w:val="000000" w:themeColor="text1"/>
                <w:lang w:val="en-US"/>
              </w:rPr>
            </w:pPr>
            <w:r w:rsidRPr="003760FE">
              <w:rPr>
                <w:rFonts w:eastAsia="Calibri"/>
                <w:color w:val="000000" w:themeColor="text1"/>
                <w:sz w:val="22"/>
                <w:szCs w:val="22"/>
                <w:lang w:val="en-US" w:eastAsia="en-US"/>
              </w:rPr>
              <w:t>Service innovation</w:t>
            </w:r>
          </w:p>
        </w:tc>
        <w:tc>
          <w:tcPr>
            <w:tcW w:w="1318" w:type="dxa"/>
            <w:tcBorders>
              <w:bottom w:val="single" w:sz="4" w:space="0" w:color="auto"/>
            </w:tcBorders>
            <w:shd w:val="clear" w:color="auto" w:fill="auto"/>
          </w:tcPr>
          <w:p w14:paraId="4AF2A6D8" w14:textId="563A3BFA" w:rsidR="004B4F6B" w:rsidRPr="003760FE" w:rsidRDefault="003760FE"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0.904</w:t>
            </w:r>
          </w:p>
        </w:tc>
        <w:tc>
          <w:tcPr>
            <w:tcW w:w="1206" w:type="dxa"/>
            <w:tcBorders>
              <w:bottom w:val="single" w:sz="4" w:space="0" w:color="auto"/>
            </w:tcBorders>
            <w:shd w:val="clear" w:color="auto" w:fill="auto"/>
          </w:tcPr>
          <w:p w14:paraId="59F79418" w14:textId="0F25AC6C" w:rsidR="004B4F6B" w:rsidRPr="003760FE" w:rsidRDefault="003760FE" w:rsidP="004B4F6B">
            <w:pPr>
              <w:pStyle w:val="NormalWeb"/>
              <w:spacing w:before="60" w:beforeAutospacing="0" w:after="60" w:afterAutospacing="0"/>
              <w:jc w:val="center"/>
              <w:rPr>
                <w:color w:val="000000" w:themeColor="text1"/>
                <w:sz w:val="22"/>
                <w:szCs w:val="22"/>
                <w:lang w:eastAsia="en-US"/>
              </w:rPr>
            </w:pPr>
            <w:r w:rsidRPr="003760FE">
              <w:rPr>
                <w:color w:val="000000" w:themeColor="text1"/>
                <w:sz w:val="22"/>
                <w:szCs w:val="22"/>
                <w:lang w:eastAsia="en-US"/>
              </w:rPr>
              <w:t>0.712</w:t>
            </w:r>
          </w:p>
        </w:tc>
      </w:tr>
    </w:tbl>
    <w:p w14:paraId="65D41F93" w14:textId="77777777" w:rsidR="00146B55" w:rsidRDefault="00146B55" w:rsidP="00046232">
      <w:pPr>
        <w:widowControl w:val="0"/>
        <w:spacing w:line="360" w:lineRule="auto"/>
        <w:rPr>
          <w:b/>
        </w:rPr>
      </w:pPr>
    </w:p>
    <w:p w14:paraId="5961EA5E" w14:textId="77777777" w:rsidR="00146B55" w:rsidRDefault="00146B55" w:rsidP="003760FE">
      <w:pPr>
        <w:widowControl w:val="0"/>
        <w:spacing w:line="360" w:lineRule="auto"/>
        <w:jc w:val="center"/>
        <w:rPr>
          <w:b/>
        </w:rPr>
      </w:pPr>
    </w:p>
    <w:p w14:paraId="4E2BFEF8" w14:textId="77777777" w:rsidR="00146B55" w:rsidRDefault="00146B55" w:rsidP="003760FE">
      <w:pPr>
        <w:widowControl w:val="0"/>
        <w:spacing w:line="360" w:lineRule="auto"/>
        <w:jc w:val="center"/>
        <w:rPr>
          <w:b/>
        </w:rPr>
      </w:pPr>
    </w:p>
    <w:p w14:paraId="1769C9B0" w14:textId="77777777" w:rsidR="00566BE2" w:rsidRDefault="00566BE2" w:rsidP="003760FE">
      <w:pPr>
        <w:widowControl w:val="0"/>
        <w:spacing w:line="360" w:lineRule="auto"/>
        <w:jc w:val="center"/>
        <w:rPr>
          <w:b/>
        </w:rPr>
      </w:pPr>
    </w:p>
    <w:p w14:paraId="506B1C29" w14:textId="77777777" w:rsidR="00566BE2" w:rsidRDefault="00566BE2" w:rsidP="003760FE">
      <w:pPr>
        <w:widowControl w:val="0"/>
        <w:spacing w:line="360" w:lineRule="auto"/>
        <w:jc w:val="center"/>
        <w:rPr>
          <w:b/>
        </w:rPr>
      </w:pPr>
    </w:p>
    <w:p w14:paraId="382425B7" w14:textId="77777777" w:rsidR="00566BE2" w:rsidRDefault="00566BE2" w:rsidP="003760FE">
      <w:pPr>
        <w:widowControl w:val="0"/>
        <w:spacing w:line="360" w:lineRule="auto"/>
        <w:jc w:val="center"/>
        <w:rPr>
          <w:b/>
        </w:rPr>
      </w:pPr>
    </w:p>
    <w:p w14:paraId="5DC7A8A2" w14:textId="77777777" w:rsidR="00566BE2" w:rsidRDefault="00566BE2" w:rsidP="003760FE">
      <w:pPr>
        <w:widowControl w:val="0"/>
        <w:spacing w:line="360" w:lineRule="auto"/>
        <w:jc w:val="center"/>
        <w:rPr>
          <w:b/>
        </w:rPr>
      </w:pPr>
    </w:p>
    <w:p w14:paraId="4F9D2FCF" w14:textId="77777777" w:rsidR="00566BE2" w:rsidRDefault="00566BE2" w:rsidP="003760FE">
      <w:pPr>
        <w:widowControl w:val="0"/>
        <w:spacing w:line="360" w:lineRule="auto"/>
        <w:jc w:val="center"/>
        <w:rPr>
          <w:b/>
        </w:rPr>
      </w:pPr>
    </w:p>
    <w:p w14:paraId="5C3FF3AF" w14:textId="77777777" w:rsidR="00566BE2" w:rsidRDefault="00566BE2" w:rsidP="003760FE">
      <w:pPr>
        <w:widowControl w:val="0"/>
        <w:spacing w:line="360" w:lineRule="auto"/>
        <w:jc w:val="center"/>
        <w:rPr>
          <w:b/>
        </w:rPr>
      </w:pPr>
    </w:p>
    <w:p w14:paraId="1C747876" w14:textId="77777777" w:rsidR="00566BE2" w:rsidRDefault="00566BE2" w:rsidP="003760FE">
      <w:pPr>
        <w:widowControl w:val="0"/>
        <w:spacing w:line="360" w:lineRule="auto"/>
        <w:jc w:val="center"/>
        <w:rPr>
          <w:b/>
        </w:rPr>
      </w:pPr>
    </w:p>
    <w:p w14:paraId="3B3E1252" w14:textId="77777777" w:rsidR="00566BE2" w:rsidRDefault="00566BE2" w:rsidP="003760FE">
      <w:pPr>
        <w:widowControl w:val="0"/>
        <w:spacing w:line="360" w:lineRule="auto"/>
        <w:jc w:val="center"/>
        <w:rPr>
          <w:b/>
        </w:rPr>
      </w:pPr>
    </w:p>
    <w:p w14:paraId="5751AA41" w14:textId="77777777" w:rsidR="00566BE2" w:rsidRDefault="00566BE2" w:rsidP="003760FE">
      <w:pPr>
        <w:widowControl w:val="0"/>
        <w:spacing w:line="360" w:lineRule="auto"/>
        <w:jc w:val="center"/>
        <w:rPr>
          <w:b/>
        </w:rPr>
      </w:pPr>
    </w:p>
    <w:p w14:paraId="72FD70FA" w14:textId="38218359" w:rsidR="00566BE2" w:rsidRDefault="00566BE2" w:rsidP="003760FE">
      <w:pPr>
        <w:widowControl w:val="0"/>
        <w:spacing w:line="360" w:lineRule="auto"/>
        <w:jc w:val="center"/>
        <w:rPr>
          <w:b/>
        </w:rPr>
      </w:pPr>
    </w:p>
    <w:p w14:paraId="78B8AFF1" w14:textId="60429CBF" w:rsidR="00782E9D" w:rsidRDefault="00782E9D" w:rsidP="003760FE">
      <w:pPr>
        <w:widowControl w:val="0"/>
        <w:spacing w:line="360" w:lineRule="auto"/>
        <w:jc w:val="center"/>
        <w:rPr>
          <w:b/>
        </w:rPr>
      </w:pPr>
    </w:p>
    <w:p w14:paraId="76843050" w14:textId="77777777" w:rsidR="00782E9D" w:rsidRDefault="00782E9D" w:rsidP="003760FE">
      <w:pPr>
        <w:widowControl w:val="0"/>
        <w:spacing w:line="360" w:lineRule="auto"/>
        <w:jc w:val="center"/>
        <w:rPr>
          <w:b/>
        </w:rPr>
      </w:pPr>
    </w:p>
    <w:p w14:paraId="684BB5CC" w14:textId="77777777" w:rsidR="00146B55" w:rsidRDefault="00146B55" w:rsidP="00782E9D">
      <w:pPr>
        <w:widowControl w:val="0"/>
        <w:spacing w:line="360" w:lineRule="auto"/>
        <w:rPr>
          <w:b/>
        </w:rPr>
      </w:pPr>
    </w:p>
    <w:p w14:paraId="5B0C0E47" w14:textId="77777777" w:rsidR="008B0A8F" w:rsidRPr="008B0A8F" w:rsidRDefault="008B0A8F" w:rsidP="008B0A8F">
      <w:pPr>
        <w:spacing w:line="480" w:lineRule="auto"/>
        <w:jc w:val="center"/>
        <w:rPr>
          <w:i/>
          <w:lang w:val="en-US"/>
        </w:rPr>
      </w:pPr>
      <w:r w:rsidRPr="008B0A8F">
        <w:rPr>
          <w:i/>
          <w:lang w:val="en-US"/>
        </w:rPr>
        <w:lastRenderedPageBreak/>
        <w:t>Table 3. Technological innovation configuration and performance</w:t>
      </w:r>
    </w:p>
    <w:tbl>
      <w:tblPr>
        <w:tblW w:w="5765" w:type="dxa"/>
        <w:jc w:val="center"/>
        <w:tblLook w:val="0000" w:firstRow="0" w:lastRow="0" w:firstColumn="0" w:lastColumn="0" w:noHBand="0" w:noVBand="0"/>
      </w:tblPr>
      <w:tblGrid>
        <w:gridCol w:w="1160"/>
        <w:gridCol w:w="1527"/>
        <w:gridCol w:w="1519"/>
        <w:gridCol w:w="1559"/>
      </w:tblGrid>
      <w:tr w:rsidR="008B0A8F" w14:paraId="53820D94" w14:textId="77777777" w:rsidTr="00EB524E">
        <w:trPr>
          <w:trHeight w:val="207"/>
          <w:jc w:val="center"/>
        </w:trPr>
        <w:tc>
          <w:tcPr>
            <w:tcW w:w="1160" w:type="dxa"/>
            <w:vMerge w:val="restart"/>
            <w:tcBorders>
              <w:top w:val="single" w:sz="4" w:space="0" w:color="000000"/>
              <w:left w:val="single" w:sz="4" w:space="0" w:color="000000"/>
              <w:right w:val="single" w:sz="4" w:space="0" w:color="000000"/>
            </w:tcBorders>
          </w:tcPr>
          <w:p w14:paraId="788CAAA2" w14:textId="77777777" w:rsidR="008B0A8F" w:rsidRDefault="008B0A8F" w:rsidP="00EB524E">
            <w:pPr>
              <w:widowControl w:val="0"/>
              <w:spacing w:before="120" w:after="120"/>
              <w:jc w:val="center"/>
              <w:rPr>
                <w:rFonts w:eastAsia="Songti SC" w:cs="Arial Unicode MS"/>
                <w:color w:val="000000" w:themeColor="text1"/>
                <w:kern w:val="2"/>
                <w:sz w:val="16"/>
                <w:szCs w:val="16"/>
                <w:lang w:val="en-US" w:bidi="hi-IN"/>
              </w:rPr>
            </w:pP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7AF7D2" w14:textId="77777777" w:rsidR="008B0A8F" w:rsidRDefault="008B0A8F" w:rsidP="00EB524E">
            <w:pPr>
              <w:widowControl w:val="0"/>
              <w:spacing w:before="120" w:after="120"/>
              <w:jc w:val="center"/>
              <w:rPr>
                <w:rFonts w:eastAsia="Songti SC" w:cs="Arial Unicode MS"/>
                <w:b/>
                <w:color w:val="000000" w:themeColor="text1"/>
                <w:kern w:val="2"/>
                <w:sz w:val="20"/>
                <w:szCs w:val="20"/>
                <w:lang w:val="en-US" w:bidi="hi-IN"/>
              </w:rPr>
            </w:pPr>
            <w:r>
              <w:rPr>
                <w:rFonts w:eastAsia="Songti SC" w:cs="Arial Unicode MS"/>
                <w:b/>
                <w:color w:val="000000" w:themeColor="text1"/>
                <w:kern w:val="2"/>
                <w:sz w:val="20"/>
                <w:szCs w:val="20"/>
                <w:lang w:val="en-US" w:bidi="hi-IN"/>
              </w:rPr>
              <w:t>Outcome variable</w:t>
            </w:r>
          </w:p>
        </w:tc>
      </w:tr>
      <w:tr w:rsidR="008B0A8F" w14:paraId="03F62677" w14:textId="77777777" w:rsidTr="00EB524E">
        <w:trPr>
          <w:trHeight w:val="207"/>
          <w:jc w:val="center"/>
        </w:trPr>
        <w:tc>
          <w:tcPr>
            <w:tcW w:w="1160" w:type="dxa"/>
            <w:vMerge/>
            <w:tcBorders>
              <w:left w:val="single" w:sz="4" w:space="0" w:color="000000"/>
              <w:right w:val="single" w:sz="4" w:space="0" w:color="000000"/>
            </w:tcBorders>
          </w:tcPr>
          <w:p w14:paraId="3F4FBBE2" w14:textId="77777777" w:rsidR="008B0A8F" w:rsidRDefault="008B0A8F" w:rsidP="00EB524E">
            <w:pPr>
              <w:widowControl w:val="0"/>
              <w:spacing w:before="120" w:after="120"/>
              <w:jc w:val="center"/>
              <w:rPr>
                <w:rFonts w:eastAsia="Songti SC" w:cs="Arial Unicode MS"/>
                <w:color w:val="000000" w:themeColor="text1"/>
                <w:kern w:val="2"/>
                <w:sz w:val="16"/>
                <w:szCs w:val="16"/>
                <w:lang w:val="en-US" w:bidi="hi-IN"/>
              </w:rPr>
            </w:pP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E7B420" w14:textId="4CFD2E48" w:rsidR="008B0A8F" w:rsidRDefault="008B0A8F" w:rsidP="00EB524E">
            <w:pPr>
              <w:widowControl w:val="0"/>
              <w:spacing w:before="120" w:after="120"/>
              <w:jc w:val="center"/>
              <w:rPr>
                <w:rFonts w:eastAsia="Songti SC" w:cs="Arial Unicode MS"/>
                <w:color w:val="000000" w:themeColor="text1"/>
                <w:kern w:val="2"/>
                <w:sz w:val="16"/>
                <w:szCs w:val="16"/>
                <w:lang w:val="en-US" w:bidi="hi-IN"/>
              </w:rPr>
            </w:pPr>
            <w:r>
              <w:rPr>
                <w:rFonts w:eastAsia="Songti SC" w:cs="Arial Unicode MS"/>
                <w:b/>
                <w:color w:val="000000" w:themeColor="text1"/>
                <w:kern w:val="2"/>
                <w:sz w:val="20"/>
                <w:szCs w:val="20"/>
                <w:lang w:val="en-US" w:bidi="hi-IN"/>
              </w:rPr>
              <w:t>Performance (profit margin)</w:t>
            </w:r>
          </w:p>
        </w:tc>
      </w:tr>
      <w:tr w:rsidR="008B0A8F" w14:paraId="4F8F40F7" w14:textId="77777777" w:rsidTr="00EB524E">
        <w:trPr>
          <w:trHeight w:val="207"/>
          <w:jc w:val="center"/>
        </w:trPr>
        <w:tc>
          <w:tcPr>
            <w:tcW w:w="1160" w:type="dxa"/>
            <w:vMerge/>
            <w:tcBorders>
              <w:left w:val="single" w:sz="4" w:space="0" w:color="000000"/>
              <w:bottom w:val="single" w:sz="4" w:space="0" w:color="000000"/>
              <w:right w:val="single" w:sz="4" w:space="0" w:color="000000"/>
            </w:tcBorders>
          </w:tcPr>
          <w:p w14:paraId="152E59DB" w14:textId="77777777" w:rsidR="008B0A8F" w:rsidRDefault="008B0A8F" w:rsidP="00EB524E">
            <w:pPr>
              <w:widowControl w:val="0"/>
              <w:spacing w:before="120" w:after="120"/>
              <w:jc w:val="center"/>
              <w:rPr>
                <w:rFonts w:eastAsia="Songti SC" w:cs="Arial Unicode MS"/>
                <w:color w:val="000000" w:themeColor="text1"/>
                <w:kern w:val="2"/>
                <w:sz w:val="16"/>
                <w:szCs w:val="16"/>
                <w:lang w:val="en-US" w:bidi="hi-IN"/>
              </w:rPr>
            </w:pPr>
          </w:p>
        </w:tc>
        <w:tc>
          <w:tcPr>
            <w:tcW w:w="1527" w:type="dxa"/>
            <w:tcBorders>
              <w:left w:val="single" w:sz="4" w:space="0" w:color="000000"/>
              <w:bottom w:val="single" w:sz="4" w:space="0" w:color="000000"/>
              <w:right w:val="single" w:sz="4" w:space="0" w:color="000000"/>
            </w:tcBorders>
            <w:shd w:val="clear" w:color="auto" w:fill="auto"/>
            <w:vAlign w:val="center"/>
          </w:tcPr>
          <w:p w14:paraId="2E39E9FF" w14:textId="77777777" w:rsidR="008B0A8F" w:rsidRDefault="008B0A8F" w:rsidP="00EB524E">
            <w:pPr>
              <w:widowControl w:val="0"/>
              <w:spacing w:before="120" w:after="120"/>
              <w:jc w:val="center"/>
              <w:rPr>
                <w:rFonts w:eastAsia="Songti SC" w:cs="Arial Unicode MS"/>
                <w:color w:val="000000" w:themeColor="text1"/>
                <w:kern w:val="2"/>
                <w:sz w:val="16"/>
                <w:szCs w:val="16"/>
                <w:lang w:val="en-US" w:bidi="hi-IN"/>
              </w:rPr>
            </w:pPr>
            <w:r>
              <w:rPr>
                <w:rFonts w:eastAsia="Songti SC" w:cs="Arial Unicode MS"/>
                <w:color w:val="000000" w:themeColor="text1"/>
                <w:kern w:val="2"/>
                <w:sz w:val="16"/>
                <w:szCs w:val="16"/>
                <w:lang w:val="en-US" w:bidi="hi-IN"/>
              </w:rPr>
              <w:t>Product Innovation</w:t>
            </w:r>
          </w:p>
        </w:tc>
        <w:tc>
          <w:tcPr>
            <w:tcW w:w="1519" w:type="dxa"/>
            <w:tcBorders>
              <w:left w:val="single" w:sz="4" w:space="0" w:color="000000"/>
              <w:bottom w:val="single" w:sz="4" w:space="0" w:color="000000"/>
              <w:right w:val="single" w:sz="4" w:space="0" w:color="000000"/>
            </w:tcBorders>
            <w:shd w:val="clear" w:color="auto" w:fill="auto"/>
            <w:vAlign w:val="center"/>
          </w:tcPr>
          <w:p w14:paraId="7ED2A164" w14:textId="77777777" w:rsidR="008B0A8F" w:rsidRDefault="008B0A8F" w:rsidP="00EB524E">
            <w:pPr>
              <w:widowControl w:val="0"/>
              <w:spacing w:before="120" w:after="120"/>
              <w:jc w:val="center"/>
              <w:rPr>
                <w:rFonts w:eastAsia="Songti SC" w:cs="Arial Unicode MS"/>
                <w:color w:val="000000" w:themeColor="text1"/>
                <w:kern w:val="2"/>
                <w:sz w:val="16"/>
                <w:szCs w:val="16"/>
                <w:lang w:val="en-US" w:bidi="hi-IN"/>
              </w:rPr>
            </w:pPr>
            <w:r>
              <w:rPr>
                <w:rFonts w:eastAsia="Songti SC" w:cs="Arial Unicode MS"/>
                <w:color w:val="000000" w:themeColor="text1"/>
                <w:kern w:val="2"/>
                <w:sz w:val="16"/>
                <w:szCs w:val="16"/>
                <w:lang w:val="en-US" w:bidi="hi-IN"/>
              </w:rPr>
              <w:t>Process Innovation</w:t>
            </w:r>
          </w:p>
        </w:tc>
        <w:tc>
          <w:tcPr>
            <w:tcW w:w="1559" w:type="dxa"/>
            <w:tcBorders>
              <w:left w:val="single" w:sz="4" w:space="0" w:color="000000"/>
              <w:bottom w:val="single" w:sz="4" w:space="0" w:color="000000"/>
              <w:right w:val="single" w:sz="4" w:space="0" w:color="auto"/>
            </w:tcBorders>
            <w:shd w:val="clear" w:color="auto" w:fill="auto"/>
            <w:vAlign w:val="center"/>
          </w:tcPr>
          <w:p w14:paraId="71867DA6" w14:textId="77777777" w:rsidR="008B0A8F" w:rsidRPr="004F0637" w:rsidRDefault="008B0A8F" w:rsidP="00EB524E">
            <w:pPr>
              <w:widowControl w:val="0"/>
              <w:spacing w:before="120" w:after="120"/>
              <w:jc w:val="center"/>
              <w:rPr>
                <w:rFonts w:eastAsia="Songti SC" w:cs="Arial Unicode MS"/>
                <w:color w:val="000000" w:themeColor="text1"/>
                <w:kern w:val="2"/>
                <w:sz w:val="16"/>
                <w:szCs w:val="16"/>
                <w:lang w:val="en-US" w:bidi="hi-IN"/>
              </w:rPr>
            </w:pPr>
            <w:r>
              <w:rPr>
                <w:rFonts w:eastAsia="Songti SC" w:cs="Arial Unicode MS"/>
                <w:color w:val="000000" w:themeColor="text1"/>
                <w:kern w:val="2"/>
                <w:sz w:val="16"/>
                <w:szCs w:val="16"/>
                <w:lang w:val="en-US" w:bidi="hi-IN"/>
              </w:rPr>
              <w:t>Service Innovation</w:t>
            </w:r>
          </w:p>
        </w:tc>
      </w:tr>
      <w:tr w:rsidR="008B0A8F" w14:paraId="00718665" w14:textId="77777777" w:rsidTr="00EB524E">
        <w:trPr>
          <w:trHeight w:val="110"/>
          <w:jc w:val="center"/>
        </w:trPr>
        <w:tc>
          <w:tcPr>
            <w:tcW w:w="1160" w:type="dxa"/>
            <w:vMerge w:val="restart"/>
            <w:tcBorders>
              <w:top w:val="single" w:sz="4" w:space="0" w:color="000000"/>
              <w:left w:val="single" w:sz="4" w:space="0" w:color="000000"/>
              <w:right w:val="single" w:sz="4" w:space="0" w:color="000000"/>
            </w:tcBorders>
            <w:shd w:val="clear" w:color="auto" w:fill="auto"/>
          </w:tcPr>
          <w:p w14:paraId="45BC20B7" w14:textId="77777777" w:rsidR="008B0A8F" w:rsidRPr="003760FE" w:rsidRDefault="008B0A8F" w:rsidP="00EB524E">
            <w:pPr>
              <w:widowControl w:val="0"/>
              <w:spacing w:before="120" w:after="120"/>
              <w:jc w:val="center"/>
              <w:rPr>
                <w:rFonts w:eastAsia="Songti SC" w:cs="Arial Unicode MS"/>
                <w:color w:val="000000" w:themeColor="text1"/>
                <w:kern w:val="2"/>
                <w:sz w:val="16"/>
                <w:szCs w:val="16"/>
                <w:lang w:val="en-US" w:bidi="hi-IN"/>
              </w:rPr>
            </w:pPr>
            <w:r>
              <w:rPr>
                <w:rFonts w:eastAsia="Songti SC" w:cs="Arial Unicode MS"/>
                <w:color w:val="000000" w:themeColor="text1"/>
                <w:kern w:val="2"/>
                <w:sz w:val="16"/>
                <w:szCs w:val="16"/>
                <w:lang w:val="en-US" w:bidi="hi-IN"/>
              </w:rPr>
              <w:t>Full sample</w:t>
            </w:r>
          </w:p>
        </w:tc>
        <w:tc>
          <w:tcPr>
            <w:tcW w:w="1527" w:type="dxa"/>
            <w:tcBorders>
              <w:top w:val="single" w:sz="4" w:space="0" w:color="000000"/>
              <w:left w:val="single" w:sz="4" w:space="0" w:color="000000"/>
              <w:bottom w:val="single" w:sz="4" w:space="0" w:color="000000"/>
              <w:right w:val="single" w:sz="4" w:space="0" w:color="000000"/>
            </w:tcBorders>
            <w:shd w:val="pct10" w:color="auto" w:fill="FFFFFF" w:themeFill="background1"/>
          </w:tcPr>
          <w:p w14:paraId="5D3FF647" w14:textId="77777777" w:rsidR="008B0A8F" w:rsidRDefault="008B0A8F" w:rsidP="00EB524E">
            <w:pPr>
              <w:widowControl w:val="0"/>
              <w:spacing w:before="40" w:after="40"/>
              <w:jc w:val="center"/>
              <w:rPr>
                <w:color w:val="000000" w:themeColor="text1"/>
                <w:lang w:val="en-US"/>
              </w:rPr>
            </w:pPr>
            <w:r>
              <w:rPr>
                <w:rFonts w:ascii="Wingdings" w:eastAsia="Wingdings" w:hAnsi="Wingdings" w:cs="Wingdings"/>
                <w:color w:val="000000" w:themeColor="text1"/>
                <w:kern w:val="2"/>
                <w:lang w:val="en-US" w:bidi="hi-IN"/>
              </w:rPr>
              <w:t></w:t>
            </w:r>
          </w:p>
        </w:tc>
        <w:tc>
          <w:tcPr>
            <w:tcW w:w="1519" w:type="dxa"/>
            <w:tcBorders>
              <w:top w:val="single" w:sz="4" w:space="0" w:color="000000"/>
              <w:left w:val="single" w:sz="4" w:space="0" w:color="000000"/>
              <w:bottom w:val="single" w:sz="4" w:space="0" w:color="000000"/>
              <w:right w:val="single" w:sz="4" w:space="0" w:color="000000"/>
            </w:tcBorders>
            <w:shd w:val="pct10" w:color="auto" w:fill="FFFFFF" w:themeFill="background1"/>
          </w:tcPr>
          <w:p w14:paraId="79D7EDE9" w14:textId="77777777" w:rsidR="008B0A8F" w:rsidRDefault="008B0A8F" w:rsidP="00EB524E">
            <w:pPr>
              <w:widowControl w:val="0"/>
              <w:spacing w:before="40" w:after="40"/>
              <w:jc w:val="center"/>
              <w:rPr>
                <w:color w:val="000000" w:themeColor="text1"/>
                <w:lang w:val="en-US"/>
              </w:rPr>
            </w:pPr>
            <w:r>
              <w:rPr>
                <w:rFonts w:ascii="Wingdings" w:eastAsia="Wingdings" w:hAnsi="Wingdings" w:cs="Wingdings"/>
                <w:color w:val="000000" w:themeColor="text1"/>
                <w:kern w:val="2"/>
                <w:lang w:val="en-US" w:bidi="hi-IN"/>
              </w:rPr>
              <w:t></w:t>
            </w:r>
          </w:p>
        </w:tc>
        <w:tc>
          <w:tcPr>
            <w:tcW w:w="1559" w:type="dxa"/>
            <w:tcBorders>
              <w:top w:val="single" w:sz="4" w:space="0" w:color="000000"/>
              <w:left w:val="single" w:sz="4" w:space="0" w:color="000000"/>
              <w:bottom w:val="single" w:sz="4" w:space="0" w:color="000000"/>
              <w:right w:val="single" w:sz="4" w:space="0" w:color="auto"/>
            </w:tcBorders>
            <w:shd w:val="pct10" w:color="auto" w:fill="FFFFFF" w:themeFill="background1"/>
          </w:tcPr>
          <w:p w14:paraId="6BCF07F7" w14:textId="77777777" w:rsidR="008B0A8F" w:rsidRDefault="008B0A8F" w:rsidP="00EB524E">
            <w:pPr>
              <w:widowControl w:val="0"/>
              <w:spacing w:before="40" w:after="40"/>
              <w:jc w:val="center"/>
              <w:rPr>
                <w:color w:val="000000" w:themeColor="text1"/>
                <w:lang w:val="en-US"/>
              </w:rPr>
            </w:pPr>
            <w:r>
              <w:rPr>
                <w:color w:val="000000" w:themeColor="text1"/>
                <w:lang w:val="en-US"/>
              </w:rPr>
              <w:t>—</w:t>
            </w:r>
          </w:p>
        </w:tc>
      </w:tr>
      <w:tr w:rsidR="008B0A8F" w14:paraId="7C51CD24" w14:textId="77777777" w:rsidTr="00EB524E">
        <w:trPr>
          <w:trHeight w:val="70"/>
          <w:jc w:val="center"/>
        </w:trPr>
        <w:tc>
          <w:tcPr>
            <w:tcW w:w="1160" w:type="dxa"/>
            <w:vMerge/>
            <w:tcBorders>
              <w:left w:val="single" w:sz="4" w:space="0" w:color="000000"/>
              <w:right w:val="single" w:sz="4" w:space="0" w:color="000000"/>
            </w:tcBorders>
            <w:shd w:val="clear" w:color="auto" w:fill="auto"/>
          </w:tcPr>
          <w:p w14:paraId="1E3D8751" w14:textId="77777777" w:rsidR="008B0A8F" w:rsidRDefault="008B0A8F" w:rsidP="00EB524E">
            <w:pPr>
              <w:widowControl w:val="0"/>
              <w:spacing w:before="40" w:after="40"/>
              <w:jc w:val="center"/>
              <w:rPr>
                <w:rFonts w:eastAsia="Songti SC" w:cs="Arial Unicode MS"/>
                <w:color w:val="000000" w:themeColor="text1"/>
                <w:kern w:val="2"/>
                <w:sz w:val="18"/>
                <w:szCs w:val="18"/>
                <w:lang w:val="en-US" w:bidi="hi-IN"/>
              </w:rPr>
            </w:pPr>
          </w:p>
        </w:tc>
        <w:tc>
          <w:tcPr>
            <w:tcW w:w="4605" w:type="dxa"/>
            <w:gridSpan w:val="3"/>
            <w:tcBorders>
              <w:top w:val="single" w:sz="4" w:space="0" w:color="000000"/>
              <w:left w:val="single" w:sz="4" w:space="0" w:color="000000"/>
              <w:right w:val="single" w:sz="4" w:space="0" w:color="000000"/>
            </w:tcBorders>
            <w:shd w:val="clear" w:color="auto" w:fill="auto"/>
          </w:tcPr>
          <w:p w14:paraId="397CF1DD" w14:textId="77777777" w:rsidR="008B0A8F" w:rsidRPr="004F0637" w:rsidRDefault="008B0A8F" w:rsidP="00EB524E">
            <w:pPr>
              <w:widowControl w:val="0"/>
              <w:spacing w:before="40" w:after="40"/>
              <w:jc w:val="center"/>
              <w:rPr>
                <w:color w:val="000000" w:themeColor="text1"/>
                <w:lang w:val="en-US"/>
              </w:rPr>
            </w:pPr>
            <w:r w:rsidRPr="004F0637">
              <w:rPr>
                <w:rFonts w:eastAsia="Songti SC" w:cs="Arial Unicode MS"/>
                <w:color w:val="000000" w:themeColor="text1"/>
                <w:kern w:val="2"/>
                <w:sz w:val="18"/>
                <w:szCs w:val="18"/>
                <w:lang w:val="en-US" w:bidi="hi-IN"/>
              </w:rPr>
              <w:t xml:space="preserve">R = 0.725 / UC = 0.338 / C = 0.705   </w:t>
            </w:r>
          </w:p>
          <w:p w14:paraId="09577C8C" w14:textId="77777777" w:rsidR="008B0A8F" w:rsidRPr="00971CF9" w:rsidRDefault="008B0A8F" w:rsidP="00EB524E">
            <w:pPr>
              <w:widowControl w:val="0"/>
              <w:spacing w:before="40" w:after="40"/>
              <w:jc w:val="center"/>
              <w:rPr>
                <w:color w:val="FF0000"/>
                <w:lang w:val="en-US"/>
              </w:rPr>
            </w:pPr>
            <w:proofErr w:type="spellStart"/>
            <w:r w:rsidRPr="004F0637">
              <w:rPr>
                <w:rFonts w:eastAsia="Songti SC" w:cs="Arial Unicode MS"/>
                <w:color w:val="000000" w:themeColor="text1"/>
                <w:kern w:val="2"/>
                <w:sz w:val="18"/>
                <w:szCs w:val="18"/>
                <w:lang w:val="en-US" w:bidi="hi-IN"/>
              </w:rPr>
              <w:t>OSCe</w:t>
            </w:r>
            <w:proofErr w:type="spellEnd"/>
            <w:r w:rsidRPr="004F0637">
              <w:rPr>
                <w:rFonts w:eastAsia="Songti SC" w:cs="Arial Unicode MS"/>
                <w:color w:val="000000" w:themeColor="text1"/>
                <w:kern w:val="2"/>
                <w:sz w:val="18"/>
                <w:szCs w:val="18"/>
                <w:lang w:val="en-US" w:bidi="hi-IN"/>
              </w:rPr>
              <w:t xml:space="preserve"> = 0.826 / OSCs = 0.733</w:t>
            </w:r>
          </w:p>
        </w:tc>
      </w:tr>
      <w:tr w:rsidR="008B0A8F" w14:paraId="75E0886A" w14:textId="77777777" w:rsidTr="00EB524E">
        <w:trPr>
          <w:trHeight w:val="180"/>
          <w:jc w:val="center"/>
        </w:trPr>
        <w:tc>
          <w:tcPr>
            <w:tcW w:w="1160" w:type="dxa"/>
            <w:vMerge w:val="restart"/>
            <w:tcBorders>
              <w:top w:val="single" w:sz="4" w:space="0" w:color="000000"/>
              <w:left w:val="single" w:sz="4" w:space="0" w:color="000000"/>
              <w:right w:val="single" w:sz="4" w:space="0" w:color="000000"/>
            </w:tcBorders>
          </w:tcPr>
          <w:p w14:paraId="6937C673" w14:textId="77777777" w:rsidR="008B0A8F" w:rsidRDefault="008B0A8F" w:rsidP="00EB524E">
            <w:pPr>
              <w:widowControl w:val="0"/>
              <w:spacing w:before="40" w:after="40"/>
              <w:jc w:val="center"/>
              <w:rPr>
                <w:rFonts w:ascii="Wingdings" w:eastAsia="Wingdings" w:hAnsi="Wingdings" w:cs="Wingdings"/>
                <w:color w:val="000000" w:themeColor="text1"/>
                <w:kern w:val="2"/>
                <w:lang w:val="en-US" w:bidi="hi-IN"/>
              </w:rPr>
            </w:pPr>
            <w:r>
              <w:rPr>
                <w:rFonts w:eastAsia="Songti SC" w:cs="Arial Unicode MS"/>
                <w:color w:val="000000" w:themeColor="text1"/>
                <w:kern w:val="2"/>
                <w:sz w:val="16"/>
                <w:szCs w:val="16"/>
                <w:lang w:val="en-US" w:bidi="hi-IN"/>
              </w:rPr>
              <w:t>NAICS-31</w:t>
            </w:r>
          </w:p>
        </w:tc>
        <w:tc>
          <w:tcPr>
            <w:tcW w:w="1527" w:type="dxa"/>
            <w:tcBorders>
              <w:top w:val="single" w:sz="4" w:space="0" w:color="000000"/>
              <w:left w:val="single" w:sz="4" w:space="0" w:color="000000"/>
              <w:bottom w:val="single" w:sz="4" w:space="0" w:color="000000"/>
              <w:right w:val="single" w:sz="4" w:space="0" w:color="000000"/>
            </w:tcBorders>
            <w:shd w:val="pct10" w:color="auto" w:fill="FFFFFF" w:themeFill="background1"/>
          </w:tcPr>
          <w:p w14:paraId="1BC52B08"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rFonts w:ascii="Wingdings" w:eastAsia="Wingdings" w:hAnsi="Wingdings" w:cs="Wingdings"/>
                <w:color w:val="000000" w:themeColor="text1"/>
                <w:kern w:val="2"/>
                <w:lang w:val="en-US" w:bidi="hi-IN"/>
              </w:rPr>
              <w:t></w:t>
            </w:r>
          </w:p>
        </w:tc>
        <w:tc>
          <w:tcPr>
            <w:tcW w:w="1519" w:type="dxa"/>
            <w:tcBorders>
              <w:top w:val="single" w:sz="4" w:space="0" w:color="000000"/>
              <w:left w:val="single" w:sz="4" w:space="0" w:color="000000"/>
              <w:bottom w:val="single" w:sz="4" w:space="0" w:color="000000"/>
              <w:right w:val="single" w:sz="4" w:space="0" w:color="000000"/>
            </w:tcBorders>
            <w:shd w:val="pct10" w:color="auto" w:fill="FFFFFF" w:themeFill="background1"/>
          </w:tcPr>
          <w:p w14:paraId="7610920B"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rFonts w:ascii="Wingdings" w:eastAsia="Wingdings" w:hAnsi="Wingdings" w:cs="Wingdings"/>
                <w:color w:val="000000" w:themeColor="text1"/>
                <w:kern w:val="2"/>
                <w:lang w:val="en-US" w:bidi="hi-IN"/>
              </w:rPr>
              <w:t></w:t>
            </w:r>
          </w:p>
        </w:tc>
        <w:tc>
          <w:tcPr>
            <w:tcW w:w="1559" w:type="dxa"/>
            <w:tcBorders>
              <w:top w:val="single" w:sz="4" w:space="0" w:color="000000"/>
              <w:left w:val="single" w:sz="4" w:space="0" w:color="000000"/>
              <w:bottom w:val="single" w:sz="4" w:space="0" w:color="000000"/>
              <w:right w:val="single" w:sz="4" w:space="0" w:color="000000"/>
            </w:tcBorders>
            <w:shd w:val="pct10" w:color="auto" w:fill="FFFFFF" w:themeFill="background1"/>
          </w:tcPr>
          <w:p w14:paraId="74BF9C6A"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color w:val="000000" w:themeColor="text1"/>
                <w:lang w:val="en-US"/>
              </w:rPr>
              <w:t>—</w:t>
            </w:r>
          </w:p>
        </w:tc>
      </w:tr>
      <w:tr w:rsidR="008B0A8F" w14:paraId="3CA01A62" w14:textId="77777777" w:rsidTr="00EB524E">
        <w:trPr>
          <w:trHeight w:val="180"/>
          <w:jc w:val="center"/>
        </w:trPr>
        <w:tc>
          <w:tcPr>
            <w:tcW w:w="1160" w:type="dxa"/>
            <w:vMerge/>
            <w:tcBorders>
              <w:left w:val="single" w:sz="4" w:space="0" w:color="000000"/>
              <w:right w:val="single" w:sz="4" w:space="0" w:color="000000"/>
            </w:tcBorders>
          </w:tcPr>
          <w:p w14:paraId="41DE38BA" w14:textId="77777777" w:rsidR="008B0A8F" w:rsidRDefault="008B0A8F" w:rsidP="00EB524E">
            <w:pPr>
              <w:widowControl w:val="0"/>
              <w:spacing w:before="40" w:after="40"/>
              <w:jc w:val="center"/>
              <w:rPr>
                <w:rFonts w:eastAsia="Songti SC" w:cs="Arial Unicode MS"/>
                <w:color w:val="000000" w:themeColor="text1"/>
                <w:kern w:val="2"/>
                <w:sz w:val="18"/>
                <w:szCs w:val="18"/>
                <w:lang w:val="en-US" w:bidi="hi-IN"/>
              </w:rPr>
            </w:pP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14:paraId="053318E8" w14:textId="77777777" w:rsidR="008B0A8F" w:rsidRDefault="008B0A8F" w:rsidP="00EB524E">
            <w:pPr>
              <w:widowControl w:val="0"/>
              <w:spacing w:before="40" w:after="40"/>
              <w:jc w:val="center"/>
              <w:rPr>
                <w:rFonts w:ascii="Wingdings" w:eastAsia="Wingdings" w:hAnsi="Wingdings" w:cs="Wingdings"/>
                <w:color w:val="000000" w:themeColor="text1"/>
                <w:kern w:val="2"/>
                <w:lang w:val="en-US" w:bidi="hi-IN"/>
              </w:rPr>
            </w:pPr>
            <w:r>
              <w:rPr>
                <w:rFonts w:eastAsia="Songti SC" w:cs="Arial Unicode MS"/>
                <w:color w:val="000000" w:themeColor="text1"/>
                <w:kern w:val="2"/>
                <w:sz w:val="18"/>
                <w:szCs w:val="18"/>
                <w:lang w:val="en-US" w:bidi="hi-IN"/>
              </w:rPr>
              <w:t xml:space="preserve">R = 0.731 / UC = 0.345 / C = 0.713   </w:t>
            </w:r>
          </w:p>
          <w:p w14:paraId="144F2DE3" w14:textId="77777777" w:rsidR="008B0A8F" w:rsidRDefault="008B0A8F" w:rsidP="00EB524E">
            <w:pPr>
              <w:widowControl w:val="0"/>
              <w:spacing w:before="40" w:after="40"/>
              <w:jc w:val="center"/>
              <w:rPr>
                <w:color w:val="000000" w:themeColor="text1"/>
                <w:lang w:val="en-US"/>
              </w:rPr>
            </w:pPr>
            <w:proofErr w:type="spellStart"/>
            <w:r>
              <w:rPr>
                <w:rFonts w:eastAsia="Songti SC" w:cs="Arial Unicode MS"/>
                <w:color w:val="000000" w:themeColor="text1"/>
                <w:kern w:val="2"/>
                <w:sz w:val="18"/>
                <w:szCs w:val="18"/>
                <w:lang w:val="en-US" w:bidi="hi-IN"/>
              </w:rPr>
              <w:t>OSCe</w:t>
            </w:r>
            <w:proofErr w:type="spellEnd"/>
            <w:r>
              <w:rPr>
                <w:rFonts w:eastAsia="Songti SC" w:cs="Arial Unicode MS"/>
                <w:color w:val="000000" w:themeColor="text1"/>
                <w:kern w:val="2"/>
                <w:sz w:val="18"/>
                <w:szCs w:val="18"/>
                <w:lang w:val="en-US" w:bidi="hi-IN"/>
              </w:rPr>
              <w:t xml:space="preserve"> = 0.833 / OSCs = 0.741</w:t>
            </w:r>
          </w:p>
        </w:tc>
      </w:tr>
      <w:tr w:rsidR="008B0A8F" w14:paraId="611F8E67" w14:textId="77777777" w:rsidTr="00EB524E">
        <w:trPr>
          <w:trHeight w:val="180"/>
          <w:jc w:val="center"/>
        </w:trPr>
        <w:tc>
          <w:tcPr>
            <w:tcW w:w="1160" w:type="dxa"/>
            <w:vMerge w:val="restart"/>
            <w:tcBorders>
              <w:top w:val="single" w:sz="4" w:space="0" w:color="000000"/>
              <w:left w:val="single" w:sz="4" w:space="0" w:color="000000"/>
              <w:right w:val="single" w:sz="4" w:space="0" w:color="000000"/>
            </w:tcBorders>
          </w:tcPr>
          <w:p w14:paraId="6520EEED" w14:textId="77777777" w:rsidR="008B0A8F" w:rsidRDefault="008B0A8F" w:rsidP="00EB524E">
            <w:pPr>
              <w:widowControl w:val="0"/>
              <w:spacing w:before="40" w:after="40"/>
              <w:jc w:val="center"/>
              <w:rPr>
                <w:rFonts w:ascii="Wingdings" w:eastAsia="Wingdings" w:hAnsi="Wingdings" w:cs="Wingdings"/>
                <w:color w:val="000000" w:themeColor="text1"/>
                <w:kern w:val="2"/>
                <w:lang w:val="en-US" w:bidi="hi-IN"/>
              </w:rPr>
            </w:pPr>
            <w:r>
              <w:rPr>
                <w:rFonts w:eastAsia="Songti SC" w:cs="Arial Unicode MS"/>
                <w:color w:val="000000" w:themeColor="text1"/>
                <w:kern w:val="2"/>
                <w:sz w:val="16"/>
                <w:szCs w:val="16"/>
                <w:lang w:val="en-US" w:bidi="hi-IN"/>
              </w:rPr>
              <w:t>NAICS-32</w:t>
            </w:r>
          </w:p>
        </w:tc>
        <w:tc>
          <w:tcPr>
            <w:tcW w:w="1527" w:type="dxa"/>
            <w:tcBorders>
              <w:top w:val="single" w:sz="4" w:space="0" w:color="000000"/>
              <w:left w:val="single" w:sz="4" w:space="0" w:color="000000"/>
              <w:bottom w:val="single" w:sz="4" w:space="0" w:color="000000"/>
              <w:right w:val="single" w:sz="4" w:space="0" w:color="000000"/>
            </w:tcBorders>
            <w:shd w:val="pct10" w:color="auto" w:fill="auto"/>
          </w:tcPr>
          <w:p w14:paraId="3B7AE552"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rFonts w:ascii="Wingdings" w:eastAsia="Wingdings" w:hAnsi="Wingdings" w:cs="Wingdings"/>
                <w:color w:val="000000" w:themeColor="text1"/>
                <w:kern w:val="2"/>
                <w:lang w:val="en-US" w:bidi="hi-IN"/>
              </w:rPr>
              <w:t></w:t>
            </w:r>
          </w:p>
        </w:tc>
        <w:tc>
          <w:tcPr>
            <w:tcW w:w="1519" w:type="dxa"/>
            <w:tcBorders>
              <w:top w:val="single" w:sz="4" w:space="0" w:color="000000"/>
              <w:left w:val="single" w:sz="4" w:space="0" w:color="000000"/>
              <w:bottom w:val="single" w:sz="4" w:space="0" w:color="000000"/>
              <w:right w:val="single" w:sz="4" w:space="0" w:color="000000"/>
            </w:tcBorders>
            <w:shd w:val="pct10" w:color="auto" w:fill="auto"/>
          </w:tcPr>
          <w:p w14:paraId="74BC51DA"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rFonts w:ascii="Wingdings" w:eastAsia="Wingdings" w:hAnsi="Wingdings" w:cs="Wingdings"/>
                <w:color w:val="000000" w:themeColor="text1"/>
                <w:kern w:val="2"/>
                <w:lang w:val="en-US" w:bidi="hi-IN"/>
              </w:rPr>
              <w:t></w:t>
            </w:r>
          </w:p>
        </w:tc>
        <w:tc>
          <w:tcPr>
            <w:tcW w:w="1559" w:type="dxa"/>
            <w:tcBorders>
              <w:top w:val="single" w:sz="4" w:space="0" w:color="000000"/>
              <w:left w:val="single" w:sz="4" w:space="0" w:color="000000"/>
              <w:bottom w:val="single" w:sz="4" w:space="0" w:color="000000"/>
              <w:right w:val="single" w:sz="4" w:space="0" w:color="000000"/>
            </w:tcBorders>
            <w:shd w:val="pct10" w:color="auto" w:fill="auto"/>
          </w:tcPr>
          <w:p w14:paraId="779D1AF1"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color w:val="000000" w:themeColor="text1"/>
                <w:lang w:val="en-US"/>
              </w:rPr>
              <w:t>—</w:t>
            </w:r>
          </w:p>
        </w:tc>
      </w:tr>
      <w:tr w:rsidR="008B0A8F" w14:paraId="1A8C7DD4" w14:textId="77777777" w:rsidTr="00EB524E">
        <w:trPr>
          <w:trHeight w:val="180"/>
          <w:jc w:val="center"/>
        </w:trPr>
        <w:tc>
          <w:tcPr>
            <w:tcW w:w="1160" w:type="dxa"/>
            <w:vMerge/>
            <w:tcBorders>
              <w:left w:val="single" w:sz="4" w:space="0" w:color="000000"/>
              <w:bottom w:val="single" w:sz="4" w:space="0" w:color="000000"/>
              <w:right w:val="single" w:sz="4" w:space="0" w:color="000000"/>
            </w:tcBorders>
          </w:tcPr>
          <w:p w14:paraId="12A6F331" w14:textId="77777777" w:rsidR="008B0A8F" w:rsidRDefault="008B0A8F" w:rsidP="00EB524E">
            <w:pPr>
              <w:widowControl w:val="0"/>
              <w:spacing w:before="40" w:after="40"/>
              <w:jc w:val="center"/>
              <w:rPr>
                <w:rFonts w:eastAsia="Songti SC" w:cs="Arial Unicode MS"/>
                <w:color w:val="000000" w:themeColor="text1"/>
                <w:kern w:val="2"/>
                <w:sz w:val="18"/>
                <w:szCs w:val="18"/>
                <w:lang w:val="en-US" w:bidi="hi-IN"/>
              </w:rPr>
            </w:pP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14:paraId="29CC5640" w14:textId="77777777" w:rsidR="008B0A8F" w:rsidRPr="004F0637" w:rsidRDefault="008B0A8F" w:rsidP="00EB524E">
            <w:pPr>
              <w:widowControl w:val="0"/>
              <w:spacing w:before="40" w:after="40"/>
              <w:jc w:val="center"/>
              <w:rPr>
                <w:rFonts w:ascii="Wingdings" w:eastAsia="Wingdings" w:hAnsi="Wingdings" w:cs="Wingdings"/>
                <w:color w:val="000000" w:themeColor="text1"/>
                <w:kern w:val="2"/>
                <w:lang w:val="en-US" w:bidi="hi-IN"/>
              </w:rPr>
            </w:pPr>
            <w:r w:rsidRPr="004F0637">
              <w:rPr>
                <w:rFonts w:eastAsia="Songti SC" w:cs="Arial Unicode MS"/>
                <w:color w:val="000000" w:themeColor="text1"/>
                <w:kern w:val="2"/>
                <w:sz w:val="18"/>
                <w:szCs w:val="18"/>
                <w:lang w:val="en-US" w:bidi="hi-IN"/>
              </w:rPr>
              <w:t xml:space="preserve">R = 0.728 / UC = 0.349 / C = 0.706   </w:t>
            </w:r>
          </w:p>
          <w:p w14:paraId="1F15989D" w14:textId="77777777" w:rsidR="008B0A8F" w:rsidRPr="00971CF9" w:rsidRDefault="008B0A8F" w:rsidP="00EB524E">
            <w:pPr>
              <w:widowControl w:val="0"/>
              <w:spacing w:before="40" w:after="40"/>
              <w:jc w:val="center"/>
              <w:rPr>
                <w:color w:val="FF0000"/>
                <w:lang w:val="en-US"/>
              </w:rPr>
            </w:pPr>
            <w:proofErr w:type="spellStart"/>
            <w:r w:rsidRPr="004F0637">
              <w:rPr>
                <w:rFonts w:eastAsia="Songti SC" w:cs="Arial Unicode MS"/>
                <w:color w:val="000000" w:themeColor="text1"/>
                <w:kern w:val="2"/>
                <w:sz w:val="18"/>
                <w:szCs w:val="18"/>
                <w:lang w:val="en-US" w:bidi="hi-IN"/>
              </w:rPr>
              <w:t>OSCe</w:t>
            </w:r>
            <w:proofErr w:type="spellEnd"/>
            <w:r w:rsidRPr="004F0637">
              <w:rPr>
                <w:rFonts w:eastAsia="Songti SC" w:cs="Arial Unicode MS"/>
                <w:color w:val="000000" w:themeColor="text1"/>
                <w:kern w:val="2"/>
                <w:sz w:val="18"/>
                <w:szCs w:val="18"/>
                <w:lang w:val="en-US" w:bidi="hi-IN"/>
              </w:rPr>
              <w:t xml:space="preserve"> = 0.831 / OSCs = 0.739</w:t>
            </w:r>
          </w:p>
        </w:tc>
      </w:tr>
      <w:tr w:rsidR="008B0A8F" w14:paraId="61D5A327" w14:textId="77777777" w:rsidTr="00EB524E">
        <w:trPr>
          <w:trHeight w:val="180"/>
          <w:jc w:val="center"/>
        </w:trPr>
        <w:tc>
          <w:tcPr>
            <w:tcW w:w="1160" w:type="dxa"/>
            <w:vMerge w:val="restart"/>
            <w:tcBorders>
              <w:top w:val="single" w:sz="4" w:space="0" w:color="000000"/>
              <w:left w:val="single" w:sz="4" w:space="0" w:color="000000"/>
              <w:bottom w:val="single" w:sz="4" w:space="0" w:color="auto"/>
              <w:right w:val="single" w:sz="4" w:space="0" w:color="000000"/>
            </w:tcBorders>
          </w:tcPr>
          <w:p w14:paraId="1AC3E9BC" w14:textId="77777777" w:rsidR="008B0A8F" w:rsidRDefault="008B0A8F" w:rsidP="00EB524E">
            <w:pPr>
              <w:widowControl w:val="0"/>
              <w:spacing w:before="40" w:after="40"/>
              <w:jc w:val="center"/>
              <w:rPr>
                <w:rFonts w:ascii="Wingdings" w:eastAsia="Wingdings" w:hAnsi="Wingdings" w:cs="Wingdings"/>
                <w:color w:val="000000" w:themeColor="text1"/>
                <w:kern w:val="2"/>
                <w:lang w:val="en-US" w:bidi="hi-IN"/>
              </w:rPr>
            </w:pPr>
            <w:r>
              <w:rPr>
                <w:rFonts w:eastAsia="Songti SC" w:cs="Arial Unicode MS"/>
                <w:color w:val="000000" w:themeColor="text1"/>
                <w:kern w:val="2"/>
                <w:sz w:val="16"/>
                <w:szCs w:val="16"/>
                <w:lang w:val="en-US" w:bidi="hi-IN"/>
              </w:rPr>
              <w:t>NAICS-33</w:t>
            </w:r>
          </w:p>
        </w:tc>
        <w:tc>
          <w:tcPr>
            <w:tcW w:w="1527" w:type="dxa"/>
            <w:tcBorders>
              <w:top w:val="single" w:sz="4" w:space="0" w:color="000000"/>
              <w:left w:val="single" w:sz="4" w:space="0" w:color="000000"/>
              <w:bottom w:val="single" w:sz="4" w:space="0" w:color="000000"/>
              <w:right w:val="single" w:sz="4" w:space="0" w:color="000000"/>
            </w:tcBorders>
            <w:shd w:val="pct10" w:color="auto" w:fill="auto"/>
          </w:tcPr>
          <w:p w14:paraId="68EAA238"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rFonts w:ascii="Wingdings" w:eastAsia="Wingdings" w:hAnsi="Wingdings" w:cs="Wingdings"/>
                <w:color w:val="000000" w:themeColor="text1"/>
                <w:kern w:val="2"/>
                <w:lang w:val="en-US" w:bidi="hi-IN"/>
              </w:rPr>
              <w:t></w:t>
            </w:r>
          </w:p>
        </w:tc>
        <w:tc>
          <w:tcPr>
            <w:tcW w:w="1519" w:type="dxa"/>
            <w:tcBorders>
              <w:top w:val="single" w:sz="4" w:space="0" w:color="000000"/>
              <w:left w:val="single" w:sz="4" w:space="0" w:color="000000"/>
              <w:bottom w:val="single" w:sz="4" w:space="0" w:color="000000"/>
              <w:right w:val="single" w:sz="4" w:space="0" w:color="000000"/>
            </w:tcBorders>
            <w:shd w:val="pct10" w:color="auto" w:fill="auto"/>
          </w:tcPr>
          <w:p w14:paraId="0C5E1EC8" w14:textId="77777777" w:rsidR="008B0A8F" w:rsidRDefault="008B0A8F" w:rsidP="00EB524E">
            <w:pPr>
              <w:widowControl w:val="0"/>
              <w:tabs>
                <w:tab w:val="left" w:pos="392"/>
                <w:tab w:val="center" w:pos="530"/>
              </w:tabs>
              <w:spacing w:before="40" w:after="40"/>
              <w:rPr>
                <w:rFonts w:eastAsia="Songti SC" w:cs="Arial Unicode MS"/>
                <w:color w:val="000000" w:themeColor="text1"/>
                <w:kern w:val="2"/>
                <w:sz w:val="16"/>
                <w:szCs w:val="16"/>
                <w:lang w:val="en-US" w:bidi="hi-IN"/>
              </w:rPr>
            </w:pPr>
            <w:r>
              <w:rPr>
                <w:color w:val="000000" w:themeColor="text1"/>
                <w:lang w:val="en-US"/>
              </w:rPr>
              <w:tab/>
            </w:r>
            <w:r>
              <w:rPr>
                <w:rFonts w:ascii="Wingdings" w:eastAsia="Wingdings" w:hAnsi="Wingdings" w:cs="Wingdings"/>
                <w:color w:val="000000" w:themeColor="text1"/>
                <w:kern w:val="2"/>
                <w:lang w:val="en-US" w:bidi="hi-IN"/>
              </w:rPr>
              <w:t></w:t>
            </w:r>
            <w:r>
              <w:rPr>
                <w:color w:val="000000" w:themeColor="text1"/>
                <w:lang w:val="en-US"/>
              </w:rPr>
              <w:tab/>
            </w:r>
          </w:p>
        </w:tc>
        <w:tc>
          <w:tcPr>
            <w:tcW w:w="1559" w:type="dxa"/>
            <w:tcBorders>
              <w:top w:val="single" w:sz="4" w:space="0" w:color="000000"/>
              <w:left w:val="single" w:sz="4" w:space="0" w:color="000000"/>
              <w:bottom w:val="single" w:sz="4" w:space="0" w:color="000000"/>
              <w:right w:val="single" w:sz="4" w:space="0" w:color="000000"/>
            </w:tcBorders>
            <w:shd w:val="pct10" w:color="auto" w:fill="auto"/>
          </w:tcPr>
          <w:p w14:paraId="11CF895E" w14:textId="77777777" w:rsidR="008B0A8F" w:rsidRDefault="008B0A8F" w:rsidP="00EB524E">
            <w:pPr>
              <w:widowControl w:val="0"/>
              <w:spacing w:before="40" w:after="40"/>
              <w:jc w:val="center"/>
              <w:rPr>
                <w:rFonts w:eastAsia="Songti SC" w:cs="Arial Unicode MS"/>
                <w:color w:val="000000" w:themeColor="text1"/>
                <w:kern w:val="2"/>
                <w:sz w:val="16"/>
                <w:szCs w:val="16"/>
                <w:lang w:val="en-US" w:bidi="hi-IN"/>
              </w:rPr>
            </w:pPr>
            <w:r>
              <w:rPr>
                <w:rFonts w:ascii="Wingdings" w:eastAsia="Wingdings" w:hAnsi="Wingdings" w:cs="Wingdings"/>
                <w:color w:val="000000" w:themeColor="text1"/>
                <w:kern w:val="2"/>
                <w:lang w:val="en-US" w:bidi="hi-IN"/>
              </w:rPr>
              <w:t></w:t>
            </w:r>
          </w:p>
        </w:tc>
      </w:tr>
      <w:tr w:rsidR="008B0A8F" w14:paraId="2836A26E" w14:textId="77777777" w:rsidTr="00EB524E">
        <w:trPr>
          <w:trHeight w:val="180"/>
          <w:jc w:val="center"/>
        </w:trPr>
        <w:tc>
          <w:tcPr>
            <w:tcW w:w="1160" w:type="dxa"/>
            <w:vMerge/>
            <w:tcBorders>
              <w:left w:val="single" w:sz="4" w:space="0" w:color="000000"/>
              <w:bottom w:val="single" w:sz="4" w:space="0" w:color="auto"/>
              <w:right w:val="single" w:sz="4" w:space="0" w:color="000000"/>
            </w:tcBorders>
          </w:tcPr>
          <w:p w14:paraId="5BE0FE5C" w14:textId="77777777" w:rsidR="008B0A8F" w:rsidRDefault="008B0A8F" w:rsidP="00EB524E">
            <w:pPr>
              <w:widowControl w:val="0"/>
              <w:spacing w:before="40" w:after="40"/>
              <w:jc w:val="center"/>
              <w:rPr>
                <w:rFonts w:eastAsia="Songti SC" w:cs="Arial Unicode MS"/>
                <w:color w:val="000000" w:themeColor="text1"/>
                <w:kern w:val="2"/>
                <w:sz w:val="18"/>
                <w:szCs w:val="18"/>
                <w:lang w:val="en-US" w:bidi="hi-IN"/>
              </w:rPr>
            </w:pP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14:paraId="618AFE8A" w14:textId="77777777" w:rsidR="008B0A8F" w:rsidRPr="004F0637" w:rsidRDefault="008B0A8F" w:rsidP="00EB524E">
            <w:pPr>
              <w:widowControl w:val="0"/>
              <w:spacing w:before="40" w:after="40"/>
              <w:jc w:val="center"/>
              <w:rPr>
                <w:rFonts w:ascii="Wingdings" w:eastAsia="Wingdings" w:hAnsi="Wingdings" w:cs="Wingdings"/>
                <w:color w:val="000000" w:themeColor="text1"/>
                <w:kern w:val="2"/>
                <w:lang w:val="en-US" w:bidi="hi-IN"/>
              </w:rPr>
            </w:pPr>
            <w:r w:rsidRPr="004F0637">
              <w:rPr>
                <w:rFonts w:eastAsia="Songti SC" w:cs="Arial Unicode MS"/>
                <w:color w:val="000000" w:themeColor="text1"/>
                <w:kern w:val="2"/>
                <w:sz w:val="18"/>
                <w:szCs w:val="18"/>
                <w:lang w:val="en-US" w:bidi="hi-IN"/>
              </w:rPr>
              <w:t xml:space="preserve">R = 0.705 / UC = 0.289 / C = 0.698   </w:t>
            </w:r>
          </w:p>
          <w:p w14:paraId="2C53DC49" w14:textId="77777777" w:rsidR="008B0A8F" w:rsidRPr="00971CF9" w:rsidRDefault="008B0A8F" w:rsidP="00EB524E">
            <w:pPr>
              <w:widowControl w:val="0"/>
              <w:spacing w:before="40" w:after="40"/>
              <w:jc w:val="center"/>
              <w:rPr>
                <w:color w:val="FF0000"/>
                <w:lang w:val="en-US"/>
              </w:rPr>
            </w:pPr>
            <w:proofErr w:type="spellStart"/>
            <w:r w:rsidRPr="004F0637">
              <w:rPr>
                <w:rFonts w:eastAsia="Songti SC" w:cs="Arial Unicode MS"/>
                <w:color w:val="000000" w:themeColor="text1"/>
                <w:kern w:val="2"/>
                <w:sz w:val="18"/>
                <w:szCs w:val="18"/>
                <w:lang w:val="en-US" w:bidi="hi-IN"/>
              </w:rPr>
              <w:t>OSCe</w:t>
            </w:r>
            <w:proofErr w:type="spellEnd"/>
            <w:r w:rsidRPr="004F0637">
              <w:rPr>
                <w:rFonts w:eastAsia="Songti SC" w:cs="Arial Unicode MS"/>
                <w:color w:val="000000" w:themeColor="text1"/>
                <w:kern w:val="2"/>
                <w:sz w:val="18"/>
                <w:szCs w:val="18"/>
                <w:lang w:val="en-US" w:bidi="hi-IN"/>
              </w:rPr>
              <w:t xml:space="preserve"> = 0.806 / OSCs = 0.710</w:t>
            </w:r>
          </w:p>
        </w:tc>
      </w:tr>
    </w:tbl>
    <w:p w14:paraId="0593FE13" w14:textId="53021B7E" w:rsidR="00BA06E4" w:rsidRPr="00146B55" w:rsidRDefault="008B0A8F" w:rsidP="00146B55">
      <w:pPr>
        <w:widowControl w:val="0"/>
        <w:spacing w:before="40" w:after="40"/>
        <w:ind w:left="170"/>
        <w:rPr>
          <w:color w:val="000000" w:themeColor="text1"/>
          <w:lang w:val="en-US"/>
        </w:rPr>
      </w:pPr>
      <w:r w:rsidRPr="004F0637">
        <w:rPr>
          <w:rFonts w:eastAsia="Songti SC" w:cs="Arial Unicode MS"/>
          <w:color w:val="000000"/>
          <w:kern w:val="2"/>
          <w:sz w:val="20"/>
          <w:szCs w:val="20"/>
          <w:lang w:val="en-US" w:eastAsia="zh-CN" w:bidi="hi-IN"/>
        </w:rPr>
        <w:t>Black circles “</w:t>
      </w:r>
      <w:r w:rsidRPr="004F0637">
        <w:rPr>
          <w:rFonts w:ascii="Wingdings" w:eastAsia="Wingdings" w:hAnsi="Wingdings" w:cs="Wingdings"/>
          <w:color w:val="000000"/>
          <w:kern w:val="2"/>
          <w:lang w:val="en-US" w:eastAsia="zh-CN" w:bidi="hi-IN"/>
        </w:rPr>
        <w:t></w:t>
      </w:r>
      <w:r w:rsidRPr="004F0637">
        <w:rPr>
          <w:rFonts w:eastAsia="Songti SC" w:cs="Arial Unicode MS"/>
          <w:color w:val="000000"/>
          <w:kern w:val="2"/>
          <w:sz w:val="20"/>
          <w:szCs w:val="20"/>
          <w:lang w:val="en-US" w:eastAsia="zh-CN" w:bidi="hi-IN"/>
        </w:rPr>
        <w:t xml:space="preserve">” indicate that companies implement these </w:t>
      </w:r>
      <w:r>
        <w:rPr>
          <w:rFonts w:eastAsia="Songti SC" w:cs="Arial Unicode MS"/>
          <w:color w:val="000000"/>
          <w:kern w:val="2"/>
          <w:sz w:val="20"/>
          <w:szCs w:val="20"/>
          <w:lang w:val="en-US" w:eastAsia="zh-CN" w:bidi="hi-IN"/>
        </w:rPr>
        <w:t>innovations</w:t>
      </w:r>
      <w:r w:rsidRPr="004F0637">
        <w:rPr>
          <w:rFonts w:eastAsia="Songti SC" w:cs="Arial Unicode MS"/>
          <w:color w:val="000000"/>
          <w:kern w:val="2"/>
          <w:sz w:val="20"/>
          <w:szCs w:val="20"/>
          <w:lang w:val="en-US" w:eastAsia="zh-CN" w:bidi="hi-IN"/>
        </w:rPr>
        <w:t>; unfilled circles “</w:t>
      </w:r>
      <w:r w:rsidRPr="004F0637">
        <w:rPr>
          <w:rFonts w:ascii="Wingdings" w:eastAsia="Wingdings" w:hAnsi="Wingdings" w:cs="Wingdings"/>
          <w:color w:val="000000"/>
          <w:kern w:val="2"/>
          <w:sz w:val="20"/>
          <w:szCs w:val="20"/>
          <w:lang w:val="en-US" w:eastAsia="zh-CN" w:bidi="hi-IN"/>
        </w:rPr>
        <w:t></w:t>
      </w:r>
      <w:r w:rsidRPr="004F0637">
        <w:rPr>
          <w:rFonts w:eastAsia="Songti SC" w:cs="Arial Unicode MS"/>
          <w:color w:val="000000"/>
          <w:kern w:val="2"/>
          <w:sz w:val="20"/>
          <w:szCs w:val="20"/>
          <w:lang w:val="en-US" w:eastAsia="zh-CN" w:bidi="hi-IN"/>
        </w:rPr>
        <w:t xml:space="preserve">” indicate that they do not implement these </w:t>
      </w:r>
      <w:r>
        <w:rPr>
          <w:rFonts w:eastAsia="Songti SC" w:cs="Arial Unicode MS"/>
          <w:color w:val="000000"/>
          <w:kern w:val="2"/>
          <w:sz w:val="20"/>
          <w:szCs w:val="20"/>
          <w:lang w:val="en-US" w:eastAsia="zh-CN" w:bidi="hi-IN"/>
        </w:rPr>
        <w:t>innovations</w:t>
      </w:r>
      <w:r w:rsidRPr="004F0637">
        <w:rPr>
          <w:rFonts w:eastAsia="Songti SC" w:cs="Arial Unicode MS"/>
          <w:color w:val="000000"/>
          <w:kern w:val="2"/>
          <w:sz w:val="20"/>
          <w:szCs w:val="20"/>
          <w:lang w:val="en-US" w:eastAsia="zh-CN" w:bidi="hi-IN"/>
        </w:rPr>
        <w:t>, and a hyphen “–” indicates indifference.</w:t>
      </w:r>
      <w:r w:rsidRPr="004F0637">
        <w:rPr>
          <w:rFonts w:ascii="Liberation Serif" w:eastAsia="Songti SC" w:hAnsi="Liberation Serif" w:cs="Arial Unicode MS"/>
          <w:color w:val="000000"/>
          <w:kern w:val="2"/>
          <w:lang w:val="en-US" w:eastAsia="zh-CN" w:bidi="hi-IN"/>
        </w:rPr>
        <w:t xml:space="preserve"> </w:t>
      </w:r>
      <w:r w:rsidRPr="004F0637">
        <w:rPr>
          <w:color w:val="000000"/>
          <w:sz w:val="20"/>
          <w:szCs w:val="20"/>
          <w:lang w:val="en-US"/>
        </w:rPr>
        <w:t>“C” means Consistency; “R” Raw coverage; “UC” Unique Cov</w:t>
      </w:r>
      <w:r>
        <w:rPr>
          <w:color w:val="000000"/>
          <w:sz w:val="20"/>
          <w:szCs w:val="20"/>
          <w:lang w:val="en-US"/>
        </w:rPr>
        <w:t>erage; “</w:t>
      </w:r>
      <w:proofErr w:type="spellStart"/>
      <w:r>
        <w:rPr>
          <w:color w:val="000000"/>
          <w:sz w:val="20"/>
          <w:szCs w:val="20"/>
          <w:lang w:val="en-US"/>
        </w:rPr>
        <w:t>OSCy</w:t>
      </w:r>
      <w:proofErr w:type="spellEnd"/>
      <w:r>
        <w:rPr>
          <w:color w:val="000000"/>
          <w:sz w:val="20"/>
          <w:szCs w:val="20"/>
          <w:lang w:val="en-US"/>
        </w:rPr>
        <w:t xml:space="preserve">”: Overall Solution </w:t>
      </w:r>
      <w:r w:rsidRPr="004F0637">
        <w:rPr>
          <w:color w:val="000000"/>
          <w:sz w:val="20"/>
          <w:szCs w:val="20"/>
          <w:lang w:val="en-US"/>
        </w:rPr>
        <w:t>Consistency; “</w:t>
      </w:r>
      <w:proofErr w:type="spellStart"/>
      <w:r w:rsidRPr="004F0637">
        <w:rPr>
          <w:color w:val="000000"/>
          <w:sz w:val="20"/>
          <w:szCs w:val="20"/>
          <w:lang w:val="en-US"/>
        </w:rPr>
        <w:t>OSCe</w:t>
      </w:r>
      <w:proofErr w:type="spellEnd"/>
      <w:r w:rsidRPr="004F0637">
        <w:rPr>
          <w:color w:val="000000"/>
          <w:sz w:val="20"/>
          <w:szCs w:val="20"/>
          <w:lang w:val="en-US"/>
        </w:rPr>
        <w:t>”: Overall Solution Coverage</w:t>
      </w:r>
    </w:p>
    <w:p w14:paraId="5BD666D2" w14:textId="77777777" w:rsidR="00BA06E4" w:rsidRPr="00BA6D11" w:rsidRDefault="00BA06E4" w:rsidP="00146B55">
      <w:pPr>
        <w:widowControl w:val="0"/>
        <w:spacing w:line="360" w:lineRule="auto"/>
        <w:jc w:val="center"/>
        <w:rPr>
          <w:lang w:val="en-US"/>
        </w:rPr>
      </w:pPr>
    </w:p>
    <w:p w14:paraId="69C975B0" w14:textId="72941CCC" w:rsidR="007C1FFB" w:rsidRPr="006A7A6E" w:rsidRDefault="007C1FFB" w:rsidP="00C24FEA">
      <w:pPr>
        <w:widowControl w:val="0"/>
        <w:spacing w:before="40" w:after="40"/>
        <w:rPr>
          <w:rFonts w:eastAsia="Songti SC" w:cs="Arial Unicode MS"/>
          <w:color w:val="000000" w:themeColor="text1"/>
          <w:kern w:val="2"/>
          <w:lang w:val="en-US" w:bidi="hi-IN"/>
        </w:rPr>
      </w:pPr>
    </w:p>
    <w:sectPr w:rsidR="007C1FFB" w:rsidRPr="006A7A6E" w:rsidSect="008D0369">
      <w:footerReference w:type="default" r:id="rId8"/>
      <w:pgSz w:w="11906" w:h="16838"/>
      <w:pgMar w:top="1440" w:right="1440" w:bottom="1440" w:left="1440"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E349" w14:textId="77777777" w:rsidR="00D6241E" w:rsidRDefault="00D6241E">
      <w:r>
        <w:separator/>
      </w:r>
    </w:p>
  </w:endnote>
  <w:endnote w:type="continuationSeparator" w:id="0">
    <w:p w14:paraId="03C416EF" w14:textId="77777777" w:rsidR="00D6241E" w:rsidRDefault="00D6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ngti SC">
    <w:panose1 w:val="02010600040101010101"/>
    <w:charset w:val="86"/>
    <w:family w:val="auto"/>
    <w:pitch w:val="variable"/>
    <w:sig w:usb0="00000287" w:usb1="080F0000" w:usb2="00000010" w:usb3="00000000" w:csb0="0004009F" w:csb1="00000000"/>
  </w:font>
  <w:font w:name="Liberation Seri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87957"/>
      <w:docPartObj>
        <w:docPartGallery w:val="Page Numbers (Bottom of Page)"/>
        <w:docPartUnique/>
      </w:docPartObj>
    </w:sdtPr>
    <w:sdtContent>
      <w:p w14:paraId="3A6F6681" w14:textId="27F93F45" w:rsidR="00E877E0" w:rsidRDefault="00E877E0">
        <w:pPr>
          <w:pStyle w:val="Piedepgina"/>
          <w:jc w:val="center"/>
        </w:pPr>
        <w:r>
          <w:fldChar w:fldCharType="begin"/>
        </w:r>
        <w:r>
          <w:instrText>PAGE</w:instrText>
        </w:r>
        <w:r>
          <w:fldChar w:fldCharType="separate"/>
        </w:r>
        <w:r>
          <w:rPr>
            <w:noProof/>
          </w:rPr>
          <w:t>20</w:t>
        </w:r>
        <w:r>
          <w:fldChar w:fldCharType="end"/>
        </w:r>
      </w:p>
      <w:p w14:paraId="5EBC276C" w14:textId="5AA87148" w:rsidR="00E877E0" w:rsidRDefault="0000000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2879" w14:textId="77777777" w:rsidR="00D6241E" w:rsidRDefault="00D6241E">
      <w:r>
        <w:separator/>
      </w:r>
    </w:p>
  </w:footnote>
  <w:footnote w:type="continuationSeparator" w:id="0">
    <w:p w14:paraId="0CD44360" w14:textId="77777777" w:rsidR="00D6241E" w:rsidRDefault="00D6241E">
      <w:r>
        <w:continuationSeparator/>
      </w:r>
    </w:p>
  </w:footnote>
  <w:footnote w:id="1">
    <w:p w14:paraId="2EEEEC78" w14:textId="0D1E74D3" w:rsidR="00E877E0" w:rsidRPr="00BA6D11" w:rsidRDefault="00E877E0">
      <w:pPr>
        <w:pStyle w:val="Textonotapie"/>
        <w:rPr>
          <w:lang w:val="en-US"/>
        </w:rPr>
      </w:pPr>
      <w:r w:rsidRPr="00246718">
        <w:rPr>
          <w:rStyle w:val="Refdenotaalpie"/>
        </w:rPr>
        <w:footnoteRef/>
      </w:r>
      <w:r w:rsidRPr="00BA6D11">
        <w:rPr>
          <w:lang w:val="en-US"/>
        </w:rPr>
        <w:t xml:space="preserve"> Part of our argument is also based on the fact that most case-study servitization research has largely analyzed firms in metal, machinery and hardware industries (NAICS 33). However, there are practically no cases in textile, food processing, chemical or pharmaceutical firms (NAICS 31 and 32). There seems to be less implementation of service innovations in those industries, which we interpret as firms in those industries finding service innovation less financially attractive.</w:t>
      </w:r>
    </w:p>
  </w:footnote>
  <w:footnote w:id="2">
    <w:p w14:paraId="6D293968" w14:textId="64746D6F" w:rsidR="00E877E0" w:rsidRPr="00BA6D11" w:rsidRDefault="00E877E0" w:rsidP="004A5384">
      <w:pPr>
        <w:pStyle w:val="Textonotapie"/>
        <w:rPr>
          <w:lang w:val="en-US"/>
        </w:rPr>
      </w:pPr>
      <w:r>
        <w:rPr>
          <w:rStyle w:val="Refdenotaalpie"/>
        </w:rPr>
        <w:footnoteRef/>
      </w:r>
      <w:r w:rsidRPr="00BA6D11">
        <w:rPr>
          <w:lang w:val="en-US"/>
        </w:rPr>
        <w:t xml:space="preserve"> </w:t>
      </w:r>
      <w:r w:rsidRPr="00156E24">
        <w:rPr>
          <w:lang w:val="en-US"/>
        </w:rPr>
        <w:t xml:space="preserve">Table 3 shows </w:t>
      </w:r>
      <w:r>
        <w:rPr>
          <w:lang w:val="en-US"/>
        </w:rPr>
        <w:t xml:space="preserve">only </w:t>
      </w:r>
      <w:r w:rsidRPr="00156E24">
        <w:rPr>
          <w:lang w:val="en-US"/>
        </w:rPr>
        <w:t>the configurations with consistency values above the threshold value of 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431"/>
    <w:multiLevelType w:val="multilevel"/>
    <w:tmpl w:val="FEE091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36568E"/>
    <w:multiLevelType w:val="multilevel"/>
    <w:tmpl w:val="A614DE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6B0DF4"/>
    <w:multiLevelType w:val="multilevel"/>
    <w:tmpl w:val="DD12BB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B3129B"/>
    <w:multiLevelType w:val="hybridMultilevel"/>
    <w:tmpl w:val="EE82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20BDA"/>
    <w:multiLevelType w:val="hybridMultilevel"/>
    <w:tmpl w:val="AB822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7168865">
    <w:abstractNumId w:val="2"/>
  </w:num>
  <w:num w:numId="2" w16cid:durableId="1003169205">
    <w:abstractNumId w:val="1"/>
  </w:num>
  <w:num w:numId="3" w16cid:durableId="510339378">
    <w:abstractNumId w:val="3"/>
  </w:num>
  <w:num w:numId="4" w16cid:durableId="830371482">
    <w:abstractNumId w:val="0"/>
  </w:num>
  <w:num w:numId="5" w16cid:durableId="478108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18"/>
    <w:rsid w:val="00001149"/>
    <w:rsid w:val="000061E9"/>
    <w:rsid w:val="00007B47"/>
    <w:rsid w:val="00010C6C"/>
    <w:rsid w:val="0002105D"/>
    <w:rsid w:val="000252B0"/>
    <w:rsid w:val="00026635"/>
    <w:rsid w:val="00034905"/>
    <w:rsid w:val="00035858"/>
    <w:rsid w:val="00035EF3"/>
    <w:rsid w:val="00036F0C"/>
    <w:rsid w:val="00042AC5"/>
    <w:rsid w:val="0004382B"/>
    <w:rsid w:val="00046232"/>
    <w:rsid w:val="00046822"/>
    <w:rsid w:val="0005619A"/>
    <w:rsid w:val="0005688E"/>
    <w:rsid w:val="00060BED"/>
    <w:rsid w:val="000711C8"/>
    <w:rsid w:val="00081E1D"/>
    <w:rsid w:val="00083068"/>
    <w:rsid w:val="0008460B"/>
    <w:rsid w:val="00084C82"/>
    <w:rsid w:val="000939D0"/>
    <w:rsid w:val="00095214"/>
    <w:rsid w:val="00096520"/>
    <w:rsid w:val="0009660E"/>
    <w:rsid w:val="00097999"/>
    <w:rsid w:val="000A42E5"/>
    <w:rsid w:val="000A67B8"/>
    <w:rsid w:val="000B3259"/>
    <w:rsid w:val="000B4178"/>
    <w:rsid w:val="000C0111"/>
    <w:rsid w:val="000C5486"/>
    <w:rsid w:val="000C553F"/>
    <w:rsid w:val="000C5642"/>
    <w:rsid w:val="000C5C2D"/>
    <w:rsid w:val="000C5D9D"/>
    <w:rsid w:val="000C5DEF"/>
    <w:rsid w:val="000C6090"/>
    <w:rsid w:val="000C61AE"/>
    <w:rsid w:val="000C6CB7"/>
    <w:rsid w:val="000D0594"/>
    <w:rsid w:val="000D0F5D"/>
    <w:rsid w:val="000D3452"/>
    <w:rsid w:val="000D45D8"/>
    <w:rsid w:val="000E53CD"/>
    <w:rsid w:val="000F01BF"/>
    <w:rsid w:val="000F3BE2"/>
    <w:rsid w:val="000F4F61"/>
    <w:rsid w:val="00104B4E"/>
    <w:rsid w:val="00110CBA"/>
    <w:rsid w:val="00115516"/>
    <w:rsid w:val="0011598B"/>
    <w:rsid w:val="00117EF6"/>
    <w:rsid w:val="00121496"/>
    <w:rsid w:val="00122DB0"/>
    <w:rsid w:val="0012304F"/>
    <w:rsid w:val="001245FD"/>
    <w:rsid w:val="001254F8"/>
    <w:rsid w:val="00127D5C"/>
    <w:rsid w:val="00130C49"/>
    <w:rsid w:val="00130D49"/>
    <w:rsid w:val="00137F46"/>
    <w:rsid w:val="0014597F"/>
    <w:rsid w:val="00146B55"/>
    <w:rsid w:val="0015002A"/>
    <w:rsid w:val="0015139F"/>
    <w:rsid w:val="00151EEB"/>
    <w:rsid w:val="0015344C"/>
    <w:rsid w:val="00156551"/>
    <w:rsid w:val="00164426"/>
    <w:rsid w:val="00164B04"/>
    <w:rsid w:val="00166695"/>
    <w:rsid w:val="00166E67"/>
    <w:rsid w:val="00171025"/>
    <w:rsid w:val="00175B53"/>
    <w:rsid w:val="001774CD"/>
    <w:rsid w:val="00180ECF"/>
    <w:rsid w:val="00186876"/>
    <w:rsid w:val="001A3C51"/>
    <w:rsid w:val="001A3CD9"/>
    <w:rsid w:val="001B23CC"/>
    <w:rsid w:val="001C2E31"/>
    <w:rsid w:val="001C5CF2"/>
    <w:rsid w:val="001C61FB"/>
    <w:rsid w:val="001D52F4"/>
    <w:rsid w:val="001E13EF"/>
    <w:rsid w:val="001E1B1E"/>
    <w:rsid w:val="001E5910"/>
    <w:rsid w:val="001E7267"/>
    <w:rsid w:val="001E77ED"/>
    <w:rsid w:val="001F3C30"/>
    <w:rsid w:val="001F4881"/>
    <w:rsid w:val="00200BD0"/>
    <w:rsid w:val="00201655"/>
    <w:rsid w:val="00203E39"/>
    <w:rsid w:val="00206CFB"/>
    <w:rsid w:val="00206DE7"/>
    <w:rsid w:val="00206EE3"/>
    <w:rsid w:val="00210E5D"/>
    <w:rsid w:val="00212C72"/>
    <w:rsid w:val="002222BA"/>
    <w:rsid w:val="0022375D"/>
    <w:rsid w:val="00226017"/>
    <w:rsid w:val="002303E6"/>
    <w:rsid w:val="00234361"/>
    <w:rsid w:val="00234A5D"/>
    <w:rsid w:val="00236D23"/>
    <w:rsid w:val="00241CBA"/>
    <w:rsid w:val="00244131"/>
    <w:rsid w:val="0024425A"/>
    <w:rsid w:val="00244598"/>
    <w:rsid w:val="002455DB"/>
    <w:rsid w:val="00246718"/>
    <w:rsid w:val="00247890"/>
    <w:rsid w:val="00253AC1"/>
    <w:rsid w:val="00253E8E"/>
    <w:rsid w:val="00267BBC"/>
    <w:rsid w:val="00267C6D"/>
    <w:rsid w:val="00270916"/>
    <w:rsid w:val="0027180F"/>
    <w:rsid w:val="00274A1E"/>
    <w:rsid w:val="00274BF5"/>
    <w:rsid w:val="00276AEB"/>
    <w:rsid w:val="0028083F"/>
    <w:rsid w:val="00282035"/>
    <w:rsid w:val="00283F57"/>
    <w:rsid w:val="00285C9B"/>
    <w:rsid w:val="00286E19"/>
    <w:rsid w:val="002873EC"/>
    <w:rsid w:val="002914FD"/>
    <w:rsid w:val="0029250D"/>
    <w:rsid w:val="00293307"/>
    <w:rsid w:val="002935D1"/>
    <w:rsid w:val="002B64F2"/>
    <w:rsid w:val="002C0EE2"/>
    <w:rsid w:val="002C20BE"/>
    <w:rsid w:val="002C615B"/>
    <w:rsid w:val="002D34DC"/>
    <w:rsid w:val="002D3552"/>
    <w:rsid w:val="002D7641"/>
    <w:rsid w:val="002E039F"/>
    <w:rsid w:val="002E1A4F"/>
    <w:rsid w:val="002E40A0"/>
    <w:rsid w:val="002E6FF5"/>
    <w:rsid w:val="002F0A2D"/>
    <w:rsid w:val="002F30CA"/>
    <w:rsid w:val="002F42BE"/>
    <w:rsid w:val="0030277F"/>
    <w:rsid w:val="00303858"/>
    <w:rsid w:val="003047E1"/>
    <w:rsid w:val="00310BF7"/>
    <w:rsid w:val="003165FF"/>
    <w:rsid w:val="00316AF3"/>
    <w:rsid w:val="00316B8F"/>
    <w:rsid w:val="003207D8"/>
    <w:rsid w:val="00322B4F"/>
    <w:rsid w:val="00326BD6"/>
    <w:rsid w:val="00330000"/>
    <w:rsid w:val="0033027C"/>
    <w:rsid w:val="00334388"/>
    <w:rsid w:val="00336A08"/>
    <w:rsid w:val="00341032"/>
    <w:rsid w:val="003422E2"/>
    <w:rsid w:val="0034296F"/>
    <w:rsid w:val="00345EA9"/>
    <w:rsid w:val="00346DAA"/>
    <w:rsid w:val="0035085D"/>
    <w:rsid w:val="0036003D"/>
    <w:rsid w:val="0037380F"/>
    <w:rsid w:val="00375B5F"/>
    <w:rsid w:val="003760FE"/>
    <w:rsid w:val="00376290"/>
    <w:rsid w:val="00376E88"/>
    <w:rsid w:val="00377318"/>
    <w:rsid w:val="00381D53"/>
    <w:rsid w:val="003848D6"/>
    <w:rsid w:val="003864A7"/>
    <w:rsid w:val="00386676"/>
    <w:rsid w:val="00395131"/>
    <w:rsid w:val="003B1398"/>
    <w:rsid w:val="003B3EE8"/>
    <w:rsid w:val="003B5258"/>
    <w:rsid w:val="003B6407"/>
    <w:rsid w:val="003C2A60"/>
    <w:rsid w:val="003C6F31"/>
    <w:rsid w:val="003C737F"/>
    <w:rsid w:val="003C73E8"/>
    <w:rsid w:val="003C75AF"/>
    <w:rsid w:val="003D2E0D"/>
    <w:rsid w:val="003D4B6F"/>
    <w:rsid w:val="003E3530"/>
    <w:rsid w:val="003E6ACB"/>
    <w:rsid w:val="003F023A"/>
    <w:rsid w:val="003F1A7C"/>
    <w:rsid w:val="003F7357"/>
    <w:rsid w:val="003F7963"/>
    <w:rsid w:val="00402868"/>
    <w:rsid w:val="00402E96"/>
    <w:rsid w:val="00405250"/>
    <w:rsid w:val="004054E4"/>
    <w:rsid w:val="0040768E"/>
    <w:rsid w:val="00413A8C"/>
    <w:rsid w:val="00413F55"/>
    <w:rsid w:val="00415F12"/>
    <w:rsid w:val="00416692"/>
    <w:rsid w:val="00423158"/>
    <w:rsid w:val="00424ECF"/>
    <w:rsid w:val="00426847"/>
    <w:rsid w:val="00426F92"/>
    <w:rsid w:val="00430CF5"/>
    <w:rsid w:val="00433727"/>
    <w:rsid w:val="0043646A"/>
    <w:rsid w:val="00446D74"/>
    <w:rsid w:val="00447347"/>
    <w:rsid w:val="004564B8"/>
    <w:rsid w:val="00457ECE"/>
    <w:rsid w:val="00462241"/>
    <w:rsid w:val="00470338"/>
    <w:rsid w:val="00471388"/>
    <w:rsid w:val="00473B9E"/>
    <w:rsid w:val="0048228C"/>
    <w:rsid w:val="00482353"/>
    <w:rsid w:val="004931E9"/>
    <w:rsid w:val="00497FE4"/>
    <w:rsid w:val="004A087B"/>
    <w:rsid w:val="004A1A0B"/>
    <w:rsid w:val="004A5384"/>
    <w:rsid w:val="004A62B9"/>
    <w:rsid w:val="004B0A2C"/>
    <w:rsid w:val="004B3E81"/>
    <w:rsid w:val="004B4F6B"/>
    <w:rsid w:val="004B7B0E"/>
    <w:rsid w:val="004C0750"/>
    <w:rsid w:val="004C51F5"/>
    <w:rsid w:val="004C7E68"/>
    <w:rsid w:val="004D1521"/>
    <w:rsid w:val="004D2A6F"/>
    <w:rsid w:val="004D4F83"/>
    <w:rsid w:val="004D690B"/>
    <w:rsid w:val="004E4635"/>
    <w:rsid w:val="004E5ECF"/>
    <w:rsid w:val="004E6EF4"/>
    <w:rsid w:val="004F2551"/>
    <w:rsid w:val="004F2835"/>
    <w:rsid w:val="004F3D3A"/>
    <w:rsid w:val="004F4123"/>
    <w:rsid w:val="004F6CDA"/>
    <w:rsid w:val="00505A46"/>
    <w:rsid w:val="005067E7"/>
    <w:rsid w:val="00506E42"/>
    <w:rsid w:val="00507752"/>
    <w:rsid w:val="00510661"/>
    <w:rsid w:val="005124ED"/>
    <w:rsid w:val="00514AF1"/>
    <w:rsid w:val="00523F0E"/>
    <w:rsid w:val="005258C8"/>
    <w:rsid w:val="0052598B"/>
    <w:rsid w:val="00526D80"/>
    <w:rsid w:val="00531814"/>
    <w:rsid w:val="00531AAC"/>
    <w:rsid w:val="005360B4"/>
    <w:rsid w:val="005445A8"/>
    <w:rsid w:val="00552298"/>
    <w:rsid w:val="00557E63"/>
    <w:rsid w:val="00565C43"/>
    <w:rsid w:val="00566829"/>
    <w:rsid w:val="00566BE2"/>
    <w:rsid w:val="0057019A"/>
    <w:rsid w:val="00572664"/>
    <w:rsid w:val="00584539"/>
    <w:rsid w:val="00584973"/>
    <w:rsid w:val="0059260B"/>
    <w:rsid w:val="00593541"/>
    <w:rsid w:val="00595F67"/>
    <w:rsid w:val="005A023B"/>
    <w:rsid w:val="005A1C53"/>
    <w:rsid w:val="005A1D73"/>
    <w:rsid w:val="005A5379"/>
    <w:rsid w:val="005B1AF9"/>
    <w:rsid w:val="005B55EF"/>
    <w:rsid w:val="005C0DE0"/>
    <w:rsid w:val="005C270B"/>
    <w:rsid w:val="005D3AB6"/>
    <w:rsid w:val="005D4239"/>
    <w:rsid w:val="005E096F"/>
    <w:rsid w:val="005E0F15"/>
    <w:rsid w:val="005E2D61"/>
    <w:rsid w:val="005E340A"/>
    <w:rsid w:val="005E6D2C"/>
    <w:rsid w:val="005E7661"/>
    <w:rsid w:val="005F2814"/>
    <w:rsid w:val="005F2BE4"/>
    <w:rsid w:val="005F376A"/>
    <w:rsid w:val="005F778C"/>
    <w:rsid w:val="0060170D"/>
    <w:rsid w:val="00602E02"/>
    <w:rsid w:val="00603BC5"/>
    <w:rsid w:val="00603F19"/>
    <w:rsid w:val="0060508E"/>
    <w:rsid w:val="00610733"/>
    <w:rsid w:val="00627CA4"/>
    <w:rsid w:val="0064147E"/>
    <w:rsid w:val="00644C44"/>
    <w:rsid w:val="00646B85"/>
    <w:rsid w:val="00647C72"/>
    <w:rsid w:val="00650754"/>
    <w:rsid w:val="00650EBD"/>
    <w:rsid w:val="006531BD"/>
    <w:rsid w:val="006574D0"/>
    <w:rsid w:val="00657658"/>
    <w:rsid w:val="00660FFD"/>
    <w:rsid w:val="00662061"/>
    <w:rsid w:val="00663585"/>
    <w:rsid w:val="00664A2E"/>
    <w:rsid w:val="00665307"/>
    <w:rsid w:val="00665958"/>
    <w:rsid w:val="00667227"/>
    <w:rsid w:val="00667F2B"/>
    <w:rsid w:val="0067500C"/>
    <w:rsid w:val="0067620B"/>
    <w:rsid w:val="00677DE3"/>
    <w:rsid w:val="00680C99"/>
    <w:rsid w:val="00683961"/>
    <w:rsid w:val="00687785"/>
    <w:rsid w:val="00690E99"/>
    <w:rsid w:val="00696B45"/>
    <w:rsid w:val="006A1778"/>
    <w:rsid w:val="006A1887"/>
    <w:rsid w:val="006A3D6F"/>
    <w:rsid w:val="006A65A0"/>
    <w:rsid w:val="006A6D5D"/>
    <w:rsid w:val="006A7A6E"/>
    <w:rsid w:val="006B038E"/>
    <w:rsid w:val="006B0468"/>
    <w:rsid w:val="006B3C02"/>
    <w:rsid w:val="006B5E96"/>
    <w:rsid w:val="006B60FB"/>
    <w:rsid w:val="006B6DBB"/>
    <w:rsid w:val="006D3ABC"/>
    <w:rsid w:val="006D70FA"/>
    <w:rsid w:val="006E2F71"/>
    <w:rsid w:val="006F0531"/>
    <w:rsid w:val="006F7641"/>
    <w:rsid w:val="00707CCF"/>
    <w:rsid w:val="007107F9"/>
    <w:rsid w:val="007117DF"/>
    <w:rsid w:val="00716CEC"/>
    <w:rsid w:val="007172D0"/>
    <w:rsid w:val="00721568"/>
    <w:rsid w:val="00724532"/>
    <w:rsid w:val="00726A3C"/>
    <w:rsid w:val="00726AC6"/>
    <w:rsid w:val="00741B32"/>
    <w:rsid w:val="00753D85"/>
    <w:rsid w:val="00754D33"/>
    <w:rsid w:val="0075530C"/>
    <w:rsid w:val="0075635C"/>
    <w:rsid w:val="00757A1E"/>
    <w:rsid w:val="00767226"/>
    <w:rsid w:val="00775668"/>
    <w:rsid w:val="007812E5"/>
    <w:rsid w:val="00782E9D"/>
    <w:rsid w:val="0079157D"/>
    <w:rsid w:val="00793502"/>
    <w:rsid w:val="00794F5D"/>
    <w:rsid w:val="007962AD"/>
    <w:rsid w:val="007B2D20"/>
    <w:rsid w:val="007B3661"/>
    <w:rsid w:val="007B4C70"/>
    <w:rsid w:val="007B5BDB"/>
    <w:rsid w:val="007B6CD0"/>
    <w:rsid w:val="007B704F"/>
    <w:rsid w:val="007C1FFB"/>
    <w:rsid w:val="007C3C65"/>
    <w:rsid w:val="007C6AAF"/>
    <w:rsid w:val="007D1863"/>
    <w:rsid w:val="007D4308"/>
    <w:rsid w:val="007D4F43"/>
    <w:rsid w:val="007D5DF6"/>
    <w:rsid w:val="007E10FB"/>
    <w:rsid w:val="007E14F7"/>
    <w:rsid w:val="007E67D4"/>
    <w:rsid w:val="007F4A6B"/>
    <w:rsid w:val="00801061"/>
    <w:rsid w:val="00802ABF"/>
    <w:rsid w:val="00802BCE"/>
    <w:rsid w:val="00807840"/>
    <w:rsid w:val="008164F0"/>
    <w:rsid w:val="008169B0"/>
    <w:rsid w:val="0081732A"/>
    <w:rsid w:val="008175AF"/>
    <w:rsid w:val="008233AA"/>
    <w:rsid w:val="00826E7E"/>
    <w:rsid w:val="00832D50"/>
    <w:rsid w:val="008448D2"/>
    <w:rsid w:val="00844BFD"/>
    <w:rsid w:val="00857D2F"/>
    <w:rsid w:val="0086201D"/>
    <w:rsid w:val="00871ED4"/>
    <w:rsid w:val="00873712"/>
    <w:rsid w:val="008741BA"/>
    <w:rsid w:val="00874610"/>
    <w:rsid w:val="00874CF4"/>
    <w:rsid w:val="00880395"/>
    <w:rsid w:val="00891B09"/>
    <w:rsid w:val="0089706E"/>
    <w:rsid w:val="008A43D5"/>
    <w:rsid w:val="008A4CAC"/>
    <w:rsid w:val="008A772A"/>
    <w:rsid w:val="008B0A8F"/>
    <w:rsid w:val="008B1E09"/>
    <w:rsid w:val="008B3033"/>
    <w:rsid w:val="008C0583"/>
    <w:rsid w:val="008C06D9"/>
    <w:rsid w:val="008C3BEB"/>
    <w:rsid w:val="008C5AA8"/>
    <w:rsid w:val="008C7F7F"/>
    <w:rsid w:val="008D0369"/>
    <w:rsid w:val="008D0BE0"/>
    <w:rsid w:val="008D3F8A"/>
    <w:rsid w:val="008E2B17"/>
    <w:rsid w:val="008E36CC"/>
    <w:rsid w:val="008E3FAD"/>
    <w:rsid w:val="008E5D7F"/>
    <w:rsid w:val="008F291D"/>
    <w:rsid w:val="008F4352"/>
    <w:rsid w:val="008F6BEA"/>
    <w:rsid w:val="008F7198"/>
    <w:rsid w:val="008F7DD1"/>
    <w:rsid w:val="00900E7B"/>
    <w:rsid w:val="00903DC3"/>
    <w:rsid w:val="00915938"/>
    <w:rsid w:val="00915C35"/>
    <w:rsid w:val="00916E34"/>
    <w:rsid w:val="0091747B"/>
    <w:rsid w:val="00922E8D"/>
    <w:rsid w:val="00923328"/>
    <w:rsid w:val="0093047D"/>
    <w:rsid w:val="00930E7D"/>
    <w:rsid w:val="00932126"/>
    <w:rsid w:val="00932312"/>
    <w:rsid w:val="00932601"/>
    <w:rsid w:val="00934183"/>
    <w:rsid w:val="00936ED4"/>
    <w:rsid w:val="00936F83"/>
    <w:rsid w:val="009431AB"/>
    <w:rsid w:val="00943719"/>
    <w:rsid w:val="0094639A"/>
    <w:rsid w:val="00950AAD"/>
    <w:rsid w:val="00957701"/>
    <w:rsid w:val="00957D08"/>
    <w:rsid w:val="00961A5D"/>
    <w:rsid w:val="009624FC"/>
    <w:rsid w:val="00963BE0"/>
    <w:rsid w:val="00963FB4"/>
    <w:rsid w:val="0096742D"/>
    <w:rsid w:val="00967847"/>
    <w:rsid w:val="00971CF9"/>
    <w:rsid w:val="00973E09"/>
    <w:rsid w:val="00985FB1"/>
    <w:rsid w:val="0099110D"/>
    <w:rsid w:val="009A1483"/>
    <w:rsid w:val="009A29BE"/>
    <w:rsid w:val="009A35D3"/>
    <w:rsid w:val="009A60C5"/>
    <w:rsid w:val="009B0395"/>
    <w:rsid w:val="009B2950"/>
    <w:rsid w:val="009B42A8"/>
    <w:rsid w:val="009B64C6"/>
    <w:rsid w:val="009C434C"/>
    <w:rsid w:val="009D06F2"/>
    <w:rsid w:val="009D37B6"/>
    <w:rsid w:val="009E23FB"/>
    <w:rsid w:val="009E30E9"/>
    <w:rsid w:val="009E4598"/>
    <w:rsid w:val="009E521F"/>
    <w:rsid w:val="009E6F00"/>
    <w:rsid w:val="009E7FEE"/>
    <w:rsid w:val="009F390E"/>
    <w:rsid w:val="009F57CC"/>
    <w:rsid w:val="009F7686"/>
    <w:rsid w:val="00A02D4F"/>
    <w:rsid w:val="00A16311"/>
    <w:rsid w:val="00A22A34"/>
    <w:rsid w:val="00A23443"/>
    <w:rsid w:val="00A24D0B"/>
    <w:rsid w:val="00A31899"/>
    <w:rsid w:val="00A33539"/>
    <w:rsid w:val="00A338E7"/>
    <w:rsid w:val="00A3503C"/>
    <w:rsid w:val="00A4256D"/>
    <w:rsid w:val="00A4295B"/>
    <w:rsid w:val="00A43FAC"/>
    <w:rsid w:val="00A449DC"/>
    <w:rsid w:val="00A45E09"/>
    <w:rsid w:val="00A52312"/>
    <w:rsid w:val="00A52DA0"/>
    <w:rsid w:val="00A55272"/>
    <w:rsid w:val="00A60B98"/>
    <w:rsid w:val="00A60CB6"/>
    <w:rsid w:val="00A73429"/>
    <w:rsid w:val="00A81548"/>
    <w:rsid w:val="00A8412F"/>
    <w:rsid w:val="00A847A5"/>
    <w:rsid w:val="00A8586B"/>
    <w:rsid w:val="00A867AB"/>
    <w:rsid w:val="00A90732"/>
    <w:rsid w:val="00A90748"/>
    <w:rsid w:val="00A90C1F"/>
    <w:rsid w:val="00A93518"/>
    <w:rsid w:val="00A97EAC"/>
    <w:rsid w:val="00AA081E"/>
    <w:rsid w:val="00AA2AE4"/>
    <w:rsid w:val="00AB17C5"/>
    <w:rsid w:val="00AB6AE2"/>
    <w:rsid w:val="00AB79BB"/>
    <w:rsid w:val="00AC5334"/>
    <w:rsid w:val="00AD512C"/>
    <w:rsid w:val="00AD5B43"/>
    <w:rsid w:val="00AE5AA3"/>
    <w:rsid w:val="00AE5E9F"/>
    <w:rsid w:val="00AE7526"/>
    <w:rsid w:val="00AE7F57"/>
    <w:rsid w:val="00AF3C0F"/>
    <w:rsid w:val="00AF43D9"/>
    <w:rsid w:val="00AF5142"/>
    <w:rsid w:val="00B0027D"/>
    <w:rsid w:val="00B007FB"/>
    <w:rsid w:val="00B00F98"/>
    <w:rsid w:val="00B01BFE"/>
    <w:rsid w:val="00B04E21"/>
    <w:rsid w:val="00B07E47"/>
    <w:rsid w:val="00B154E9"/>
    <w:rsid w:val="00B169E4"/>
    <w:rsid w:val="00B245A7"/>
    <w:rsid w:val="00B26DD2"/>
    <w:rsid w:val="00B2741E"/>
    <w:rsid w:val="00B27BED"/>
    <w:rsid w:val="00B27C19"/>
    <w:rsid w:val="00B31F18"/>
    <w:rsid w:val="00B322EA"/>
    <w:rsid w:val="00B337E3"/>
    <w:rsid w:val="00B36D3E"/>
    <w:rsid w:val="00B41BD4"/>
    <w:rsid w:val="00B427FF"/>
    <w:rsid w:val="00B4751E"/>
    <w:rsid w:val="00B54A8E"/>
    <w:rsid w:val="00B60158"/>
    <w:rsid w:val="00B63536"/>
    <w:rsid w:val="00B65AFA"/>
    <w:rsid w:val="00B701FC"/>
    <w:rsid w:val="00B7192A"/>
    <w:rsid w:val="00B800A1"/>
    <w:rsid w:val="00B86E79"/>
    <w:rsid w:val="00B90F5C"/>
    <w:rsid w:val="00B911E8"/>
    <w:rsid w:val="00B95F6D"/>
    <w:rsid w:val="00B96D17"/>
    <w:rsid w:val="00BA018B"/>
    <w:rsid w:val="00BA06E4"/>
    <w:rsid w:val="00BA6D11"/>
    <w:rsid w:val="00BB3D6E"/>
    <w:rsid w:val="00BB78F6"/>
    <w:rsid w:val="00BB7B09"/>
    <w:rsid w:val="00BC0DB4"/>
    <w:rsid w:val="00BC545A"/>
    <w:rsid w:val="00BD0875"/>
    <w:rsid w:val="00BD15A1"/>
    <w:rsid w:val="00BD1EE2"/>
    <w:rsid w:val="00BD4C21"/>
    <w:rsid w:val="00BE38FF"/>
    <w:rsid w:val="00BE7C80"/>
    <w:rsid w:val="00BF3556"/>
    <w:rsid w:val="00BF3702"/>
    <w:rsid w:val="00BF7EE0"/>
    <w:rsid w:val="00C00AD8"/>
    <w:rsid w:val="00C02288"/>
    <w:rsid w:val="00C03300"/>
    <w:rsid w:val="00C04766"/>
    <w:rsid w:val="00C0643C"/>
    <w:rsid w:val="00C07036"/>
    <w:rsid w:val="00C10B9A"/>
    <w:rsid w:val="00C144DD"/>
    <w:rsid w:val="00C16174"/>
    <w:rsid w:val="00C2199E"/>
    <w:rsid w:val="00C22427"/>
    <w:rsid w:val="00C24608"/>
    <w:rsid w:val="00C24FEA"/>
    <w:rsid w:val="00C30634"/>
    <w:rsid w:val="00C33B00"/>
    <w:rsid w:val="00C37B00"/>
    <w:rsid w:val="00C51A42"/>
    <w:rsid w:val="00C53E6E"/>
    <w:rsid w:val="00C54A11"/>
    <w:rsid w:val="00C54B13"/>
    <w:rsid w:val="00C607E8"/>
    <w:rsid w:val="00C64A47"/>
    <w:rsid w:val="00C701A0"/>
    <w:rsid w:val="00C70C7E"/>
    <w:rsid w:val="00C717B8"/>
    <w:rsid w:val="00C75FAB"/>
    <w:rsid w:val="00C8054E"/>
    <w:rsid w:val="00C82734"/>
    <w:rsid w:val="00C8492B"/>
    <w:rsid w:val="00C87645"/>
    <w:rsid w:val="00C91A59"/>
    <w:rsid w:val="00C91C0D"/>
    <w:rsid w:val="00C94F52"/>
    <w:rsid w:val="00C95AEE"/>
    <w:rsid w:val="00C96701"/>
    <w:rsid w:val="00C97129"/>
    <w:rsid w:val="00CA3F39"/>
    <w:rsid w:val="00CA4288"/>
    <w:rsid w:val="00CB32D5"/>
    <w:rsid w:val="00CB6014"/>
    <w:rsid w:val="00CC1078"/>
    <w:rsid w:val="00CC1A3B"/>
    <w:rsid w:val="00CC273A"/>
    <w:rsid w:val="00CD0CFA"/>
    <w:rsid w:val="00CD2795"/>
    <w:rsid w:val="00CD4435"/>
    <w:rsid w:val="00CD4781"/>
    <w:rsid w:val="00CE46C3"/>
    <w:rsid w:val="00CE515E"/>
    <w:rsid w:val="00CE6CBD"/>
    <w:rsid w:val="00CF5C25"/>
    <w:rsid w:val="00D00186"/>
    <w:rsid w:val="00D02012"/>
    <w:rsid w:val="00D020DC"/>
    <w:rsid w:val="00D12CD3"/>
    <w:rsid w:val="00D13385"/>
    <w:rsid w:val="00D2013A"/>
    <w:rsid w:val="00D22B98"/>
    <w:rsid w:val="00D3642C"/>
    <w:rsid w:val="00D40835"/>
    <w:rsid w:val="00D43CB2"/>
    <w:rsid w:val="00D43F7E"/>
    <w:rsid w:val="00D46787"/>
    <w:rsid w:val="00D512C3"/>
    <w:rsid w:val="00D53FE1"/>
    <w:rsid w:val="00D553FD"/>
    <w:rsid w:val="00D557C1"/>
    <w:rsid w:val="00D578D6"/>
    <w:rsid w:val="00D60275"/>
    <w:rsid w:val="00D6145B"/>
    <w:rsid w:val="00D621EA"/>
    <w:rsid w:val="00D6223F"/>
    <w:rsid w:val="00D6241E"/>
    <w:rsid w:val="00D62499"/>
    <w:rsid w:val="00D6634E"/>
    <w:rsid w:val="00D73171"/>
    <w:rsid w:val="00D777FC"/>
    <w:rsid w:val="00D83273"/>
    <w:rsid w:val="00D83BA7"/>
    <w:rsid w:val="00D84045"/>
    <w:rsid w:val="00D85310"/>
    <w:rsid w:val="00D940B2"/>
    <w:rsid w:val="00D957D1"/>
    <w:rsid w:val="00D976C3"/>
    <w:rsid w:val="00DA0805"/>
    <w:rsid w:val="00DA3550"/>
    <w:rsid w:val="00DA4854"/>
    <w:rsid w:val="00DB618C"/>
    <w:rsid w:val="00DB646B"/>
    <w:rsid w:val="00DB7077"/>
    <w:rsid w:val="00DB7882"/>
    <w:rsid w:val="00DB7E8C"/>
    <w:rsid w:val="00DC02FA"/>
    <w:rsid w:val="00DC04EC"/>
    <w:rsid w:val="00DC2F14"/>
    <w:rsid w:val="00DC4A8E"/>
    <w:rsid w:val="00DD0341"/>
    <w:rsid w:val="00DD56D4"/>
    <w:rsid w:val="00DE0B3A"/>
    <w:rsid w:val="00DE1BBE"/>
    <w:rsid w:val="00DE2C36"/>
    <w:rsid w:val="00DE38D8"/>
    <w:rsid w:val="00DE4850"/>
    <w:rsid w:val="00DE6A59"/>
    <w:rsid w:val="00DF46A1"/>
    <w:rsid w:val="00E01BB4"/>
    <w:rsid w:val="00E04CEC"/>
    <w:rsid w:val="00E064CA"/>
    <w:rsid w:val="00E10824"/>
    <w:rsid w:val="00E111BE"/>
    <w:rsid w:val="00E12A4A"/>
    <w:rsid w:val="00E13FA6"/>
    <w:rsid w:val="00E20152"/>
    <w:rsid w:val="00E2302C"/>
    <w:rsid w:val="00E30C93"/>
    <w:rsid w:val="00E3178E"/>
    <w:rsid w:val="00E34E1A"/>
    <w:rsid w:val="00E362B6"/>
    <w:rsid w:val="00E37AE8"/>
    <w:rsid w:val="00E37E43"/>
    <w:rsid w:val="00E47DA8"/>
    <w:rsid w:val="00E51234"/>
    <w:rsid w:val="00E52404"/>
    <w:rsid w:val="00E5781C"/>
    <w:rsid w:val="00E6046E"/>
    <w:rsid w:val="00E60ACB"/>
    <w:rsid w:val="00E60CB3"/>
    <w:rsid w:val="00E61B6B"/>
    <w:rsid w:val="00E61ED4"/>
    <w:rsid w:val="00E6394F"/>
    <w:rsid w:val="00E67DCC"/>
    <w:rsid w:val="00E74C43"/>
    <w:rsid w:val="00E7618A"/>
    <w:rsid w:val="00E7770D"/>
    <w:rsid w:val="00E877E0"/>
    <w:rsid w:val="00E90562"/>
    <w:rsid w:val="00E972CB"/>
    <w:rsid w:val="00EA02DA"/>
    <w:rsid w:val="00EA3B85"/>
    <w:rsid w:val="00EA7685"/>
    <w:rsid w:val="00EB32E1"/>
    <w:rsid w:val="00EB524E"/>
    <w:rsid w:val="00EB6A43"/>
    <w:rsid w:val="00EC07AC"/>
    <w:rsid w:val="00EC0F90"/>
    <w:rsid w:val="00EC2ABF"/>
    <w:rsid w:val="00EC4937"/>
    <w:rsid w:val="00EC4BB0"/>
    <w:rsid w:val="00EC5ADB"/>
    <w:rsid w:val="00EC7CC1"/>
    <w:rsid w:val="00ED04AB"/>
    <w:rsid w:val="00ED29B5"/>
    <w:rsid w:val="00ED6D41"/>
    <w:rsid w:val="00EE4940"/>
    <w:rsid w:val="00EF1E40"/>
    <w:rsid w:val="00F01177"/>
    <w:rsid w:val="00F048B2"/>
    <w:rsid w:val="00F07BE7"/>
    <w:rsid w:val="00F10AF0"/>
    <w:rsid w:val="00F14FDC"/>
    <w:rsid w:val="00F15CE4"/>
    <w:rsid w:val="00F23EA6"/>
    <w:rsid w:val="00F2480B"/>
    <w:rsid w:val="00F354DC"/>
    <w:rsid w:val="00F37FA0"/>
    <w:rsid w:val="00F43010"/>
    <w:rsid w:val="00F46B84"/>
    <w:rsid w:val="00F50359"/>
    <w:rsid w:val="00F51E87"/>
    <w:rsid w:val="00F5564F"/>
    <w:rsid w:val="00F5598D"/>
    <w:rsid w:val="00F56449"/>
    <w:rsid w:val="00F6092A"/>
    <w:rsid w:val="00F60ED8"/>
    <w:rsid w:val="00F615C4"/>
    <w:rsid w:val="00F64D57"/>
    <w:rsid w:val="00F6573B"/>
    <w:rsid w:val="00F73948"/>
    <w:rsid w:val="00F745F8"/>
    <w:rsid w:val="00F75564"/>
    <w:rsid w:val="00F7791B"/>
    <w:rsid w:val="00F80C5E"/>
    <w:rsid w:val="00F81DD1"/>
    <w:rsid w:val="00F829B1"/>
    <w:rsid w:val="00F842F2"/>
    <w:rsid w:val="00F850AF"/>
    <w:rsid w:val="00F95276"/>
    <w:rsid w:val="00FA4CFB"/>
    <w:rsid w:val="00FA70C6"/>
    <w:rsid w:val="00FB1213"/>
    <w:rsid w:val="00FB3333"/>
    <w:rsid w:val="00FB4B7D"/>
    <w:rsid w:val="00FB6A24"/>
    <w:rsid w:val="00FC5B09"/>
    <w:rsid w:val="00FD7815"/>
    <w:rsid w:val="00FE026D"/>
    <w:rsid w:val="00FE6DB0"/>
    <w:rsid w:val="00FF13F0"/>
    <w:rsid w:val="00FF7D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BEB"/>
  <w15:docId w15:val="{6A4F6A3C-C259-467A-9DF5-875B0A2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1A"/>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A90C1F"/>
    <w:pPr>
      <w:keepNext/>
      <w:keepLines/>
      <w:spacing w:before="240"/>
      <w:outlineLvl w:val="0"/>
    </w:pPr>
    <w:rPr>
      <w:rFonts w:ascii="Calibri Light" w:eastAsia="Calibri" w:hAnsi="Calibri Light" w:cs="Tahoma"/>
      <w:color w:val="2F5496"/>
      <w:sz w:val="32"/>
      <w:szCs w:val="32"/>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yza8b">
    <w:name w:val="ryza8b"/>
    <w:basedOn w:val="Fuentedeprrafopredeter"/>
    <w:qFormat/>
    <w:rsid w:val="00EE0297"/>
  </w:style>
  <w:style w:type="character" w:customStyle="1" w:styleId="hzbzlf">
    <w:name w:val="hzbzlf"/>
    <w:basedOn w:val="Fuentedeprrafopredeter"/>
    <w:qFormat/>
    <w:rsid w:val="00EE0297"/>
  </w:style>
  <w:style w:type="character" w:customStyle="1" w:styleId="TtuloCar">
    <w:name w:val="Título Car"/>
    <w:basedOn w:val="Fuentedeprrafopredeter"/>
    <w:link w:val="Ttulo"/>
    <w:uiPriority w:val="10"/>
    <w:qFormat/>
    <w:rsid w:val="00731589"/>
    <w:rPr>
      <w:rFonts w:asciiTheme="majorHAnsi" w:eastAsiaTheme="majorEastAsia" w:hAnsiTheme="majorHAnsi" w:cstheme="majorBidi"/>
      <w:spacing w:val="-10"/>
      <w:kern w:val="2"/>
      <w:sz w:val="56"/>
      <w:szCs w:val="56"/>
    </w:rPr>
  </w:style>
  <w:style w:type="character" w:customStyle="1" w:styleId="SubttuloCar">
    <w:name w:val="Subtítulo Car"/>
    <w:basedOn w:val="Fuentedeprrafopredeter"/>
    <w:link w:val="Subttulo"/>
    <w:uiPriority w:val="11"/>
    <w:qFormat/>
    <w:rsid w:val="00731589"/>
    <w:rPr>
      <w:rFonts w:eastAsiaTheme="minorEastAsia"/>
      <w:color w:val="5A5A5A" w:themeColor="text1" w:themeTint="A5"/>
      <w:spacing w:val="15"/>
    </w:rPr>
  </w:style>
  <w:style w:type="character" w:styleId="Refdecomentario">
    <w:name w:val="annotation reference"/>
    <w:basedOn w:val="Fuentedeprrafopredeter"/>
    <w:uiPriority w:val="99"/>
    <w:semiHidden/>
    <w:unhideWhenUsed/>
    <w:qFormat/>
    <w:rsid w:val="00FD7546"/>
    <w:rPr>
      <w:sz w:val="16"/>
      <w:szCs w:val="16"/>
    </w:rPr>
  </w:style>
  <w:style w:type="character" w:customStyle="1" w:styleId="TextocomentarioCar">
    <w:name w:val="Texto comentario Car"/>
    <w:basedOn w:val="Fuentedeprrafopredeter"/>
    <w:link w:val="Textocomentario"/>
    <w:uiPriority w:val="99"/>
    <w:qFormat/>
    <w:rsid w:val="00FD7546"/>
    <w:rPr>
      <w:sz w:val="20"/>
      <w:szCs w:val="20"/>
    </w:rPr>
  </w:style>
  <w:style w:type="character" w:customStyle="1" w:styleId="AsuntodelcomentarioCar">
    <w:name w:val="Asunto del comentario Car"/>
    <w:basedOn w:val="TextocomentarioCar"/>
    <w:link w:val="Asuntodelcomentario"/>
    <w:uiPriority w:val="99"/>
    <w:semiHidden/>
    <w:qFormat/>
    <w:rsid w:val="00FD7546"/>
    <w:rPr>
      <w:b/>
      <w:bCs/>
      <w:sz w:val="20"/>
      <w:szCs w:val="20"/>
    </w:rPr>
  </w:style>
  <w:style w:type="character" w:customStyle="1" w:styleId="TextodegloboCar">
    <w:name w:val="Texto de globo Car"/>
    <w:basedOn w:val="Fuentedeprrafopredeter"/>
    <w:link w:val="Textodeglobo"/>
    <w:uiPriority w:val="99"/>
    <w:semiHidden/>
    <w:qFormat/>
    <w:rsid w:val="00FD7546"/>
    <w:rPr>
      <w:rFonts w:ascii="Segoe UI" w:hAnsi="Segoe UI" w:cs="Segoe UI"/>
      <w:sz w:val="18"/>
      <w:szCs w:val="18"/>
    </w:rPr>
  </w:style>
  <w:style w:type="character" w:customStyle="1" w:styleId="TextonotapieCar">
    <w:name w:val="Texto nota pie Car"/>
    <w:basedOn w:val="Fuentedeprrafopredeter"/>
    <w:link w:val="Textonotapie"/>
    <w:uiPriority w:val="99"/>
    <w:semiHidden/>
    <w:qFormat/>
    <w:rsid w:val="00C04269"/>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8B7E4D"/>
    <w:rPr>
      <w:vertAlign w:val="superscript"/>
    </w:rPr>
  </w:style>
  <w:style w:type="character" w:styleId="Textodelmarcadordeposicin">
    <w:name w:val="Placeholder Text"/>
    <w:basedOn w:val="Fuentedeprrafopredeter"/>
    <w:uiPriority w:val="99"/>
    <w:semiHidden/>
    <w:qFormat/>
    <w:rsid w:val="001165FC"/>
    <w:rPr>
      <w:color w:val="808080"/>
    </w:rPr>
  </w:style>
  <w:style w:type="character" w:customStyle="1" w:styleId="TextoindependienteCar">
    <w:name w:val="Texto independiente Car"/>
    <w:basedOn w:val="Fuentedeprrafopredeter"/>
    <w:link w:val="Textoindependiente"/>
    <w:uiPriority w:val="99"/>
    <w:semiHidden/>
    <w:qFormat/>
    <w:rsid w:val="002F540E"/>
    <w:rPr>
      <w:rFonts w:ascii="Calibri" w:eastAsia="Calibri" w:hAnsi="Calibri" w:cs="Times New Roman"/>
    </w:rPr>
  </w:style>
  <w:style w:type="character" w:customStyle="1" w:styleId="EnlacedeInternet">
    <w:name w:val="Enlace de Internet"/>
    <w:basedOn w:val="Fuentedeprrafopredeter"/>
    <w:unhideWhenUsed/>
    <w:rsid w:val="00352503"/>
    <w:rPr>
      <w:color w:val="0563C1" w:themeColor="hyperlink"/>
      <w:u w:val="single"/>
    </w:rPr>
  </w:style>
  <w:style w:type="character" w:customStyle="1" w:styleId="EncabezadoCar">
    <w:name w:val="Encabezado Car"/>
    <w:basedOn w:val="Fuentedeprrafopredeter"/>
    <w:link w:val="Encabezado"/>
    <w:uiPriority w:val="99"/>
    <w:qFormat/>
    <w:rsid w:val="006419CB"/>
  </w:style>
  <w:style w:type="character" w:customStyle="1" w:styleId="PiedepginaCar">
    <w:name w:val="Pie de página Car"/>
    <w:basedOn w:val="Fuentedeprrafopredeter"/>
    <w:link w:val="Piedepgina"/>
    <w:uiPriority w:val="99"/>
    <w:qFormat/>
    <w:rsid w:val="006419CB"/>
  </w:style>
  <w:style w:type="character" w:customStyle="1" w:styleId="articlecitationvolume">
    <w:name w:val="articlecitation_volume"/>
    <w:basedOn w:val="Fuentedeprrafopredeter"/>
    <w:qFormat/>
    <w:rsid w:val="00254D6B"/>
  </w:style>
  <w:style w:type="character" w:customStyle="1" w:styleId="articlecitationpages">
    <w:name w:val="articlecitation_pages"/>
    <w:basedOn w:val="Fuentedeprrafopredeter"/>
    <w:qFormat/>
    <w:rsid w:val="00254D6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sz w:val="24"/>
    </w:rPr>
  </w:style>
  <w:style w:type="character" w:customStyle="1" w:styleId="ListLabel5">
    <w:name w:val="ListLabel 5"/>
    <w:qFormat/>
  </w:style>
  <w:style w:type="character" w:customStyle="1" w:styleId="ListLabel6">
    <w:name w:val="ListLabel 6"/>
    <w:qFormat/>
    <w:rPr>
      <w:rFonts w:ascii="Times New Roman" w:hAnsi="Times New Roman" w:cs="Times New Roman"/>
      <w:sz w:val="24"/>
      <w:szCs w:val="24"/>
    </w:rPr>
  </w:style>
  <w:style w:type="character" w:customStyle="1" w:styleId="ListLabel7">
    <w:name w:val="ListLabel 7"/>
    <w:qFormat/>
    <w:rPr>
      <w:rFonts w:ascii="Times New Roman" w:hAnsi="Times New Roman"/>
      <w:bCs/>
      <w:color w:val="000000" w:themeColor="text1"/>
      <w:sz w:val="21"/>
      <w:szCs w:val="21"/>
      <w:lang w:val="es-ES"/>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8">
    <w:name w:val="ListLabel 8"/>
    <w:qFormat/>
    <w:rPr>
      <w:rFonts w:ascii="Times New Roman" w:hAnsi="Times New Roman" w:cs="Symbol"/>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cs="Times New Roman"/>
      <w:sz w:val="24"/>
      <w:lang w:val="en-US"/>
    </w:rPr>
  </w:style>
  <w:style w:type="character" w:customStyle="1" w:styleId="ListLabel18">
    <w:name w:val="ListLabel 18"/>
    <w:qFormat/>
    <w:rPr>
      <w:rFonts w:ascii="Times New Roman" w:eastAsia="Calibri" w:hAnsi="Times New Roman" w:cs="Calibri"/>
      <w:color w:val="0563C1"/>
      <w:u w:val="single"/>
    </w:rPr>
  </w:style>
  <w:style w:type="character" w:customStyle="1" w:styleId="ListLabel19">
    <w:name w:val="ListLabel 19"/>
    <w:qFormat/>
    <w:rPr>
      <w:rFonts w:ascii="Times New Roman" w:eastAsia="Calibri" w:hAnsi="Times New Roman" w:cs="Times New Roman"/>
      <w:color w:val="0563C1"/>
      <w:sz w:val="24"/>
      <w:szCs w:val="24"/>
      <w:u w:val="single"/>
    </w:rPr>
  </w:style>
  <w:style w:type="character" w:customStyle="1" w:styleId="ListLabel20">
    <w:name w:val="ListLabel 20"/>
    <w:qFormat/>
    <w:rPr>
      <w:lang w:val="es-ES_tradnl"/>
    </w:rPr>
  </w:style>
  <w:style w:type="paragraph" w:styleId="Ttulo">
    <w:name w:val="Title"/>
    <w:basedOn w:val="Normal"/>
    <w:next w:val="Textoindependiente"/>
    <w:link w:val="TtuloCar"/>
    <w:uiPriority w:val="10"/>
    <w:qFormat/>
    <w:rsid w:val="00731589"/>
    <w:pPr>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link w:val="TextoindependienteCar"/>
    <w:uiPriority w:val="99"/>
    <w:semiHidden/>
    <w:rsid w:val="002F540E"/>
    <w:pPr>
      <w:spacing w:after="120" w:line="276" w:lineRule="auto"/>
    </w:pPr>
    <w:rPr>
      <w:rFonts w:ascii="Calibri" w:eastAsia="Calibri" w:hAnsi="Calibri"/>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styleId="Sinespaciado">
    <w:name w:val="No Spacing"/>
    <w:uiPriority w:val="1"/>
    <w:qFormat/>
    <w:rsid w:val="00731589"/>
  </w:style>
  <w:style w:type="paragraph" w:styleId="Subttulo">
    <w:name w:val="Subtitle"/>
    <w:basedOn w:val="Normal"/>
    <w:next w:val="Normal"/>
    <w:link w:val="SubttuloCar"/>
    <w:uiPriority w:val="11"/>
    <w:qFormat/>
    <w:rsid w:val="00731589"/>
    <w:rPr>
      <w:rFonts w:eastAsiaTheme="minorEastAsia"/>
      <w:color w:val="5A5A5A" w:themeColor="text1" w:themeTint="A5"/>
      <w:spacing w:val="15"/>
    </w:rPr>
  </w:style>
  <w:style w:type="paragraph" w:styleId="Textocomentario">
    <w:name w:val="annotation text"/>
    <w:basedOn w:val="Normal"/>
    <w:link w:val="TextocomentarioCar"/>
    <w:uiPriority w:val="99"/>
    <w:unhideWhenUsed/>
    <w:qFormat/>
    <w:rsid w:val="00FD7546"/>
    <w:rPr>
      <w:sz w:val="20"/>
      <w:szCs w:val="20"/>
    </w:rPr>
  </w:style>
  <w:style w:type="paragraph" w:styleId="Asuntodelcomentario">
    <w:name w:val="annotation subject"/>
    <w:basedOn w:val="Textocomentario"/>
    <w:next w:val="Textocomentario"/>
    <w:link w:val="AsuntodelcomentarioCar"/>
    <w:uiPriority w:val="99"/>
    <w:semiHidden/>
    <w:unhideWhenUsed/>
    <w:qFormat/>
    <w:rsid w:val="00FD7546"/>
    <w:rPr>
      <w:b/>
      <w:bCs/>
    </w:rPr>
  </w:style>
  <w:style w:type="paragraph" w:styleId="Textodeglobo">
    <w:name w:val="Balloon Text"/>
    <w:basedOn w:val="Normal"/>
    <w:link w:val="TextodegloboCar"/>
    <w:uiPriority w:val="99"/>
    <w:semiHidden/>
    <w:unhideWhenUsed/>
    <w:qFormat/>
    <w:rsid w:val="00FD7546"/>
    <w:rPr>
      <w:rFonts w:ascii="Segoe UI" w:hAnsi="Segoe UI" w:cs="Segoe UI"/>
      <w:sz w:val="18"/>
      <w:szCs w:val="18"/>
    </w:rPr>
  </w:style>
  <w:style w:type="paragraph" w:styleId="NormalWeb">
    <w:name w:val="Normal (Web)"/>
    <w:basedOn w:val="Normal"/>
    <w:uiPriority w:val="99"/>
    <w:unhideWhenUsed/>
    <w:qFormat/>
    <w:rsid w:val="00C04269"/>
    <w:pPr>
      <w:spacing w:beforeAutospacing="1" w:afterAutospacing="1"/>
    </w:pPr>
    <w:rPr>
      <w:lang w:eastAsia="en-GB"/>
    </w:rPr>
  </w:style>
  <w:style w:type="paragraph" w:styleId="Textonotapie">
    <w:name w:val="footnote text"/>
    <w:basedOn w:val="Normal"/>
    <w:link w:val="TextonotapieCar"/>
    <w:uiPriority w:val="99"/>
    <w:semiHidden/>
    <w:unhideWhenUsed/>
    <w:rsid w:val="00C04269"/>
    <w:rPr>
      <w:sz w:val="20"/>
      <w:szCs w:val="20"/>
    </w:rPr>
  </w:style>
  <w:style w:type="paragraph" w:styleId="Revisin">
    <w:name w:val="Revision"/>
    <w:uiPriority w:val="99"/>
    <w:semiHidden/>
    <w:qFormat/>
    <w:rsid w:val="00FC387F"/>
  </w:style>
  <w:style w:type="paragraph" w:styleId="Prrafodelista">
    <w:name w:val="List Paragraph"/>
    <w:basedOn w:val="Normal"/>
    <w:uiPriority w:val="34"/>
    <w:qFormat/>
    <w:rsid w:val="00352503"/>
    <w:pPr>
      <w:ind w:left="720"/>
      <w:contextualSpacing/>
    </w:pPr>
  </w:style>
  <w:style w:type="paragraph" w:styleId="Encabezado">
    <w:name w:val="header"/>
    <w:basedOn w:val="Normal"/>
    <w:link w:val="EncabezadoCar"/>
    <w:uiPriority w:val="99"/>
    <w:unhideWhenUsed/>
    <w:rsid w:val="006419CB"/>
    <w:pPr>
      <w:tabs>
        <w:tab w:val="center" w:pos="4513"/>
        <w:tab w:val="right" w:pos="9026"/>
      </w:tabs>
    </w:pPr>
  </w:style>
  <w:style w:type="paragraph" w:styleId="Piedepgina">
    <w:name w:val="footer"/>
    <w:basedOn w:val="Normal"/>
    <w:link w:val="PiedepginaCar"/>
    <w:uiPriority w:val="99"/>
    <w:unhideWhenUsed/>
    <w:rsid w:val="006419CB"/>
    <w:pPr>
      <w:tabs>
        <w:tab w:val="center" w:pos="4513"/>
        <w:tab w:val="right" w:pos="9026"/>
      </w:tabs>
    </w:pPr>
  </w:style>
  <w:style w:type="paragraph" w:styleId="Bibliografa">
    <w:name w:val="Bibliography"/>
    <w:basedOn w:val="Normal"/>
    <w:next w:val="Normal"/>
    <w:uiPriority w:val="37"/>
    <w:semiHidden/>
    <w:unhideWhenUsed/>
    <w:qFormat/>
    <w:rsid w:val="009711BA"/>
  </w:style>
  <w:style w:type="table" w:styleId="Tablaconcuadrcula">
    <w:name w:val="Table Grid"/>
    <w:basedOn w:val="Tablanormal"/>
    <w:uiPriority w:val="39"/>
    <w:rsid w:val="00A5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3452"/>
    <w:rPr>
      <w:color w:val="0563C1" w:themeColor="hyperlink"/>
      <w:u w:val="single"/>
    </w:rPr>
  </w:style>
  <w:style w:type="character" w:customStyle="1" w:styleId="Ttulo1Car">
    <w:name w:val="Título 1 Car"/>
    <w:basedOn w:val="Fuentedeprrafopredeter"/>
    <w:link w:val="Ttulo1"/>
    <w:uiPriority w:val="9"/>
    <w:rsid w:val="00A90C1F"/>
    <w:rPr>
      <w:rFonts w:ascii="Calibri Light" w:eastAsia="Calibri" w:hAnsi="Calibri Light" w:cs="Tahoma"/>
      <w:color w:val="2F5496"/>
      <w:sz w:val="32"/>
      <w:szCs w:val="32"/>
      <w:lang w:val="en-US"/>
    </w:rPr>
  </w:style>
  <w:style w:type="character" w:customStyle="1" w:styleId="pwa-mark">
    <w:name w:val="pwa-mark"/>
    <w:basedOn w:val="Fuentedeprrafopredeter"/>
    <w:rsid w:val="00A90C1F"/>
  </w:style>
  <w:style w:type="table" w:customStyle="1" w:styleId="Tablaconcuadrcula1">
    <w:name w:val="Tabla con cuadrícula1"/>
    <w:basedOn w:val="Tablanormal"/>
    <w:uiPriority w:val="39"/>
    <w:rsid w:val="004B4F6B"/>
    <w:rPr>
      <w:rFonts w:eastAsiaTheme="minorEastAsi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75530C"/>
    <w:rPr>
      <w:vertAlign w:val="superscript"/>
    </w:rPr>
  </w:style>
  <w:style w:type="character" w:styleId="Mencinsinresolver">
    <w:name w:val="Unresolved Mention"/>
    <w:basedOn w:val="Fuentedeprrafopredeter"/>
    <w:uiPriority w:val="99"/>
    <w:semiHidden/>
    <w:unhideWhenUsed/>
    <w:rsid w:val="00BA6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5155">
      <w:bodyDiv w:val="1"/>
      <w:marLeft w:val="0"/>
      <w:marRight w:val="0"/>
      <w:marTop w:val="0"/>
      <w:marBottom w:val="0"/>
      <w:divBdr>
        <w:top w:val="none" w:sz="0" w:space="0" w:color="auto"/>
        <w:left w:val="none" w:sz="0" w:space="0" w:color="auto"/>
        <w:bottom w:val="none" w:sz="0" w:space="0" w:color="auto"/>
        <w:right w:val="none" w:sz="0" w:space="0" w:color="auto"/>
      </w:divBdr>
      <w:divsChild>
        <w:div w:id="2110849204">
          <w:marLeft w:val="0"/>
          <w:marRight w:val="0"/>
          <w:marTop w:val="0"/>
          <w:marBottom w:val="0"/>
          <w:divBdr>
            <w:top w:val="none" w:sz="0" w:space="0" w:color="auto"/>
            <w:left w:val="none" w:sz="0" w:space="0" w:color="auto"/>
            <w:bottom w:val="none" w:sz="0" w:space="0" w:color="auto"/>
            <w:right w:val="none" w:sz="0" w:space="0" w:color="auto"/>
          </w:divBdr>
        </w:div>
      </w:divsChild>
    </w:div>
    <w:div w:id="150027782">
      <w:bodyDiv w:val="1"/>
      <w:marLeft w:val="0"/>
      <w:marRight w:val="0"/>
      <w:marTop w:val="0"/>
      <w:marBottom w:val="0"/>
      <w:divBdr>
        <w:top w:val="none" w:sz="0" w:space="0" w:color="auto"/>
        <w:left w:val="none" w:sz="0" w:space="0" w:color="auto"/>
        <w:bottom w:val="none" w:sz="0" w:space="0" w:color="auto"/>
        <w:right w:val="none" w:sz="0" w:space="0" w:color="auto"/>
      </w:divBdr>
    </w:div>
    <w:div w:id="232007018">
      <w:bodyDiv w:val="1"/>
      <w:marLeft w:val="0"/>
      <w:marRight w:val="0"/>
      <w:marTop w:val="0"/>
      <w:marBottom w:val="0"/>
      <w:divBdr>
        <w:top w:val="none" w:sz="0" w:space="0" w:color="auto"/>
        <w:left w:val="none" w:sz="0" w:space="0" w:color="auto"/>
        <w:bottom w:val="none" w:sz="0" w:space="0" w:color="auto"/>
        <w:right w:val="none" w:sz="0" w:space="0" w:color="auto"/>
      </w:divBdr>
      <w:divsChild>
        <w:div w:id="608202153">
          <w:marLeft w:val="0"/>
          <w:marRight w:val="0"/>
          <w:marTop w:val="0"/>
          <w:marBottom w:val="0"/>
          <w:divBdr>
            <w:top w:val="none" w:sz="0" w:space="0" w:color="auto"/>
            <w:left w:val="none" w:sz="0" w:space="0" w:color="auto"/>
            <w:bottom w:val="none" w:sz="0" w:space="0" w:color="auto"/>
            <w:right w:val="none" w:sz="0" w:space="0" w:color="auto"/>
          </w:divBdr>
        </w:div>
      </w:divsChild>
    </w:div>
    <w:div w:id="236591868">
      <w:bodyDiv w:val="1"/>
      <w:marLeft w:val="0"/>
      <w:marRight w:val="0"/>
      <w:marTop w:val="0"/>
      <w:marBottom w:val="0"/>
      <w:divBdr>
        <w:top w:val="none" w:sz="0" w:space="0" w:color="auto"/>
        <w:left w:val="none" w:sz="0" w:space="0" w:color="auto"/>
        <w:bottom w:val="none" w:sz="0" w:space="0" w:color="auto"/>
        <w:right w:val="none" w:sz="0" w:space="0" w:color="auto"/>
      </w:divBdr>
      <w:divsChild>
        <w:div w:id="559825498">
          <w:marLeft w:val="0"/>
          <w:marRight w:val="0"/>
          <w:marTop w:val="0"/>
          <w:marBottom w:val="0"/>
          <w:divBdr>
            <w:top w:val="none" w:sz="0" w:space="0" w:color="auto"/>
            <w:left w:val="none" w:sz="0" w:space="0" w:color="auto"/>
            <w:bottom w:val="none" w:sz="0" w:space="0" w:color="auto"/>
            <w:right w:val="none" w:sz="0" w:space="0" w:color="auto"/>
          </w:divBdr>
        </w:div>
      </w:divsChild>
    </w:div>
    <w:div w:id="340015041">
      <w:bodyDiv w:val="1"/>
      <w:marLeft w:val="0"/>
      <w:marRight w:val="0"/>
      <w:marTop w:val="0"/>
      <w:marBottom w:val="0"/>
      <w:divBdr>
        <w:top w:val="none" w:sz="0" w:space="0" w:color="auto"/>
        <w:left w:val="none" w:sz="0" w:space="0" w:color="auto"/>
        <w:bottom w:val="none" w:sz="0" w:space="0" w:color="auto"/>
        <w:right w:val="none" w:sz="0" w:space="0" w:color="auto"/>
      </w:divBdr>
    </w:div>
    <w:div w:id="425081971">
      <w:bodyDiv w:val="1"/>
      <w:marLeft w:val="0"/>
      <w:marRight w:val="0"/>
      <w:marTop w:val="0"/>
      <w:marBottom w:val="0"/>
      <w:divBdr>
        <w:top w:val="none" w:sz="0" w:space="0" w:color="auto"/>
        <w:left w:val="none" w:sz="0" w:space="0" w:color="auto"/>
        <w:bottom w:val="none" w:sz="0" w:space="0" w:color="auto"/>
        <w:right w:val="none" w:sz="0" w:space="0" w:color="auto"/>
      </w:divBdr>
    </w:div>
    <w:div w:id="505486520">
      <w:bodyDiv w:val="1"/>
      <w:marLeft w:val="0"/>
      <w:marRight w:val="0"/>
      <w:marTop w:val="0"/>
      <w:marBottom w:val="0"/>
      <w:divBdr>
        <w:top w:val="none" w:sz="0" w:space="0" w:color="auto"/>
        <w:left w:val="none" w:sz="0" w:space="0" w:color="auto"/>
        <w:bottom w:val="none" w:sz="0" w:space="0" w:color="auto"/>
        <w:right w:val="none" w:sz="0" w:space="0" w:color="auto"/>
      </w:divBdr>
      <w:divsChild>
        <w:div w:id="674917167">
          <w:marLeft w:val="0"/>
          <w:marRight w:val="0"/>
          <w:marTop w:val="0"/>
          <w:marBottom w:val="0"/>
          <w:divBdr>
            <w:top w:val="none" w:sz="0" w:space="0" w:color="auto"/>
            <w:left w:val="none" w:sz="0" w:space="0" w:color="auto"/>
            <w:bottom w:val="none" w:sz="0" w:space="0" w:color="auto"/>
            <w:right w:val="none" w:sz="0" w:space="0" w:color="auto"/>
          </w:divBdr>
        </w:div>
      </w:divsChild>
    </w:div>
    <w:div w:id="723873313">
      <w:bodyDiv w:val="1"/>
      <w:marLeft w:val="0"/>
      <w:marRight w:val="0"/>
      <w:marTop w:val="0"/>
      <w:marBottom w:val="0"/>
      <w:divBdr>
        <w:top w:val="none" w:sz="0" w:space="0" w:color="auto"/>
        <w:left w:val="none" w:sz="0" w:space="0" w:color="auto"/>
        <w:bottom w:val="none" w:sz="0" w:space="0" w:color="auto"/>
        <w:right w:val="none" w:sz="0" w:space="0" w:color="auto"/>
      </w:divBdr>
      <w:divsChild>
        <w:div w:id="316347391">
          <w:marLeft w:val="0"/>
          <w:marRight w:val="0"/>
          <w:marTop w:val="0"/>
          <w:marBottom w:val="0"/>
          <w:divBdr>
            <w:top w:val="none" w:sz="0" w:space="0" w:color="auto"/>
            <w:left w:val="none" w:sz="0" w:space="0" w:color="auto"/>
            <w:bottom w:val="none" w:sz="0" w:space="0" w:color="auto"/>
            <w:right w:val="none" w:sz="0" w:space="0" w:color="auto"/>
          </w:divBdr>
        </w:div>
      </w:divsChild>
    </w:div>
    <w:div w:id="764959086">
      <w:bodyDiv w:val="1"/>
      <w:marLeft w:val="0"/>
      <w:marRight w:val="0"/>
      <w:marTop w:val="0"/>
      <w:marBottom w:val="0"/>
      <w:divBdr>
        <w:top w:val="none" w:sz="0" w:space="0" w:color="auto"/>
        <w:left w:val="none" w:sz="0" w:space="0" w:color="auto"/>
        <w:bottom w:val="none" w:sz="0" w:space="0" w:color="auto"/>
        <w:right w:val="none" w:sz="0" w:space="0" w:color="auto"/>
      </w:divBdr>
    </w:div>
    <w:div w:id="780883214">
      <w:bodyDiv w:val="1"/>
      <w:marLeft w:val="0"/>
      <w:marRight w:val="0"/>
      <w:marTop w:val="0"/>
      <w:marBottom w:val="0"/>
      <w:divBdr>
        <w:top w:val="none" w:sz="0" w:space="0" w:color="auto"/>
        <w:left w:val="none" w:sz="0" w:space="0" w:color="auto"/>
        <w:bottom w:val="none" w:sz="0" w:space="0" w:color="auto"/>
        <w:right w:val="none" w:sz="0" w:space="0" w:color="auto"/>
      </w:divBdr>
    </w:div>
    <w:div w:id="1066759497">
      <w:bodyDiv w:val="1"/>
      <w:marLeft w:val="0"/>
      <w:marRight w:val="0"/>
      <w:marTop w:val="0"/>
      <w:marBottom w:val="0"/>
      <w:divBdr>
        <w:top w:val="none" w:sz="0" w:space="0" w:color="auto"/>
        <w:left w:val="none" w:sz="0" w:space="0" w:color="auto"/>
        <w:bottom w:val="none" w:sz="0" w:space="0" w:color="auto"/>
        <w:right w:val="none" w:sz="0" w:space="0" w:color="auto"/>
      </w:divBdr>
      <w:divsChild>
        <w:div w:id="544295606">
          <w:marLeft w:val="0"/>
          <w:marRight w:val="0"/>
          <w:marTop w:val="0"/>
          <w:marBottom w:val="0"/>
          <w:divBdr>
            <w:top w:val="none" w:sz="0" w:space="0" w:color="auto"/>
            <w:left w:val="none" w:sz="0" w:space="0" w:color="auto"/>
            <w:bottom w:val="none" w:sz="0" w:space="0" w:color="auto"/>
            <w:right w:val="none" w:sz="0" w:space="0" w:color="auto"/>
          </w:divBdr>
        </w:div>
      </w:divsChild>
    </w:div>
    <w:div w:id="1111819728">
      <w:bodyDiv w:val="1"/>
      <w:marLeft w:val="0"/>
      <w:marRight w:val="0"/>
      <w:marTop w:val="0"/>
      <w:marBottom w:val="0"/>
      <w:divBdr>
        <w:top w:val="none" w:sz="0" w:space="0" w:color="auto"/>
        <w:left w:val="none" w:sz="0" w:space="0" w:color="auto"/>
        <w:bottom w:val="none" w:sz="0" w:space="0" w:color="auto"/>
        <w:right w:val="none" w:sz="0" w:space="0" w:color="auto"/>
      </w:divBdr>
    </w:div>
    <w:div w:id="1143810507">
      <w:bodyDiv w:val="1"/>
      <w:marLeft w:val="0"/>
      <w:marRight w:val="0"/>
      <w:marTop w:val="0"/>
      <w:marBottom w:val="0"/>
      <w:divBdr>
        <w:top w:val="none" w:sz="0" w:space="0" w:color="auto"/>
        <w:left w:val="none" w:sz="0" w:space="0" w:color="auto"/>
        <w:bottom w:val="none" w:sz="0" w:space="0" w:color="auto"/>
        <w:right w:val="none" w:sz="0" w:space="0" w:color="auto"/>
      </w:divBdr>
    </w:div>
    <w:div w:id="1146355820">
      <w:bodyDiv w:val="1"/>
      <w:marLeft w:val="0"/>
      <w:marRight w:val="0"/>
      <w:marTop w:val="0"/>
      <w:marBottom w:val="0"/>
      <w:divBdr>
        <w:top w:val="none" w:sz="0" w:space="0" w:color="auto"/>
        <w:left w:val="none" w:sz="0" w:space="0" w:color="auto"/>
        <w:bottom w:val="none" w:sz="0" w:space="0" w:color="auto"/>
        <w:right w:val="none" w:sz="0" w:space="0" w:color="auto"/>
      </w:divBdr>
    </w:div>
    <w:div w:id="1229998792">
      <w:bodyDiv w:val="1"/>
      <w:marLeft w:val="0"/>
      <w:marRight w:val="0"/>
      <w:marTop w:val="0"/>
      <w:marBottom w:val="0"/>
      <w:divBdr>
        <w:top w:val="none" w:sz="0" w:space="0" w:color="auto"/>
        <w:left w:val="none" w:sz="0" w:space="0" w:color="auto"/>
        <w:bottom w:val="none" w:sz="0" w:space="0" w:color="auto"/>
        <w:right w:val="none" w:sz="0" w:space="0" w:color="auto"/>
      </w:divBdr>
      <w:divsChild>
        <w:div w:id="1918974044">
          <w:marLeft w:val="0"/>
          <w:marRight w:val="0"/>
          <w:marTop w:val="0"/>
          <w:marBottom w:val="0"/>
          <w:divBdr>
            <w:top w:val="none" w:sz="0" w:space="0" w:color="auto"/>
            <w:left w:val="none" w:sz="0" w:space="0" w:color="auto"/>
            <w:bottom w:val="none" w:sz="0" w:space="0" w:color="auto"/>
            <w:right w:val="none" w:sz="0" w:space="0" w:color="auto"/>
          </w:divBdr>
        </w:div>
      </w:divsChild>
    </w:div>
    <w:div w:id="1242527621">
      <w:bodyDiv w:val="1"/>
      <w:marLeft w:val="0"/>
      <w:marRight w:val="0"/>
      <w:marTop w:val="0"/>
      <w:marBottom w:val="0"/>
      <w:divBdr>
        <w:top w:val="none" w:sz="0" w:space="0" w:color="auto"/>
        <w:left w:val="none" w:sz="0" w:space="0" w:color="auto"/>
        <w:bottom w:val="none" w:sz="0" w:space="0" w:color="auto"/>
        <w:right w:val="none" w:sz="0" w:space="0" w:color="auto"/>
      </w:divBdr>
      <w:divsChild>
        <w:div w:id="573510856">
          <w:marLeft w:val="0"/>
          <w:marRight w:val="0"/>
          <w:marTop w:val="0"/>
          <w:marBottom w:val="0"/>
          <w:divBdr>
            <w:top w:val="none" w:sz="0" w:space="0" w:color="auto"/>
            <w:left w:val="none" w:sz="0" w:space="0" w:color="auto"/>
            <w:bottom w:val="none" w:sz="0" w:space="0" w:color="auto"/>
            <w:right w:val="none" w:sz="0" w:space="0" w:color="auto"/>
          </w:divBdr>
        </w:div>
      </w:divsChild>
    </w:div>
    <w:div w:id="1243835570">
      <w:bodyDiv w:val="1"/>
      <w:marLeft w:val="0"/>
      <w:marRight w:val="0"/>
      <w:marTop w:val="0"/>
      <w:marBottom w:val="0"/>
      <w:divBdr>
        <w:top w:val="none" w:sz="0" w:space="0" w:color="auto"/>
        <w:left w:val="none" w:sz="0" w:space="0" w:color="auto"/>
        <w:bottom w:val="none" w:sz="0" w:space="0" w:color="auto"/>
        <w:right w:val="none" w:sz="0" w:space="0" w:color="auto"/>
      </w:divBdr>
    </w:div>
    <w:div w:id="1389575871">
      <w:bodyDiv w:val="1"/>
      <w:marLeft w:val="0"/>
      <w:marRight w:val="0"/>
      <w:marTop w:val="0"/>
      <w:marBottom w:val="0"/>
      <w:divBdr>
        <w:top w:val="none" w:sz="0" w:space="0" w:color="auto"/>
        <w:left w:val="none" w:sz="0" w:space="0" w:color="auto"/>
        <w:bottom w:val="none" w:sz="0" w:space="0" w:color="auto"/>
        <w:right w:val="none" w:sz="0" w:space="0" w:color="auto"/>
      </w:divBdr>
    </w:div>
    <w:div w:id="1535192081">
      <w:bodyDiv w:val="1"/>
      <w:marLeft w:val="0"/>
      <w:marRight w:val="0"/>
      <w:marTop w:val="0"/>
      <w:marBottom w:val="0"/>
      <w:divBdr>
        <w:top w:val="none" w:sz="0" w:space="0" w:color="auto"/>
        <w:left w:val="none" w:sz="0" w:space="0" w:color="auto"/>
        <w:bottom w:val="none" w:sz="0" w:space="0" w:color="auto"/>
        <w:right w:val="none" w:sz="0" w:space="0" w:color="auto"/>
      </w:divBdr>
    </w:div>
    <w:div w:id="1655529871">
      <w:bodyDiv w:val="1"/>
      <w:marLeft w:val="0"/>
      <w:marRight w:val="0"/>
      <w:marTop w:val="0"/>
      <w:marBottom w:val="0"/>
      <w:divBdr>
        <w:top w:val="none" w:sz="0" w:space="0" w:color="auto"/>
        <w:left w:val="none" w:sz="0" w:space="0" w:color="auto"/>
        <w:bottom w:val="none" w:sz="0" w:space="0" w:color="auto"/>
        <w:right w:val="none" w:sz="0" w:space="0" w:color="auto"/>
      </w:divBdr>
    </w:div>
    <w:div w:id="1656031571">
      <w:bodyDiv w:val="1"/>
      <w:marLeft w:val="0"/>
      <w:marRight w:val="0"/>
      <w:marTop w:val="0"/>
      <w:marBottom w:val="0"/>
      <w:divBdr>
        <w:top w:val="none" w:sz="0" w:space="0" w:color="auto"/>
        <w:left w:val="none" w:sz="0" w:space="0" w:color="auto"/>
        <w:bottom w:val="none" w:sz="0" w:space="0" w:color="auto"/>
        <w:right w:val="none" w:sz="0" w:space="0" w:color="auto"/>
      </w:divBdr>
    </w:div>
    <w:div w:id="1699353733">
      <w:bodyDiv w:val="1"/>
      <w:marLeft w:val="0"/>
      <w:marRight w:val="0"/>
      <w:marTop w:val="0"/>
      <w:marBottom w:val="0"/>
      <w:divBdr>
        <w:top w:val="none" w:sz="0" w:space="0" w:color="auto"/>
        <w:left w:val="none" w:sz="0" w:space="0" w:color="auto"/>
        <w:bottom w:val="none" w:sz="0" w:space="0" w:color="auto"/>
        <w:right w:val="none" w:sz="0" w:space="0" w:color="auto"/>
      </w:divBdr>
      <w:divsChild>
        <w:div w:id="44839962">
          <w:marLeft w:val="0"/>
          <w:marRight w:val="0"/>
          <w:marTop w:val="0"/>
          <w:marBottom w:val="0"/>
          <w:divBdr>
            <w:top w:val="none" w:sz="0" w:space="0" w:color="auto"/>
            <w:left w:val="none" w:sz="0" w:space="0" w:color="auto"/>
            <w:bottom w:val="none" w:sz="0" w:space="0" w:color="auto"/>
            <w:right w:val="none" w:sz="0" w:space="0" w:color="auto"/>
          </w:divBdr>
        </w:div>
      </w:divsChild>
    </w:div>
    <w:div w:id="1735664939">
      <w:bodyDiv w:val="1"/>
      <w:marLeft w:val="0"/>
      <w:marRight w:val="0"/>
      <w:marTop w:val="0"/>
      <w:marBottom w:val="0"/>
      <w:divBdr>
        <w:top w:val="none" w:sz="0" w:space="0" w:color="auto"/>
        <w:left w:val="none" w:sz="0" w:space="0" w:color="auto"/>
        <w:bottom w:val="none" w:sz="0" w:space="0" w:color="auto"/>
        <w:right w:val="none" w:sz="0" w:space="0" w:color="auto"/>
      </w:divBdr>
    </w:div>
    <w:div w:id="1769230879">
      <w:bodyDiv w:val="1"/>
      <w:marLeft w:val="0"/>
      <w:marRight w:val="0"/>
      <w:marTop w:val="0"/>
      <w:marBottom w:val="0"/>
      <w:divBdr>
        <w:top w:val="none" w:sz="0" w:space="0" w:color="auto"/>
        <w:left w:val="none" w:sz="0" w:space="0" w:color="auto"/>
        <w:bottom w:val="none" w:sz="0" w:space="0" w:color="auto"/>
        <w:right w:val="none" w:sz="0" w:space="0" w:color="auto"/>
      </w:divBdr>
    </w:div>
    <w:div w:id="1855679708">
      <w:bodyDiv w:val="1"/>
      <w:marLeft w:val="0"/>
      <w:marRight w:val="0"/>
      <w:marTop w:val="0"/>
      <w:marBottom w:val="0"/>
      <w:divBdr>
        <w:top w:val="none" w:sz="0" w:space="0" w:color="auto"/>
        <w:left w:val="none" w:sz="0" w:space="0" w:color="auto"/>
        <w:bottom w:val="none" w:sz="0" w:space="0" w:color="auto"/>
        <w:right w:val="none" w:sz="0" w:space="0" w:color="auto"/>
      </w:divBdr>
      <w:divsChild>
        <w:div w:id="275606135">
          <w:marLeft w:val="0"/>
          <w:marRight w:val="0"/>
          <w:marTop w:val="0"/>
          <w:marBottom w:val="0"/>
          <w:divBdr>
            <w:top w:val="none" w:sz="0" w:space="0" w:color="auto"/>
            <w:left w:val="none" w:sz="0" w:space="0" w:color="auto"/>
            <w:bottom w:val="none" w:sz="0" w:space="0" w:color="auto"/>
            <w:right w:val="none" w:sz="0" w:space="0" w:color="auto"/>
          </w:divBdr>
        </w:div>
      </w:divsChild>
    </w:div>
    <w:div w:id="1899901891">
      <w:bodyDiv w:val="1"/>
      <w:marLeft w:val="0"/>
      <w:marRight w:val="0"/>
      <w:marTop w:val="0"/>
      <w:marBottom w:val="0"/>
      <w:divBdr>
        <w:top w:val="none" w:sz="0" w:space="0" w:color="auto"/>
        <w:left w:val="none" w:sz="0" w:space="0" w:color="auto"/>
        <w:bottom w:val="none" w:sz="0" w:space="0" w:color="auto"/>
        <w:right w:val="none" w:sz="0" w:space="0" w:color="auto"/>
      </w:divBdr>
      <w:divsChild>
        <w:div w:id="1521046447">
          <w:marLeft w:val="0"/>
          <w:marRight w:val="0"/>
          <w:marTop w:val="0"/>
          <w:marBottom w:val="0"/>
          <w:divBdr>
            <w:top w:val="none" w:sz="0" w:space="0" w:color="auto"/>
            <w:left w:val="none" w:sz="0" w:space="0" w:color="auto"/>
            <w:bottom w:val="none" w:sz="0" w:space="0" w:color="auto"/>
            <w:right w:val="none" w:sz="0" w:space="0" w:color="auto"/>
          </w:divBdr>
        </w:div>
      </w:divsChild>
    </w:div>
    <w:div w:id="1939486886">
      <w:bodyDiv w:val="1"/>
      <w:marLeft w:val="0"/>
      <w:marRight w:val="0"/>
      <w:marTop w:val="0"/>
      <w:marBottom w:val="0"/>
      <w:divBdr>
        <w:top w:val="none" w:sz="0" w:space="0" w:color="auto"/>
        <w:left w:val="none" w:sz="0" w:space="0" w:color="auto"/>
        <w:bottom w:val="none" w:sz="0" w:space="0" w:color="auto"/>
        <w:right w:val="none" w:sz="0" w:space="0" w:color="auto"/>
      </w:divBdr>
    </w:div>
    <w:div w:id="1941794977">
      <w:bodyDiv w:val="1"/>
      <w:marLeft w:val="0"/>
      <w:marRight w:val="0"/>
      <w:marTop w:val="0"/>
      <w:marBottom w:val="0"/>
      <w:divBdr>
        <w:top w:val="none" w:sz="0" w:space="0" w:color="auto"/>
        <w:left w:val="none" w:sz="0" w:space="0" w:color="auto"/>
        <w:bottom w:val="none" w:sz="0" w:space="0" w:color="auto"/>
        <w:right w:val="none" w:sz="0" w:space="0" w:color="auto"/>
      </w:divBdr>
    </w:div>
    <w:div w:id="2076472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FA3A-3F7F-4293-BFD8-B98E0C86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7767</Words>
  <Characters>42724</Characters>
  <Application>Microsoft Office Word</Application>
  <DocSecurity>0</DocSecurity>
  <Lines>356</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UoB IT Services</Company>
  <LinksUpToDate>false</LinksUpToDate>
  <CharactersWithSpaces>50391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 Vendrell-Herrero (Birmingham Business School)</dc:creator>
  <cp:lastModifiedBy>Oscar Fernando Bustinza Sanchez</cp:lastModifiedBy>
  <cp:revision>2</cp:revision>
  <cp:lastPrinted>2020-11-26T10:02:00Z</cp:lastPrinted>
  <dcterms:created xsi:type="dcterms:W3CDTF">2023-11-30T11:55:00Z</dcterms:created>
  <dcterms:modified xsi:type="dcterms:W3CDTF">2023-11-30T11:55:00Z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UoB IT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