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418"/>
        <w:gridCol w:w="7655"/>
        <w:gridCol w:w="992"/>
        <w:gridCol w:w="142"/>
      </w:tblGrid>
      <w:tr w:rsidR="00E3614E" w:rsidRPr="00561CF5" w14:paraId="302CDCA8" w14:textId="77777777" w:rsidTr="00000371">
        <w:trPr>
          <w:gridAfter w:val="1"/>
          <w:wAfter w:w="142" w:type="dxa"/>
          <w:trHeight w:val="145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5E9FB698" w14:textId="77777777" w:rsidR="00E3614E" w:rsidRPr="00561CF5" w:rsidRDefault="00E3614E" w:rsidP="00E178AA">
            <w:pPr>
              <w:spacing w:before="80" w:after="12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b/>
                <w:sz w:val="20"/>
                <w:szCs w:val="20"/>
              </w:rPr>
              <w:t>Tabl</w:t>
            </w:r>
            <w:r w:rsidR="00E90B19" w:rsidRPr="00561CF5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561CF5">
              <w:rPr>
                <w:rFonts w:ascii="Arial Narrow" w:hAnsi="Arial Narrow" w:cs="Arial"/>
                <w:b/>
                <w:sz w:val="20"/>
                <w:szCs w:val="20"/>
              </w:rPr>
              <w:t xml:space="preserve"> 1. </w:t>
            </w:r>
            <w:bookmarkStart w:id="0" w:name="_Hlk84334156"/>
            <w:r w:rsidR="00E90B19" w:rsidRPr="00561CF5">
              <w:rPr>
                <w:rFonts w:ascii="Arial Narrow" w:hAnsi="Arial Narrow" w:cs="Arial"/>
                <w:b/>
                <w:sz w:val="20"/>
                <w:szCs w:val="20"/>
              </w:rPr>
              <w:t xml:space="preserve">Los 10 artículos más influyentes en Odontopediatría en función de la métrica citaciones/año. </w:t>
            </w:r>
            <w:r w:rsidRPr="00561CF5">
              <w:rPr>
                <w:rFonts w:ascii="Arial Narrow" w:hAnsi="Arial Narrow" w:cs="Arial"/>
                <w:b/>
                <w:sz w:val="20"/>
                <w:szCs w:val="20"/>
              </w:rPr>
              <w:t>1990-2019</w:t>
            </w:r>
            <w:bookmarkEnd w:id="0"/>
            <w:r w:rsidRPr="00561CF5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  <w:tr w:rsidR="00000371" w:rsidRPr="00561CF5" w14:paraId="341315F0" w14:textId="77777777" w:rsidTr="00000371">
        <w:trPr>
          <w:trHeight w:val="14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19E10A" w14:textId="77777777" w:rsidR="00000371" w:rsidRPr="00561CF5" w:rsidRDefault="00000371" w:rsidP="0005732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Citaciones/año</w:t>
            </w:r>
          </w:p>
          <w:p w14:paraId="2FDB0577" w14:textId="77777777" w:rsidR="00000371" w:rsidRPr="00561CF5" w:rsidRDefault="00C555CA" w:rsidP="0005732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(</w:t>
            </w:r>
            <w:r w:rsidR="00000371" w:rsidRPr="00561C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Rango</w:t>
            </w:r>
            <w:r w:rsidRPr="00561C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06D6EFD" w14:textId="77777777" w:rsidR="00000371" w:rsidRPr="00561CF5" w:rsidRDefault="00000371" w:rsidP="0005732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Referencia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7A1B4" w14:textId="77777777" w:rsidR="00000371" w:rsidRPr="00561CF5" w:rsidRDefault="00000371" w:rsidP="00C555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pacing w:val="-6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b/>
                <w:bCs/>
                <w:color w:val="000000"/>
                <w:spacing w:val="-6"/>
                <w:sz w:val="20"/>
                <w:szCs w:val="20"/>
              </w:rPr>
              <w:t>Nº</w:t>
            </w:r>
            <w:proofErr w:type="spellEnd"/>
            <w:r w:rsidRPr="00561CF5">
              <w:rPr>
                <w:rFonts w:ascii="Arial Narrow" w:hAnsi="Arial Narrow" w:cs="Arial"/>
                <w:b/>
                <w:bCs/>
                <w:color w:val="000000"/>
                <w:spacing w:val="-6"/>
                <w:sz w:val="20"/>
                <w:szCs w:val="20"/>
              </w:rPr>
              <w:t xml:space="preserve"> Citas (</w:t>
            </w:r>
            <w:r w:rsidR="00C555CA" w:rsidRPr="00561CF5">
              <w:rPr>
                <w:rFonts w:ascii="Arial Narrow" w:hAnsi="Arial Narrow" w:cs="Arial"/>
                <w:b/>
                <w:bCs/>
                <w:color w:val="000000"/>
                <w:spacing w:val="-6"/>
                <w:sz w:val="20"/>
                <w:szCs w:val="20"/>
              </w:rPr>
              <w:t>Rango</w:t>
            </w:r>
            <w:r w:rsidRPr="00561CF5">
              <w:rPr>
                <w:rFonts w:ascii="Arial Narrow" w:hAnsi="Arial Narrow" w:cs="Arial"/>
                <w:b/>
                <w:bCs/>
                <w:color w:val="000000"/>
                <w:spacing w:val="-6"/>
                <w:sz w:val="20"/>
                <w:szCs w:val="20"/>
              </w:rPr>
              <w:t>)</w:t>
            </w:r>
          </w:p>
        </w:tc>
      </w:tr>
      <w:tr w:rsidR="00000371" w:rsidRPr="00561CF5" w14:paraId="6D41B18A" w14:textId="77777777" w:rsidTr="00000371">
        <w:trPr>
          <w:trHeight w:val="311"/>
        </w:trPr>
        <w:tc>
          <w:tcPr>
            <w:tcW w:w="1418" w:type="dxa"/>
            <w:tcBorders>
              <w:top w:val="single" w:sz="4" w:space="0" w:color="auto"/>
            </w:tcBorders>
          </w:tcPr>
          <w:p w14:paraId="5B3D6938" w14:textId="77777777" w:rsidR="00000371" w:rsidRPr="00561CF5" w:rsidRDefault="00000371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40,67 (1)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5DFA7068" w14:textId="77777777" w:rsidR="00000371" w:rsidRPr="00561CF5" w:rsidRDefault="00000371" w:rsidP="00B212CA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Tinanoff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N,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Baez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RJ, Diaz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Guillory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C, </w:t>
            </w:r>
            <w:proofErr w:type="spellStart"/>
            <w:r w:rsidR="00BE3870" w:rsidRPr="00561CF5">
              <w:rPr>
                <w:rFonts w:ascii="Arial Narrow" w:hAnsi="Arial Narrow" w:cs="Arial"/>
                <w:sz w:val="20"/>
                <w:szCs w:val="20"/>
              </w:rPr>
              <w:t>Donly</w:t>
            </w:r>
            <w:proofErr w:type="spellEnd"/>
            <w:r w:rsidR="00BE3870" w:rsidRPr="00561CF5">
              <w:rPr>
                <w:rFonts w:ascii="Arial Narrow" w:hAnsi="Arial Narrow" w:cs="Arial"/>
                <w:sz w:val="20"/>
                <w:szCs w:val="20"/>
              </w:rPr>
              <w:t xml:space="preserve"> KJ, </w:t>
            </w:r>
            <w:proofErr w:type="spellStart"/>
            <w:r w:rsidR="00BE3870" w:rsidRPr="00561CF5">
              <w:rPr>
                <w:rFonts w:ascii="Arial Narrow" w:hAnsi="Arial Narrow" w:cs="Arial"/>
                <w:sz w:val="20"/>
                <w:szCs w:val="20"/>
              </w:rPr>
              <w:t>Feldens</w:t>
            </w:r>
            <w:proofErr w:type="spellEnd"/>
            <w:r w:rsidR="00BE3870" w:rsidRPr="00561CF5">
              <w:rPr>
                <w:rFonts w:ascii="Arial Narrow" w:hAnsi="Arial Narrow" w:cs="Arial"/>
                <w:sz w:val="20"/>
                <w:szCs w:val="20"/>
              </w:rPr>
              <w:t xml:space="preserve"> CA, McGrath C et al</w:t>
            </w:r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Earlychildhood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caries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epidemiology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aetiology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risk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assessment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, societal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burden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BE3870"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management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education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,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policy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: Global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perspective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iCs/>
                <w:sz w:val="20"/>
                <w:szCs w:val="20"/>
              </w:rPr>
              <w:t>Int</w:t>
            </w:r>
            <w:proofErr w:type="spellEnd"/>
            <w:r w:rsidRPr="00561CF5">
              <w:rPr>
                <w:rFonts w:ascii="Arial Narrow" w:hAnsi="Arial Narrow" w:cs="Arial"/>
                <w:iCs/>
                <w:sz w:val="20"/>
                <w:szCs w:val="20"/>
              </w:rPr>
              <w:t xml:space="preserve"> J </w:t>
            </w:r>
            <w:proofErr w:type="spellStart"/>
            <w:r w:rsidRPr="00561CF5">
              <w:rPr>
                <w:rFonts w:ascii="Arial Narrow" w:hAnsi="Arial Narrow" w:cs="Arial"/>
                <w:iCs/>
                <w:sz w:val="20"/>
                <w:szCs w:val="20"/>
              </w:rPr>
              <w:t>Paediatr</w:t>
            </w:r>
            <w:proofErr w:type="spellEnd"/>
            <w:r w:rsidR="00C555CA" w:rsidRPr="00561CF5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iCs/>
                <w:sz w:val="20"/>
                <w:szCs w:val="20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2019;</w:t>
            </w:r>
            <w:r w:rsidR="00BE3870"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61CF5">
              <w:rPr>
                <w:rFonts w:ascii="Arial Narrow" w:hAnsi="Arial Narrow" w:cs="Arial"/>
                <w:sz w:val="20"/>
                <w:szCs w:val="20"/>
              </w:rPr>
              <w:t>29(3):238-248.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BB72CE1" w14:textId="77777777" w:rsidR="00000371" w:rsidRPr="00561CF5" w:rsidRDefault="00000371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122 (</w:t>
            </w:r>
            <w:r w:rsidR="000143F2"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32</w:t>
            </w: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</w:p>
        </w:tc>
      </w:tr>
      <w:tr w:rsidR="00000371" w:rsidRPr="00561CF5" w14:paraId="6E75FBBC" w14:textId="77777777" w:rsidTr="00000371">
        <w:trPr>
          <w:trHeight w:val="311"/>
        </w:trPr>
        <w:tc>
          <w:tcPr>
            <w:tcW w:w="1418" w:type="dxa"/>
            <w:tcBorders>
              <w:top w:val="single" w:sz="4" w:space="0" w:color="auto"/>
            </w:tcBorders>
          </w:tcPr>
          <w:p w14:paraId="0C44FA71" w14:textId="77777777" w:rsidR="00000371" w:rsidRPr="00561CF5" w:rsidRDefault="0011498A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23,88 (2)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4D48658A" w14:textId="77777777" w:rsidR="00000371" w:rsidRPr="00561CF5" w:rsidRDefault="0011498A" w:rsidP="00B212CA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Academy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Pediatrics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; American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Academy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Pediatric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Dentistry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>, Coté</w:t>
            </w:r>
            <w:r w:rsidR="00BE3870" w:rsidRPr="00561CF5">
              <w:rPr>
                <w:rFonts w:ascii="Arial Narrow" w:hAnsi="Arial Narrow" w:cs="Arial"/>
                <w:sz w:val="20"/>
                <w:szCs w:val="20"/>
              </w:rPr>
              <w:t xml:space="preserve"> CJ, Wilson S,</w:t>
            </w:r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Work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Group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Sedation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Guidelines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monitoring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management</w:t>
            </w:r>
            <w:proofErr w:type="spellEnd"/>
            <w:r w:rsidR="00BE3870"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pediatric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patients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during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and after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sedation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diagnostic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therapeutic</w:t>
            </w:r>
            <w:proofErr w:type="spellEnd"/>
            <w:r w:rsidR="00BE3870"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procedures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an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update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iCs/>
                <w:sz w:val="20"/>
                <w:szCs w:val="20"/>
              </w:rPr>
              <w:t>Pediatrics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>. 2006;</w:t>
            </w:r>
            <w:r w:rsidR="00BE3870"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61CF5">
              <w:rPr>
                <w:rFonts w:ascii="Arial Narrow" w:hAnsi="Arial Narrow" w:cs="Arial"/>
                <w:sz w:val="20"/>
                <w:szCs w:val="20"/>
              </w:rPr>
              <w:t>118(6):2587-602.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D6C4A94" w14:textId="77777777" w:rsidR="00000371" w:rsidRPr="00561CF5" w:rsidRDefault="0011498A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382 (1)</w:t>
            </w:r>
          </w:p>
        </w:tc>
      </w:tr>
      <w:tr w:rsidR="00000371" w:rsidRPr="00561CF5" w14:paraId="7E13B4A1" w14:textId="77777777" w:rsidTr="00000371">
        <w:trPr>
          <w:trHeight w:val="311"/>
        </w:trPr>
        <w:tc>
          <w:tcPr>
            <w:tcW w:w="1418" w:type="dxa"/>
            <w:tcBorders>
              <w:top w:val="single" w:sz="4" w:space="0" w:color="auto"/>
            </w:tcBorders>
          </w:tcPr>
          <w:p w14:paraId="3F4751C2" w14:textId="77777777" w:rsidR="00000371" w:rsidRPr="00561CF5" w:rsidRDefault="00E37099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22,33 (3)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2E186010" w14:textId="77777777" w:rsidR="00000371" w:rsidRPr="00561CF5" w:rsidRDefault="00E37099" w:rsidP="00B212CA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Urquhart O,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Tampi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MP,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Pilcher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L,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Slayton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RL, Araujo MWB, Fontana M, et al.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Nonrestorative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treatments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caries: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network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meta-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analysis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J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Res. 2019;98(1):14–26.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829FE75" w14:textId="77777777" w:rsidR="00000371" w:rsidRPr="00561CF5" w:rsidRDefault="00E37099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67 (62)</w:t>
            </w:r>
          </w:p>
        </w:tc>
      </w:tr>
      <w:tr w:rsidR="00000371" w:rsidRPr="00561CF5" w14:paraId="1EB8D927" w14:textId="77777777" w:rsidTr="00000371">
        <w:trPr>
          <w:trHeight w:val="311"/>
        </w:trPr>
        <w:tc>
          <w:tcPr>
            <w:tcW w:w="1418" w:type="dxa"/>
            <w:tcBorders>
              <w:top w:val="single" w:sz="4" w:space="0" w:color="auto"/>
            </w:tcBorders>
          </w:tcPr>
          <w:p w14:paraId="55057481" w14:textId="77777777" w:rsidR="00000371" w:rsidRPr="00561CF5" w:rsidRDefault="006A2BD6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22,15 (4)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4D5367FB" w14:textId="77777777" w:rsidR="00000371" w:rsidRPr="00561CF5" w:rsidRDefault="00E37099" w:rsidP="00B212CA">
            <w:pPr>
              <w:tabs>
                <w:tab w:val="left" w:pos="965"/>
              </w:tabs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Casamassimo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PS,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Thikkurissy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S, Edelstein BL,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Maiorini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E.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Beyond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dmft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human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economic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cost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early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childhood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caries. J Am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Assoc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 2009;140(6):650–7.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3C8F056" w14:textId="77777777" w:rsidR="00000371" w:rsidRPr="00561CF5" w:rsidRDefault="00C430CD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288 (4)</w:t>
            </w:r>
          </w:p>
        </w:tc>
      </w:tr>
      <w:tr w:rsidR="00000371" w:rsidRPr="00561CF5" w14:paraId="5BAF5855" w14:textId="77777777" w:rsidTr="00000371">
        <w:trPr>
          <w:trHeight w:val="311"/>
        </w:trPr>
        <w:tc>
          <w:tcPr>
            <w:tcW w:w="1418" w:type="dxa"/>
            <w:tcBorders>
              <w:top w:val="single" w:sz="4" w:space="0" w:color="auto"/>
            </w:tcBorders>
          </w:tcPr>
          <w:p w14:paraId="346F72B4" w14:textId="77777777" w:rsidR="00000371" w:rsidRPr="00561CF5" w:rsidRDefault="006A2BD6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21,17 (5)</w:t>
            </w:r>
          </w:p>
          <w:p w14:paraId="32902C72" w14:textId="77777777" w:rsidR="006A2BD6" w:rsidRPr="00561CF5" w:rsidRDefault="006A2BD6" w:rsidP="006A2BD6">
            <w:pPr>
              <w:spacing w:after="0" w:line="276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6005EF13" w14:textId="77777777" w:rsidR="00000371" w:rsidRPr="00561CF5" w:rsidRDefault="00E37099" w:rsidP="00B212CA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Silva MJ,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Scurrah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KJ, Craig JM,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Manton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DJ, Kilpatrick N.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Etiology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molar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incisor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hypomineralization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- A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Community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Oral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Epidemiol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 2016;44(4):342–53.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EB187B0" w14:textId="77777777" w:rsidR="00000371" w:rsidRPr="00561CF5" w:rsidRDefault="00C430CD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127 (30)</w:t>
            </w:r>
          </w:p>
        </w:tc>
      </w:tr>
      <w:tr w:rsidR="00000371" w:rsidRPr="00561CF5" w14:paraId="6578D936" w14:textId="77777777" w:rsidTr="00E3709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DC9635" w14:textId="77777777" w:rsidR="00000371" w:rsidRPr="00561CF5" w:rsidRDefault="00C430CD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19,64 (6)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97B6D95" w14:textId="77777777" w:rsidR="00E37099" w:rsidRPr="00561CF5" w:rsidRDefault="00E37099" w:rsidP="00B212CA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Abanto J, Carvalho TS,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Mendes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FM,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Wanderley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MT,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Bönecker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M, Raggio DP.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Impact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oral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diseases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disorders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oral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health-related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quality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preschool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: Oral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health-related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quality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preschool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Community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Oral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Epidemiol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</w:t>
            </w:r>
            <w:r w:rsidR="00B212CA"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2011</w:t>
            </w:r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;39(2):105–14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27D08E" w14:textId="77777777" w:rsidR="00000371" w:rsidRPr="00561CF5" w:rsidRDefault="00C430CD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216 (10)</w:t>
            </w:r>
          </w:p>
        </w:tc>
      </w:tr>
      <w:tr w:rsidR="00E37099" w:rsidRPr="00561CF5" w14:paraId="69975D07" w14:textId="77777777" w:rsidTr="00E3709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31CFBF" w14:textId="77777777" w:rsidR="00E37099" w:rsidRPr="00561CF5" w:rsidRDefault="00C430CD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19,40 (7)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9FBB823" w14:textId="77777777" w:rsidR="00E37099" w:rsidRPr="00561CF5" w:rsidRDefault="00E37099" w:rsidP="00B212CA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Klingberg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G,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Broberg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AG. Dental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fear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anxiety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and dental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behaviour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management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problems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adolescents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prevalence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concomitant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psychological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factors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 2007;17(6):391–406.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40A2E" w14:textId="77777777" w:rsidR="00E37099" w:rsidRPr="00561CF5" w:rsidRDefault="00C430CD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291 (3)</w:t>
            </w:r>
          </w:p>
        </w:tc>
      </w:tr>
      <w:tr w:rsidR="00E37099" w:rsidRPr="00561CF5" w14:paraId="15611236" w14:textId="77777777" w:rsidTr="00E3709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D8B8F8" w14:textId="77777777" w:rsidR="00E37099" w:rsidRPr="00561CF5" w:rsidRDefault="00C430CD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19,00 (8)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B3D03B9" w14:textId="77777777" w:rsidR="00E37099" w:rsidRPr="00561CF5" w:rsidRDefault="00E37099" w:rsidP="006A2BD6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Coté CJ, Wilson S, </w:t>
            </w:r>
            <w:r w:rsidR="00B212CA" w:rsidRPr="00561CF5">
              <w:rPr>
                <w:rFonts w:ascii="Arial Narrow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="00B212CA" w:rsidRPr="00561CF5">
              <w:rPr>
                <w:rFonts w:ascii="Arial Narrow" w:hAnsi="Arial Narrow" w:cs="Arial"/>
                <w:sz w:val="20"/>
                <w:szCs w:val="20"/>
              </w:rPr>
              <w:t>Academy</w:t>
            </w:r>
            <w:proofErr w:type="spellEnd"/>
            <w:r w:rsidR="00B212CA"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B212CA" w:rsidRPr="00561CF5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="00B212CA"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B212CA" w:rsidRPr="00561CF5">
              <w:rPr>
                <w:rFonts w:ascii="Arial Narrow" w:hAnsi="Arial Narrow" w:cs="Arial"/>
                <w:sz w:val="20"/>
                <w:szCs w:val="20"/>
              </w:rPr>
              <w:t>Pediatrics</w:t>
            </w:r>
            <w:proofErr w:type="spellEnd"/>
            <w:r w:rsidR="00B212CA" w:rsidRPr="00561CF5">
              <w:rPr>
                <w:rFonts w:ascii="Arial Narrow" w:hAnsi="Arial Narrow" w:cs="Arial"/>
                <w:sz w:val="20"/>
                <w:szCs w:val="20"/>
              </w:rPr>
              <w:t xml:space="preserve">; American </w:t>
            </w:r>
            <w:proofErr w:type="spellStart"/>
            <w:r w:rsidR="00B212CA" w:rsidRPr="00561CF5">
              <w:rPr>
                <w:rFonts w:ascii="Arial Narrow" w:hAnsi="Arial Narrow" w:cs="Arial"/>
                <w:sz w:val="20"/>
                <w:szCs w:val="20"/>
              </w:rPr>
              <w:t>Academy</w:t>
            </w:r>
            <w:proofErr w:type="spellEnd"/>
            <w:r w:rsidR="00B212CA"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B212CA" w:rsidRPr="00561CF5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="00B212CA"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B212CA" w:rsidRPr="00561CF5">
              <w:rPr>
                <w:rFonts w:ascii="Arial Narrow" w:hAnsi="Arial Narrow" w:cs="Arial"/>
                <w:sz w:val="20"/>
                <w:szCs w:val="20"/>
              </w:rPr>
              <w:t>Pediatric</w:t>
            </w:r>
            <w:proofErr w:type="spellEnd"/>
            <w:r w:rsidR="00B212CA"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B212CA" w:rsidRPr="00561CF5">
              <w:rPr>
                <w:rFonts w:ascii="Arial Narrow" w:hAnsi="Arial Narrow" w:cs="Arial"/>
                <w:sz w:val="20"/>
                <w:szCs w:val="20"/>
              </w:rPr>
              <w:t>Dentistry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Guidelines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monitoring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management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pediatric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patients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before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during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, and after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sedation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diagnostic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therapeutic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procedures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Update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2016.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Pediatrics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 2016;138(1).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48CF9" w14:textId="77777777" w:rsidR="00E37099" w:rsidRPr="00561CF5" w:rsidRDefault="00C430CD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114 (38)</w:t>
            </w:r>
          </w:p>
        </w:tc>
      </w:tr>
      <w:tr w:rsidR="00E37099" w:rsidRPr="00561CF5" w14:paraId="4B78CA7D" w14:textId="77777777" w:rsidTr="00E3709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046EB8" w14:textId="77777777" w:rsidR="00E37099" w:rsidRPr="00561CF5" w:rsidRDefault="00C430CD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18,05 (9)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D185F29" w14:textId="77777777" w:rsidR="00E37099" w:rsidRPr="00561CF5" w:rsidRDefault="00E37099" w:rsidP="00B212CA">
            <w:pPr>
              <w:tabs>
                <w:tab w:val="left" w:pos="1535"/>
              </w:tabs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Weerheijm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KL,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Duggal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Mejàre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I,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Papagiannoulis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L, Koch G, Martens LC, et al.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Judgement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criteria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molar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incisor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hypomineralisation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(MIH) in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epidemiologic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studies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summary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European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meeting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MIH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held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in Athens, 2003.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Eur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 2003;4(3):110–3.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078B53" w14:textId="77777777" w:rsidR="00E37099" w:rsidRPr="00561CF5" w:rsidRDefault="00C430CD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343 (2)</w:t>
            </w:r>
          </w:p>
        </w:tc>
      </w:tr>
      <w:tr w:rsidR="00E37099" w:rsidRPr="00561CF5" w14:paraId="4A224B51" w14:textId="77777777" w:rsidTr="00E3709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FD075B" w14:textId="77777777" w:rsidR="00E37099" w:rsidRPr="00561CF5" w:rsidRDefault="00C430CD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18,00 (10)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D10281E" w14:textId="77777777" w:rsidR="00E37099" w:rsidRPr="00561CF5" w:rsidRDefault="00E37099" w:rsidP="00B212CA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Zhao D, Dong B,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Yu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D, Ren Q,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Sun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Y.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prevalence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molar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incisor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hypomineralization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evidence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from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r w:rsidR="00B212CA"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70 </w:t>
            </w:r>
            <w:proofErr w:type="spellStart"/>
            <w:r w:rsidR="00B212CA"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studies</w:t>
            </w:r>
            <w:proofErr w:type="spellEnd"/>
            <w:r w:rsidR="00B212CA"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B212CA"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="00B212CA"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="00B212CA"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B212CA"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212CA"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B212CA"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</w:t>
            </w:r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2018;28(2):170–9.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DFDCB0" w14:textId="77777777" w:rsidR="00E37099" w:rsidRPr="00561CF5" w:rsidRDefault="00C430CD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72 (59)</w:t>
            </w:r>
          </w:p>
        </w:tc>
      </w:tr>
      <w:tr w:rsidR="00E37099" w:rsidRPr="00561CF5" w14:paraId="208DB308" w14:textId="77777777" w:rsidTr="00000371">
        <w:trPr>
          <w:trHeight w:val="311"/>
        </w:trPr>
        <w:tc>
          <w:tcPr>
            <w:tcW w:w="1418" w:type="dxa"/>
            <w:tcBorders>
              <w:top w:val="single" w:sz="4" w:space="0" w:color="auto"/>
            </w:tcBorders>
          </w:tcPr>
          <w:p w14:paraId="20B0342D" w14:textId="77777777" w:rsidR="00E37099" w:rsidRPr="00561CF5" w:rsidRDefault="00E37099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22CE5C58" w14:textId="77777777" w:rsidR="00E37099" w:rsidRPr="00561CF5" w:rsidRDefault="00E37099" w:rsidP="00B212CA">
            <w:pPr>
              <w:spacing w:after="0" w:line="276" w:lineRule="auto"/>
              <w:jc w:val="both"/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1B96612" w14:textId="77777777" w:rsidR="00E37099" w:rsidRPr="00561CF5" w:rsidRDefault="00E37099" w:rsidP="00B212CA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771A025C" w14:textId="77777777" w:rsidR="00325477" w:rsidRPr="00561CF5" w:rsidRDefault="00325477" w:rsidP="00B212CA">
      <w:pPr>
        <w:spacing w:after="0" w:line="276" w:lineRule="auto"/>
        <w:rPr>
          <w:rFonts w:ascii="Arial Narrow" w:hAnsi="Arial Narrow"/>
          <w:sz w:val="20"/>
          <w:szCs w:val="20"/>
        </w:rPr>
      </w:pPr>
    </w:p>
    <w:p w14:paraId="3BD97610" w14:textId="77777777" w:rsidR="00325477" w:rsidRPr="00561CF5" w:rsidRDefault="00325477" w:rsidP="00B212CA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561CF5">
        <w:rPr>
          <w:rFonts w:ascii="Arial Narrow" w:hAnsi="Arial Narrow"/>
          <w:sz w:val="20"/>
          <w:szCs w:val="20"/>
        </w:rPr>
        <w:br w:type="page"/>
      </w:r>
    </w:p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418"/>
        <w:gridCol w:w="7655"/>
        <w:gridCol w:w="992"/>
        <w:gridCol w:w="142"/>
      </w:tblGrid>
      <w:tr w:rsidR="00325477" w:rsidRPr="00561CF5" w14:paraId="4666E708" w14:textId="77777777" w:rsidTr="00057325">
        <w:trPr>
          <w:gridAfter w:val="1"/>
          <w:wAfter w:w="142" w:type="dxa"/>
          <w:trHeight w:val="145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20931A5B" w14:textId="77777777" w:rsidR="00325477" w:rsidRPr="00561CF5" w:rsidRDefault="00325477" w:rsidP="00B212CA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Tabla A. Material Complementario. Los 100 artículos más influyentes en Odontopediatría en función de la métrica citaciones/año. 1990-2019.</w:t>
            </w:r>
          </w:p>
        </w:tc>
      </w:tr>
      <w:tr w:rsidR="00325477" w:rsidRPr="00561CF5" w14:paraId="367A96E9" w14:textId="77777777" w:rsidTr="00057325">
        <w:trPr>
          <w:trHeight w:val="14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B9ECCE" w14:textId="77777777" w:rsidR="00325477" w:rsidRPr="00561CF5" w:rsidRDefault="00325477" w:rsidP="00B212C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Citaciones/año</w:t>
            </w:r>
          </w:p>
          <w:p w14:paraId="1BBE7EF1" w14:textId="77777777" w:rsidR="00325477" w:rsidRPr="00561CF5" w:rsidRDefault="00325477" w:rsidP="00B212C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Rango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7618B0CD" w14:textId="77777777" w:rsidR="00325477" w:rsidRPr="00561CF5" w:rsidRDefault="00325477" w:rsidP="00B212C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Referencia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438CBA" w14:textId="77777777" w:rsidR="00325477" w:rsidRPr="00561CF5" w:rsidRDefault="00325477" w:rsidP="00B212C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color w:val="000000"/>
                <w:spacing w:val="-6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b/>
                <w:bCs/>
                <w:color w:val="000000"/>
                <w:spacing w:val="-6"/>
                <w:sz w:val="20"/>
                <w:szCs w:val="20"/>
              </w:rPr>
              <w:t>Nº</w:t>
            </w:r>
            <w:proofErr w:type="spellEnd"/>
            <w:r w:rsidRPr="00561CF5">
              <w:rPr>
                <w:rFonts w:ascii="Arial Narrow" w:hAnsi="Arial Narrow" w:cs="Arial"/>
                <w:b/>
                <w:bCs/>
                <w:color w:val="000000"/>
                <w:spacing w:val="-6"/>
                <w:sz w:val="20"/>
                <w:szCs w:val="20"/>
              </w:rPr>
              <w:t xml:space="preserve"> Citas (Cites </w:t>
            </w:r>
            <w:proofErr w:type="spellStart"/>
            <w:r w:rsidRPr="00561CF5">
              <w:rPr>
                <w:rFonts w:ascii="Arial Narrow" w:hAnsi="Arial Narrow" w:cs="Arial"/>
                <w:b/>
                <w:bCs/>
                <w:color w:val="000000"/>
                <w:spacing w:val="-6"/>
                <w:sz w:val="20"/>
                <w:szCs w:val="20"/>
              </w:rPr>
              <w:t>rank</w:t>
            </w:r>
            <w:proofErr w:type="spellEnd"/>
            <w:r w:rsidRPr="00561CF5">
              <w:rPr>
                <w:rFonts w:ascii="Arial Narrow" w:hAnsi="Arial Narrow" w:cs="Arial"/>
                <w:b/>
                <w:bCs/>
                <w:color w:val="000000"/>
                <w:spacing w:val="-6"/>
                <w:sz w:val="20"/>
                <w:szCs w:val="20"/>
              </w:rPr>
              <w:t>)</w:t>
            </w:r>
          </w:p>
        </w:tc>
      </w:tr>
      <w:tr w:rsidR="000438F9" w:rsidRPr="00561CF5" w14:paraId="2AB65BCD" w14:textId="77777777" w:rsidTr="00057325">
        <w:trPr>
          <w:trHeight w:val="311"/>
        </w:trPr>
        <w:tc>
          <w:tcPr>
            <w:tcW w:w="1418" w:type="dxa"/>
            <w:tcBorders>
              <w:top w:val="single" w:sz="4" w:space="0" w:color="auto"/>
            </w:tcBorders>
          </w:tcPr>
          <w:p w14:paraId="17FC2C3C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40,67 (1)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4039A721" w14:textId="77777777" w:rsidR="000438F9" w:rsidRPr="00561CF5" w:rsidRDefault="000438F9" w:rsidP="00057325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Tinanoff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N,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Baez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RJ, Diaz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Guillory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C,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Donly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KJ,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Feldens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CA, McGrath C et al.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Earlychildhood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caries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epidemiology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aetiology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risk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assessment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, societal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burden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management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education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,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policy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: Global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perspective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iCs/>
                <w:sz w:val="20"/>
                <w:szCs w:val="20"/>
              </w:rPr>
              <w:t>Int</w:t>
            </w:r>
            <w:proofErr w:type="spellEnd"/>
            <w:r w:rsidRPr="00561CF5">
              <w:rPr>
                <w:rFonts w:ascii="Arial Narrow" w:hAnsi="Arial Narrow" w:cs="Arial"/>
                <w:iCs/>
                <w:sz w:val="20"/>
                <w:szCs w:val="20"/>
              </w:rPr>
              <w:t xml:space="preserve"> J </w:t>
            </w:r>
            <w:proofErr w:type="spellStart"/>
            <w:r w:rsidRPr="00561CF5">
              <w:rPr>
                <w:rFonts w:ascii="Arial Narrow" w:hAnsi="Arial Narrow" w:cs="Arial"/>
                <w:iCs/>
                <w:sz w:val="20"/>
                <w:szCs w:val="20"/>
              </w:rPr>
              <w:t>Paediatr</w:t>
            </w:r>
            <w:proofErr w:type="spellEnd"/>
            <w:r w:rsidRPr="00561CF5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iCs/>
                <w:sz w:val="20"/>
                <w:szCs w:val="20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2019;29(3):238-248.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ECD72B4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122 (32)</w:t>
            </w:r>
          </w:p>
        </w:tc>
      </w:tr>
      <w:tr w:rsidR="000438F9" w:rsidRPr="00561CF5" w14:paraId="3242979F" w14:textId="77777777" w:rsidTr="00057325">
        <w:trPr>
          <w:trHeight w:val="311"/>
        </w:trPr>
        <w:tc>
          <w:tcPr>
            <w:tcW w:w="1418" w:type="dxa"/>
            <w:tcBorders>
              <w:top w:val="single" w:sz="4" w:space="0" w:color="auto"/>
            </w:tcBorders>
          </w:tcPr>
          <w:p w14:paraId="30EC9D6B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23,88 (2)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005FD277" w14:textId="77777777" w:rsidR="000438F9" w:rsidRPr="00561CF5" w:rsidRDefault="000438F9" w:rsidP="00057325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Academy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Pediatrics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; American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Academy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Pediatric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Dentistry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, Coté CJ, Wilson S,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Work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Group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Sedation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Guidelines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monitoring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management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pediatric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patients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during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and after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sedation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diagnostic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therapeutic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procedures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an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update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iCs/>
                <w:sz w:val="20"/>
                <w:szCs w:val="20"/>
              </w:rPr>
              <w:t>Pediatrics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>. 2006;118(6):2587-602.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719C25E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382 (1)</w:t>
            </w:r>
          </w:p>
        </w:tc>
      </w:tr>
      <w:tr w:rsidR="000438F9" w:rsidRPr="00561CF5" w14:paraId="152E1FE7" w14:textId="77777777" w:rsidTr="00057325">
        <w:trPr>
          <w:trHeight w:val="311"/>
        </w:trPr>
        <w:tc>
          <w:tcPr>
            <w:tcW w:w="1418" w:type="dxa"/>
            <w:tcBorders>
              <w:top w:val="single" w:sz="4" w:space="0" w:color="auto"/>
            </w:tcBorders>
          </w:tcPr>
          <w:p w14:paraId="3FBF8036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22,33 (3)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30A65C1A" w14:textId="77777777" w:rsidR="000438F9" w:rsidRPr="00561CF5" w:rsidRDefault="000438F9" w:rsidP="00057325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Urquhart O,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Tampi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MP,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Pilcher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L,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Slayton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RL, Araujo MWB, Fontana M, et al.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Nonrestorative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treatments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caries: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network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meta-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analysis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J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Res. 2019;98(1):14–26.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9282C08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67 (62)</w:t>
            </w:r>
          </w:p>
        </w:tc>
      </w:tr>
      <w:tr w:rsidR="000438F9" w:rsidRPr="00561CF5" w14:paraId="4FF240A7" w14:textId="77777777" w:rsidTr="00057325">
        <w:trPr>
          <w:trHeight w:val="311"/>
        </w:trPr>
        <w:tc>
          <w:tcPr>
            <w:tcW w:w="1418" w:type="dxa"/>
            <w:tcBorders>
              <w:top w:val="single" w:sz="4" w:space="0" w:color="auto"/>
            </w:tcBorders>
          </w:tcPr>
          <w:p w14:paraId="258A9119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22,15 (4)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4FED3E0E" w14:textId="77777777" w:rsidR="000438F9" w:rsidRPr="00561CF5" w:rsidRDefault="000438F9" w:rsidP="00057325">
            <w:pPr>
              <w:tabs>
                <w:tab w:val="left" w:pos="965"/>
              </w:tabs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Casamassimo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PS,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Thikkurissy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S, Edelstein BL,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Maiorini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E.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Beyond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dmft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human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economic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cost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early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childhood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caries. J Am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Assoc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 2009;140(6):650–7.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B726DFC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288 (4)</w:t>
            </w:r>
          </w:p>
        </w:tc>
      </w:tr>
      <w:tr w:rsidR="000438F9" w:rsidRPr="00561CF5" w14:paraId="198FB0B6" w14:textId="77777777" w:rsidTr="00057325">
        <w:trPr>
          <w:trHeight w:val="311"/>
        </w:trPr>
        <w:tc>
          <w:tcPr>
            <w:tcW w:w="1418" w:type="dxa"/>
            <w:tcBorders>
              <w:top w:val="single" w:sz="4" w:space="0" w:color="auto"/>
            </w:tcBorders>
          </w:tcPr>
          <w:p w14:paraId="1BA713EC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21,17 (5)</w:t>
            </w:r>
          </w:p>
          <w:p w14:paraId="73B4029F" w14:textId="77777777" w:rsidR="000438F9" w:rsidRPr="00561CF5" w:rsidRDefault="000438F9" w:rsidP="00057325">
            <w:pPr>
              <w:spacing w:after="0" w:line="276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5BD58F50" w14:textId="77777777" w:rsidR="000438F9" w:rsidRPr="00561CF5" w:rsidRDefault="000438F9" w:rsidP="00057325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Silva MJ,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Scurrah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KJ, Craig JM,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Manton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DJ, Kilpatrick N.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Etiology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molar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incisor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hypomineralization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- A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Community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Oral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Epidemiol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 2016;44(4):342–53.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AE7CC27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127 (30)</w:t>
            </w:r>
          </w:p>
        </w:tc>
      </w:tr>
      <w:tr w:rsidR="000438F9" w:rsidRPr="00561CF5" w14:paraId="2C355B0E" w14:textId="77777777" w:rsidTr="000438F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7B06F7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19,64 (6)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2C70B31" w14:textId="77777777" w:rsidR="000438F9" w:rsidRPr="00561CF5" w:rsidRDefault="000438F9" w:rsidP="00057325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Abanto J, Carvalho TS,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Mendes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FM,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Wanderley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MT,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Bönecker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M, Raggio DP.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Impact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oral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diseases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disorders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oral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health-related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quality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preschool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: Oral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health-related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quality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preschool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Community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Oral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Epidemiol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 2011;39(2):105–14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05525C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216 (10)</w:t>
            </w:r>
          </w:p>
        </w:tc>
      </w:tr>
      <w:tr w:rsidR="000438F9" w:rsidRPr="00561CF5" w14:paraId="7E1C08BA" w14:textId="77777777" w:rsidTr="000438F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F2F471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19,40 (7)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4984A0D" w14:textId="77777777" w:rsidR="000438F9" w:rsidRPr="00561CF5" w:rsidRDefault="000438F9" w:rsidP="00057325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Klingberg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G,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Broberg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AG. Dental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fear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anxiety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and dental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behaviour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management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problems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adolescents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prevalence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concomitant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psychological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factors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 2007;17(6):391–406.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5D94A4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291 (3)</w:t>
            </w:r>
          </w:p>
        </w:tc>
      </w:tr>
      <w:tr w:rsidR="000438F9" w:rsidRPr="00561CF5" w14:paraId="0D93FFBF" w14:textId="77777777" w:rsidTr="000438F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87CDC5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19,00 (8)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8EDC9DF" w14:textId="77777777" w:rsidR="000438F9" w:rsidRPr="00561CF5" w:rsidRDefault="000438F9" w:rsidP="00057325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Coté CJ, Wilson S, </w:t>
            </w:r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Academy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Pediatrics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; American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Academy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Pediatric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</w:rPr>
              <w:t>Dentistry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Guidelines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monitoring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management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pediatric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patients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before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during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, and after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sedation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diagnostic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therapeutic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procedures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Update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2016.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Pediatrics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 2016;138(1).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6388C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114 (38)</w:t>
            </w:r>
          </w:p>
        </w:tc>
      </w:tr>
      <w:tr w:rsidR="000438F9" w:rsidRPr="00561CF5" w14:paraId="03302372" w14:textId="77777777" w:rsidTr="000438F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C6EE4C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18,05 (9)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7B09E05" w14:textId="77777777" w:rsidR="000438F9" w:rsidRPr="00561CF5" w:rsidRDefault="000438F9" w:rsidP="00057325">
            <w:pPr>
              <w:tabs>
                <w:tab w:val="left" w:pos="1535"/>
              </w:tabs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Weerheijm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KL,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Duggal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Mejàre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I,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Papagiannoulis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L, Koch G, Martens LC, et al.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Judgement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criteria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molar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incisor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hypomineralisation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(MIH) in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epidemiologic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studies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summary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European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meeting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MIH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held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in Athens, 2003.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Eur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 2003;4(3):110–3.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AF970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343 (2)</w:t>
            </w:r>
          </w:p>
        </w:tc>
      </w:tr>
      <w:tr w:rsidR="000438F9" w:rsidRPr="00561CF5" w14:paraId="11C710E2" w14:textId="77777777" w:rsidTr="000438F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CC7326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18,00 (10)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66A757E" w14:textId="77777777" w:rsidR="000438F9" w:rsidRPr="00561CF5" w:rsidRDefault="000438F9" w:rsidP="00057325">
            <w:p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Zhao D, Dong B,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Yu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D, Ren Q,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Sun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Y.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prevalence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molar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incisor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hypomineralization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evidence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from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70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studies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 2018;28(2):170–9.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2A107B" w14:textId="77777777" w:rsidR="000438F9" w:rsidRPr="00561CF5" w:rsidRDefault="000438F9" w:rsidP="00057325">
            <w:pPr>
              <w:spacing w:after="0"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72 (59)</w:t>
            </w:r>
          </w:p>
        </w:tc>
      </w:tr>
      <w:tr w:rsidR="000438F9" w:rsidRPr="00561CF5" w14:paraId="7E676E75" w14:textId="77777777" w:rsidTr="000438F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DF6B8C" w14:textId="77777777" w:rsidR="000438F9" w:rsidRPr="00561CF5" w:rsidRDefault="000438F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17,75 (11)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22D8B3D" w14:textId="77777777" w:rsidR="000438F9" w:rsidRPr="00561CF5" w:rsidRDefault="00072159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Chisini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LA, Collares K,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Cademartori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MG, de Oliveira LJC, Conde MCM, Demarco FF, et al.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Restorations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primary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teeth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survival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reasons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failures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2018;28(2):123–39.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437188" w14:textId="77777777" w:rsidR="000438F9" w:rsidRPr="00561CF5" w:rsidRDefault="00A677B2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71 (60)</w:t>
            </w:r>
          </w:p>
        </w:tc>
      </w:tr>
      <w:tr w:rsidR="000438F9" w:rsidRPr="00561CF5" w14:paraId="2484B152" w14:textId="77777777" w:rsidTr="000438F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05689A" w14:textId="77777777" w:rsidR="000438F9" w:rsidRPr="00561CF5" w:rsidRDefault="000438F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17,42 (12)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78ABD94" w14:textId="77777777" w:rsidR="000438F9" w:rsidRPr="00561CF5" w:rsidRDefault="00072159" w:rsidP="00072159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Lygidakis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NA, Wong F,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Jälevik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B,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Vierrou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A-M,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Alaluusua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Espelid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Best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Clinical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Practice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Guidance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clinicians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dealing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with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presenting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with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Molar-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Incisor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Hypomineralisation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(MIH):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EAPD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Policy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Document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Eur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Arch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2010;11(2):75–81.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7A43F" w14:textId="77777777" w:rsidR="000438F9" w:rsidRPr="00561CF5" w:rsidRDefault="00A677B2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209 (11)</w:t>
            </w:r>
          </w:p>
        </w:tc>
      </w:tr>
      <w:tr w:rsidR="000438F9" w:rsidRPr="00561CF5" w14:paraId="59ED28F0" w14:textId="77777777" w:rsidTr="000438F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93659E" w14:textId="77777777" w:rsidR="000438F9" w:rsidRPr="00561CF5" w:rsidRDefault="000438F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16,75 (13)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EAE152B" w14:textId="77777777" w:rsidR="000438F9" w:rsidRPr="00561CF5" w:rsidRDefault="00072159" w:rsidP="00072159">
            <w:pPr>
              <w:tabs>
                <w:tab w:val="left" w:pos="1454"/>
              </w:tabs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Oenning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AC, Jacobs R,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Pauwels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Stratis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Hedesiu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M, Salmon B, et al.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Cone-beam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CT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dentistry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DIMITRA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project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position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statement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Radiol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2018;48(3):308–16.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F0A5B" w14:textId="77777777" w:rsidR="000438F9" w:rsidRPr="00561CF5" w:rsidRDefault="00A677B2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67 (63)</w:t>
            </w:r>
          </w:p>
        </w:tc>
      </w:tr>
      <w:tr w:rsidR="000438F9" w:rsidRPr="00561CF5" w14:paraId="4A4CADC9" w14:textId="77777777" w:rsidTr="000438F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485DE5" w14:textId="77777777" w:rsidR="000438F9" w:rsidRPr="00561CF5" w:rsidRDefault="000438F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16,00 (14)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5470ACF" w14:textId="77777777" w:rsidR="000438F9" w:rsidRPr="00561CF5" w:rsidRDefault="00072159" w:rsidP="00072159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Panchal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V,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Jeevanandan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G,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Subramanian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E.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Comparison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instrumentation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time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obturation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quality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between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hand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K-file, H-files,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rotary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Kedo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-S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root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canal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treatment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primary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teeth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randomized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controlled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trial. J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Indian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Soc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Pedod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Prev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2019;37(1):75–9.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768156" w14:textId="77777777" w:rsidR="000438F9" w:rsidRPr="00561CF5" w:rsidRDefault="00A677B2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48 (80)</w:t>
            </w:r>
          </w:p>
        </w:tc>
      </w:tr>
      <w:tr w:rsidR="000438F9" w:rsidRPr="00561CF5" w14:paraId="2F39CEE4" w14:textId="77777777" w:rsidTr="000438F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B3E749" w14:textId="77777777" w:rsidR="000438F9" w:rsidRPr="00561CF5" w:rsidRDefault="000438F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16,00 (15)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2BCD19B" w14:textId="77777777" w:rsidR="000438F9" w:rsidRPr="00561CF5" w:rsidRDefault="00072159" w:rsidP="00072159">
            <w:pPr>
              <w:tabs>
                <w:tab w:val="left" w:pos="1562"/>
              </w:tabs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Kanduti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Sterbenk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P,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Artnik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B.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Fluoride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use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effects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health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Mater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Sociomed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2016;28(2):133–7.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C20B58" w14:textId="77777777" w:rsidR="000438F9" w:rsidRPr="00561CF5" w:rsidRDefault="00A677B2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96 (46)</w:t>
            </w:r>
          </w:p>
        </w:tc>
      </w:tr>
      <w:tr w:rsidR="000438F9" w:rsidRPr="00561CF5" w14:paraId="0D2D86BF" w14:textId="77777777" w:rsidTr="000438F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C2C2D7" w14:textId="77777777" w:rsidR="000438F9" w:rsidRPr="00561CF5" w:rsidRDefault="000438F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15,40 (16)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5B9986B" w14:textId="77777777" w:rsidR="000438F9" w:rsidRPr="00561CF5" w:rsidRDefault="00072159" w:rsidP="00072159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Americano GCA, Jacobsen PE,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Soviero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VM,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Haubek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D.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association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between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molar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incisor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hypomineralization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dental caries.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2017;27(1):11–21.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192F05" w14:textId="77777777" w:rsidR="000438F9" w:rsidRPr="00561CF5" w:rsidRDefault="00A677B2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77 (55)</w:t>
            </w:r>
          </w:p>
        </w:tc>
      </w:tr>
      <w:tr w:rsidR="000438F9" w:rsidRPr="00561CF5" w14:paraId="522C2B24" w14:textId="77777777" w:rsidTr="000438F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96FC25" w14:textId="77777777" w:rsidR="000438F9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15,00 (17)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953D81C" w14:textId="77777777" w:rsidR="000438F9" w:rsidRPr="00561CF5" w:rsidRDefault="00072159" w:rsidP="00072159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Early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childhood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caries: IAPD Bangkok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declaration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2019;29(3):384–6.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65447" w14:textId="77777777" w:rsidR="000438F9" w:rsidRPr="00561CF5" w:rsidRDefault="00A677B2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45 (85)</w:t>
            </w:r>
          </w:p>
        </w:tc>
      </w:tr>
      <w:tr w:rsidR="000438F9" w:rsidRPr="00561CF5" w14:paraId="7B883494" w14:textId="77777777" w:rsidTr="000438F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7FEDF5" w14:textId="77777777" w:rsidR="000438F9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14,83 (18)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DD8765E" w14:textId="77777777" w:rsidR="000438F9" w:rsidRPr="00561CF5" w:rsidRDefault="00072159" w:rsidP="00072159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Alaluusua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Aetiology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Molar-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Incisor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Hypomineralisation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Eur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Arch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2010;11(2):53–8.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41CDFD" w14:textId="77777777" w:rsidR="000438F9" w:rsidRPr="00561CF5" w:rsidRDefault="00A677B2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178 (18)</w:t>
            </w:r>
          </w:p>
        </w:tc>
      </w:tr>
      <w:tr w:rsidR="000438F9" w:rsidRPr="00561CF5" w14:paraId="5EC9DE1E" w14:textId="77777777" w:rsidTr="000438F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561185" w14:textId="77777777" w:rsidR="000438F9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14,50 (19)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7EAE99F" w14:textId="77777777" w:rsidR="000438F9" w:rsidRPr="00561CF5" w:rsidRDefault="00072159" w:rsidP="00072159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Jälevik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B.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Prevalence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Diagnosis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Molar-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Incisor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Hypomineralisation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(MIH):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Eur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Arch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2010;11(2):59–64.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11251E" w14:textId="77777777" w:rsidR="000438F9" w:rsidRPr="00561CF5" w:rsidRDefault="00A677B2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174 (19)</w:t>
            </w:r>
          </w:p>
        </w:tc>
      </w:tr>
      <w:tr w:rsidR="000438F9" w:rsidRPr="00561CF5" w14:paraId="0C41ECDF" w14:textId="77777777" w:rsidTr="000438F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5B0629" w14:textId="77777777" w:rsidR="000438F9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14,42 (20)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1C07FD88" w14:textId="77777777" w:rsidR="000438F9" w:rsidRPr="00561CF5" w:rsidRDefault="00072159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Filstrup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SL,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Briskie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D, da Fonseca M, Lawrence L,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Wandera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Inglehart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MR.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Early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childhood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caries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quality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parent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perspectives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2003;25(5):431–40.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960B71" w14:textId="77777777" w:rsidR="000438F9" w:rsidRPr="00561CF5" w:rsidRDefault="00A677B2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274 (6)</w:t>
            </w:r>
          </w:p>
        </w:tc>
      </w:tr>
      <w:tr w:rsidR="000438F9" w:rsidRPr="00561CF5" w14:paraId="73F6E0BD" w14:textId="77777777" w:rsidTr="000438F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28D7CA" w14:textId="77777777" w:rsidR="000438F9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14,33 (21)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1EB43BD" w14:textId="77777777" w:rsidR="000438F9" w:rsidRPr="00561CF5" w:rsidRDefault="0092604E" w:rsidP="00434008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Gao SS, Zhao IS,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Hiraishi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N,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Duangthip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Mei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ML, Lo ECM, et al.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Clinical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trials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silver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diamine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fluoride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arresting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caries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among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systema</w:t>
            </w:r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tic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JDR Clin Trans Res</w:t>
            </w: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2016;1(3):201–10.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927DF5" w14:textId="77777777" w:rsidR="000438F9" w:rsidRPr="00561CF5" w:rsidRDefault="00A677B2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86 (51)</w:t>
            </w:r>
          </w:p>
        </w:tc>
      </w:tr>
      <w:tr w:rsidR="000438F9" w:rsidRPr="00561CF5" w14:paraId="5448C551" w14:textId="77777777" w:rsidTr="000438F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18B077" w14:textId="77777777" w:rsidR="000438F9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14,25 (22)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B369E2D" w14:textId="77777777" w:rsidR="000438F9" w:rsidRPr="00561CF5" w:rsidRDefault="0092604E" w:rsidP="00434008">
            <w:pPr>
              <w:spacing w:before="40" w:after="4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Jeevanandan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G,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Govindaraju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L.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Clinical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comparison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Kedo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-S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rotary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files vs manual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instrumentation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root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canal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preparation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primary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molars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double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blinded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randomised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clinical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trial.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Eur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Arch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2018;19(4):273–8.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5EC8C3" w14:textId="77777777" w:rsidR="000438F9" w:rsidRPr="00561CF5" w:rsidRDefault="00A677B2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57 (74)</w:t>
            </w:r>
          </w:p>
        </w:tc>
      </w:tr>
      <w:tr w:rsidR="000438F9" w:rsidRPr="00561CF5" w14:paraId="5CC82F26" w14:textId="77777777" w:rsidTr="000438F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C6A486" w14:textId="77777777" w:rsidR="000438F9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14,05 (23)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DA251F8" w14:textId="77777777" w:rsidR="000438F9" w:rsidRPr="00561CF5" w:rsidRDefault="0092604E" w:rsidP="00434008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Rajab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LD,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Hamdan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MAM.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Supernumerary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teeth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literature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survey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152 cases: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Supernumerary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teeth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J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2002;12(4):244–54.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2F4DCB" w14:textId="77777777" w:rsidR="000438F9" w:rsidRPr="00561CF5" w:rsidRDefault="00A677B2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281 (5)</w:t>
            </w:r>
          </w:p>
        </w:tc>
      </w:tr>
      <w:tr w:rsidR="000438F9" w:rsidRPr="00561CF5" w14:paraId="49507325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C5ACCF" w14:textId="77777777" w:rsidR="000438F9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14,00 (24)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883392B" w14:textId="77777777" w:rsidR="000438F9" w:rsidRPr="00561CF5" w:rsidRDefault="0092604E" w:rsidP="0092604E">
            <w:pPr>
              <w:tabs>
                <w:tab w:val="left" w:pos="1055"/>
              </w:tabs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Kirthiga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Murugan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Saikia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Kirubakaran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Risk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factors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early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childhood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caries: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meta-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analysis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case control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cohort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studies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2019;41(2):95–112.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51AC3" w14:textId="77777777" w:rsidR="000438F9" w:rsidRPr="00561CF5" w:rsidRDefault="00A677B2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42 (87)</w:t>
            </w:r>
          </w:p>
        </w:tc>
      </w:tr>
      <w:tr w:rsidR="00A8603F" w:rsidRPr="00561CF5" w14:paraId="0E2DC690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5E3725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14,00 (25)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F766513" w14:textId="77777777" w:rsidR="00A8603F" w:rsidRPr="00561CF5" w:rsidRDefault="0092604E" w:rsidP="00434008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Wright JT,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Crall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JJ, Fontana M, Gillette EJ,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Nový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BB,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Dhar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V, et al.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Evidence-based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clinical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practice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guideline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use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pit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-and-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fissure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sealants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report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American Dental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Association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American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Academy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</w:t>
            </w:r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ric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Dentistry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J Am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Assoc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2016;147(8):672-682.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10738E" w14:textId="77777777" w:rsidR="00A8603F" w:rsidRPr="00561CF5" w:rsidRDefault="00A677B2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84 (52)</w:t>
            </w:r>
          </w:p>
        </w:tc>
      </w:tr>
      <w:tr w:rsidR="00A8603F" w:rsidRPr="00561CF5" w14:paraId="7476A7E6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2729BA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13,40 (26)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2788CE1" w14:textId="77777777" w:rsidR="00A8603F" w:rsidRPr="00561CF5" w:rsidRDefault="0092604E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Coll JA,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Seale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NS, Vargas K,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Marghalani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AA, 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Shamali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S, Graham L.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Primary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tooth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vital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pulp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therapy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meta-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analysis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2017;39(1):16–123.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C15214" w14:textId="77777777" w:rsidR="00A8603F" w:rsidRPr="00561CF5" w:rsidRDefault="00A677B2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67 (64)</w:t>
            </w:r>
          </w:p>
        </w:tc>
      </w:tr>
      <w:tr w:rsidR="00A8603F" w:rsidRPr="00561CF5" w14:paraId="6E720023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140C35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13,33 (27)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725053A" w14:textId="77777777" w:rsidR="00A8603F" w:rsidRPr="00561CF5" w:rsidRDefault="0092604E" w:rsidP="00434008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Coté CJ, Wilson S, A</w:t>
            </w:r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merican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Academy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Pediatrics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American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Academy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Pediatric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Dentistry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Guidelines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monitoring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management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patients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before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during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and after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sedation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diagnostic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ther</w:t>
            </w:r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apeutic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procedures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Pediatrics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2019;143(6</w:t>
            </w:r>
            <w:proofErr w:type="gram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):e</w:t>
            </w:r>
            <w:proofErr w:type="gram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20191000.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464FD8" w14:textId="77777777" w:rsidR="00A8603F" w:rsidRPr="00561CF5" w:rsidRDefault="00A677B2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40 (88)</w:t>
            </w:r>
          </w:p>
        </w:tc>
      </w:tr>
      <w:tr w:rsidR="00A8603F" w:rsidRPr="00561CF5" w14:paraId="4D0C13C6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7C236C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13,26 (28)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3679E82" w14:textId="77777777" w:rsidR="00A8603F" w:rsidRPr="00561CF5" w:rsidRDefault="0092604E" w:rsidP="00434008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Hale KJ, American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Academy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Pediatrics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Section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Dentistry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Oral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health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risk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assessment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timing and establishment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dental home.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Pediatrics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2003;111(5 Pt 1):1113–6.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38A483" w14:textId="77777777" w:rsidR="00A8603F" w:rsidRPr="00561CF5" w:rsidRDefault="00A677B2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252 (7)</w:t>
            </w:r>
          </w:p>
        </w:tc>
      </w:tr>
      <w:tr w:rsidR="00A8603F" w:rsidRPr="00561CF5" w14:paraId="5692F4E7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5F7921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13,20 (29)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0B6DDE6" w14:textId="77777777" w:rsidR="00A8603F" w:rsidRPr="00561CF5" w:rsidRDefault="0092604E" w:rsidP="00434008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Cianetti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S, Lombardo G,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Lupatelli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E, Pagano S,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Abraha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Montedori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A, et al. Dental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fear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anxiety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among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adolescents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systemat</w:t>
            </w:r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ic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Eur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2017;18(2):121–30.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6BA482" w14:textId="77777777" w:rsidR="00A8603F" w:rsidRPr="00561CF5" w:rsidRDefault="00F07B9B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66 </w:t>
            </w:r>
            <w:r w:rsidR="00D40918"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(66)</w:t>
            </w:r>
          </w:p>
        </w:tc>
      </w:tr>
      <w:tr w:rsidR="00A8603F" w:rsidRPr="00561CF5" w14:paraId="43EF58E1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CA2E6A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13,00 (30)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D6372F3" w14:textId="77777777" w:rsidR="00A8603F" w:rsidRPr="00561CF5" w:rsidRDefault="0092604E" w:rsidP="00434008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Tellez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Gomez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Pretty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Ellwood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R, Ismail AI.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Evidence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existing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caries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risk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assessment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systems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</w:t>
            </w:r>
            <w:proofErr w:type="gram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are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predictive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future caries?</w:t>
            </w:r>
            <w:proofErr w:type="gram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Community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Oral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Epidemiol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2013;41(1):67–78.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D90F8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117 (37)</w:t>
            </w:r>
          </w:p>
        </w:tc>
      </w:tr>
      <w:tr w:rsidR="00A8603F" w:rsidRPr="00561CF5" w14:paraId="7454842B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3180F6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12,80 (31)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162D3350" w14:textId="77777777" w:rsidR="00A8603F" w:rsidRPr="00561CF5" w:rsidRDefault="0092604E" w:rsidP="00434008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Crystal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YO,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Janal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MN, Hamilton DS,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Niederman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R. Parental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perceptions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acceptance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silver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diamine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fluo</w:t>
            </w:r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ride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staining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J Am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Assoc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2017;148(7):510-518.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1644A6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64 (68)</w:t>
            </w:r>
          </w:p>
        </w:tc>
      </w:tr>
      <w:tr w:rsidR="00A8603F" w:rsidRPr="00561CF5" w14:paraId="7D6A7463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5F6D17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12,42 (32)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CE8F4C8" w14:textId="77777777" w:rsidR="00A8603F" w:rsidRPr="00561CF5" w:rsidRDefault="001130EC" w:rsidP="00434008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Fleisch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AF, Sheffield PE,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Chinn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C, Edelstein BL,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Landrigan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PJ.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Bisphenol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 and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related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compounds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</w:t>
            </w:r>
            <w:r w:rsidR="00434008"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 dental </w:t>
            </w:r>
            <w:proofErr w:type="spellStart"/>
            <w:r w:rsidR="00434008"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materials</w:t>
            </w:r>
            <w:proofErr w:type="spellEnd"/>
            <w:r w:rsidR="00434008"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434008"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Pediatrics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. 2010;126(4):760–8.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0365EF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149 (26)</w:t>
            </w:r>
          </w:p>
        </w:tc>
      </w:tr>
      <w:tr w:rsidR="00A8603F" w:rsidRPr="00561CF5" w14:paraId="14A30A21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FFEFC0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12,33 (33)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09D8745" w14:textId="77777777" w:rsidR="00A8603F" w:rsidRPr="00561CF5" w:rsidRDefault="001130EC" w:rsidP="00434008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Toumba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KJ,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Twetman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Splieth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Parnell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C, van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Loveren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Lygidakis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NΑ.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Guidelines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use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fluoride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caries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prevention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updated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EAPD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policy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do</w:t>
            </w:r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cument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Eur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Arch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2019;20(6):507–16.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5B38E9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37 (90)</w:t>
            </w:r>
          </w:p>
        </w:tc>
      </w:tr>
      <w:tr w:rsidR="00A8603F" w:rsidRPr="00561CF5" w14:paraId="2F865688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C85267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12,22 (34)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190E1F06" w14:textId="77777777" w:rsidR="00A8603F" w:rsidRPr="00561CF5" w:rsidRDefault="001130EC" w:rsidP="00434008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Leong PM,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Gussy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MG, Barrow S-YL, de Silva-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Sanigorski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A, Waters E.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risk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factors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during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first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year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early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childho</w:t>
            </w:r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caries.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2013;23(4):235–50.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8E858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110 (41)</w:t>
            </w:r>
          </w:p>
        </w:tc>
      </w:tr>
      <w:tr w:rsidR="00A8603F" w:rsidRPr="00561CF5" w14:paraId="22DC61F1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B25BB9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12,00 (35)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875AA84" w14:textId="77777777" w:rsidR="00A8603F" w:rsidRPr="00561CF5" w:rsidRDefault="001130EC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Crystal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YO,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Marghalani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AA,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Ureles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SD, Wright JT,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Sulyanto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Divaris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K, et al. Use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silver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diamine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fluoride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dental caries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management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adolescents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including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those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with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special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health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care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needs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2017;39(5):135–45.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1B496B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60 (71)</w:t>
            </w:r>
          </w:p>
        </w:tc>
      </w:tr>
      <w:tr w:rsidR="00A8603F" w:rsidRPr="00561CF5" w14:paraId="275E6CDF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A62CBE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12,00 (36)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10F7F31" w14:textId="77777777" w:rsidR="00A8603F" w:rsidRPr="00561CF5" w:rsidRDefault="001130EC" w:rsidP="00434008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Elfrink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MEC,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Ghanim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Manton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DJ,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Weerheijm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KL.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Standardised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studies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Molar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Incisor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Hypomineralisation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(MIH)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Hypomineralised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Second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Primary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Molars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(HSPM): </w:t>
            </w:r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a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need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Eur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Arch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2015;16(3):247–55.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8F528B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84 (53)</w:t>
            </w:r>
          </w:p>
        </w:tc>
      </w:tr>
      <w:tr w:rsidR="00A8603F" w:rsidRPr="00561CF5" w14:paraId="167E6F75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C8380B3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12,00 (37)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BED3D21" w14:textId="77777777" w:rsidR="00A8603F" w:rsidRPr="00561CF5" w:rsidRDefault="001130EC" w:rsidP="00434008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Marinho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VCC. Cochrane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randomized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trials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fluoride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therapies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preventing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dental </w:t>
            </w:r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caries.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Eur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Arch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2009;10(3):183–91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4ED642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156 (22)</w:t>
            </w:r>
          </w:p>
        </w:tc>
      </w:tr>
      <w:tr w:rsidR="00A8603F" w:rsidRPr="00561CF5" w14:paraId="165DAB72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8687F1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12,00 (38)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319D103" w14:textId="77777777" w:rsidR="00A8603F" w:rsidRPr="00561CF5" w:rsidRDefault="001130EC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Thibodeau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B,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Trope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M. Pulp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revascularization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necrotic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infected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immature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permanent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tooth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case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report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literature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2007;29(1):47–50.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743D3A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180 (16)</w:t>
            </w:r>
          </w:p>
        </w:tc>
      </w:tr>
      <w:tr w:rsidR="00A8603F" w:rsidRPr="00561CF5" w14:paraId="72D7DE39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86F1EF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12,00 (39)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DFC162C" w14:textId="77777777" w:rsidR="00A8603F" w:rsidRPr="00561CF5" w:rsidRDefault="001130EC" w:rsidP="00434008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Jälevik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B,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Klingberg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GA. Dental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treatment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dental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fear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behaviour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management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problems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with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severe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enamel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hypomineralization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their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permanent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first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molars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Clinical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effects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enamel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hypominer</w:t>
            </w:r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alization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2002;12(1):24–32.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EB603D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240 (8)</w:t>
            </w:r>
          </w:p>
        </w:tc>
      </w:tr>
      <w:tr w:rsidR="00A8603F" w:rsidRPr="00561CF5" w14:paraId="7F0B7CB1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751748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11,90 (40)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D0B189F" w14:textId="77777777" w:rsidR="00A8603F" w:rsidRPr="00561CF5" w:rsidRDefault="001130EC" w:rsidP="00434008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Kim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Seow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W.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Environmental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maternal, and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child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factors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which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contribute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to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early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childhood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caries: a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unifying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conceptual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model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unifying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conceptual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model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early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childho</w:t>
            </w:r>
            <w:r w:rsidR="00434008"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od</w:t>
            </w:r>
            <w:proofErr w:type="spellEnd"/>
            <w:r w:rsidR="00434008"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caries. </w:t>
            </w:r>
            <w:proofErr w:type="spellStart"/>
            <w:r w:rsidR="00434008"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Int</w:t>
            </w:r>
            <w:proofErr w:type="spellEnd"/>
            <w:r w:rsidR="00434008"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J </w:t>
            </w:r>
            <w:proofErr w:type="spellStart"/>
            <w:r w:rsidR="00434008"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Paediatr</w:t>
            </w:r>
            <w:proofErr w:type="spellEnd"/>
            <w:r w:rsidR="00434008"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. 2012;22(3):157–68.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BC6214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119 (34)</w:t>
            </w:r>
          </w:p>
        </w:tc>
      </w:tr>
      <w:tr w:rsidR="00A8603F" w:rsidRPr="00561CF5" w14:paraId="19D887A0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BB93EC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11,54 (41)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1526CE3B" w14:textId="77777777" w:rsidR="00A8603F" w:rsidRPr="00561CF5" w:rsidRDefault="001130EC" w:rsidP="00434008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Crombie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F,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Manton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D, Kilpatrick N.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Aetiology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molar-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incisor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hypomineralization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critic</w:t>
            </w:r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al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4008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2009;19(2):73–83.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C26CE7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150 (24)</w:t>
            </w:r>
          </w:p>
        </w:tc>
      </w:tr>
      <w:tr w:rsidR="00A8603F" w:rsidRPr="00561CF5" w14:paraId="33C299BE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D7D753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11,40 (42)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D6C4898" w14:textId="77777777" w:rsidR="00A8603F" w:rsidRPr="00561CF5" w:rsidRDefault="001130EC" w:rsidP="005847C4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Ghanim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A, Silva MJ,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Elfrink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MEC,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Lygidakis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NA, Mariño RJ,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Weerheijm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KL, et al. Molar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incisor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lastRenderedPageBreak/>
              <w:t>hypomineralisation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(MIH) training manual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clinical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field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surveys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</w:t>
            </w:r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actice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Eur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Arch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2017;18(4):225–42.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29C6F6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57 (75)</w:t>
            </w:r>
          </w:p>
        </w:tc>
      </w:tr>
      <w:tr w:rsidR="00A8603F" w:rsidRPr="00561CF5" w14:paraId="75B4CA82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90E7B6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11,11 (43)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11161B38" w14:textId="77777777" w:rsidR="00A8603F" w:rsidRPr="00561CF5" w:rsidRDefault="001130EC" w:rsidP="005847C4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Scarpelli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AC, Paiva SM, Viegas CM, Carvalho AC, Ferreira FM,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Pordeus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IA. Oral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health-related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quality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among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Brazilian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preschool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</w:t>
            </w:r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Community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Oral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Epidemiol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2013;41(4):336–44.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1EEE9D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100 (44)</w:t>
            </w:r>
          </w:p>
        </w:tc>
      </w:tr>
      <w:tr w:rsidR="00A8603F" w:rsidRPr="00561CF5" w14:paraId="70077594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C9D663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10,94 (44)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13262DD" w14:textId="77777777" w:rsidR="00A8603F" w:rsidRPr="00561CF5" w:rsidRDefault="001130EC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Jokovic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A,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Locker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D,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Tompson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B,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Guyatt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G.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Questionnaire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measuring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oral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health-related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quality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life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eight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to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ten-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year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old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Pediatr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. 2004;26(6):512–8.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079C63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197 (13)</w:t>
            </w:r>
          </w:p>
        </w:tc>
      </w:tr>
      <w:tr w:rsidR="00A8603F" w:rsidRPr="00561CF5" w14:paraId="01B45EBF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369304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10,90 (45)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DB30227" w14:textId="77777777" w:rsidR="00A8603F" w:rsidRPr="00561CF5" w:rsidRDefault="001130EC" w:rsidP="005847C4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Elfrink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MEC, ten Cate JM,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Jaddoe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VWV,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Hofman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A, Moll HA,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Veerkamp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JSJ.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Deciduous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molar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hypomineralization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molar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incisor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hypomineralization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J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Res</w:t>
            </w: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2012;91(6):551–5.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667C1F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109 (42)</w:t>
            </w:r>
          </w:p>
        </w:tc>
      </w:tr>
      <w:tr w:rsidR="00A8603F" w:rsidRPr="00561CF5" w14:paraId="3871C2C7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A382AD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10,50 (46)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ED91705" w14:textId="77777777" w:rsidR="00A8603F" w:rsidRPr="00561CF5" w:rsidRDefault="001130EC" w:rsidP="005847C4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Wright JT,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Tampi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MP, Graham L,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Estrich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Crall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JJ, Fontana M, et al.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Sealants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preventing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arresting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pit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-and-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fissure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occlusal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caries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primary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permanent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molars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randomized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controlled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trials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-a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report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American Dental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Association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American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Academy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</w:t>
            </w:r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ric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Dentistry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J Am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Assoc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2016;147(8):631-645.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54E213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63 (69)</w:t>
            </w:r>
          </w:p>
        </w:tc>
      </w:tr>
      <w:tr w:rsidR="00A8603F" w:rsidRPr="00561CF5" w14:paraId="53CD03BD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4A17E4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10,43 (47)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8839098" w14:textId="77777777" w:rsidR="00A8603F" w:rsidRPr="00561CF5" w:rsidRDefault="001130EC" w:rsidP="005847C4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Ghanim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Elfrink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Weerheijm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K, Mariño R,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Manton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D.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practical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method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use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epidemiological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studies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enamel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hypominerali</w:t>
            </w:r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sation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Eur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Arch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2015;16(3):235–46.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F0058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73 (58)</w:t>
            </w:r>
          </w:p>
        </w:tc>
      </w:tr>
      <w:tr w:rsidR="00A8603F" w:rsidRPr="00561CF5" w14:paraId="7A2774E1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154658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10,41 (48)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7A389241" w14:textId="77777777" w:rsidR="00A8603F" w:rsidRPr="00561CF5" w:rsidRDefault="001130EC" w:rsidP="005847C4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Mouradian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WE,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Wehr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E,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Crall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JJ.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Disparities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children’s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oral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health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</w:t>
            </w:r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nd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access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dental care. JAMA</w:t>
            </w: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2000;284(20):2625–31.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FC438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229 (9)</w:t>
            </w:r>
          </w:p>
        </w:tc>
      </w:tr>
      <w:tr w:rsidR="00A8603F" w:rsidRPr="00561CF5" w14:paraId="4A048D49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BBC217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10,36 (49)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7C11CAFD" w14:textId="77777777" w:rsidR="00A8603F" w:rsidRPr="00561CF5" w:rsidRDefault="001130EC" w:rsidP="005847C4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Sinha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I, Jones L,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Smyth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RL, Williamson PR.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studies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that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aim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determine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which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outcomes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measure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clinica</w:t>
            </w:r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trials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PLoS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2008;5(4</w:t>
            </w:r>
            <w:proofErr w:type="gram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):e</w:t>
            </w:r>
            <w:proofErr w:type="gram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96.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A5358F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145 (28)</w:t>
            </w:r>
          </w:p>
        </w:tc>
      </w:tr>
      <w:tr w:rsidR="00A8603F" w:rsidRPr="00561CF5" w14:paraId="5D03BBC0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BACF74C" w14:textId="77777777" w:rsidR="00A8603F" w:rsidRPr="00561CF5" w:rsidRDefault="00A8603F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10,00 (50)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597E6EB" w14:textId="77777777" w:rsidR="00A8603F" w:rsidRPr="00561CF5" w:rsidRDefault="00434008" w:rsidP="005847C4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Panchal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V,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Jeevanandan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G,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Subramanian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EMG.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Comparison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post-operative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pain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after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root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canal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instrumentation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with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hand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K-files, H-files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rotary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Kedo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-S files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primary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teeth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randomised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clinical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trial.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Eur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Arch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47C4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2019;20(5):467–72.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8283B6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30 (96)</w:t>
            </w:r>
          </w:p>
        </w:tc>
      </w:tr>
      <w:tr w:rsidR="00A8603F" w:rsidRPr="00561CF5" w14:paraId="0851F748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469E65" w14:textId="77777777" w:rsidR="00A8603F" w:rsidRPr="00561CF5" w:rsidRDefault="00D64267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10,00 (51)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77378D3D" w14:textId="77777777" w:rsidR="00A8603F" w:rsidRPr="00561CF5" w:rsidRDefault="001E4B0E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Ramakrishnan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Dhanalakshmi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Subramanian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EMG.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Survival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rate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different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fixed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posterior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space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maintainers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used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Dentistry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-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ystematic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Saudi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</w:t>
            </w: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2019;31(2):165–72.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324370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30 (97)</w:t>
            </w:r>
          </w:p>
        </w:tc>
      </w:tr>
      <w:tr w:rsidR="00A8603F" w:rsidRPr="00561CF5" w14:paraId="3C2D19D8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884598" w14:textId="77777777" w:rsidR="00A8603F" w:rsidRPr="00561CF5" w:rsidRDefault="00D64267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10,00 (52)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5E2BA26" w14:textId="77777777" w:rsidR="00A8603F" w:rsidRPr="00561CF5" w:rsidRDefault="001E4B0E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Chi DL, Scott JM.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Added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sugar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dental caries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scientific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update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fu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ture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steps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Clin North Am</w:t>
            </w: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2019;63(1):17–33.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C2D28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30 (98)</w:t>
            </w:r>
          </w:p>
        </w:tc>
      </w:tr>
      <w:tr w:rsidR="00A8603F" w:rsidRPr="00561CF5" w14:paraId="122EAC65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4543CB" w14:textId="77777777" w:rsidR="00A8603F" w:rsidRPr="00561CF5" w:rsidRDefault="00D64267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10,00 (53)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14691CB" w14:textId="77777777" w:rsidR="00A8603F" w:rsidRPr="00561CF5" w:rsidRDefault="001E4B0E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Policy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early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childhood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caries (ECC):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Classifications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consequences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and preventive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strategies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2016;38(6):52–4.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540AC9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60 (72)</w:t>
            </w:r>
          </w:p>
        </w:tc>
      </w:tr>
      <w:tr w:rsidR="00A8603F" w:rsidRPr="00561CF5" w14:paraId="34806CDB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985D69" w14:textId="77777777" w:rsidR="00A8603F" w:rsidRPr="00561CF5" w:rsidRDefault="00D64267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9,88 (54)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74439E5" w14:textId="77777777" w:rsidR="00A8603F" w:rsidRPr="00561CF5" w:rsidRDefault="001E4B0E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Jokovic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Locker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Guyatt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G. Short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forms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Child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Perceptions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Questionnaire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11-14-year-old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(CPQ11-14):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development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initial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evaluat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ion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Health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Qual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Outcomes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2006;4(1):4.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6DDB3B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158 (21)</w:t>
            </w:r>
          </w:p>
        </w:tc>
      </w:tr>
      <w:tr w:rsidR="00A8603F" w:rsidRPr="00561CF5" w14:paraId="411222CE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DCE24E" w14:textId="77777777" w:rsidR="00A8603F" w:rsidRPr="00561CF5" w:rsidRDefault="00D64267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9,80 (55)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DE28E85" w14:textId="77777777" w:rsidR="00A8603F" w:rsidRPr="00561CF5" w:rsidRDefault="001E4B0E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Govindaraju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L,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Jeevanandan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G,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Subramanian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EMG.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Comparison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quality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obturation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instrumentation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time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using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hand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files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two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rotary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file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systems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primary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molars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: A single-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blinded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randomize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controlled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trial.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Eur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2017;11(3):376–9.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826965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49 (79)</w:t>
            </w:r>
          </w:p>
        </w:tc>
      </w:tr>
      <w:tr w:rsidR="00A8603F" w:rsidRPr="00561CF5" w14:paraId="315373BF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CE0DE1" w14:textId="77777777" w:rsidR="00A8603F" w:rsidRPr="00561CF5" w:rsidRDefault="00D64267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6,60 (56)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EF750CC" w14:textId="77777777" w:rsidR="00A8603F" w:rsidRPr="00561CF5" w:rsidRDefault="001E4B0E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da Silva SN,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Gimenez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T, Souza RC, Mello-Moura ACV, Raggio DP,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Morimoto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S, et al. Oral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health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status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young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adults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with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autism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spectrum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disorders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meta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analysis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2017;27(5):388–98.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E376DC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48 (81)</w:t>
            </w:r>
          </w:p>
        </w:tc>
      </w:tr>
      <w:tr w:rsidR="00A8603F" w:rsidRPr="00561CF5" w14:paraId="1533719E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8C251A" w14:textId="77777777" w:rsidR="00A8603F" w:rsidRPr="00561CF5" w:rsidRDefault="00D64267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9,55 (57)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0783D0F" w14:textId="77777777" w:rsidR="00A8603F" w:rsidRPr="00561CF5" w:rsidRDefault="001E4B0E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Tanner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ACR, Kent RL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Jr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Holgerson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PL, Hughes CV,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Loo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CY,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Kanasi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E, et al. Microbiota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severe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early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childhood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caries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before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after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therapy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J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Res</w:t>
            </w: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2011;90(11):1298–305.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CB4C1A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105 (43)</w:t>
            </w:r>
          </w:p>
        </w:tc>
      </w:tr>
      <w:tr w:rsidR="00A8603F" w:rsidRPr="00561CF5" w14:paraId="35D9C821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9A6AA6" w14:textId="77777777" w:rsidR="00A8603F" w:rsidRPr="00561CF5" w:rsidRDefault="00D64267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9,50 (58)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BFA619C" w14:textId="77777777" w:rsidR="00A8603F" w:rsidRPr="00561CF5" w:rsidRDefault="008A11A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Abanto J,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Tsakos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G, Paiva SM, Carvalho TS, Raggio DP,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Bönecker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Impact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dental caries and trauma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quality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among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5-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6-year-old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perceptions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parents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Community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Oral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Epidemiol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2014;42(5):385–94.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7F6886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76 (57)</w:t>
            </w:r>
          </w:p>
        </w:tc>
      </w:tr>
      <w:tr w:rsidR="00A8603F" w:rsidRPr="00561CF5" w14:paraId="504787FE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DF5F98" w14:textId="77777777" w:rsidR="00A8603F" w:rsidRPr="00561CF5" w:rsidRDefault="00D64267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9,50 (59)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A63409B" w14:textId="77777777" w:rsidR="00A8603F" w:rsidRPr="00561CF5" w:rsidRDefault="008A11A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Caufield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PW, Li Y,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Bromage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TG.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Hypoplasia-associated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severe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early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childhood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caries--a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roposed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definition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J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Res</w:t>
            </w: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2012;91(6):544–50.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B253D9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95 (47)</w:t>
            </w:r>
          </w:p>
        </w:tc>
      </w:tr>
      <w:tr w:rsidR="00A8603F" w:rsidRPr="00561CF5" w14:paraId="6A7AB88E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390525" w14:textId="77777777" w:rsidR="00A8603F" w:rsidRPr="00561CF5" w:rsidRDefault="00D64267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9,44 (60)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1D874F89" w14:textId="77777777" w:rsidR="00A8603F" w:rsidRPr="00561CF5" w:rsidRDefault="008A11A5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William V, Messer LB,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Burrow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MF. Molar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incisor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hypomineralization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recommendations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clinical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management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2006;28(3):224–32.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02EE3E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151 (23)</w:t>
            </w:r>
          </w:p>
        </w:tc>
      </w:tr>
      <w:tr w:rsidR="00A8603F" w:rsidRPr="00561CF5" w14:paraId="0A73753D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071F7E" w14:textId="77777777" w:rsidR="00A8603F" w:rsidRPr="00561CF5" w:rsidRDefault="00D64267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9,40 (61)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94FDA93" w14:textId="77777777" w:rsidR="00A8603F" w:rsidRPr="00561CF5" w:rsidRDefault="008A11A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Harnagea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H,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Couturier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Y,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Shrivastava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R, Girard F, Lamothe L,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Bedos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CP, et al.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Barriers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facilitators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integration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oral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health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primary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re: a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scoping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BMJ Open</w:t>
            </w: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2017;7(9</w:t>
            </w:r>
            <w:proofErr w:type="gram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):e</w:t>
            </w:r>
            <w:proofErr w:type="gram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016078.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80FCEA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47 (82)</w:t>
            </w:r>
          </w:p>
        </w:tc>
      </w:tr>
      <w:tr w:rsidR="00A8603F" w:rsidRPr="00561CF5" w14:paraId="6CE16652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656740" w14:textId="77777777" w:rsidR="00A8603F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9,40 (62)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F36BDAA" w14:textId="77777777" w:rsidR="00A8603F" w:rsidRPr="00561CF5" w:rsidRDefault="008A11A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Seligman LD,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Hovey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JD,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Chacon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K,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Ollendick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TH. Dental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anxiety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understudied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prob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lem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youth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Clin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Psychol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Rev</w:t>
            </w: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2017;55:25</w:t>
            </w:r>
            <w:proofErr w:type="gram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–40.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172489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47 (83)</w:t>
            </w:r>
          </w:p>
        </w:tc>
      </w:tr>
      <w:tr w:rsidR="00A8603F" w:rsidRPr="00561CF5" w14:paraId="70984B90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1F4DBB" w14:textId="77777777" w:rsidR="00A8603F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9,33 (63)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1F5AED0" w14:textId="77777777" w:rsidR="00A8603F" w:rsidRPr="00561CF5" w:rsidRDefault="008A11A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da Costa-Silva CM,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Jeremias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F, de Souza JF,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Cordeiro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 de CL, Santos-Pinto L,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Zuanon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ACC. Molar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incisor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hypomineralization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prevalence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severity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clinical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consequences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Brazilian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MIH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clinical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consequences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Brazilian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2010;20(6):426–34.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03E06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112 (39)</w:t>
            </w:r>
          </w:p>
        </w:tc>
      </w:tr>
      <w:tr w:rsidR="00A8603F" w:rsidRPr="00561CF5" w14:paraId="766FBD15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97B5EC" w14:textId="77777777" w:rsidR="00A8603F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9,25 (64)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02AD3B5" w14:textId="77777777" w:rsidR="00A8603F" w:rsidRPr="00561CF5" w:rsidRDefault="008A11A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Hecova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H,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Tzigkounakis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V,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Merglova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V,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Netolicky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J. A retrospective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study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889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injured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permanent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teeth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A retrospective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study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889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injured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ermanent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teeth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Traumatol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2010;26(6):466–75.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08B0B3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111 (40)</w:t>
            </w:r>
          </w:p>
        </w:tc>
      </w:tr>
      <w:tr w:rsidR="00A8603F" w:rsidRPr="00561CF5" w14:paraId="367A729C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B5CAB6" w14:textId="77777777" w:rsidR="00A8603F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9,18 (65)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42E7A2A" w14:textId="77777777" w:rsidR="00A8603F" w:rsidRPr="00561CF5" w:rsidRDefault="008A11A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Jälevik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B,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Norén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JG.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Enamel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hypomineralization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permanent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first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molars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morphological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study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survey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possible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aetiologica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factors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2000;10(4):278–89.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117321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202 (12)</w:t>
            </w:r>
          </w:p>
        </w:tc>
      </w:tr>
      <w:tr w:rsidR="00A8603F" w:rsidRPr="00561CF5" w14:paraId="6DCFB91B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8B984D" w14:textId="77777777" w:rsidR="00A8603F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9,15 (66)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105E7C58" w14:textId="77777777" w:rsidR="00A8603F" w:rsidRPr="00561CF5" w:rsidRDefault="008A11A5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Simonsen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RJ. Pit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fissure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sealant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literature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2002;24(5):393–414.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5028E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183 (14)</w:t>
            </w:r>
          </w:p>
        </w:tc>
      </w:tr>
      <w:tr w:rsidR="00A8603F" w:rsidRPr="00561CF5" w14:paraId="68ADFEAF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FD3180" w14:textId="77777777" w:rsidR="00A8603F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9,00 (67)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1060DC89" w14:textId="77777777" w:rsidR="00A8603F" w:rsidRPr="00561CF5" w:rsidRDefault="008A11A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BaniHani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Deery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Toumba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Munyombwe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T,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Duggal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impact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dental caries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its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treatment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conventional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biological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approaches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oral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health-related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quality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nd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carers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2018;28(2):266–76.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F92FDC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36 (91)</w:t>
            </w:r>
          </w:p>
        </w:tc>
      </w:tr>
      <w:tr w:rsidR="00A8603F" w:rsidRPr="00561CF5" w14:paraId="47E5ECD9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1071D6" w14:textId="77777777" w:rsidR="00A8603F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9,00 (68)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FEC1F04" w14:textId="77777777" w:rsidR="00A8603F" w:rsidRPr="00561CF5" w:rsidRDefault="008A11A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Alkilzy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Tarabaih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A, Santamaria RM,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Splieth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CH.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Self-assembling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peptide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P11-4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fluoride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egenerating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enamel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J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Res</w:t>
            </w: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2018;97(2):148–54.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6EDB75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36 (92)</w:t>
            </w:r>
          </w:p>
        </w:tc>
      </w:tr>
      <w:tr w:rsidR="00A8603F" w:rsidRPr="00561CF5" w14:paraId="60764566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BC1666" w14:textId="77777777" w:rsidR="00A8603F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9,00 (69)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7CB43186" w14:textId="77777777" w:rsidR="00A8603F" w:rsidRPr="00561CF5" w:rsidRDefault="008A11A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Divaris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K.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Predicting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dental caries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outcomes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: A “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risky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” concept: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 “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risky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” concept. J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Res</w:t>
            </w: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2016;95(3):248–54.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DCE628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54 (78)</w:t>
            </w:r>
          </w:p>
        </w:tc>
      </w:tr>
      <w:tr w:rsidR="00A8603F" w:rsidRPr="00561CF5" w14:paraId="031BF0E7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515517" w14:textId="77777777" w:rsidR="00A8603F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8,82 (70)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F3A1093" w14:textId="77777777" w:rsidR="00A8603F" w:rsidRPr="00561CF5" w:rsidRDefault="008A11A5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Holan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G,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Eidelman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E,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Fuks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AB. Long-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term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evaluation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pulpotomy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primary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molars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using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mineral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trioxide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aggregate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or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formocresol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Pediatr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. 2005;27(2):129–36.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9A9A3D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150 (25)</w:t>
            </w:r>
          </w:p>
        </w:tc>
      </w:tr>
      <w:tr w:rsidR="00A8603F" w:rsidRPr="00561CF5" w14:paraId="3AAFCF6C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F5801E" w14:textId="77777777" w:rsidR="00A8603F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8,71 (71)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240F391" w14:textId="77777777" w:rsidR="00A8603F" w:rsidRPr="00561CF5" w:rsidRDefault="008A11A5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Seale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NS, Randall R.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use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stainless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steel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crowns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literature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2015;37(2):145–60.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CC50A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61 (70)</w:t>
            </w:r>
          </w:p>
        </w:tc>
      </w:tr>
      <w:tr w:rsidR="00A8603F" w:rsidRPr="00561CF5" w14:paraId="5C19B646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B54452" w14:textId="77777777" w:rsidR="00A8603F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8,60 (72)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160AA85A" w14:textId="77777777" w:rsidR="00A8603F" w:rsidRPr="00561CF5" w:rsidRDefault="008A11A5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Policy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early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childhood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caries (ECC):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Classifications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consequences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and preventive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strategies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2017;39(6):59–61.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93EC4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43 (86)</w:t>
            </w:r>
          </w:p>
        </w:tc>
      </w:tr>
      <w:tr w:rsidR="00A8603F" w:rsidRPr="00561CF5" w14:paraId="14944583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7289CC" w14:textId="77777777" w:rsidR="00A8603F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8,56 (73)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21D464F" w14:textId="77777777" w:rsidR="00A8603F" w:rsidRPr="00561CF5" w:rsidRDefault="008A11A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Salone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LR, Vann WF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Jr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Dee DL.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Breastfeeding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overview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oral and general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he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alth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benefits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J Am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Assoc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2013;144(2):143–51.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EE718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77 (56)</w:t>
            </w:r>
          </w:p>
        </w:tc>
      </w:tr>
      <w:tr w:rsidR="00A8603F" w:rsidRPr="00561CF5" w14:paraId="254F5A3F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3B6924" w14:textId="77777777" w:rsidR="00A8603F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8,50 (74)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D3D468B" w14:textId="77777777" w:rsidR="00A8603F" w:rsidRPr="00561CF5" w:rsidRDefault="008A11A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Teixeira RJPB, Andrade NS, Queiroz LCC,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Mendes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FM, Moura MS, Moura L de FA de D, et al.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Exploring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association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between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genetic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environmental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factors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molar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incisor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hypomineralization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evidence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from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win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study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2018;28(2):198–206.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C832BE" w14:textId="77777777" w:rsidR="00A8603F" w:rsidRPr="00561CF5" w:rsidRDefault="00D40918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34 (93)</w:t>
            </w:r>
          </w:p>
        </w:tc>
      </w:tr>
      <w:tr w:rsidR="00A8603F" w:rsidRPr="00561CF5" w14:paraId="5D545D84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45F7B4" w14:textId="77777777" w:rsidR="00A8603F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8,50 (75)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73CA5E8" w14:textId="77777777" w:rsidR="00A8603F" w:rsidRPr="00561CF5" w:rsidRDefault="008A11A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Rajasekharan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S, Martens LC,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Cauwels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RGEC,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Anthonappa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RP.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Biodentine</w:t>
            </w: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  <w:vertAlign w:val="superscript"/>
              </w:rPr>
              <w:t>TM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 material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characteristics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clinical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applications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a 3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year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literature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update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Eur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Arch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2018;19(1):1–22.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B5964F" w14:textId="77777777" w:rsidR="00A8603F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34 (94)</w:t>
            </w:r>
          </w:p>
        </w:tc>
      </w:tr>
      <w:tr w:rsidR="00A8603F" w:rsidRPr="00561CF5" w14:paraId="798FF020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9484DF" w14:textId="77777777" w:rsidR="00A8603F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8,50 (76)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4BA126A" w14:textId="77777777" w:rsidR="00A8603F" w:rsidRPr="00561CF5" w:rsidRDefault="008A11A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Section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Dentistry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Oral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Health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Preventive oral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health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intervention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pediatricians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Pediatrics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2008;122(6):1387–94.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13736" w14:textId="77777777" w:rsidR="00A8603F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119 (35)</w:t>
            </w:r>
          </w:p>
        </w:tc>
      </w:tr>
      <w:tr w:rsidR="00A8603F" w:rsidRPr="00561CF5" w14:paraId="3B271030" w14:textId="77777777" w:rsidTr="00A8603F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FBEFD7" w14:textId="77777777" w:rsidR="00A8603F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8,43 (77)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92CDA74" w14:textId="77777777" w:rsidR="00A8603F" w:rsidRPr="00561CF5" w:rsidRDefault="008A11A5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Dye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BA,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Hsu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K-LC,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Afful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Prevalence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measurement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dental caries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young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2015;37(3):200–16.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C57BB1" w14:textId="77777777" w:rsidR="00A8603F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59 (73)</w:t>
            </w:r>
          </w:p>
        </w:tc>
      </w:tr>
      <w:tr w:rsidR="00A8603F" w:rsidRPr="00561CF5" w14:paraId="559AEE41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A4E7F0" w14:textId="77777777" w:rsidR="00A8603F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8,38 (78)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562CE9C" w14:textId="77777777" w:rsidR="00A8603F" w:rsidRPr="00561CF5" w:rsidRDefault="008A11A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Rajasekharan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S, Martens LC,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Cauwels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RGEC,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Verbeeck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RMH.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Biodentine</w:t>
            </w: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  <w:vertAlign w:val="superscript"/>
              </w:rPr>
              <w:t>TM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 material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characteristics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clinical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applications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lite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rature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Eur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Arch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2014;15(3):147–58.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D0A24" w14:textId="77777777" w:rsidR="00A8603F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67 (65)</w:t>
            </w:r>
          </w:p>
        </w:tc>
      </w:tr>
      <w:tr w:rsidR="00F11219" w:rsidRPr="00561CF5" w14:paraId="0AFA3B63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B31206" w14:textId="77777777" w:rsidR="00F11219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8,38 (79)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77C744EC" w14:textId="77777777" w:rsidR="00F11219" w:rsidRPr="00561CF5" w:rsidRDefault="008A11A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Skeie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MS,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Raadal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Strand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GV,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Espelid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relationship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between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caries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primary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dentition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at 5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years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age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permanent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dentition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at 10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years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age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- a longitudi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nal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study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2006;16(3):152–60.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BFC49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134 (29)</w:t>
            </w:r>
          </w:p>
        </w:tc>
      </w:tr>
      <w:tr w:rsidR="00F11219" w:rsidRPr="00561CF5" w14:paraId="16C4F6F9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C507A7" w14:textId="77777777" w:rsidR="00F11219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8,36 (80)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DC35E78" w14:textId="77777777" w:rsidR="00F11219" w:rsidRPr="00561CF5" w:rsidRDefault="008A11A5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Nelson LP,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Getzin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A, Graham D, Zhou J,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Wagle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EM,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McQuiston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J, et al.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Unmet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dental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needs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barriers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care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with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significant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special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health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care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needs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2011;33(1):29–36.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C0266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92 (49)</w:t>
            </w:r>
          </w:p>
        </w:tc>
      </w:tr>
      <w:tr w:rsidR="00F11219" w:rsidRPr="00561CF5" w14:paraId="78FDDD44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4361EF" w14:textId="77777777" w:rsidR="00F11219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8,33 (81)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D10DF7F" w14:textId="77777777" w:rsidR="00F11219" w:rsidRPr="00561CF5" w:rsidRDefault="0005732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Pagano S,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Coniglio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Valenti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Negri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P, Lombardo G,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Costanzi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E, et al.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Biological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effects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resin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monomers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oral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cell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populations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descriptive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analysis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iterature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Eur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2019;20(3):224–32.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5AE487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25 (99)</w:t>
            </w:r>
          </w:p>
        </w:tc>
      </w:tr>
      <w:tr w:rsidR="00F11219" w:rsidRPr="00561CF5" w14:paraId="387660E7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1E6BD2" w14:textId="77777777" w:rsidR="00F11219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8,23 (82)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01B2358" w14:textId="77777777" w:rsidR="00F11219" w:rsidRPr="00561CF5" w:rsidRDefault="0005732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Lewis CW, Grossman DC,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Domoto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PK,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Deyo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RA.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role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pediatrician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oral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health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: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national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survey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Pediatrics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2000;106(6</w:t>
            </w:r>
            <w:proofErr w:type="gram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):E</w:t>
            </w:r>
            <w:proofErr w:type="gram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84.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27A875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181 (15)</w:t>
            </w:r>
          </w:p>
        </w:tc>
      </w:tr>
      <w:tr w:rsidR="00F11219" w:rsidRPr="00561CF5" w14:paraId="51A0880C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07053F0" w14:textId="77777777" w:rsidR="00F11219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8,20 (83)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050E5BE" w14:textId="77777777" w:rsidR="00F11219" w:rsidRPr="00561CF5" w:rsidRDefault="0005732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Chu CH,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Mei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L, Seneviratne CJ, Lo ECM.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Effects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silver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diamine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fluoride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dentine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carious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lesions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induced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Streptococcus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mutans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Actinomyces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naeslundii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biofilms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Effects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silver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diamine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fluoride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2012;22(1):2–10.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8A95C6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82 (54)</w:t>
            </w:r>
          </w:p>
        </w:tc>
      </w:tr>
      <w:tr w:rsidR="00F11219" w:rsidRPr="00561CF5" w14:paraId="7D1CCB3D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901A44" w14:textId="77777777" w:rsidR="00F11219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8,18 (84)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14C5761" w14:textId="77777777" w:rsidR="00F11219" w:rsidRPr="00561CF5" w:rsidRDefault="0005732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Kim S, Kim E-Y,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Jeong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T-S, Kim J-W.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evaluation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resin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infiltration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masking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labial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enamel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white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spot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lesions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Resin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infiltration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labia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l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masking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2011;21(4):241–8.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C0F250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90 (50)</w:t>
            </w:r>
          </w:p>
        </w:tc>
      </w:tr>
      <w:tr w:rsidR="00F11219" w:rsidRPr="00561CF5" w14:paraId="217ED536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ADDDBE" w14:textId="77777777" w:rsidR="00F11219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8,14 (85)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D20A228" w14:textId="77777777" w:rsidR="00F11219" w:rsidRPr="00561CF5" w:rsidRDefault="00057325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Mejàre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IA,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Klingberg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G,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Mowafi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FK,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Stecksén-Blicks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Twetman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SHA,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Tranæus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SH.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map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systematic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dentistry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--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what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really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know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?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PLoS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One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[Internet]. 2015;10(2</w:t>
            </w:r>
            <w:proofErr w:type="gram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):e</w:t>
            </w:r>
            <w:proofErr w:type="gram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0117537.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F9B418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57 (76)</w:t>
            </w:r>
          </w:p>
        </w:tc>
      </w:tr>
      <w:tr w:rsidR="00F11219" w:rsidRPr="00561CF5" w14:paraId="0B45DDCE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C63FF4" w14:textId="77777777" w:rsidR="00F11219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8,13 (86)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590241E" w14:textId="77777777" w:rsidR="00F11219" w:rsidRPr="00561CF5" w:rsidRDefault="0005732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Santamaria RM, Innes NPT,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Machiulskiene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V, Evans DJP,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Splieth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CH. Caries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management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strategies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lastRenderedPageBreak/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primary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molars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1-yr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randomized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con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trol trial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results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J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Res</w:t>
            </w: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2014;93(11):1062–9.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C680BE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65 (67)</w:t>
            </w:r>
          </w:p>
        </w:tc>
      </w:tr>
      <w:tr w:rsidR="00F11219" w:rsidRPr="00561CF5" w14:paraId="360733FF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5AE714" w14:textId="77777777" w:rsidR="00F11219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8,11 (87)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45FA96E" w14:textId="77777777" w:rsidR="00F11219" w:rsidRPr="00561CF5" w:rsidRDefault="0005732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gram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dela</w:t>
            </w:r>
            <w:proofErr w:type="gram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Cruz GG,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Rozier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RG,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Slade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G. Dental screening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referral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young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prim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ary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care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providers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Pediatrics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2004;114(5</w:t>
            </w:r>
            <w:proofErr w:type="gram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):e</w:t>
            </w:r>
            <w:proofErr w:type="gram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642-52.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3BF86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146 (27)</w:t>
            </w:r>
          </w:p>
        </w:tc>
      </w:tr>
      <w:tr w:rsidR="00F11219" w:rsidRPr="00561CF5" w14:paraId="65AEE7E5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629FF1" w14:textId="77777777" w:rsidR="00F11219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8,00 (88)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B9EC661" w14:textId="77777777" w:rsidR="00F11219" w:rsidRPr="00561CF5" w:rsidRDefault="0005732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Cianetti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S, Lombardo G,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Lupatelli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E, Rossi G,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Abraha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I, Pagano S, et al. Dental caries,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parents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educational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level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family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income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dental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service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attendance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among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Italy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Eur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2017;18(1):15–8.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2D4B4E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40 (89)</w:t>
            </w:r>
          </w:p>
        </w:tc>
      </w:tr>
      <w:tr w:rsidR="00F11219" w:rsidRPr="00561CF5" w14:paraId="0BFCFBEF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032013" w14:textId="77777777" w:rsidR="00F11219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8,00 (89)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CF2313F" w14:textId="77777777" w:rsidR="00F11219" w:rsidRPr="00561CF5" w:rsidRDefault="0005732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Zou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Meng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Law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CS, Rao Y, Zhou X.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Common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dental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diseases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d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malocclusion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Oral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Sci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2018;10(1):7.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582E83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32 (95)</w:t>
            </w:r>
          </w:p>
        </w:tc>
      </w:tr>
      <w:tr w:rsidR="00F11219" w:rsidRPr="00561CF5" w14:paraId="31BC6D3F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59B6FA" w14:textId="77777777" w:rsidR="00F11219" w:rsidRPr="00561CF5" w:rsidRDefault="00F11219" w:rsidP="00F1121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7,95 (90)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3CD534E" w14:textId="77777777" w:rsidR="00F11219" w:rsidRPr="00561CF5" w:rsidRDefault="0005732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Buchanan H,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Niven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N.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Validation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 Facial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Image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Scale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assess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dental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anxiety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2002;12(1):47–52.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018E4A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159 (20)</w:t>
            </w:r>
          </w:p>
        </w:tc>
      </w:tr>
      <w:tr w:rsidR="00F11219" w:rsidRPr="00561CF5" w14:paraId="5374B146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B7E4DA" w14:textId="77777777" w:rsidR="00F11219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7,92 (91)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DD3464D" w14:textId="77777777" w:rsidR="00F11219" w:rsidRPr="00561CF5" w:rsidRDefault="0005732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Dye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BA,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Arevalo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O, Vargas CM.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Trends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dental caries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poverty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status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United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States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1988-1994 and 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1999-2004.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2010;20(2):132–43.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3CE045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95 (48)</w:t>
            </w:r>
          </w:p>
        </w:tc>
      </w:tr>
      <w:tr w:rsidR="00F11219" w:rsidRPr="00561CF5" w14:paraId="2C83B3B7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C1AE29" w14:textId="77777777" w:rsidR="00F11219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7,93 (92)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7432BAB" w14:textId="77777777" w:rsidR="00F11219" w:rsidRPr="00561CF5" w:rsidRDefault="0005732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Broder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HL, Wilson-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Genderson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M.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Reliability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convergent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discriminant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validity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Child Oral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Health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Impact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Profile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(COHIP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Child’s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version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).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Community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Oral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Epidemiol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2007;35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Suppl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1(s1):20–31.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F119E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119 (36)</w:t>
            </w:r>
          </w:p>
        </w:tc>
      </w:tr>
      <w:tr w:rsidR="00F11219" w:rsidRPr="00561CF5" w14:paraId="25191BEB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3923ABD" w14:textId="77777777" w:rsidR="00F11219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7,89 (93)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BE43489" w14:textId="77777777" w:rsidR="00F11219" w:rsidRPr="00561CF5" w:rsidRDefault="0005732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Lee HH,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Milgrom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P,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Starks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H,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Burke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W.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Trends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death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associated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with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dental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sedation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genera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l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anesthesia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Anaesth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2013;23(8):741–6.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0375F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71 (61)</w:t>
            </w:r>
          </w:p>
        </w:tc>
      </w:tr>
      <w:tr w:rsidR="00F11219" w:rsidRPr="00561CF5" w14:paraId="6E9D4E33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50C922" w14:textId="77777777" w:rsidR="00F11219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7,88 (94)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940F11F" w14:textId="77777777" w:rsidR="00F11219" w:rsidRPr="00561CF5" w:rsidRDefault="00057325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Berkowitz RJ.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Mutans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streptococci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acquisition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transmission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2006;28(2):106–9;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discussion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192-8.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6F0EF2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126 (31)</w:t>
            </w:r>
          </w:p>
        </w:tc>
      </w:tr>
      <w:tr w:rsidR="00F11219" w:rsidRPr="00561CF5" w14:paraId="312D9969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CDF723" w14:textId="77777777" w:rsidR="00F11219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7,86 (95)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F8EAFE4" w14:textId="77777777" w:rsidR="00F11219" w:rsidRPr="00561CF5" w:rsidRDefault="00057325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Rakhshan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V.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Congenitally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missing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teeth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hypodontia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): A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literature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concerning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etiology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prevalence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risk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factors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patterns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</w:t>
            </w:r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reatment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Res J (</w:t>
            </w:r>
            <w:proofErr w:type="spellStart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Isfahan</w:t>
            </w:r>
            <w:proofErr w:type="spellEnd"/>
            <w:r w:rsidR="0038037A"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)</w:t>
            </w: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2015;12(1):1–13.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FE7DD2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55 (77)</w:t>
            </w:r>
          </w:p>
        </w:tc>
      </w:tr>
      <w:tr w:rsidR="00F11219" w:rsidRPr="00561CF5" w14:paraId="12D9C798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632CDB" w14:textId="77777777" w:rsidR="00F11219" w:rsidRPr="00561CF5" w:rsidRDefault="00F11219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7,83 (96)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0BCB3FD" w14:textId="77777777" w:rsidR="00F11219" w:rsidRPr="00561CF5" w:rsidRDefault="0038037A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Low W, Tan S, Schwartz S.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effect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severe caries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quality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young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1999;21(6):325–6.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51B001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180 (17)</w:t>
            </w:r>
          </w:p>
        </w:tc>
      </w:tr>
      <w:tr w:rsidR="00F11219" w:rsidRPr="00561CF5" w14:paraId="6A4F5796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CAD2A9" w14:textId="77777777" w:rsidR="00F11219" w:rsidRPr="00561CF5" w:rsidRDefault="003B6A10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7,69 (97)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B006FF7" w14:textId="77777777" w:rsidR="00F11219" w:rsidRPr="00561CF5" w:rsidRDefault="0038037A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Sloan AJ,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Waddington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RJ. Dental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pulp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stem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cells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what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where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how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?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[Internet]. 2009;19(1):61–70.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D43703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100 (45)</w:t>
            </w:r>
          </w:p>
        </w:tc>
      </w:tr>
      <w:tr w:rsidR="00F11219" w:rsidRPr="00561CF5" w14:paraId="7F0EA99F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E00C1C" w14:textId="77777777" w:rsidR="00F11219" w:rsidRPr="00561CF5" w:rsidRDefault="003B6A10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7,67 (98)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E3D2FE4" w14:textId="77777777" w:rsidR="00F11219" w:rsidRPr="00561CF5" w:rsidRDefault="0038037A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Oenning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AC,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Pauwels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Stratis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A, De Faria Vasconcelos K,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Tijskens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E, De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Grauwe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A, et al.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Halve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dose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while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maintaining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image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quality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paediatric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Cone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Beam CT.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Sci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Rep. 2019;9(1):5521.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630DA0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23 (100)</w:t>
            </w:r>
          </w:p>
        </w:tc>
      </w:tr>
      <w:tr w:rsidR="00F11219" w:rsidRPr="00561CF5" w14:paraId="0F8E01DB" w14:textId="77777777" w:rsidTr="00F11219">
        <w:trPr>
          <w:trHeight w:val="3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8E2FF8" w14:textId="77777777" w:rsidR="00F11219" w:rsidRPr="00561CF5" w:rsidRDefault="003B6A10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7,67 (99)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19D33D00" w14:textId="77777777" w:rsidR="00F11219" w:rsidRPr="00561CF5" w:rsidRDefault="0038037A" w:rsidP="00057325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Guideline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pulp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therapy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primary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immature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permanent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teeth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2016;38(6):280–8.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7DEDF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46 (84)</w:t>
            </w:r>
          </w:p>
        </w:tc>
      </w:tr>
      <w:tr w:rsidR="00F11219" w:rsidRPr="00561CF5" w14:paraId="17D106F5" w14:textId="77777777" w:rsidTr="00057325">
        <w:trPr>
          <w:trHeight w:val="311"/>
        </w:trPr>
        <w:tc>
          <w:tcPr>
            <w:tcW w:w="1418" w:type="dxa"/>
            <w:tcBorders>
              <w:top w:val="single" w:sz="4" w:space="0" w:color="auto"/>
            </w:tcBorders>
          </w:tcPr>
          <w:p w14:paraId="55E9F72A" w14:textId="77777777" w:rsidR="00F11219" w:rsidRPr="00561CF5" w:rsidRDefault="003B6A10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7,63 (100)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0BBBE07A" w14:textId="77777777" w:rsidR="00F11219" w:rsidRPr="00561CF5" w:rsidRDefault="0038037A" w:rsidP="0038037A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Jones AV, Franklin CD.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analysis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oral and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maxillofacial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pathology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found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over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a 30-year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period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Paediatr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Dent</w:t>
            </w:r>
            <w:proofErr w:type="spellEnd"/>
            <w:r w:rsidRPr="00561CF5">
              <w:rPr>
                <w:rFonts w:ascii="Arial Narrow" w:hAnsi="Arial Narrow" w:cs="Arial"/>
                <w:color w:val="37393C"/>
                <w:sz w:val="20"/>
                <w:szCs w:val="20"/>
                <w:shd w:val="clear" w:color="auto" w:fill="FFFFFF"/>
              </w:rPr>
              <w:t>. 2006;16(1):19–30.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19F501C" w14:textId="77777777" w:rsidR="00F11219" w:rsidRPr="00561CF5" w:rsidRDefault="00561CF5" w:rsidP="00057325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1CF5">
              <w:rPr>
                <w:rFonts w:ascii="Arial Narrow" w:hAnsi="Arial Narrow" w:cs="Arial"/>
                <w:color w:val="000000"/>
                <w:sz w:val="20"/>
                <w:szCs w:val="20"/>
              </w:rPr>
              <w:t>122 (33)</w:t>
            </w:r>
          </w:p>
        </w:tc>
      </w:tr>
    </w:tbl>
    <w:p w14:paraId="4904B51A" w14:textId="77777777" w:rsidR="00504289" w:rsidRPr="00561CF5" w:rsidRDefault="00504289" w:rsidP="00325477">
      <w:pPr>
        <w:rPr>
          <w:rFonts w:ascii="Arial Narrow" w:hAnsi="Arial Narrow"/>
          <w:sz w:val="20"/>
          <w:szCs w:val="20"/>
        </w:rPr>
      </w:pPr>
    </w:p>
    <w:sectPr w:rsidR="00504289" w:rsidRPr="00561CF5" w:rsidSect="00D25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A5"/>
    <w:rsid w:val="00000371"/>
    <w:rsid w:val="000143F2"/>
    <w:rsid w:val="000438F9"/>
    <w:rsid w:val="00057325"/>
    <w:rsid w:val="00072159"/>
    <w:rsid w:val="000865A7"/>
    <w:rsid w:val="001067D3"/>
    <w:rsid w:val="001130EC"/>
    <w:rsid w:val="0011498A"/>
    <w:rsid w:val="001552C4"/>
    <w:rsid w:val="001A3A55"/>
    <w:rsid w:val="001E4B0E"/>
    <w:rsid w:val="00204952"/>
    <w:rsid w:val="0024109B"/>
    <w:rsid w:val="0026616C"/>
    <w:rsid w:val="00325477"/>
    <w:rsid w:val="0038037A"/>
    <w:rsid w:val="003B6A10"/>
    <w:rsid w:val="00434008"/>
    <w:rsid w:val="0045310C"/>
    <w:rsid w:val="004B1D3F"/>
    <w:rsid w:val="00504289"/>
    <w:rsid w:val="005275A2"/>
    <w:rsid w:val="00561CF5"/>
    <w:rsid w:val="005838AD"/>
    <w:rsid w:val="005847C4"/>
    <w:rsid w:val="006006DD"/>
    <w:rsid w:val="00611131"/>
    <w:rsid w:val="00644663"/>
    <w:rsid w:val="00651595"/>
    <w:rsid w:val="006A2BD6"/>
    <w:rsid w:val="006C548A"/>
    <w:rsid w:val="007873D1"/>
    <w:rsid w:val="007B77F5"/>
    <w:rsid w:val="00800413"/>
    <w:rsid w:val="00835056"/>
    <w:rsid w:val="00841350"/>
    <w:rsid w:val="00870D32"/>
    <w:rsid w:val="008A11A5"/>
    <w:rsid w:val="008D5B60"/>
    <w:rsid w:val="008E42B0"/>
    <w:rsid w:val="00906D30"/>
    <w:rsid w:val="0092604E"/>
    <w:rsid w:val="009D6428"/>
    <w:rsid w:val="00A05588"/>
    <w:rsid w:val="00A321A5"/>
    <w:rsid w:val="00A677B2"/>
    <w:rsid w:val="00A83876"/>
    <w:rsid w:val="00A8603F"/>
    <w:rsid w:val="00A87E28"/>
    <w:rsid w:val="00AC4A37"/>
    <w:rsid w:val="00B009B4"/>
    <w:rsid w:val="00B212CA"/>
    <w:rsid w:val="00B55F4D"/>
    <w:rsid w:val="00B97CE8"/>
    <w:rsid w:val="00BA560C"/>
    <w:rsid w:val="00BE3870"/>
    <w:rsid w:val="00C25827"/>
    <w:rsid w:val="00C3485B"/>
    <w:rsid w:val="00C430CD"/>
    <w:rsid w:val="00C45118"/>
    <w:rsid w:val="00C555CA"/>
    <w:rsid w:val="00D0067D"/>
    <w:rsid w:val="00D07874"/>
    <w:rsid w:val="00D21C3A"/>
    <w:rsid w:val="00D250BB"/>
    <w:rsid w:val="00D40918"/>
    <w:rsid w:val="00D64267"/>
    <w:rsid w:val="00E178AA"/>
    <w:rsid w:val="00E276A0"/>
    <w:rsid w:val="00E3614E"/>
    <w:rsid w:val="00E37099"/>
    <w:rsid w:val="00E46D5C"/>
    <w:rsid w:val="00E57E41"/>
    <w:rsid w:val="00E90B19"/>
    <w:rsid w:val="00EE5E64"/>
    <w:rsid w:val="00F02EE4"/>
    <w:rsid w:val="00F07B9B"/>
    <w:rsid w:val="00F11219"/>
    <w:rsid w:val="00F1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16AE"/>
  <w15:docId w15:val="{C2B98155-EC1C-4C59-A0D2-FCC593FF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3636</Words>
  <Characters>20004</Characters>
  <Application>Microsoft Office Word</Application>
  <DocSecurity>0</DocSecurity>
  <Lines>166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2022-04-25T11:58:00Z</dcterms:created>
  <dcterms:modified xsi:type="dcterms:W3CDTF">2022-04-25T11:58:00Z</dcterms:modified>
</cp:coreProperties>
</file>