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E2269B" w14:textId="3F942A7D" w:rsidR="009246AD" w:rsidRDefault="0072278F" w:rsidP="0072278F">
      <w:pPr>
        <w:pStyle w:val="BATitle"/>
        <w:jc w:val="both"/>
      </w:pPr>
      <w:r w:rsidRPr="0072278F">
        <w:rPr>
          <w:lang w:val="en-GB"/>
        </w:rPr>
        <w:t>Insulin crystals grown in short peptide supramolecular hydrogels show enhanced thermal stability and slower release profile</w:t>
      </w:r>
      <w:r>
        <w:rPr>
          <w:lang w:val="en-GB"/>
        </w:rPr>
        <w:t>.</w:t>
      </w:r>
    </w:p>
    <w:p w14:paraId="3AA479E7" w14:textId="2461E8D5" w:rsidR="0072278F" w:rsidRPr="0072278F" w:rsidRDefault="0072278F" w:rsidP="0072278F">
      <w:pPr>
        <w:pStyle w:val="BCAuthorAddress"/>
        <w:jc w:val="both"/>
        <w:rPr>
          <w:i/>
          <w:lang w:val="es-ES"/>
        </w:rPr>
      </w:pPr>
      <w:r w:rsidRPr="0072278F">
        <w:rPr>
          <w:i/>
          <w:lang w:val="es-ES"/>
        </w:rPr>
        <w:t>Rafael Contreras-</w:t>
      </w:r>
      <w:proofErr w:type="gramStart"/>
      <w:r w:rsidRPr="0072278F">
        <w:rPr>
          <w:i/>
          <w:lang w:val="es-ES"/>
        </w:rPr>
        <w:t>Montoya,</w:t>
      </w:r>
      <w:r w:rsidRPr="0072278F">
        <w:rPr>
          <w:i/>
          <w:vertAlign w:val="superscript"/>
          <w:lang w:val="es-ES"/>
        </w:rPr>
        <w:t>#</w:t>
      </w:r>
      <w:proofErr w:type="gramEnd"/>
      <w:r>
        <w:rPr>
          <w:i/>
          <w:vertAlign w:val="superscript"/>
          <w:lang w:val="es-ES"/>
        </w:rPr>
        <w:t xml:space="preserve"> </w:t>
      </w:r>
      <w:r w:rsidRPr="0072278F">
        <w:rPr>
          <w:i/>
          <w:lang w:val="es-ES"/>
        </w:rPr>
        <w:t>María Arredondo-Amador,</w:t>
      </w:r>
      <w:r w:rsidRPr="0072278F">
        <w:rPr>
          <w:i/>
          <w:vertAlign w:val="superscript"/>
          <w:lang w:val="es-ES"/>
        </w:rPr>
        <w:t>#</w:t>
      </w:r>
      <w:r w:rsidRPr="0072278F">
        <w:rPr>
          <w:i/>
          <w:lang w:val="es-ES"/>
        </w:rPr>
        <w:t xml:space="preserve"> Guillermo Escolano-Casado, Mari C. Mañas-Torres, Mercedes González, Mayte Conejero-Muriel, </w:t>
      </w:r>
      <w:proofErr w:type="spellStart"/>
      <w:r w:rsidRPr="0072278F">
        <w:rPr>
          <w:i/>
          <w:lang w:val="es-ES"/>
        </w:rPr>
        <w:t>Vaibhav</w:t>
      </w:r>
      <w:proofErr w:type="spellEnd"/>
      <w:r w:rsidRPr="0072278F">
        <w:rPr>
          <w:i/>
          <w:lang w:val="es-ES"/>
        </w:rPr>
        <w:t xml:space="preserve"> </w:t>
      </w:r>
      <w:proofErr w:type="spellStart"/>
      <w:r w:rsidRPr="0072278F">
        <w:rPr>
          <w:i/>
          <w:lang w:val="es-ES"/>
        </w:rPr>
        <w:t>Bhatia</w:t>
      </w:r>
      <w:proofErr w:type="spellEnd"/>
      <w:r w:rsidRPr="0072278F">
        <w:rPr>
          <w:i/>
          <w:lang w:val="es-ES"/>
        </w:rPr>
        <w:t>, Juan J. Díaz-Mochón, Olga Martínez-</w:t>
      </w:r>
      <w:proofErr w:type="spellStart"/>
      <w:r w:rsidRPr="0072278F">
        <w:rPr>
          <w:i/>
          <w:lang w:val="es-ES"/>
        </w:rPr>
        <w:t>Augustin</w:t>
      </w:r>
      <w:proofErr w:type="spellEnd"/>
      <w:r w:rsidRPr="0072278F">
        <w:rPr>
          <w:i/>
          <w:lang w:val="es-ES"/>
        </w:rPr>
        <w:t>,</w:t>
      </w:r>
      <w:r w:rsidRPr="0072278F">
        <w:rPr>
          <w:i/>
          <w:vertAlign w:val="superscript"/>
          <w:lang w:val="es-ES"/>
        </w:rPr>
        <w:t xml:space="preserve"> </w:t>
      </w:r>
      <w:r w:rsidRPr="0072278F">
        <w:rPr>
          <w:i/>
          <w:lang w:val="es-ES"/>
        </w:rPr>
        <w:t xml:space="preserve">Fermín Sánchez de Medina, Modesto T. </w:t>
      </w:r>
      <w:proofErr w:type="spellStart"/>
      <w:r w:rsidRPr="0072278F">
        <w:rPr>
          <w:i/>
          <w:lang w:val="es-ES"/>
        </w:rPr>
        <w:t>Lopez-Lopez</w:t>
      </w:r>
      <w:proofErr w:type="spellEnd"/>
      <w:r w:rsidRPr="0072278F">
        <w:rPr>
          <w:i/>
          <w:lang w:val="es-ES"/>
        </w:rPr>
        <w:t xml:space="preserve">, Francisco Conejero-Lara, José A. </w:t>
      </w:r>
      <w:proofErr w:type="spellStart"/>
      <w:r w:rsidRPr="0072278F">
        <w:rPr>
          <w:i/>
          <w:lang w:val="es-ES"/>
        </w:rPr>
        <w:t>Gavira</w:t>
      </w:r>
      <w:proofErr w:type="spellEnd"/>
      <w:r w:rsidRPr="0072278F">
        <w:rPr>
          <w:i/>
          <w:lang w:val="es-ES"/>
        </w:rPr>
        <w:t>* and Luis Álvarez de Cienfuegos*</w:t>
      </w:r>
    </w:p>
    <w:p w14:paraId="2549CAF1" w14:textId="1B38F132" w:rsidR="0072278F" w:rsidRPr="0072278F" w:rsidRDefault="0072278F" w:rsidP="0072278F">
      <w:pPr>
        <w:pStyle w:val="BCAuthorAddress"/>
        <w:jc w:val="both"/>
        <w:rPr>
          <w:lang w:val="es-ES"/>
        </w:rPr>
      </w:pPr>
      <w:r w:rsidRPr="0072278F">
        <w:rPr>
          <w:lang w:val="es-ES"/>
        </w:rPr>
        <w:t>R. Contreras-Montoya, Mari C. Mañas-Torres, L. Álvarez de Cienfuegos</w:t>
      </w:r>
      <w:r>
        <w:rPr>
          <w:lang w:val="es-ES"/>
        </w:rPr>
        <w:t xml:space="preserve">. </w:t>
      </w:r>
      <w:r w:rsidRPr="0072278F">
        <w:rPr>
          <w:lang w:val="es-ES"/>
        </w:rPr>
        <w:t xml:space="preserve">Departamento de Química Orgánica, Universidad de Granada, (UGR), C. U. </w:t>
      </w:r>
      <w:proofErr w:type="spellStart"/>
      <w:r w:rsidRPr="0072278F">
        <w:rPr>
          <w:lang w:val="es-ES"/>
        </w:rPr>
        <w:t>Fuentenueva</w:t>
      </w:r>
      <w:proofErr w:type="spellEnd"/>
      <w:r w:rsidRPr="0072278F">
        <w:rPr>
          <w:lang w:val="es-ES"/>
        </w:rPr>
        <w:t xml:space="preserve">, Avda. Severo Ochoa s/n, E-18071 Granada; Instituto de Investigación </w:t>
      </w:r>
      <w:proofErr w:type="spellStart"/>
      <w:r w:rsidRPr="0072278F">
        <w:rPr>
          <w:lang w:val="es-ES"/>
        </w:rPr>
        <w:t>Biosanitaria</w:t>
      </w:r>
      <w:proofErr w:type="spellEnd"/>
      <w:r w:rsidRPr="0072278F">
        <w:rPr>
          <w:lang w:val="es-ES"/>
        </w:rPr>
        <w:t xml:space="preserve"> </w:t>
      </w:r>
      <w:proofErr w:type="spellStart"/>
      <w:r w:rsidRPr="0072278F">
        <w:rPr>
          <w:lang w:val="es-ES"/>
        </w:rPr>
        <w:t>ibs.GRANADA</w:t>
      </w:r>
      <w:proofErr w:type="spellEnd"/>
      <w:r w:rsidRPr="0072278F">
        <w:rPr>
          <w:lang w:val="es-ES"/>
        </w:rPr>
        <w:t xml:space="preserve">, </w:t>
      </w:r>
      <w:proofErr w:type="spellStart"/>
      <w:r w:rsidRPr="0072278F">
        <w:rPr>
          <w:lang w:val="es-ES"/>
        </w:rPr>
        <w:t>Spain</w:t>
      </w:r>
      <w:proofErr w:type="spellEnd"/>
      <w:r w:rsidRPr="0072278F">
        <w:rPr>
          <w:lang w:val="es-ES"/>
        </w:rPr>
        <w:t>.</w:t>
      </w:r>
    </w:p>
    <w:p w14:paraId="325FDF87" w14:textId="7CCAC694" w:rsidR="0072278F" w:rsidRPr="0072278F" w:rsidRDefault="0072278F" w:rsidP="0072278F">
      <w:pPr>
        <w:pStyle w:val="BCAuthorAddress"/>
        <w:jc w:val="both"/>
        <w:rPr>
          <w:lang w:val="es-ES"/>
        </w:rPr>
      </w:pPr>
      <w:r w:rsidRPr="0072278F">
        <w:rPr>
          <w:lang w:val="es-ES"/>
        </w:rPr>
        <w:t xml:space="preserve">G. Escolano-Casado, M. Conejero-Muriel, J. A. </w:t>
      </w:r>
      <w:proofErr w:type="spellStart"/>
      <w:r w:rsidRPr="0072278F">
        <w:rPr>
          <w:lang w:val="es-ES"/>
        </w:rPr>
        <w:t>Gavira</w:t>
      </w:r>
      <w:proofErr w:type="spellEnd"/>
      <w:r>
        <w:rPr>
          <w:lang w:val="es-ES"/>
        </w:rPr>
        <w:t xml:space="preserve">. </w:t>
      </w:r>
      <w:r w:rsidRPr="0072278F">
        <w:rPr>
          <w:lang w:val="es-ES"/>
        </w:rPr>
        <w:t xml:space="preserve">Laboratorio de Estudios Cristalográficos, Instituto Andaluz de Ciencias de la Tierra (Consejo Superior de Investigaciones Científicas-UGR), Avenida de las Palmeras 4, 18100 Armilla, Granada, </w:t>
      </w:r>
      <w:proofErr w:type="spellStart"/>
      <w:r w:rsidRPr="0072278F">
        <w:rPr>
          <w:lang w:val="es-ES"/>
        </w:rPr>
        <w:t>Spain</w:t>
      </w:r>
      <w:proofErr w:type="spellEnd"/>
      <w:r w:rsidRPr="0072278F">
        <w:rPr>
          <w:lang w:val="es-ES"/>
        </w:rPr>
        <w:t>.</w:t>
      </w:r>
    </w:p>
    <w:p w14:paraId="10D57BA9" w14:textId="3F4CBBC9" w:rsidR="0072278F" w:rsidRPr="0072278F" w:rsidRDefault="0072278F" w:rsidP="0072278F">
      <w:pPr>
        <w:pStyle w:val="BCAuthorAddress"/>
        <w:jc w:val="both"/>
        <w:rPr>
          <w:lang w:val="es-ES"/>
        </w:rPr>
      </w:pPr>
      <w:r w:rsidRPr="0072278F">
        <w:rPr>
          <w:lang w:val="es-ES"/>
        </w:rPr>
        <w:t>M. Arredondo-Amador, M. González, F. Sánchez de Medina</w:t>
      </w:r>
      <w:r>
        <w:rPr>
          <w:lang w:val="es-ES"/>
        </w:rPr>
        <w:t xml:space="preserve">. </w:t>
      </w:r>
      <w:r w:rsidRPr="0072278F">
        <w:rPr>
          <w:lang w:val="es-ES"/>
        </w:rPr>
        <w:t>Departamento de Farmacología, Centro de Investigación Biomédica en Red de Enfermedades Hepáticas y Digestivas (</w:t>
      </w:r>
      <w:proofErr w:type="spellStart"/>
      <w:r w:rsidRPr="0072278F">
        <w:rPr>
          <w:lang w:val="es-ES"/>
        </w:rPr>
        <w:t>CIBERehd</w:t>
      </w:r>
      <w:proofErr w:type="spellEnd"/>
      <w:r w:rsidRPr="0072278F">
        <w:rPr>
          <w:lang w:val="es-ES"/>
        </w:rPr>
        <w:t xml:space="preserve">), </w:t>
      </w:r>
      <w:proofErr w:type="spellStart"/>
      <w:r w:rsidRPr="0072278F">
        <w:rPr>
          <w:lang w:val="es-ES"/>
        </w:rPr>
        <w:t>School</w:t>
      </w:r>
      <w:proofErr w:type="spellEnd"/>
      <w:r w:rsidRPr="0072278F">
        <w:rPr>
          <w:lang w:val="es-ES"/>
        </w:rPr>
        <w:t xml:space="preserve"> of </w:t>
      </w:r>
      <w:proofErr w:type="spellStart"/>
      <w:r w:rsidRPr="0072278F">
        <w:rPr>
          <w:lang w:val="es-ES"/>
        </w:rPr>
        <w:t>Pharmacy</w:t>
      </w:r>
      <w:proofErr w:type="spellEnd"/>
      <w:r w:rsidRPr="0072278F">
        <w:rPr>
          <w:lang w:val="es-ES"/>
        </w:rPr>
        <w:t xml:space="preserve">; Instituto de Investigación </w:t>
      </w:r>
      <w:proofErr w:type="spellStart"/>
      <w:r w:rsidRPr="0072278F">
        <w:rPr>
          <w:lang w:val="es-ES"/>
        </w:rPr>
        <w:t>Biosanitaria</w:t>
      </w:r>
      <w:proofErr w:type="spellEnd"/>
      <w:r w:rsidRPr="0072278F">
        <w:rPr>
          <w:lang w:val="es-ES"/>
        </w:rPr>
        <w:t xml:space="preserve"> </w:t>
      </w:r>
      <w:proofErr w:type="spellStart"/>
      <w:r w:rsidRPr="0072278F">
        <w:rPr>
          <w:lang w:val="es-ES"/>
        </w:rPr>
        <w:t>ibs.GRANADA</w:t>
      </w:r>
      <w:proofErr w:type="spellEnd"/>
      <w:r w:rsidRPr="0072278F">
        <w:rPr>
          <w:lang w:val="es-ES"/>
        </w:rPr>
        <w:t xml:space="preserve">. </w:t>
      </w:r>
      <w:proofErr w:type="spellStart"/>
      <w:r w:rsidRPr="0072278F">
        <w:rPr>
          <w:lang w:val="es-ES"/>
        </w:rPr>
        <w:t>University</w:t>
      </w:r>
      <w:proofErr w:type="spellEnd"/>
      <w:r w:rsidRPr="0072278F">
        <w:rPr>
          <w:lang w:val="es-ES"/>
        </w:rPr>
        <w:t xml:space="preserve"> of Granada, 18071 Granada, </w:t>
      </w:r>
      <w:proofErr w:type="spellStart"/>
      <w:r w:rsidRPr="0072278F">
        <w:rPr>
          <w:lang w:val="es-ES"/>
        </w:rPr>
        <w:t>Spain</w:t>
      </w:r>
      <w:proofErr w:type="spellEnd"/>
    </w:p>
    <w:p w14:paraId="38B8D65F" w14:textId="079319E2" w:rsidR="0072278F" w:rsidRPr="0072278F" w:rsidRDefault="0072278F" w:rsidP="0072278F">
      <w:pPr>
        <w:pStyle w:val="BCAuthorAddress"/>
        <w:jc w:val="both"/>
        <w:rPr>
          <w:lang w:val="es-ES"/>
        </w:rPr>
      </w:pPr>
      <w:proofErr w:type="spellStart"/>
      <w:r w:rsidRPr="0072278F">
        <w:rPr>
          <w:lang w:val="es-ES"/>
        </w:rPr>
        <w:lastRenderedPageBreak/>
        <w:t>Vaibhav</w:t>
      </w:r>
      <w:proofErr w:type="spellEnd"/>
      <w:r w:rsidRPr="0072278F">
        <w:rPr>
          <w:lang w:val="es-ES"/>
        </w:rPr>
        <w:t xml:space="preserve"> </w:t>
      </w:r>
      <w:proofErr w:type="spellStart"/>
      <w:r w:rsidRPr="0072278F">
        <w:rPr>
          <w:lang w:val="es-ES"/>
        </w:rPr>
        <w:t>Bhatia</w:t>
      </w:r>
      <w:proofErr w:type="spellEnd"/>
      <w:r>
        <w:rPr>
          <w:lang w:val="es-ES"/>
        </w:rPr>
        <w:t xml:space="preserve">. </w:t>
      </w:r>
      <w:proofErr w:type="spellStart"/>
      <w:r w:rsidRPr="0072278F">
        <w:rPr>
          <w:lang w:val="es-ES"/>
        </w:rPr>
        <w:t>Lamark</w:t>
      </w:r>
      <w:proofErr w:type="spellEnd"/>
      <w:r w:rsidRPr="0072278F">
        <w:rPr>
          <w:lang w:val="es-ES"/>
        </w:rPr>
        <w:t xml:space="preserve"> </w:t>
      </w:r>
      <w:proofErr w:type="spellStart"/>
      <w:r w:rsidRPr="0072278F">
        <w:rPr>
          <w:lang w:val="es-ES"/>
        </w:rPr>
        <w:t>Biotech</w:t>
      </w:r>
      <w:proofErr w:type="spellEnd"/>
      <w:r w:rsidRPr="0072278F">
        <w:rPr>
          <w:lang w:val="es-ES"/>
        </w:rPr>
        <w:t xml:space="preserve"> </w:t>
      </w:r>
      <w:proofErr w:type="spellStart"/>
      <w:r w:rsidRPr="0072278F">
        <w:rPr>
          <w:lang w:val="es-ES"/>
        </w:rPr>
        <w:t>Pvt</w:t>
      </w:r>
      <w:proofErr w:type="spellEnd"/>
      <w:r w:rsidRPr="0072278F">
        <w:rPr>
          <w:lang w:val="es-ES"/>
        </w:rPr>
        <w:t xml:space="preserve">. Ltd., VIT –TBI, </w:t>
      </w:r>
      <w:proofErr w:type="spellStart"/>
      <w:r w:rsidRPr="0072278F">
        <w:rPr>
          <w:lang w:val="es-ES"/>
        </w:rPr>
        <w:t>Vellore</w:t>
      </w:r>
      <w:proofErr w:type="spellEnd"/>
      <w:r w:rsidRPr="0072278F">
        <w:rPr>
          <w:lang w:val="es-ES"/>
        </w:rPr>
        <w:t xml:space="preserve"> - 632 014, Tamil Nadu, India</w:t>
      </w:r>
    </w:p>
    <w:p w14:paraId="1E7C3E99" w14:textId="1C08ADA8" w:rsidR="0072278F" w:rsidRPr="0072278F" w:rsidRDefault="0072278F" w:rsidP="0072278F">
      <w:pPr>
        <w:pStyle w:val="BCAuthorAddress"/>
        <w:jc w:val="both"/>
        <w:rPr>
          <w:lang w:val="es-ES"/>
        </w:rPr>
      </w:pPr>
      <w:r w:rsidRPr="0072278F">
        <w:rPr>
          <w:lang w:val="es-ES"/>
        </w:rPr>
        <w:t>J. J. Díaz-Mochón</w:t>
      </w:r>
      <w:r>
        <w:rPr>
          <w:lang w:val="es-ES"/>
        </w:rPr>
        <w:t xml:space="preserve">. </w:t>
      </w:r>
      <w:r w:rsidRPr="0072278F">
        <w:rPr>
          <w:lang w:val="es-ES"/>
        </w:rPr>
        <w:t xml:space="preserve">Departamento de Química Farmacéutica y Orgánica, Facultad de Farmacia, UGR; Centre </w:t>
      </w:r>
      <w:proofErr w:type="spellStart"/>
      <w:r w:rsidRPr="0072278F">
        <w:rPr>
          <w:lang w:val="es-ES"/>
        </w:rPr>
        <w:t>for</w:t>
      </w:r>
      <w:proofErr w:type="spellEnd"/>
      <w:r w:rsidRPr="0072278F">
        <w:rPr>
          <w:lang w:val="es-ES"/>
        </w:rPr>
        <w:t xml:space="preserve"> </w:t>
      </w:r>
      <w:proofErr w:type="spellStart"/>
      <w:r w:rsidRPr="0072278F">
        <w:rPr>
          <w:lang w:val="es-ES"/>
        </w:rPr>
        <w:t>Genomics</w:t>
      </w:r>
      <w:proofErr w:type="spellEnd"/>
      <w:r w:rsidRPr="0072278F">
        <w:rPr>
          <w:lang w:val="es-ES"/>
        </w:rPr>
        <w:t xml:space="preserve"> and </w:t>
      </w:r>
      <w:proofErr w:type="spellStart"/>
      <w:r w:rsidRPr="0072278F">
        <w:rPr>
          <w:lang w:val="es-ES"/>
        </w:rPr>
        <w:t>Oncological</w:t>
      </w:r>
      <w:proofErr w:type="spellEnd"/>
      <w:r w:rsidRPr="0072278F">
        <w:rPr>
          <w:lang w:val="es-ES"/>
        </w:rPr>
        <w:t xml:space="preserve"> </w:t>
      </w:r>
      <w:proofErr w:type="spellStart"/>
      <w:r w:rsidRPr="0072278F">
        <w:rPr>
          <w:lang w:val="es-ES"/>
        </w:rPr>
        <w:t>Research</w:t>
      </w:r>
      <w:proofErr w:type="spellEnd"/>
      <w:r w:rsidRPr="0072278F">
        <w:rPr>
          <w:lang w:val="es-ES"/>
        </w:rPr>
        <w:t>: Pfizer/</w:t>
      </w:r>
      <w:proofErr w:type="spellStart"/>
      <w:r w:rsidRPr="0072278F">
        <w:rPr>
          <w:lang w:val="es-ES"/>
        </w:rPr>
        <w:t>University</w:t>
      </w:r>
      <w:proofErr w:type="spellEnd"/>
      <w:r w:rsidRPr="0072278F">
        <w:rPr>
          <w:lang w:val="es-ES"/>
        </w:rPr>
        <w:t xml:space="preserve"> of Granada/</w:t>
      </w:r>
      <w:proofErr w:type="spellStart"/>
      <w:r w:rsidRPr="0072278F">
        <w:rPr>
          <w:lang w:val="es-ES"/>
        </w:rPr>
        <w:t>Andalusian</w:t>
      </w:r>
      <w:proofErr w:type="spellEnd"/>
      <w:r w:rsidRPr="0072278F">
        <w:rPr>
          <w:lang w:val="es-ES"/>
        </w:rPr>
        <w:t xml:space="preserve"> Regional </w:t>
      </w:r>
      <w:proofErr w:type="spellStart"/>
      <w:r w:rsidRPr="0072278F">
        <w:rPr>
          <w:lang w:val="es-ES"/>
        </w:rPr>
        <w:t>Government</w:t>
      </w:r>
      <w:proofErr w:type="spellEnd"/>
      <w:r w:rsidRPr="0072278F">
        <w:rPr>
          <w:lang w:val="es-ES"/>
        </w:rPr>
        <w:t xml:space="preserve">, PTS Granada, Avenida de la Ilustración 114, 18016 Granada, </w:t>
      </w:r>
      <w:proofErr w:type="spellStart"/>
      <w:r w:rsidRPr="0072278F">
        <w:rPr>
          <w:lang w:val="es-ES"/>
        </w:rPr>
        <w:t>Spain</w:t>
      </w:r>
      <w:proofErr w:type="spellEnd"/>
      <w:r w:rsidRPr="0072278F">
        <w:rPr>
          <w:lang w:val="es-ES"/>
        </w:rPr>
        <w:t xml:space="preserve">. </w:t>
      </w:r>
    </w:p>
    <w:p w14:paraId="30668C03" w14:textId="47E2A615" w:rsidR="0072278F" w:rsidRPr="0072278F" w:rsidRDefault="0072278F" w:rsidP="0072278F">
      <w:pPr>
        <w:pStyle w:val="BCAuthorAddress"/>
        <w:jc w:val="both"/>
        <w:rPr>
          <w:lang w:val="es-ES"/>
        </w:rPr>
      </w:pPr>
      <w:r w:rsidRPr="0072278F">
        <w:rPr>
          <w:lang w:val="es-ES"/>
        </w:rPr>
        <w:t>Olga Martínez-</w:t>
      </w:r>
      <w:proofErr w:type="spellStart"/>
      <w:r w:rsidRPr="0072278F">
        <w:rPr>
          <w:lang w:val="es-ES"/>
        </w:rPr>
        <w:t>Augustin</w:t>
      </w:r>
      <w:proofErr w:type="spellEnd"/>
      <w:r>
        <w:rPr>
          <w:lang w:val="es-ES"/>
        </w:rPr>
        <w:t xml:space="preserve">. </w:t>
      </w:r>
      <w:r w:rsidRPr="0072278F">
        <w:rPr>
          <w:lang w:val="es-ES"/>
        </w:rPr>
        <w:t>Departamento de Bioquímica y Biología Molecular II, Centro de Investigación Biomédica en Red de Enfermedades Hepáticas y Digestivas (</w:t>
      </w:r>
      <w:proofErr w:type="spellStart"/>
      <w:r w:rsidRPr="0072278F">
        <w:rPr>
          <w:lang w:val="es-ES"/>
        </w:rPr>
        <w:t>CIBERehd</w:t>
      </w:r>
      <w:proofErr w:type="spellEnd"/>
      <w:r w:rsidRPr="0072278F">
        <w:rPr>
          <w:lang w:val="es-ES"/>
        </w:rPr>
        <w:t xml:space="preserve">), </w:t>
      </w:r>
      <w:proofErr w:type="spellStart"/>
      <w:r w:rsidRPr="0072278F">
        <w:rPr>
          <w:lang w:val="es-ES"/>
        </w:rPr>
        <w:t>School</w:t>
      </w:r>
      <w:proofErr w:type="spellEnd"/>
      <w:r w:rsidRPr="0072278F">
        <w:rPr>
          <w:lang w:val="es-ES"/>
        </w:rPr>
        <w:t xml:space="preserve"> of </w:t>
      </w:r>
      <w:proofErr w:type="spellStart"/>
      <w:r w:rsidRPr="0072278F">
        <w:rPr>
          <w:lang w:val="es-ES"/>
        </w:rPr>
        <w:t>Pharmacy</w:t>
      </w:r>
      <w:proofErr w:type="spellEnd"/>
      <w:r w:rsidRPr="0072278F">
        <w:rPr>
          <w:lang w:val="es-ES"/>
        </w:rPr>
        <w:t xml:space="preserve">; Instituto de Investigación </w:t>
      </w:r>
      <w:proofErr w:type="spellStart"/>
      <w:r w:rsidRPr="0072278F">
        <w:rPr>
          <w:lang w:val="es-ES"/>
        </w:rPr>
        <w:t>Biosanitaria</w:t>
      </w:r>
      <w:proofErr w:type="spellEnd"/>
      <w:r w:rsidRPr="0072278F">
        <w:rPr>
          <w:lang w:val="es-ES"/>
        </w:rPr>
        <w:t xml:space="preserve"> </w:t>
      </w:r>
      <w:proofErr w:type="spellStart"/>
      <w:r w:rsidRPr="0072278F">
        <w:rPr>
          <w:lang w:val="es-ES"/>
        </w:rPr>
        <w:t>ibs.GRANADA</w:t>
      </w:r>
      <w:proofErr w:type="spellEnd"/>
      <w:r w:rsidRPr="0072278F">
        <w:rPr>
          <w:lang w:val="es-ES"/>
        </w:rPr>
        <w:t xml:space="preserve">. </w:t>
      </w:r>
      <w:proofErr w:type="spellStart"/>
      <w:r w:rsidRPr="0072278F">
        <w:rPr>
          <w:lang w:val="es-ES"/>
        </w:rPr>
        <w:t>University</w:t>
      </w:r>
      <w:proofErr w:type="spellEnd"/>
      <w:r w:rsidRPr="0072278F">
        <w:rPr>
          <w:lang w:val="es-ES"/>
        </w:rPr>
        <w:t xml:space="preserve"> of Granada, 18071 Granada, </w:t>
      </w:r>
      <w:proofErr w:type="spellStart"/>
      <w:r w:rsidRPr="0072278F">
        <w:rPr>
          <w:lang w:val="es-ES"/>
        </w:rPr>
        <w:t>Spain</w:t>
      </w:r>
      <w:proofErr w:type="spellEnd"/>
    </w:p>
    <w:p w14:paraId="12554253" w14:textId="489A7E8E" w:rsidR="0072278F" w:rsidRPr="0072278F" w:rsidRDefault="0072278F" w:rsidP="0072278F">
      <w:pPr>
        <w:pStyle w:val="BCAuthorAddress"/>
        <w:jc w:val="both"/>
        <w:rPr>
          <w:lang w:val="es-ES"/>
        </w:rPr>
      </w:pPr>
      <w:r w:rsidRPr="0072278F">
        <w:rPr>
          <w:lang w:val="es-ES"/>
        </w:rPr>
        <w:t xml:space="preserve">M. T. </w:t>
      </w:r>
      <w:proofErr w:type="spellStart"/>
      <w:r w:rsidRPr="0072278F">
        <w:rPr>
          <w:lang w:val="es-ES"/>
        </w:rPr>
        <w:t>Lopez-Lopez</w:t>
      </w:r>
      <w:proofErr w:type="spellEnd"/>
      <w:r>
        <w:rPr>
          <w:lang w:val="es-ES"/>
        </w:rPr>
        <w:t xml:space="preserve">. </w:t>
      </w:r>
      <w:r w:rsidRPr="0072278F">
        <w:rPr>
          <w:lang w:val="es-ES"/>
        </w:rPr>
        <w:t xml:space="preserve">Departamento de Física Aplicada, Facultad de Ciencias, UGR; Instituto de Investigación </w:t>
      </w:r>
      <w:proofErr w:type="spellStart"/>
      <w:r w:rsidRPr="0072278F">
        <w:rPr>
          <w:lang w:val="es-ES"/>
        </w:rPr>
        <w:t>Biosanitaria</w:t>
      </w:r>
      <w:proofErr w:type="spellEnd"/>
      <w:r w:rsidRPr="0072278F">
        <w:rPr>
          <w:lang w:val="es-ES"/>
        </w:rPr>
        <w:t xml:space="preserve"> </w:t>
      </w:r>
      <w:proofErr w:type="spellStart"/>
      <w:r w:rsidRPr="0072278F">
        <w:rPr>
          <w:lang w:val="es-ES"/>
        </w:rPr>
        <w:t>ibs.GRANADA</w:t>
      </w:r>
      <w:proofErr w:type="spellEnd"/>
      <w:r w:rsidRPr="0072278F">
        <w:rPr>
          <w:lang w:val="es-ES"/>
        </w:rPr>
        <w:t>.</w:t>
      </w:r>
    </w:p>
    <w:p w14:paraId="45EC5B16" w14:textId="1E2DE034" w:rsidR="0072278F" w:rsidRPr="0072278F" w:rsidRDefault="0072278F" w:rsidP="0072278F">
      <w:pPr>
        <w:pStyle w:val="BCAuthorAddress"/>
        <w:jc w:val="both"/>
        <w:rPr>
          <w:lang w:val="es-ES"/>
        </w:rPr>
      </w:pPr>
      <w:r w:rsidRPr="0072278F">
        <w:rPr>
          <w:lang w:val="es-ES"/>
        </w:rPr>
        <w:t>F. Conejero-Lara</w:t>
      </w:r>
      <w:r>
        <w:rPr>
          <w:lang w:val="es-ES"/>
        </w:rPr>
        <w:t xml:space="preserve">. </w:t>
      </w:r>
      <w:r w:rsidRPr="0072278F">
        <w:rPr>
          <w:lang w:val="es-ES"/>
        </w:rPr>
        <w:t>Departamento de Química Física, Facultad de Ciencias, UGR.</w:t>
      </w:r>
    </w:p>
    <w:p w14:paraId="7A939506" w14:textId="78724C7A" w:rsidR="0072278F" w:rsidRPr="0072278F" w:rsidRDefault="00AB34C5" w:rsidP="0072278F">
      <w:pPr>
        <w:pStyle w:val="BGKeywords"/>
      </w:pPr>
      <w:r>
        <w:t>KEYWORDS</w:t>
      </w:r>
      <w:r w:rsidR="0072278F">
        <w:t>:</w:t>
      </w:r>
      <w:r w:rsidR="0072278F" w:rsidRPr="0072278F">
        <w:rPr>
          <w:rFonts w:cs="Times"/>
        </w:rPr>
        <w:t xml:space="preserve"> </w:t>
      </w:r>
      <w:r w:rsidR="0072278F" w:rsidRPr="0026615C">
        <w:rPr>
          <w:rFonts w:cs="Times"/>
        </w:rPr>
        <w:t>In</w:t>
      </w:r>
      <w:r w:rsidR="0072278F">
        <w:rPr>
          <w:rFonts w:cs="Times"/>
        </w:rPr>
        <w:t>sulin</w:t>
      </w:r>
      <w:r w:rsidR="0072278F" w:rsidRPr="0026615C">
        <w:rPr>
          <w:rFonts w:cs="Times"/>
        </w:rPr>
        <w:t xml:space="preserve"> composite crystals, protein therapeutics, drug delivery, protein crystallization, </w:t>
      </w:r>
      <w:r w:rsidR="0072278F">
        <w:rPr>
          <w:rFonts w:cs="Times"/>
        </w:rPr>
        <w:t xml:space="preserve">supramolecular hydrogels, </w:t>
      </w:r>
      <w:r w:rsidR="0072278F" w:rsidRPr="0072278F">
        <w:t>composite materials</w:t>
      </w:r>
      <w:r w:rsidR="0072278F">
        <w:t>.</w:t>
      </w:r>
      <w:r w:rsidR="0072278F" w:rsidRPr="0072278F">
        <w:t xml:space="preserve"> </w:t>
      </w:r>
    </w:p>
    <w:p w14:paraId="6B9B96A3" w14:textId="62DC86CF" w:rsidR="002C105B" w:rsidRPr="001D4F46" w:rsidRDefault="002C105B" w:rsidP="002C105B">
      <w:pPr>
        <w:pStyle w:val="BDAbstract"/>
      </w:pPr>
      <w:r w:rsidRPr="002C105B">
        <w:rPr>
          <w:b/>
          <w:bCs/>
        </w:rPr>
        <w:t>Abstract</w:t>
      </w:r>
      <w:r>
        <w:t xml:space="preserve">: </w:t>
      </w:r>
      <w:r w:rsidRPr="00EC7A03">
        <w:t xml:space="preserve">Protein therapeutics have a major role in medicine, being used to treat diverse pathologies. </w:t>
      </w:r>
      <w:r w:rsidRPr="00A93CDD">
        <w:t>Their</w:t>
      </w:r>
      <w:r>
        <w:t xml:space="preserve"> </w:t>
      </w:r>
      <w:r w:rsidRPr="00A93CDD">
        <w:t>three-dimensional st</w:t>
      </w:r>
      <w:r>
        <w:t>ructures offer high specificity</w:t>
      </w:r>
      <w:r w:rsidRPr="00A93CDD">
        <w:t xml:space="preserve"> </w:t>
      </w:r>
      <w:r>
        <w:t>and</w:t>
      </w:r>
      <w:r w:rsidRPr="00A93CDD">
        <w:t xml:space="preserve"> lower toxicity than small organic compounds</w:t>
      </w:r>
      <w:r>
        <w:t xml:space="preserve"> but also make them less stable limiting their </w:t>
      </w:r>
      <w:r w:rsidRPr="003C1FE5">
        <w:rPr>
          <w:i/>
          <w:iCs/>
        </w:rPr>
        <w:t xml:space="preserve">in vivo </w:t>
      </w:r>
      <w:r>
        <w:t>half-life. P</w:t>
      </w:r>
      <w:r w:rsidRPr="00A93CDD">
        <w:t xml:space="preserve">rotein-analogs </w:t>
      </w:r>
      <w:r>
        <w:t>obtained</w:t>
      </w:r>
      <w:r w:rsidRPr="00A93CDD">
        <w:t xml:space="preserve"> by recombinant DNA technology or by chemical modification </w:t>
      </w:r>
      <w:r>
        <w:t xml:space="preserve">and / or the use of drug delivery vehicles have been developed to improve or modulate the </w:t>
      </w:r>
      <w:r w:rsidRPr="00622F41">
        <w:rPr>
          <w:i/>
          <w:iCs/>
        </w:rPr>
        <w:t>in vivo</w:t>
      </w:r>
      <w:r>
        <w:t xml:space="preserve"> pharmacological activity of proteins.  Nevertheless, strategies to improve the shelf-life of protein pharmaceuticals have been less explored which challenge the preservation of their activity. Herein, we present a methodology that simultaneously increases the stability of proteins and modulates the release profile, and </w:t>
      </w:r>
      <w:r w:rsidRPr="008949F9">
        <w:lastRenderedPageBreak/>
        <w:t>implemented with human insulin as a proof of concept</w:t>
      </w:r>
      <w:r>
        <w:t xml:space="preserve">. </w:t>
      </w:r>
      <w:r>
        <w:rPr>
          <w:bCs/>
          <w:iCs/>
        </w:rPr>
        <w:t>T</w:t>
      </w:r>
      <w:r w:rsidRPr="001D4F46">
        <w:rPr>
          <w:bCs/>
          <w:iCs/>
        </w:rPr>
        <w:t>wo novel thermally stable insulin composite crystal formulations intended for the therapeutic treatment of diabetes are reported. These composite crystals have been obtained by crystallizing insulin in agarose and Fmoc-AA (</w:t>
      </w:r>
      <w:proofErr w:type="spellStart"/>
      <w:r w:rsidRPr="001D4F46">
        <w:rPr>
          <w:bCs/>
          <w:iCs/>
        </w:rPr>
        <w:t>fluorenylmethoxycarbonyl-dialanine</w:t>
      </w:r>
      <w:proofErr w:type="spellEnd"/>
      <w:r w:rsidRPr="001D4F46">
        <w:rPr>
          <w:bCs/>
          <w:iCs/>
        </w:rPr>
        <w:t xml:space="preserve">) hydrogels. This process affords composite crystals, in which, hydrogel fibers are occluded inside the crystals. Insulin in both crystalline formulations remains unaltered at 50 </w:t>
      </w:r>
      <w:r w:rsidRPr="001D4F46">
        <w:rPr>
          <w:rFonts w:ascii="Symbol" w:hAnsi="Symbol"/>
          <w:bCs/>
          <w:iCs/>
        </w:rPr>
        <w:t></w:t>
      </w:r>
      <w:r w:rsidRPr="001D4F46">
        <w:rPr>
          <w:bCs/>
          <w:iCs/>
        </w:rPr>
        <w:t>C for 7 days. Differential Scanning Calorimetry, High Performance Liquid Chromatograph</w:t>
      </w:r>
      <w:r>
        <w:rPr>
          <w:bCs/>
          <w:iCs/>
        </w:rPr>
        <w:t>y,</w:t>
      </w:r>
      <w:r w:rsidRPr="001D4F46">
        <w:rPr>
          <w:bCs/>
          <w:iCs/>
        </w:rPr>
        <w:t xml:space="preserve"> mass spectrometry and </w:t>
      </w:r>
      <w:r w:rsidRPr="001D4F46">
        <w:rPr>
          <w:bCs/>
          <w:i/>
        </w:rPr>
        <w:t>in vivo</w:t>
      </w:r>
      <w:r w:rsidRPr="001D4F46">
        <w:rPr>
          <w:bCs/>
          <w:iCs/>
        </w:rPr>
        <w:t xml:space="preserve"> studies have shown that insulin does not degrade after the heat treatment. The nature of the hydrogel modifies the physicochemical properties of the crystals. Crystals grown in Fmoc-AA hydrogel are more stable and have a slower dissolution rate than crystals grown in agarose. </w:t>
      </w:r>
      <w:r w:rsidR="00EE2BF6">
        <w:t>T</w:t>
      </w:r>
      <w:r w:rsidR="00EE2BF6" w:rsidRPr="00E04A47">
        <w:t xml:space="preserve">his methodology </w:t>
      </w:r>
      <w:r w:rsidR="00EE2BF6">
        <w:t>paves the way for</w:t>
      </w:r>
      <w:r w:rsidR="00EE2BF6" w:rsidRPr="00E04A47">
        <w:t xml:space="preserve"> the development of more stable protein pharmaceuticals overcoming </w:t>
      </w:r>
      <w:r w:rsidR="00EE2BF6">
        <w:t xml:space="preserve">some of </w:t>
      </w:r>
      <w:r w:rsidR="00EE2BF6" w:rsidRPr="00E04A47">
        <w:t>the exiting limitations.</w:t>
      </w:r>
    </w:p>
    <w:p w14:paraId="07DF6AF3" w14:textId="03554E83" w:rsidR="00AB34C5" w:rsidRPr="002C105B" w:rsidRDefault="002C105B" w:rsidP="002C105B">
      <w:pPr>
        <w:pStyle w:val="BGKeywords"/>
        <w:rPr>
          <w:b/>
          <w:bCs/>
          <w:lang w:val="en-GB"/>
        </w:rPr>
      </w:pPr>
      <w:r w:rsidRPr="002C105B">
        <w:rPr>
          <w:b/>
          <w:bCs/>
          <w:lang w:val="en-GB"/>
        </w:rPr>
        <w:t>Introduction</w:t>
      </w:r>
    </w:p>
    <w:p w14:paraId="05CCB79A" w14:textId="18B85798" w:rsidR="002C105B" w:rsidRPr="002C105B" w:rsidRDefault="002C105B" w:rsidP="002C105B">
      <w:pPr>
        <w:pStyle w:val="TAMainText"/>
      </w:pPr>
      <w:r w:rsidRPr="002C105B">
        <w:t>Thanks to the advance of the recombinant DNA technology, the number of therapeutic proteins that are used for the treatment of different diseases has increased enormously in recent years, revolutionizing the pharmaceutical industry.</w:t>
      </w:r>
      <w:r w:rsidRPr="002C105B">
        <w:fldChar w:fldCharType="begin" w:fldLock="1"/>
      </w:r>
      <w:r w:rsidR="00184DC2">
        <w:instrText>ADDIN CSL_CITATION {"citationItems":[{"id":"ITEM-1","itemData":{"DOI":"10.1038/nrd2399","ISSN":"14741776","PMID":"18097458","abstract":"Once a rarely used subset of medical treatments, protein therapeutics have increased dramatically in number and frequency of use since the introduction of the first recombinant protein therapeutic - human insulin - 25 years ago. Protein therapeutics already have a significant role in almost every field of medicine, but this role is still only in its infancy. This article overviews some of the key characteristics of protein therapeutics, summarizes the more than 130 protein therapeutics used currently and suggests a new classification of these proteins according to their pharmacological action.","author":[{"dropping-particle":"","family":"Leader","given":"Benjamin","non-dropping-particle":"","parse-names":false,"suffix":""},{"dropping-particle":"","family":"Baca","given":"Quentin J.","non-dropping-particle":"","parse-names":false,"suffix":""},{"dropping-particle":"","family":"Golan","given":"David E.","non-dropping-particle":"","parse-names":false,"suffix":""}],"container-title":"Nature Reviews Drug Discovery","id":"ITEM-1","issue":"1","issued":{"date-parts":[["2008"]]},"page":"21-39","title":"Protein therapeutics: A summary and pharmacological classification","type":"article-journal","volume":"7"},"uris":["http://www.mendeley.com/documents/?uuid=54d01eac-e082-431f-b1b9-90297011780a"]}],"mendeley":{"formattedCitation":"&lt;sup&gt;1&lt;/sup&gt;","plainTextFormattedCitation":"1","previouslyFormattedCitation":"&lt;sup&gt;1&lt;/sup&gt;"},"properties":{"noteIndex":0},"schema":"https://github.com/citation-style-language/schema/raw/master/csl-citation.json"}</w:instrText>
      </w:r>
      <w:r w:rsidRPr="002C105B">
        <w:fldChar w:fldCharType="separate"/>
      </w:r>
      <w:r w:rsidR="00184DC2" w:rsidRPr="00184DC2">
        <w:rPr>
          <w:noProof/>
          <w:vertAlign w:val="superscript"/>
        </w:rPr>
        <w:t>1</w:t>
      </w:r>
      <w:r w:rsidRPr="002C105B">
        <w:fldChar w:fldCharType="end"/>
      </w:r>
      <w:r w:rsidRPr="002C105B">
        <w:t xml:space="preserve"> The use of proteins for therapeutic purposes has a series of advantages in terms of specificity and safety if compared with small synthetic molecules. However, the complex structure of proteins makes them very challenging to both stabilize and preserve before administration, which translates into lower bioavailability and half-life once administered </w:t>
      </w:r>
      <w:r w:rsidRPr="00FB045D">
        <w:rPr>
          <w:i/>
        </w:rPr>
        <w:t>in vivo</w:t>
      </w:r>
      <w:r w:rsidRPr="002C105B">
        <w:t>, limiting their therapeutic effect.</w:t>
      </w:r>
      <w:r w:rsidRPr="002C105B">
        <w:fldChar w:fldCharType="begin" w:fldLock="1"/>
      </w:r>
      <w:r w:rsidR="00184DC2">
        <w:instrText>ADDIN CSL_CITATION {"citationItems":[{"id":"ITEM-1","itemData":{"DOI":"10.1016/j.copbio.2009.10.006","ISSN":"09581669","abstract":"An important challenge in the pharmaceutical development of a biologic is the optimization of safety and efficacy while ensuring the ability to manufacture the drug while maintaining quality and stability. The manufacturing process consists of several operational steps referred to as 'unit operations' where the biologic is subjected to different stresses and conditions that may compromise quality and stability. Moreover, recently the requirement for the development of subcutaneous formulations for high dose drugs, such as monoclonal antibodies, at high protein concentrations has created additional challenges for many of the unit operations. These challenges can be mitigated by modification of the manufacturing process and/or development of formulations to prevent degradation. In particular, formulations have been designed to minimize protein aggregation and decrease viscosity, which has led to successful manufacture of the biologic. © 2009 Elsevier Ltd. All rights reserved.","author":[{"dropping-particle":"","family":"Shire","given":"Steven J.","non-dropping-particle":"","parse-names":false,"suffix":""}],"container-title":"Current Opinion in Biotechnology","id":"ITEM-1","issue":"6","issued":{"date-parts":[["2009"]]},"page":"708-714","title":"Formulation and manufacturability of biologics","type":"article-journal","volume":"20"},"uris":["http://www.mendeley.com/documents/?uuid=4080ea1d-9a91-4f9e-a4a1-f94715a87a87"]}],"mendeley":{"formattedCitation":"&lt;sup&gt;2&lt;/sup&gt;","plainTextFormattedCitation":"2","previouslyFormattedCitation":"&lt;sup&gt;2&lt;/sup&gt;"},"properties":{"noteIndex":0},"schema":"https://github.com/citation-style-language/schema/raw/master/csl-citation.json"}</w:instrText>
      </w:r>
      <w:r w:rsidRPr="002C105B">
        <w:fldChar w:fldCharType="separate"/>
      </w:r>
      <w:r w:rsidR="00184DC2" w:rsidRPr="00184DC2">
        <w:rPr>
          <w:noProof/>
          <w:vertAlign w:val="superscript"/>
        </w:rPr>
        <w:t>2</w:t>
      </w:r>
      <w:r w:rsidRPr="002C105B">
        <w:fldChar w:fldCharType="end"/>
      </w:r>
      <w:r w:rsidRPr="002C105B">
        <w:t xml:space="preserve"> Strategies developed to extend protein </w:t>
      </w:r>
      <w:r w:rsidRPr="00FB045D">
        <w:rPr>
          <w:i/>
        </w:rPr>
        <w:t>in vivo</w:t>
      </w:r>
      <w:r w:rsidRPr="002C105B">
        <w:t xml:space="preserve"> half-life include protein engineering and/or chemical post-modification with polyethylene glycol, fatty acids and polysaccharides to name just a few.</w:t>
      </w:r>
      <w:r w:rsidRPr="002C105B">
        <w:fldChar w:fldCharType="begin" w:fldLock="1"/>
      </w:r>
      <w:r w:rsidR="00184DC2">
        <w:instrText>ADDIN CSL_CITATION {"citationItems":[{"id":"ITEM-1","itemData":{"DOI":"10.1038/nrd4363","ISSN":"14741784","abstract":"The formulation and delivery of biopharmaceutical drugs, such as monoclonal antibodies and recombinant proteins, poses substantial challenges owing to their large size and susceptibility to degradation. In this Review we highlight recent advances in formulation and delivery strategies - such as the use of microsphere-based controlled-release technologies, protein modification methods that make use of polyethylene glycol and other polymers, and genetic manipulation of biopharmaceutical drugs - and discuss their advantages and limitations. We also highlight current and emerging delivery routes that provide an alternative to injection, including transdermal, oral and pulmonary delivery routes. In addition, the potential of targeted and intracellular protein delivery is discussed.","author":[{"dropping-particle":"","family":"Mitragotri","given":"Samir","non-dropping-particle":"","parse-names":false,"suffix":""},{"dropping-particle":"","family":"Burke","given":"Paul A.","non-dropping-particle":"","parse-names":false,"suffix":""},{"dropping-particle":"","family":"Langer","given":"Robert","non-dropping-particle":"","parse-names":false,"suffix":""}],"container-title":"Nature Reviews Drug Discovery","id":"ITEM-1","issue":"9","issued":{"date-parts":[["2014"]]},"page":"655-672","publisher":"Nature Publishing Group","title":"Overcoming the challenges in administering biopharmaceuticals: Formulation and delivery strategies","type":"article-journal","volume":"13"},"uris":["http://www.mendeley.com/documents/?uuid=a9f4e11a-bdf2-4102-9641-6dd301df8d28"]}],"mendeley":{"formattedCitation":"&lt;sup&gt;3&lt;/sup&gt;","plainTextFormattedCitation":"3","previouslyFormattedCitation":"&lt;sup&gt;3&lt;/sup&gt;"},"properties":{"noteIndex":0},"schema":"https://github.com/citation-style-language/schema/raw/master/csl-citation.json"}</w:instrText>
      </w:r>
      <w:r w:rsidRPr="002C105B">
        <w:fldChar w:fldCharType="separate"/>
      </w:r>
      <w:r w:rsidR="00184DC2" w:rsidRPr="00184DC2">
        <w:rPr>
          <w:noProof/>
          <w:vertAlign w:val="superscript"/>
        </w:rPr>
        <w:t>3</w:t>
      </w:r>
      <w:r w:rsidRPr="002C105B">
        <w:fldChar w:fldCharType="end"/>
      </w:r>
      <w:r w:rsidRPr="002C105B">
        <w:t xml:space="preserve"> Although these techniques have proven effective, their success cannot be predicted and, in some cases, the modification can either reduce </w:t>
      </w:r>
      <w:r w:rsidRPr="002C105B">
        <w:lastRenderedPageBreak/>
        <w:t>the basal activity of the protein or even produce adverse effects. Thus, alternative strategies that do not modify the chemical composition and tridimensional structure of proteins have been explored.</w:t>
      </w:r>
      <w:r w:rsidRPr="002C105B">
        <w:fldChar w:fldCharType="begin" w:fldLock="1"/>
      </w:r>
      <w:r w:rsidR="00184DC2">
        <w:instrText>ADDIN CSL_CITATION {"citationItems":[{"id":"ITEM-1","itemData":{"DOI":"10.4155/tde.13.104","ISSN":"2041-5990","abstract":"While the peptide and protein therapeutic market has developed significantly in the past decades, delivery has limited their use. Although oral delivery is preferred, most are currently delivered intravenously or subcutaneously due to degradation and limited absorption in the gastrointestinal tract. Therefore, absorption enhancers, enzyme inhibitors, carrier systems and stability enhancers are being studied to facilitate oral peptide delivery. Additionally, transdermal peptide delivery avoids the issues of the gastrointestinal tract, but also faces absorption limitations. Due to proteases, opsonization and agglutination, free peptides are not systemically stable without modifications. This review discusses oral and transdermal peptide drug delivery, focusing on barriers and solutions to absorption and stability issues. Methods to increase systemic stability and site-specific delivery are also discussed.","author":[{"dropping-particle":"","family":"Bruno","given":"Benjamin J","non-dropping-particle":"","parse-names":false,"suffix":""},{"dropping-particle":"","family":"Miller","given":"Geoffrey D","non-dropping-particle":"","parse-names":false,"suffix":""},{"dropping-particle":"","family":"Lim","given":"Carol S","non-dropping-particle":"","parse-names":false,"suffix":""}],"container-title":"Therapeutic Delivery","id":"ITEM-1","issue":"11","issued":{"date-parts":[["2013","11","1"]]},"note":"doi: 10.4155/tde.13.104","page":"1443-1467","publisher":"Future Science","title":"Basics and recent advances in peptide and protein drug delivery","type":"article-journal","volume":"4"},"uris":["http://www.mendeley.com/documents/?uuid=127cdf60-7ff4-49dc-86b5-72dde675862b"]}],"mendeley":{"formattedCitation":"&lt;sup&gt;4&lt;/sup&gt;","plainTextFormattedCitation":"4","previouslyFormattedCitation":"&lt;sup&gt;4&lt;/sup&gt;"},"properties":{"noteIndex":0},"schema":"https://github.com/citation-style-language/schema/raw/master/csl-citation.json"}</w:instrText>
      </w:r>
      <w:r w:rsidRPr="002C105B">
        <w:fldChar w:fldCharType="separate"/>
      </w:r>
      <w:r w:rsidR="00184DC2" w:rsidRPr="00184DC2">
        <w:rPr>
          <w:noProof/>
          <w:vertAlign w:val="superscript"/>
        </w:rPr>
        <w:t>4</w:t>
      </w:r>
      <w:r w:rsidRPr="002C105B">
        <w:fldChar w:fldCharType="end"/>
      </w:r>
      <w:r w:rsidRPr="002C105B">
        <w:t xml:space="preserve"> Moreover, efforts have been devoted to develop systems that can exert a controlled drug release.</w:t>
      </w:r>
      <w:r w:rsidRPr="002C105B">
        <w:fldChar w:fldCharType="begin" w:fldLock="1"/>
      </w:r>
      <w:r w:rsidR="00184DC2">
        <w:instrText>ADDIN CSL_CITATION {"citationItems":[{"id":"ITEM-1","itemData":{"DOI":"10.1021/cr940351u","ISSN":"00092665","PMID":"11749514","author":[{"dropping-particle":"","family":"Uhrich","given":"Kathryn E.","non-dropping-particle":"","parse-names":false,"suffix":""},{"dropping-particle":"","family":"Cannizzaro","given":"Scott M.","non-dropping-particle":"","parse-names":false,"suffix":""},{"dropping-particle":"","family":"Langer","given":"Robert S.","non-dropping-particle":"","parse-names":false,"suffix":""},{"dropping-particle":"","family":"Shakesheff","given":"Kevin M.","non-dropping-particle":"","parse-names":false,"suffix":""}],"container-title":"Chemical Reviews","id":"ITEM-1","issue":"11","issued":{"date-parts":[["1999"]]},"page":"3181-3198","title":"Polymeric Systems for Controlled Drug Release","type":"article-journal","volume":"99"},"uris":["http://www.mendeley.com/documents/?uuid=e98affb0-d631-497d-9f8f-355d17faedeb"]}],"mendeley":{"formattedCitation":"&lt;sup&gt;5&lt;/sup&gt;","plainTextFormattedCitation":"5","previouslyFormattedCitation":"&lt;sup&gt;5&lt;/sup&gt;"},"properties":{"noteIndex":0},"schema":"https://github.com/citation-style-language/schema/raw/master/csl-citation.json"}</w:instrText>
      </w:r>
      <w:r w:rsidRPr="002C105B">
        <w:fldChar w:fldCharType="separate"/>
      </w:r>
      <w:r w:rsidR="00184DC2" w:rsidRPr="00184DC2">
        <w:rPr>
          <w:noProof/>
          <w:vertAlign w:val="superscript"/>
        </w:rPr>
        <w:t>5</w:t>
      </w:r>
      <w:r w:rsidRPr="002C105B">
        <w:fldChar w:fldCharType="end"/>
      </w:r>
      <w:r w:rsidRPr="002C105B">
        <w:t xml:space="preserve"> </w:t>
      </w:r>
    </w:p>
    <w:p w14:paraId="19AC341D" w14:textId="4BF8CBD9" w:rsidR="002C105B" w:rsidRDefault="002C105B" w:rsidP="002C105B">
      <w:pPr>
        <w:pStyle w:val="TAMainText"/>
        <w:rPr>
          <w:rFonts w:eastAsia="Calibri"/>
        </w:rPr>
      </w:pPr>
      <w:r w:rsidRPr="002C105B">
        <w:rPr>
          <w:rFonts w:eastAsia="Calibri"/>
        </w:rPr>
        <w:t xml:space="preserve">Among the different delivery systems, microparticles, emulsions, etc., hydrogels seem to be ideal materials as they can be biocompatible and biodegradable and therefore, can be used for </w:t>
      </w:r>
      <w:r w:rsidRPr="00FB045D">
        <w:rPr>
          <w:rFonts w:eastAsia="Calibri"/>
          <w:i/>
        </w:rPr>
        <w:t>in vivo</w:t>
      </w:r>
      <w:r w:rsidRPr="002C105B">
        <w:rPr>
          <w:rFonts w:eastAsia="Calibri"/>
        </w:rPr>
        <w:t xml:space="preserve"> applications, and can also be prepared under mild conditions preserving protein stability.</w:t>
      </w:r>
      <w:r w:rsidRPr="002C105B">
        <w:rPr>
          <w:rFonts w:eastAsia="Calibri"/>
        </w:rPr>
        <w:fldChar w:fldCharType="begin" w:fldLock="1"/>
      </w:r>
      <w:r w:rsidR="00184DC2">
        <w:rPr>
          <w:rFonts w:eastAsia="Calibri"/>
        </w:rPr>
        <w:instrText>ADDIN CSL_CITATION {"citationItems":[{"id":"ITEM-1","itemData":{"DOI":"10.1016/j.jconrel.2012.03.002","ISSN":"01683659","PMID":"22421425","abstract":"Tissue defects caused by diseases or trauma present enormous challenges in regenerative medicine. Recently, a better understanding of the biological processes underlying tissue repair led to the establishment of new approaches in tissue engineering which comprise the combination of biodegradable scaffolds and appropriate cells together with specific environmental cues, such as growth or adhesive factors. These factors (in fact proteins) have to be loaded and sustainably released from the scaffolds in time. This review provides an overview of the various hydrogel technologies that have been proposed to control the release of bioactive molecules of interest for tissue engineering applications. In particular, after a brief introduction on bioactive protein drugs that have remarkable relevance for tissue engineering, this review will discuss their release mechanisms from hydrogels, their encapsulation and immobilization methods and will overview the main classes of hydrogel forming biomaterials used in vitro and in vivo to release them. Finally, an outlook on future directions and a glimpse into the current clinical developments are provided. © 2012 Elsevier B.V. All rights reserved.","author":[{"dropping-particle":"","family":"Censi","given":"Roberta","non-dropping-particle":"","parse-names":false,"suffix":""},{"dropping-particle":"","family":"Martino","given":"Piera","non-dropping-particle":"Di","parse-names":false,"suffix":""},{"dropping-particle":"","family":"Vermonden","given":"Tina","non-dropping-particle":"","parse-names":false,"suffix":""},{"dropping-particle":"","family":"Hennink","given":"Wim E.","non-dropping-particle":"","parse-names":false,"suffix":""}],"container-title":"Journal of Controlled Release","id":"ITEM-1","issue":"2","issued":{"date-parts":[["2012"]]},"page":"680-692","title":"Hydrogels for protein delivery in tissue engineering","type":"article-journal","volume":"161"},"uris":["http://www.mendeley.com/documents/?uuid=dc7efb4c-01a2-462b-8c34-3aedc64f4c01"]}],"mendeley":{"formattedCitation":"&lt;sup&gt;6&lt;/sup&gt;","plainTextFormattedCitation":"6","previouslyFormattedCitation":"&lt;sup&gt;6&lt;/sup&gt;"},"properties":{"noteIndex":0},"schema":"https://github.com/citation-style-language/schema/raw/master/csl-citation.json"}</w:instrText>
      </w:r>
      <w:r w:rsidRPr="002C105B">
        <w:rPr>
          <w:rFonts w:eastAsia="Calibri"/>
        </w:rPr>
        <w:fldChar w:fldCharType="separate"/>
      </w:r>
      <w:r w:rsidR="00184DC2" w:rsidRPr="00184DC2">
        <w:rPr>
          <w:rFonts w:eastAsia="Calibri"/>
          <w:noProof/>
          <w:vertAlign w:val="superscript"/>
        </w:rPr>
        <w:t>6</w:t>
      </w:r>
      <w:r w:rsidRPr="002C105B">
        <w:rPr>
          <w:rFonts w:eastAsia="Calibri"/>
        </w:rPr>
        <w:fldChar w:fldCharType="end"/>
      </w:r>
      <w:r w:rsidRPr="002C105B">
        <w:rPr>
          <w:rFonts w:eastAsia="Calibri"/>
        </w:rPr>
        <w:t xml:space="preserve"> Hydrogels have been intensively studied as protein carriers than can modulate the protein release profile based on the chemical nature of the hydrogel, concentration, and type and degree of crosslinking.</w:t>
      </w:r>
      <w:r w:rsidRPr="002C105B">
        <w:rPr>
          <w:rFonts w:eastAsia="Calibri"/>
        </w:rPr>
        <w:fldChar w:fldCharType="begin" w:fldLock="1"/>
      </w:r>
      <w:r w:rsidR="00184DC2">
        <w:rPr>
          <w:rFonts w:eastAsia="Calibri"/>
        </w:rPr>
        <w:instrText>ADDIN CSL_CITATION {"citationItems":[{"id":"ITEM-1","itemData":{"DOI":"10.1016/j.jbiotec.2012.06.036","ISSN":"01681656","PMID":"22789475","abstract":"Novel hydrogels based on hydroxyethyl starch modified with polyethylene glycol methacrylate (HES-P(EG)6MA) were developed as delivery system for the controlled release of proteins. Since the drug release behavior is supposed to be related to the pore structure of the hydrogel network the pore sizes were determined by cryo-SEM, which is a mild technique for imaging on a nanometer scale. The results showed a decreasing pore size and an increase in pore homogeneity with increasing polymer concentration. Furthermore, the mesh sizes of the hydrogels were calculated based on swelling data. Pore and mesh size were significantly different which indicates that both structures are present in the hydrogel. The resulting structural model was correlated with release data for bulk hydrogel cylinders loaded with FITC-dextran and hydrogel microspheres loaded with FITC-IgG and FITC-dextran of different molecular size. The initial release depended much on the relation between hydrodynamic diameter and pore size while the long term release of the incorporated substances was predominantly controlled by degradation of the network of the much smaller meshes. © 2012 Elsevier B.V.","author":[{"dropping-particle":"","family":"Bertz","given":"Andreas","non-dropping-particle":"","parse-names":false,"suffix":""},{"dropping-particle":"","family":"Wöhl-Bruhn","given":"Stefanie","non-dropping-particle":"","parse-names":false,"suffix":""},{"dropping-particle":"","family":"Miethe","given":"Sebastian","non-dropping-particle":"","parse-names":false,"suffix":""},{"dropping-particle":"","family":"Tiersch","given":"Brigitte","non-dropping-particle":"","parse-names":false,"suffix":""},{"dropping-particle":"","family":"Koetz","given":"Joachim","non-dropping-particle":"","parse-names":false,"suffix":""},{"dropping-particle":"","family":"Hust","given":"Michael","non-dropping-particle":"","parse-names":false,"suffix":""},{"dropping-particle":"","family":"Bunjes","given":"Heike","non-dropping-particle":"","parse-names":false,"suffix":""},{"dropping-particle":"","family":"Menzel","given":"Henning","non-dropping-particle":"","parse-names":false,"suffix":""}],"container-title":"Journal of Biotechnology","id":"ITEM-1","issue":"2","issued":{"date-parts":[["2013"]]},"page":"243-249","publisher":"Elsevier B.V.","title":"Encapsulation of proteins in hydrogel carrier systems for controlled drug delivery: Influence of network structure and drug size on release rate","type":"article-journal","volume":"163"},"uris":["http://www.mendeley.com/documents/?uuid=b04146ea-876c-4280-946d-f3d9143b6154"]},{"id":"ITEM-2","itemData":{"DOI":"10.1039/c6bm00330c","ISSN":"20474849","PMID":"27374633","abstract":"Hydrogels have evolved into indispensable biomaterials in the fields of drug delivery and regenerative medicine. This minireview aims to highlight the recent advances in the hydrogel design for controlled release of bioactive proteins. The latest developments of enzyme-responsive and externally regulated drug delivery systems are summarized. The design strategies and applications of phase-separated hydrogel systems are also described. We expect that these emerging approaches will enable expanded use of hydrogels in biomedicine and healthcare.","author":[{"dropping-particle":"","family":"Bae","given":"Ki Hyun","non-dropping-particle":"","parse-names":false,"suffix":""},{"dropping-particle":"","family":"Kurisawa","given":"Motoichi","non-dropping-particle":"","parse-names":false,"suffix":""}],"container-title":"Biomaterials Science","id":"ITEM-2","issue":"8","issued":{"date-parts":[["2016"]]},"page":"1184-1192","publisher":"Royal Society of Chemistry","title":"Emerging hydrogel designs for controlled protein delivery","type":"article-journal","volume":"4"},"uris":["http://www.mendeley.com/documents/?uuid=91dd50b8-1572-4bab-b0e0-9d5a763d874b"]}],"mendeley":{"formattedCitation":"&lt;sup&gt;7,8&lt;/sup&gt;","plainTextFormattedCitation":"7,8","previouslyFormattedCitation":"&lt;sup&gt;7,8&lt;/sup&gt;"},"properties":{"noteIndex":0},"schema":"https://github.com/citation-style-language/schema/raw/master/csl-citation.json"}</w:instrText>
      </w:r>
      <w:r w:rsidRPr="002C105B">
        <w:rPr>
          <w:rFonts w:eastAsia="Calibri"/>
        </w:rPr>
        <w:fldChar w:fldCharType="separate"/>
      </w:r>
      <w:r w:rsidR="00184DC2" w:rsidRPr="00184DC2">
        <w:rPr>
          <w:rFonts w:eastAsia="Calibri"/>
          <w:noProof/>
          <w:vertAlign w:val="superscript"/>
        </w:rPr>
        <w:t>7,8</w:t>
      </w:r>
      <w:r w:rsidRPr="002C105B">
        <w:rPr>
          <w:rFonts w:eastAsia="Calibri"/>
        </w:rPr>
        <w:fldChar w:fldCharType="end"/>
      </w:r>
      <w:r w:rsidRPr="002C105B">
        <w:rPr>
          <w:rFonts w:eastAsia="Calibri"/>
        </w:rPr>
        <w:t xml:space="preserve"> In particular, injectable hydrogels has awakened a great interest due to the capacity of </w:t>
      </w:r>
      <w:r w:rsidRPr="00FB045D">
        <w:rPr>
          <w:rFonts w:eastAsia="Calibri"/>
          <w:i/>
        </w:rPr>
        <w:t>in vivo</w:t>
      </w:r>
      <w:r w:rsidRPr="002C105B">
        <w:rPr>
          <w:rFonts w:eastAsia="Calibri"/>
        </w:rPr>
        <w:t xml:space="preserve"> administration by noninvasive injection methods.</w:t>
      </w:r>
      <w:r w:rsidRPr="002C105B">
        <w:rPr>
          <w:rFonts w:eastAsia="Calibri"/>
        </w:rPr>
        <w:fldChar w:fldCharType="begin" w:fldLock="1"/>
      </w:r>
      <w:r w:rsidR="00184DC2">
        <w:rPr>
          <w:rFonts w:eastAsia="Calibri"/>
        </w:rPr>
        <w:instrText>ADDIN CSL_CITATION {"citationItems":[{"id":"ITEM-1","itemData":{"DOI":"10.1039/b926456f","ISSN":"09599428","abstract":"We have developed an injectable hydrogel system composed of biodegradable polymer-phenol conjugates that are covalently crosslinked by an enzyme-mediated oxidative reaction. The oxidative reaction of hydrogen peroxide (H 2O2) and horseradish peroxidase (HRP) catalyzed the crosslinking of the phenol moieties and allowed the independent tuning of the mechanical strength and gelation rate. This injectable hydrogel system with an independent tuning property has great potential for controlled drug delivery as well as three dimensional (3D) cell culture and differentiation in the hydrogel. © 2010 The Royal Society of Chemistry.","author":[{"dropping-particle":"","family":"Kurisawa","given":"Motoichi","non-dropping-particle":"","parse-names":false,"suffix":""},{"dropping-particle":"","family":"Lee","given":"Fan","non-dropping-particle":"","parse-names":false,"suffix":""},{"dropping-particle":"","family":"Wang","given":"Li Shan","non-dropping-particle":"","parse-names":false,"suffix":""},{"dropping-particle":"","family":"Chung","given":"Joo Eun","non-dropping-particle":"","parse-names":false,"suffix":""}],"container-title":"Journal of Materials Chemistry","id":"ITEM-1","issue":"26","issued":{"date-parts":[["2010"]]},"page":"5371-5375","title":"Injectable enzymatically crosslinked hydrogel system with independent tuning of mechanical strength and gelation rate for drug delivery and tissue engineering","type":"article-journal","volume":"20"},"uris":["http://www.mendeley.com/documents/?uuid=9f19a48e-99c9-4360-955c-4f74b261bb53"]},{"id":"ITEM-2","itemData":{"DOI":"10.1016/j.actbio.2017.11.024","ISSN":"18787568","PMID":"29128539","abstract":"Sustained, localized protein delivery can enhance the safety and activity of protein drugs in diverse disease settings. While hydrogel systems are widely studied as vehicles for protein delivery, they often suffer from rapid release of encapsulated cargo, leading to a narrow duration of therapy, and protein cargo can be denatured by incompatibility with the hydrogel crosslinking chemistry. In this work, we describe injectable nanocomposite hydrogels that are capable of sustained, bioactive, release of a variety of encapsulated proteins. Injectable and porous cryogels were formed by bio-orthogonal crosslinking of alginate using tetrazine-norbornene coupling. To provide sustained release from these hydrogels, protein cargo was pre-adsorbed to charged Laponite nanoparticles that were incorporated within the walls of the cryogels. The presence of Laponite particles substantially hindered the release of a number of proteins that otherwise showed burst release from these hydrogels. By modifying the Laponite content within the hydrogels, the kinetics of protein release could be precisely tuned. This versatile strategy to control protein release simplifies the design of hydrogel drug delivery systems. Statement of Significance Here we present an injectable nanocomposite hydrogel for simple and versatile controlled release of therapeutic proteins. Protein release from hydrogels often requires first entrapping the protein in particles and embedding these particles within the hydrogel to allow controlled protein release. This pre-encapsulation process can be cumbersome, can damage the protein's activity, and must be optimized for each protein of interest. The strategy presented in this work simply premixes the protein with charged nanoparticles that bind strongly with the protein. These protein-laden particles are then placed within a hydrogel and slowly release the protein into the surrounding environment. Using this method, tunable release from an injectable hydrogel can be achieved for a variety of proteins. This strategy greatly simplifies the design of hydrogel systems for therapeutic protein release applications.","author":[{"dropping-particle":"","family":"Koshy","given":"Sandeep T.","non-dropping-particle":"","parse-names":false,"suffix":""},{"dropping-particle":"","family":"Zhang","given":"David K.Y.","non-dropping-particle":"","parse-names":false,"suffix":""},{"dropping-particle":"","family":"Grolman","given":"Joshua M.","non-dropping-particle":"","parse-names":false,"suffix":""},{"dropping-particle":"","family":"Stafford","given":"Alexander G.","non-dropping-particle":"","parse-names":false,"suffix":""},{"dropping-particle":"","family":"Mooney","given":"David J.","non-dropping-particle":"","parse-names":false,"suffix":""}],"container-title":"Acta Biomaterialia","id":"ITEM-2","issued":{"date-parts":[["2018"]]},"page":"36-43","publisher":"Acta Materialia Inc.","title":"Injectable nanocomposite cryogels for versatile protein drug delivery","type":"article-journal","volume":"65"},"uris":["http://www.mendeley.com/documents/?uuid=3b321872-3fd1-478e-b7e7-72945efcb70c"]}],"mendeley":{"formattedCitation":"&lt;sup&gt;9,10&lt;/sup&gt;","plainTextFormattedCitation":"9,10","previouslyFormattedCitation":"&lt;sup&gt;9,10&lt;/sup&gt;"},"properties":{"noteIndex":0},"schema":"https://github.com/citation-style-language/schema/raw/master/csl-citation.json"}</w:instrText>
      </w:r>
      <w:r w:rsidRPr="002C105B">
        <w:rPr>
          <w:rFonts w:eastAsia="Calibri"/>
        </w:rPr>
        <w:fldChar w:fldCharType="separate"/>
      </w:r>
      <w:r w:rsidR="00184DC2" w:rsidRPr="00184DC2">
        <w:rPr>
          <w:rFonts w:eastAsia="Calibri"/>
          <w:noProof/>
          <w:vertAlign w:val="superscript"/>
        </w:rPr>
        <w:t>9,10</w:t>
      </w:r>
      <w:r w:rsidRPr="002C105B">
        <w:rPr>
          <w:rFonts w:eastAsia="Calibri"/>
        </w:rPr>
        <w:fldChar w:fldCharType="end"/>
      </w:r>
      <w:r w:rsidRPr="002C105B">
        <w:rPr>
          <w:rFonts w:eastAsia="Calibri"/>
        </w:rPr>
        <w:t xml:space="preserve"> Nevertheless, most of these hydrogel systems have exclusively focused on controlling the release rate of the protein and less attention has been paid in developing hydrogels that can improve the stability of the protein, although is the center of an active research.</w:t>
      </w:r>
      <w:r w:rsidRPr="002C105B">
        <w:rPr>
          <w:rFonts w:eastAsia="Calibri"/>
        </w:rPr>
        <w:fldChar w:fldCharType="begin" w:fldLock="1"/>
      </w:r>
      <w:r w:rsidR="00184DC2">
        <w:rPr>
          <w:rFonts w:eastAsia="Calibri"/>
        </w:rPr>
        <w:instrText>ADDIN CSL_CITATION {"citationItems":[{"id":"ITEM-1","itemData":{"DOI":"10.1002/adhm.201800220","ISSN":"21922659","abstract":"Stabilizing thermolabile pharmaceuticals outside of the cold chain has the potential to alleviate some of the logistical and monetary burden of providing health care access in the developing world. Evaporative cooling hydrogel packaging is designed to extend the storage stability of existing pharmaceutical products without the need for reformulation. Hydrogels with high water content and reversible hydrophilicity offer a promising platform for reducing storage temperatures without refrigeration. As a model, poly(N-isopropylacrylamide) is selected as a basis for creating a potentially low cost and easy-to-fabricate hydrogels.","author":[{"dropping-particle":"","family":"Ferber","given":"Shiran","non-dropping-particle":"","parse-names":false,"suffix":""},{"dropping-particle":"","family":"Behrens","given":"Adam M.","non-dropping-particle":"","parse-names":false,"suffix":""},{"dropping-particle":"","family":"McHugh","given":"Kevin J.","non-dropping-particle":"","parse-names":false,"suffix":""},{"dropping-particle":"","family":"Rosenberg","given":"Evan M.","non-dropping-particle":"","parse-names":false,"suffix":""},{"dropping-particle":"","family":"Linehan","given":"Allison R.","non-dropping-particle":"","parse-names":false,"suffix":""},{"dropping-particle":"","family":"Sugarman","given":"James L.","non-dropping-particle":"","parse-names":false,"suffix":""},{"dropping-particle":"","family":"Jayawardena","given":"Hapuarachchige Surangi N.","non-dropping-particle":"","parse-names":false,"suffix":""},{"dropping-particle":"","family":"Langer","given":"Robert","non-dropping-particle":"","parse-names":false,"suffix":""},{"dropping-particle":"","family":"Jaklenec","given":"Ana","non-dropping-particle":"","parse-names":false,"suffix":""}],"container-title":"Advanced Healthcare Materials","id":"ITEM-1","issue":"14","issued":{"date-parts":[["2018"]]},"page":"10-15","title":"Evaporative Cooling Hydrogel Packaging for Storing Biologics Outside of the Cold Chain","type":"article-journal","volume":"7"},"uris":["http://www.mendeley.com/documents/?uuid=82ac1473-684e-47dc-ac4f-5a6464f20cb0"]},{"id":"ITEM-2","itemData":{"DOI":"10.1021/acsbiomaterials.0c01306","ISSN":"23739878","abstract":"Biotherapeutics currently dominate the landscape of new drugs because of their exceptional potency and selectivity. Yet, the intricate molecular structures that give rise to these beneficial qualities also render them unstable in formulation. Hydrogels have shown potential as stabilizing excipients for biotherapeutic drugs, providing protection against harsh thermal conditions experienced during distribution and storage. In this work, we report the utilization of a cellulose-based supramolecular hydrogel formed from polymer-nanoparticle (PNP) interactions to encapsulate and stabilize insulin, an important biotherapeutic used widely to treat diabetes. Encapsulation of insulin in these hydrogels prevents insulin aggregation and maintains insulin bioactivity through stressed aging conditions of elevated temperature and continuous agitation for over 28 days. Further, insulin can be easily recovered by dilution of these hydrogels for administration at the point of care. This supramolecular hydrogel system shows promise as a stabilizing excipient to reduce the cold chain dependence of insulin and other biotherapeutics.","author":[{"dropping-particle":"","family":"Meis","given":"Catherine M.","non-dropping-particle":"","parse-names":false,"suffix":""},{"dropping-particle":"","family":"Salzman","given":"Erika E.","non-dropping-particle":"","parse-names":false,"suffix":""},{"dropping-particle":"","family":"Maikawa","given":"Caitlin L.","non-dropping-particle":"","parse-names":false,"suffix":""},{"dropping-particle":"","family":"Smith","given":"Anton A.A.","non-dropping-particle":"","parse-names":false,"suffix":""},{"dropping-particle":"","family":"Mann","given":"Joseph L.","non-dropping-particle":"","parse-names":false,"suffix":""},{"dropping-particle":"","family":"Grosskopf","given":"Abigail K.","non-dropping-particle":"","parse-names":false,"suffix":""},{"dropping-particle":"","family":"Appel","given":"Eric A.","non-dropping-particle":"","parse-names":false,"suffix":""}],"container-title":"ACS Biomaterials Science and Engineering","id":"ITEM-2","issued":{"date-parts":[["2020"]]},"title":"Self-Assembled, Dilution-Responsive Hydrogels for Enhanced Thermal Stability of Insulin Biopharmaceuticals","type":"article-journal"},"uris":["http://www.mendeley.com/documents/?uuid=fef96f69-4d5d-4f35-aae2-0b10ab45557f"]}],"mendeley":{"formattedCitation":"&lt;sup&gt;11,12&lt;/sup&gt;","plainTextFormattedCitation":"11,12","previouslyFormattedCitation":"&lt;sup&gt;11,12&lt;/sup&gt;"},"properties":{"noteIndex":0},"schema":"https://github.com/citation-style-language/schema/raw/master/csl-citation.json"}</w:instrText>
      </w:r>
      <w:r w:rsidRPr="002C105B">
        <w:rPr>
          <w:rFonts w:eastAsia="Calibri"/>
        </w:rPr>
        <w:fldChar w:fldCharType="separate"/>
      </w:r>
      <w:r w:rsidR="00184DC2" w:rsidRPr="00184DC2">
        <w:rPr>
          <w:rFonts w:eastAsia="Calibri"/>
          <w:noProof/>
          <w:vertAlign w:val="superscript"/>
        </w:rPr>
        <w:t>11,12</w:t>
      </w:r>
      <w:r w:rsidRPr="002C105B">
        <w:rPr>
          <w:rFonts w:eastAsia="Calibri"/>
        </w:rPr>
        <w:fldChar w:fldCharType="end"/>
      </w:r>
      <w:r w:rsidRPr="002C105B">
        <w:rPr>
          <w:rFonts w:eastAsia="Calibri"/>
        </w:rPr>
        <w:t xml:space="preserve"> The preservation of protein’s native structure is one of the main issues for many hydrogel formulations that limits their application in clinics.</w:t>
      </w:r>
      <w:r w:rsidRPr="002C105B">
        <w:rPr>
          <w:rFonts w:eastAsia="Calibri"/>
        </w:rPr>
        <w:fldChar w:fldCharType="begin" w:fldLock="1"/>
      </w:r>
      <w:r w:rsidR="00184DC2">
        <w:rPr>
          <w:rFonts w:eastAsia="Calibri"/>
        </w:rPr>
        <w:instrText>ADDIN CSL_CITATION {"citationItems":[{"id":"ITEM-1","itemData":{"DOI":"10.1016/j.jconrel.2012.03.002","ISSN":"01683659","PMID":"22421425","abstract":"Tissue defects caused by diseases or trauma present enormous challenges in regenerative medicine. Recently, a better understanding of the biological processes underlying tissue repair led to the establishment of new approaches in tissue engineering which comprise the combination of biodegradable scaffolds and appropriate cells together with specific environmental cues, such as growth or adhesive factors. These factors (in fact proteins) have to be loaded and sustainably released from the scaffolds in time. This review provides an overview of the various hydrogel technologies that have been proposed to control the release of bioactive molecules of interest for tissue engineering applications. In particular, after a brief introduction on bioactive protein drugs that have remarkable relevance for tissue engineering, this review will discuss their release mechanisms from hydrogels, their encapsulation and immobilization methods and will overview the main classes of hydrogel forming biomaterials used in vitro and in vivo to release them. Finally, an outlook on future directions and a glimpse into the current clinical developments are provided. © 2012 Elsevier B.V. All rights reserved.","author":[{"dropping-particle":"","family":"Censi","given":"Roberta","non-dropping-particle":"","parse-names":false,"suffix":""},{"dropping-particle":"","family":"Martino","given":"Piera","non-dropping-particle":"Di","parse-names":false,"suffix":""},{"dropping-particle":"","family":"Vermonden","given":"Tina","non-dropping-particle":"","parse-names":false,"suffix":""},{"dropping-particle":"","family":"Hennink","given":"Wim E.","non-dropping-particle":"","parse-names":false,"suffix":""}],"container-title":"Journal of Controlled Release","id":"ITEM-1","issue":"2","issued":{"date-parts":[["2012"]]},"page":"680-692","title":"Hydrogels for protein delivery in tissue engineering","type":"article-journal","volume":"161"},"uris":["http://www.mendeley.com/documents/?uuid=dc7efb4c-01a2-462b-8c34-3aedc64f4c01"]}],"mendeley":{"formattedCitation":"&lt;sup&gt;6&lt;/sup&gt;","plainTextFormattedCitation":"6","previouslyFormattedCitation":"&lt;sup&gt;6&lt;/sup&gt;"},"properties":{"noteIndex":0},"schema":"https://github.com/citation-style-language/schema/raw/master/csl-citation.json"}</w:instrText>
      </w:r>
      <w:r w:rsidRPr="002C105B">
        <w:rPr>
          <w:rFonts w:eastAsia="Calibri"/>
        </w:rPr>
        <w:fldChar w:fldCharType="separate"/>
      </w:r>
      <w:r w:rsidR="00184DC2" w:rsidRPr="00184DC2">
        <w:rPr>
          <w:rFonts w:eastAsia="Calibri"/>
          <w:noProof/>
          <w:vertAlign w:val="superscript"/>
        </w:rPr>
        <w:t>6</w:t>
      </w:r>
      <w:r w:rsidRPr="002C105B">
        <w:rPr>
          <w:rFonts w:eastAsia="Calibri"/>
        </w:rPr>
        <w:fldChar w:fldCharType="end"/>
      </w:r>
      <w:r w:rsidRPr="002C105B">
        <w:rPr>
          <w:rFonts w:eastAsia="Calibri"/>
        </w:rPr>
        <w:t xml:space="preserve"> Besides, proteins in crystalline form can show some advantages when intended for therapeutic uses such as, ease of handling, higher concentration doses per volume than their soluble format, varied dissolution rates and even improved stability.</w:t>
      </w:r>
      <w:r w:rsidRPr="002C105B">
        <w:rPr>
          <w:rFonts w:eastAsia="Calibri"/>
        </w:rPr>
        <w:fldChar w:fldCharType="begin" w:fldLock="1"/>
      </w:r>
      <w:r w:rsidR="00184DC2">
        <w:rPr>
          <w:rFonts w:eastAsia="Calibri"/>
        </w:rPr>
        <w:instrText>ADDIN CSL_CITATION {"citationItems":[{"id":"ITEM-1","itemData":{"DOI":"10.1517/14712598.4.3.301","ISSN":"14712598","abstract":"The year 2002 marked the 20th anniversary of the first successful product of modern biotechnology, the regulatory approval of recombinant insulin for biopharmaceutical applications. Insulin is also the first crystalline protein to be approved for therapeutic use. Over the past two decades, almost 150 biopharmaceuticals have gained marketing authorisation; however, insulin remains the only crystalline protein on the market. Significant research and development efforts have focused on the engineering of protein molecules, efficacy testing, model development, and protein production and characterisation. These advances have dramatically boosted the therapeutic applications of proteins, which now include treatments against acute conditions, such as cancer, cardiovascular disease and viral disease, and chronic conditions, such as diabetes, growth hormone deficiency, haemophilia, arthritis, psoriasis and Crohn's disease. Despite these successes, many challenges normally associated with biopharmaceuticals, such as poor stability and limited delivery options, remain. Protein crystals have shown significant benefits in the delivery of biopharmaceuticals to achieve high concentration, low viscosity formulation and controlled release protein delivery. This review will discuss challenges related to the broader utilisation of protein crystals in biopharmaceutical applications, as well as recent advances and valuable new directions that protein crystallisation-based technologies present.","author":[{"dropping-particle":"","family":"Basu","given":"Sujit K.","non-dropping-particle":"","parse-names":false,"suffix":""},{"dropping-particle":"","family":"Govardhan","given":"Chandrika P.","non-dropping-particle":"","parse-names":false,"suffix":""},{"dropping-particle":"","family":"Jung","given":"Chu W.","non-dropping-particle":"","parse-names":false,"suffix":""},{"dropping-particle":"","family":"Margolin","given":"Alexey L.","non-dropping-particle":"","parse-names":false,"suffix":""}],"container-title":"Expert Opinion on Biological Therapy","id":"ITEM-1","issue":"3","issued":{"date-parts":[["2004"]]},"page":"301-317","title":"Protein crystals for the delivery of biopharmaceuticals","type":"article-journal","volume":"4"},"uris":["http://www.mendeley.com/documents/?uuid=25fbf1f1-ce44-4e4a-9606-27cfdc77afc9"]},{"id":"ITEM-2","itemData":{"DOI":"10.1073/pnas.1131899100","ISSN":"00278424","abstract":"Therapeutic applications for mAbs have increased dramatically in recent years, but the large quantities required for clinical efficacy have limited the options that might be used for administration and thus have placed certain limitations on the use of these agents. We present an approach that allows for s.c. delivery of a small volume of a highly concentrated form of mAbs. Batch crystallization of three Ab-based therapeutics, rituximab, trastuzumab, and infliximab, provided products in high yield, with no detectable alteration to these proteins and with full retention of their biological activity in vitro. Administration s.c. of a crystalline preparation resulted in a remarkably long pharmacokinetic serum profile and a dose-dependent inhibition of tumor growth in nude mice bearing BT-474 xenografts (human breast cancer cells) in vivo. Overall, this approach of generating high-concentration, low-viscosity crystalline preparations of therapeutic Abs should lead to improved ease of administration and patient compliance, thus providing new opportunities for the biotechnology industry.","author":[{"dropping-particle":"","family":"Yang","given":"Mark X.","non-dropping-particle":"","parse-names":false,"suffix":""},{"dropping-particle":"","family":"Shenoy","given":"Bhami","non-dropping-particle":"","parse-names":false,"suffix":""},{"dropping-particle":"","family":"Disttler","given":"Matthew","non-dropping-particle":"","parse-names":false,"suffix":""},{"dropping-particle":"","family":"Patel","given":"Reena","non-dropping-particle":"","parse-names":false,"suffix":""},{"dropping-particle":"","family":"McGrath","given":"Margaret","non-dropping-particle":"","parse-names":false,"suffix":""},{"dropping-particle":"","family":"Pechenov","given":"Sergey","non-dropping-particle":"","parse-names":false,"suffix":""},{"dropping-particle":"","family":"Margolin","given":"Alexey L.","non-dropping-particle":"","parse-names":false,"suffix":""}],"container-title":"Proceedings of the National Academy of Sciences of the United States of America","id":"ITEM-2","issue":"12","issued":{"date-parts":[["2003"]]},"page":"6934-6939","title":"Crystalline monoclonal antibodies for subcutaneous delivery","type":"article-journal","volume":"100"},"uris":["http://www.mendeley.com/documents/?uuid=5ad0dca0-604c-42a9-828d-b09d5eed7914"]}],"mendeley":{"formattedCitation":"&lt;sup&gt;13,14&lt;/sup&gt;","plainTextFormattedCitation":"13,14","previouslyFormattedCitation":"&lt;sup&gt;13,14&lt;/sup&gt;"},"properties":{"noteIndex":0},"schema":"https://github.com/citation-style-language/schema/raw/master/csl-citation.json"}</w:instrText>
      </w:r>
      <w:r w:rsidRPr="002C105B">
        <w:rPr>
          <w:rFonts w:eastAsia="Calibri"/>
        </w:rPr>
        <w:fldChar w:fldCharType="separate"/>
      </w:r>
      <w:r w:rsidR="00184DC2" w:rsidRPr="00184DC2">
        <w:rPr>
          <w:rFonts w:eastAsia="Calibri"/>
          <w:noProof/>
          <w:vertAlign w:val="superscript"/>
        </w:rPr>
        <w:t>13,14</w:t>
      </w:r>
      <w:r w:rsidRPr="002C105B">
        <w:rPr>
          <w:rFonts w:eastAsia="Calibri"/>
        </w:rPr>
        <w:fldChar w:fldCharType="end"/>
      </w:r>
      <w:r w:rsidRPr="002C105B">
        <w:rPr>
          <w:rFonts w:eastAsia="Calibri"/>
        </w:rPr>
        <w:t xml:space="preserve"> At this respect, herein we have developed a strategy to create novel protein delivery formulations that simultaneously improves protein stability and modifies the release profile. This strategy uses hydrogels as media for protein crystallization. When protein crystals are grown in hydrogel media, the hydrogel material is occluded inside the crystals giving rise to composite protein crystals.</w:t>
      </w:r>
      <w:r w:rsidRPr="002C105B">
        <w:rPr>
          <w:rFonts w:eastAsia="Calibri"/>
        </w:rPr>
        <w:fldChar w:fldCharType="begin" w:fldLock="1"/>
      </w:r>
      <w:r w:rsidR="00184DC2">
        <w:rPr>
          <w:rFonts w:eastAsia="Calibri"/>
        </w:rPr>
        <w:instrText>ADDIN CSL_CITATION {"citationItems":[{"id":"ITEM-1","itemData":{"DOI":"10.1016/j.pbiomolbio.2009.12.002","ISSN":"00796107","abstract":"Medium-sized single crystals with perfect habits and no defect producing intense and well-resolved diffraction patterns are the dream of every protein crystallographer. Crystals of biological macromolecules possessing these characteristics can be prepared within a medium in which mass transport is restricted to diffusion. Chemical gels (like polysiloxane) and physical gels (such as agarose) provide such an environment and are therefore suitable for the crystallisation of biological macromolecules. Instructions for the preparation of each type of gel are given to urge crystal growers to apply diffusive media for enhancing crystallographic quality of their crystals. Examples of quality enhancement achieved with silica and agarose gels are given. Results obtained with other substances forming gel-like media (such as lipidic phases and cellulose derivatives) are presented. Finally, the use of gels in combination with capillary tubes for counter-diffusion experiments is discussed. Methods and techniques implemented with proteins can also be applied to nucleic acids and nucleoprotein assemblies such as viruses. © 2009 Elsevier Ltd. All rights reserved.","author":[{"dropping-particle":"","family":"Lorber","given":"Bernard","non-dropping-particle":"","parse-names":false,"suffix":""},{"dropping-particle":"","family":"Sauter","given":"Claude","non-dropping-particle":"","parse-names":false,"suffix":""},{"dropping-particle":"","family":"Théobald-Dietrich","given":"Anne","non-dropping-particle":"","parse-names":false,"suffix":""},{"dropping-particle":"","family":"Moreno","given":"Abel","non-dropping-particle":"","parse-names":false,"suffix":""},{"dropping-particle":"","family":"Schellenberger","given":"Pascale","non-dropping-particle":"","parse-names":false,"suffix":""},{"dropping-particle":"","family":"Robert","given":"Marie Claire","non-dropping-particle":"","parse-names":false,"suffix":""},{"dropping-particle":"","family":"Capelle","given":"Bernard","non-dropping-particle":"","parse-names":false,"suffix":""},{"dropping-particle":"","family":"Sanglier","given":"Sarah","non-dropping-particle":"","parse-names":false,"suffix":""},{"dropping-particle":"","family":"Potier","given":"Noëlle","non-dropping-particle":"","parse-names":false,"suffix":""},{"dropping-particle":"","family":"Giegé","given":"Richard","non-dropping-particle":"","parse-names":false,"suffix":""}],"container-title":"Progress in Biophysics and Molecular Biology","id":"ITEM-1","issue":"1-3","issued":{"date-parts":[["2009"]]},"page":"13-25","title":"Crystal growth of proteins, nucleic acids, and viruses in gels","type":"article-journal","volume":"101"},"uris":["http://www.mendeley.com/documents/?uuid=7d4b56e0-33fa-4421-bf38-b69f4d69de8c"]}],"mendeley":{"formattedCitation":"&lt;sup&gt;15&lt;/sup&gt;","plainTextFormattedCitation":"15","previouslyFormattedCitation":"&lt;sup&gt;15&lt;/sup&gt;"},"properties":{"noteIndex":0},"schema":"https://github.com/citation-style-language/schema/raw/master/csl-citation.json"}</w:instrText>
      </w:r>
      <w:r w:rsidRPr="002C105B">
        <w:rPr>
          <w:rFonts w:eastAsia="Calibri"/>
        </w:rPr>
        <w:fldChar w:fldCharType="separate"/>
      </w:r>
      <w:r w:rsidR="00184DC2" w:rsidRPr="00184DC2">
        <w:rPr>
          <w:rFonts w:eastAsia="Calibri"/>
          <w:noProof/>
          <w:vertAlign w:val="superscript"/>
        </w:rPr>
        <w:t>15</w:t>
      </w:r>
      <w:r w:rsidRPr="002C105B">
        <w:rPr>
          <w:rFonts w:eastAsia="Calibri"/>
        </w:rPr>
        <w:fldChar w:fldCharType="end"/>
      </w:r>
      <w:r w:rsidRPr="002C105B">
        <w:rPr>
          <w:rFonts w:eastAsia="Calibri"/>
        </w:rPr>
        <w:t xml:space="preserve"> We have proven that the nature of the hydrogel is able to modify some characteristic of the crystals, such as, quality, </w:t>
      </w:r>
      <w:r w:rsidRPr="002C105B">
        <w:rPr>
          <w:rFonts w:eastAsia="Calibri"/>
        </w:rPr>
        <w:lastRenderedPageBreak/>
        <w:t>polymorphism, etc.</w:t>
      </w:r>
      <w:r w:rsidRPr="002C105B">
        <w:rPr>
          <w:rFonts w:eastAsia="Calibri"/>
        </w:rPr>
        <w:fldChar w:fldCharType="begin" w:fldLock="1"/>
      </w:r>
      <w:r w:rsidR="00184DC2">
        <w:rPr>
          <w:rFonts w:eastAsia="Calibri"/>
        </w:rPr>
        <w:instrText>ADDIN CSL_CITATION {"citationItems":[{"id":"ITEM-1","itemData":{"DOI":"10.1021/cg400231g","ISSN":"15287483","abstract":"Protein crystals were obtained in a wide range of silica gel concentrations, 2.0-22.0% (v/v), using the counter-diffusion technique. The protein crystal lattice incorporates silica fibers during their growth, making the crystal appear optically translucent while maintaining the diffraction quality. The effect of the silica fibers on the nucleation and growth morphology is discussed, and the amount of incorporated silica matrix is quantified. The practical implications of the presence of a high hygroscope phase on the crystal properties are discusse, and the improvement of the mechanical properties and stability of the crystals is shown. These reinforced protein crystals, able to include large amounts of silica, open a new range of possibilities for the characterization of protein crystals and the application in the biotechnological industry. © 2013 American Chemical Society.","author":[{"dropping-particle":"","family":"Gavira","given":"Jose A.","non-dropping-particle":"","parse-names":false,"suffix":""},{"dropping-particle":"","family":"Driessche","given":"Alexander E.S.","non-dropping-particle":"Van","parse-names":false,"suffix":""},{"dropping-particle":"","family":"Garcia-Ruiz","given":"Juan Ma","non-dropping-particle":"","parse-names":false,"suffix":""}],"container-title":"Crystal Growth and Design","id":"ITEM-1","issue":"6","issued":{"date-parts":[["2013"]]},"page":"2522-2529","title":"Growth of ultrastable protein-silica composite crystals","type":"article-journal","volume":"13"},"uris":["http://www.mendeley.com/documents/?uuid=0f366dc2-f99f-4544-8115-9587ba3227dc"]},{"id":"ITEM-2","itemData":{"DOI":"10.1021/cg401668z","ISBN":"1528-7483","ISSN":"1528-7483","abstract":"Poly(ethylene glycol) (PEG) hydrogels are highly biocompatible materials extensively used for biomedical and pharmaceutical applications, controlled drug release, and tissue engineering. In this work, PEG cross-linked hydrogels, synthesized under various conditions, were used to grow lysozyme crystals by the counterdiffusion technique. Crystallization experiments were conducted using a three-layer arrangement. Results demonstrated that PEG fibers were incorporated within lysozyme crystals controlling the final crystal shape. PEG hydrogels also induced the nucleation of lysozyme crystals to a higher extent than agarose. PEG hydrogels can also be used at higher concentrations (20-50% w/w) as a separation chamber (plug) in counterdiffusion experiments. In this case, PEG hydrogels control the diffusion of the crystallization agent and therefore may be used to tailor the supersaturation to fine-tune crystal size. As an example, insulin crystals were grown in 10% (w/w) PEG hydrogel. The resulting crystals were of an approximate size of 500 μm. © 2014 American Chemical Society.","author":[{"dropping-particle":"","family":"Gavira","given":"Jose A.","non-dropping-particle":"","parse-names":false,"suffix":""},{"dropping-particle":"","family":"Cera-Manjarres","given":"Andry","non-dropping-particle":"","parse-names":false,"suffix":""},{"dropping-particle":"","family":"Ortiz","given":"Katia","non-dropping-particle":"","parse-names":false,"suffix":""},{"dropping-particle":"","family":"Mendez","given":"Janet","non-dropping-particle":"","parse-names":false,"suffix":""},{"dropping-particle":"","family":"Jimenez-Torres","given":"Jose A.","non-dropping-particle":"","parse-names":false,"suffix":""},{"dropping-particle":"","family":"Patiño-Lopez","given":"Luis D.","non-dropping-particle":"","parse-names":false,"suffix":""},{"dropping-particle":"","family":"Torres-Lugo","given":"Madeline","non-dropping-particle":"","parse-names":false,"suffix":""}],"chapter-number":"3239","container-title":"Crystal Growth &amp; Design","id":"ITEM-2","issue":"7","issued":{"date-parts":[["2014","7","2"]]},"page":"3239-3248","publisher":"American Chemical Society","title":"Use of Cross-Linked Poly(ethylene glycol)-Based Hydrogels for Protein Crystallization","type":"article-journal","volume":"14"},"uris":["http://www.mendeley.com/documents/?uuid=f8f3ef40-39d7-41ba-a855-fa6f631641f8"]},{"id":"ITEM-3","itemData":{"DOI":"10.1039/C5CE00850F","ISSN":"1466-8033","abstract":"Protein crystallization in hydrogels has been explored with the main purpose of facilitating the growth of high quality crystals while increasing their size to enhance their manipulation. New avenues are currently being built for the use of protein crystals as source materials to create sensors and drug delivery vehicles, to name just a few. In this sense, short-peptide supramolecular hydrogels may play a crucial role in integrating protein crystals within a wider range of applications. In this article, we show that protein crystallization in short-peptide supramolecular hydrogels is feasible and independent of the type of peptide that forms the hydrogel and/or the protein, although the output is not always the same. As a general trend, it is confirmed that hydrogel fibers are always incorporated within crystals so that novel composite materials for biotechnological applications with enhanced properties are produced.","author":[{"dropping-particle":"","family":"Conejero-Muriel","given":"Mayte","non-dropping-particle":"","parse-names":false,"suffix":""},{"dropping-particle":"","family":"Contreras-Montoya","given":"Rafael","non-dropping-particle":"","parse-names":false,"suffix":""},{"dropping-particle":"","family":"Díaz-Mochón","given":"Juan J.","non-dropping-particle":"","parse-names":false,"suffix":""},{"dropping-particle":"","family":"Álvarez de Cienfuegos","given":"Luis","non-dropping-particle":"","parse-names":false,"suffix":""},{"dropping-particle":"","family":"Gavira","given":"José A.","non-dropping-particle":"","parse-names":false,"suffix":""}],"container-title":"CrystEngComm","id":"ITEM-3","issue":"42","issued":{"date-parts":[["2015"]]},"page":"8072-8078","publisher":"Royal Society of Chemistry","title":"Protein crystallization in short-peptide supramolecular hydrogels: a versatile strategy towards biotechnological composite materials","type":"article-journal","volume":"17"},"uris":["http://www.mendeley.com/documents/?uuid=ad3248cc-6945-4c10-8cf3-447ebca6f144"]},{"id":"ITEM-4","itemData":{"DOI":"10.1039/c4cc09024a","ISSN":"1364548X","PMID":"25655841","abstract":"For the first time the influence of the chirality of the gel fibers in protein crystallogenesis has been studied. Enantiomeric hydrogels 1 and 2 were tested with model proteins lysozyme and glucose isomerase and a formamidase extracted from B. cereus. Crystallization behaviour and crystal quality of these proteins in both hydrogels are presented and compared.","author":[{"dropping-particle":"","family":"Conejero-Muriel","given":"Mayte","non-dropping-particle":"","parse-names":false,"suffix":""},{"dropping-particle":"","family":"Gavira","given":"José A.","non-dropping-particle":"","parse-names":false,"suffix":""},{"dropping-particle":"","family":"Pineda-Molina","given":"Estela","non-dropping-particle":"","parse-names":false,"suffix":""},{"dropping-particle":"","family":"Belsom","given":"Adam","non-dropping-particle":"","parse-names":false,"suffix":""},{"dropping-particle":"","family":"Bradley","given":"Mark","non-dropping-particle":"","parse-names":false,"suffix":""},{"dropping-particle":"","family":"Moral","given":"Mónica","non-dropping-particle":"","parse-names":false,"suffix":""},{"dropping-particle":"","family":"García López Durán","given":"Juan De Dios","non-dropping-particle":"","parse-names":false,"suffix":""},{"dropping-particle":"","family":"Luque González","given":"Angélica","non-dropping-particle":"","parse-names":false,"suffix":""},{"dropping-particle":"","family":"Díaz-Mochón","given":"Juan J.","non-dropping-particle":"","parse-names":false,"suffix":""},{"dropping-particle":"","family":"Contreras-Montoya","given":"Rafael","non-dropping-particle":"","parse-names":false,"suffix":""},{"dropping-particle":"","family":"Martínez-Peragón","given":"Ángela","non-dropping-particle":"","parse-names":false,"suffix":""},{"dropping-particle":"","family":"Cuerva","given":"Juan M.","non-dropping-particle":"","parse-names":false,"suffix":""},{"dropping-particle":"","family":"Álvarez de Cienfuegos","given":"Luis","non-dropping-particle":"","parse-names":false,"suffix":""}],"container-title":"Chemical Communications","id":"ITEM-4","issue":"18","issued":{"date-parts":[["2015"]]},"page":"3862-3865","title":"Influence of the chirality of short peptide supramolecular hydrogels in protein crystallogenesis","type":"article-journal","volume":"51"},"uris":["http://www.mendeley.com/documents/?uuid=32b80b74-a6cf-4e7e-b87b-dca015ed3b2b"]},{"id":"ITEM-5","itemData":{"DOI":"10.3390/cryst9050244","ISSN":"20734352","abstract":"Short-peptide supramolecular (SPS) hydrogels are a class of materials that have been found to be useful for (bio)technological applications thanks to their biocompatible nature. Among the advantages reported for these peptides, their economic affordability and easy functionalization or modulation have turned them into excellent candidates for the development of functional biomaterials. We have recently demonstrated that SPS hydrogels can be used to produce high-quality protein crystals, improve their properties, or incorporate relevant materials within the crystals. In this work, we prove that hydrogels based on methionine and tyrosine are also good candidates for growing high-quality crystals of the three model proteins: lysozyme, glucose isomerase, and thaumatin.","author":[{"dropping-particle":"","family":"Escolano-Casado","given":"Guillermo","non-dropping-particle":"","parse-names":false,"suffix":""},{"dropping-particle":"","family":"Contreras-Montoya","given":"Rafael","non-dropping-particle":"","parse-names":false,"suffix":""},{"dropping-particle":"","family":"Conejero-Muriel","given":"Mayte","non-dropping-particle":"","parse-names":false,"suffix":""},{"dropping-particle":"","family":"Castellví","given":"Albert","non-dropping-particle":"","parse-names":false,"suffix":""},{"dropping-particle":"","family":"Juanhuix","given":"Judith","non-dropping-particle":"","parse-names":false,"suffix":""},{"dropping-particle":"","family":"Lopez-Lopez","given":"Modesto T.","non-dropping-particle":"","parse-names":false,"suffix":""},{"dropping-particle":"","family":"Álvarez de Cienfuegos","given":"Luis","non-dropping-particle":"","parse-names":false,"suffix":""},{"dropping-particle":"","family":"Gavira","given":"José A.","non-dropping-particle":"","parse-names":false,"suffix":""}],"container-title":"Crystals","id":"ITEM-5","issue":"5","issued":{"date-parts":[["2019"]]},"page":"1-8","title":"Extending the pool of compatible peptide hydrogels for protein crystallization","type":"article-journal","volume":"9"},"uris":["http://www.mendeley.com/documents/?uuid=78d6ebf1-fd51-43e5-800f-ced09f9c80bc"]},{"id":"ITEM-6","itemData":{"DOI":"10.1021/acs.cgd.9b00131","ISSN":"15287505","abstract":"Lysozyme crystals grown in Fmoc-CF (Cys-Phe) hydrogels, unlike those grown in agarose, give rise to composite crystals that have an enhanced resistance against degradation caused by an intense exposure to X-ray irradiation. Fmoc-CF dipeptide shows a clear protection of the most sensitive groups (disulfide bonds and methionines) of the protein. The protection mediated by cysteine is exerted only in its gel state since cysteine in solution has an adverse effect. Probably, the reactive thiol groups of cysteine being locked within the rigid peptide fibers minimize cross-reactions with the proteins favoring the formation of protein crystals. Once located inside the protein crystal, the long peptide fibers are able to protect the protein against radiation damage. ©","author":[{"dropping-particle":"","family":"Contreras-Montoya","given":"Rafael","non-dropping-particle":"","parse-names":false,"suffix":""},{"dropping-particle":"","family":"Castellví","given":"Albert","non-dropping-particle":"","parse-names":false,"suffix":""},{"dropping-particle":"","family":"Escolano-Casado","given":"Guillermo","non-dropping-particle":"","parse-names":false,"suffix":""},{"dropping-particle":"","family":"Juanhuix","given":"Judith","non-dropping-particle":"","parse-names":false,"suffix":""},{"dropping-particle":"","family":"Conejero-Muriel","given":"Mayte","non-dropping-particle":"","parse-names":false,"suffix":""},{"dropping-particle":"","family":"Lopez-Lopez","given":"Modesto T","non-dropping-particle":"","parse-names":false,"suffix":""},{"dropping-particle":"","family":"Cuerva","given":"Juan M","non-dropping-particle":"","parse-names":false,"suffix":""},{"dropping-particle":"","family":"Álvarez de Cienfuegos","given":"Luis","non-dropping-particle":"","parse-names":false,"suffix":""},{"dropping-particle":"","family":"Gavira","given":"José A","non-dropping-particle":"","parse-names":false,"suffix":""}],"container-title":"Crystal Growth and Design","id":"ITEM-6","issue":"8","issued":{"date-parts":[["2019","8","7"]]},"page":"4229-4233","title":"Enhanced Stability against Radiation Damage of Lysozyme Crystals Grown in Fmoc-CF Hydrogels","type":"article-journal","volume":"19"},"uris":["http://www.mendeley.com/documents/?uuid=65e7bd44-8fff-44ee-8a63-0e7d8ea8e50b"]},{"id":"ITEM-7","itemData":{"DOI":"10.1021/acs.cgd.0c00736","ISSN":"15287505","abstract":"The nucleation inducing ability of agarose gels has been exploited to study the crystallization of proteins in diffusion-dominated environments. The crystal size was successfully tuned in a wide range of gel, protein, and precipitant concentrations. The impact of the gel content on crystal size was independent of the specific protein, allowing the mathematical prediction of crystal size and pointing out the exclusivity of physical interactions between the gel and the protein. The versatility of the technique and the fine-tuning of the nucleation flux was demonstrated by crystallizing five different proteins and implementing batch and counter-diffusion crystallization. In addition, the potential of agarose gel to be used not only as a growth but also as a delivery medium for serial crystallography applications has been proven by preparing unidimensional microcrystal slurries with 0.1% (w/v) gel.","author":[{"dropping-particle":"","family":"Artusio","given":"Fiora","non-dropping-particle":"","parse-names":false,"suffix":""},{"dropping-particle":"","family":"Castellví","given":"Albert","non-dropping-particle":"","parse-names":false,"suffix":""},{"dropping-particle":"","family":"Sacristán","given":"Anabel","non-dropping-particle":"","parse-names":false,"suffix":""},{"dropping-particle":"","family":"Pisano","given":"Roberto","non-dropping-particle":"","parse-names":false,"suffix":""},{"dropping-particle":"","family":"Gavira","given":"José A.","non-dropping-particle":"","parse-names":false,"suffix":""}],"container-title":"Crystal Growth and Design","id":"ITEM-7","issue":"8","issued":{"date-parts":[["2020"]]},"page":"5564-5571","title":"Agarose Gel as a Medium for Growing and Tailoring Protein Crystals","type":"article-journal","volume":"20"},"uris":["http://www.mendeley.com/documents/?uuid=350b6328-5e92-4331-be5f-414399a468e6"]}],"mendeley":{"formattedCitation":"&lt;sup&gt;16–22&lt;/sup&gt;","plainTextFormattedCitation":"16–22","previouslyFormattedCitation":"&lt;sup&gt;16–22&lt;/sup&gt;"},"properties":{"noteIndex":0},"schema":"https://github.com/citation-style-language/schema/raw/master/csl-citation.json"}</w:instrText>
      </w:r>
      <w:r w:rsidRPr="002C105B">
        <w:rPr>
          <w:rFonts w:eastAsia="Calibri"/>
        </w:rPr>
        <w:fldChar w:fldCharType="separate"/>
      </w:r>
      <w:r w:rsidR="00184DC2" w:rsidRPr="00184DC2">
        <w:rPr>
          <w:rFonts w:eastAsia="Calibri"/>
          <w:noProof/>
          <w:vertAlign w:val="superscript"/>
        </w:rPr>
        <w:t>16–22</w:t>
      </w:r>
      <w:r w:rsidRPr="002C105B">
        <w:rPr>
          <w:rFonts w:eastAsia="Calibri"/>
        </w:rPr>
        <w:fldChar w:fldCharType="end"/>
      </w:r>
      <w:r w:rsidRPr="002C105B">
        <w:rPr>
          <w:rFonts w:eastAsia="Calibri"/>
        </w:rPr>
        <w:t xml:space="preserve"> Herein, we show that the nature of the hydrogel is able to modify the </w:t>
      </w:r>
      <w:r w:rsidRPr="00D00EDB">
        <w:rPr>
          <w:rFonts w:eastAsia="Calibri"/>
          <w:i/>
        </w:rPr>
        <w:t>in vitro</w:t>
      </w:r>
      <w:r w:rsidRPr="002C105B">
        <w:rPr>
          <w:rFonts w:eastAsia="Calibri"/>
        </w:rPr>
        <w:t xml:space="preserve"> and </w:t>
      </w:r>
      <w:r w:rsidRPr="00FB045D">
        <w:rPr>
          <w:rFonts w:eastAsia="Calibri"/>
          <w:i/>
        </w:rPr>
        <w:t>in vivo</w:t>
      </w:r>
      <w:r w:rsidRPr="002C105B">
        <w:rPr>
          <w:rFonts w:eastAsia="Calibri"/>
        </w:rPr>
        <w:t xml:space="preserve"> release profile of insulin crystals and, at the same time, enhances the stability of the protein in its crystal form. In particular, short peptide supramolecular hydrogels</w:t>
      </w:r>
      <w:r w:rsidRPr="002C105B">
        <w:rPr>
          <w:rFonts w:eastAsia="Calibri"/>
        </w:rPr>
        <w:fldChar w:fldCharType="begin" w:fldLock="1"/>
      </w:r>
      <w:r w:rsidR="00184DC2">
        <w:rPr>
          <w:rFonts w:eastAsia="Calibri"/>
        </w:rPr>
        <w:instrText>ADDIN CSL_CITATION {"citationItems":[{"id":"ITEM-1","itemData":{"DOI":"10.1039/c5cs00889a","ISSN":"14604744","PMID":"27115033","abstract":"Amino acids and short peptides modified with the 9-fluorenylmethyloxycarbonyl (Fmoc) group possess eminent self-assembly features and show distinct potential for applications due to the inherent hydrophobicity and aromaticity of the Fmoc moiety which can promote the association of building blocks. Given the extensive study and numerous publications in this field, it is necessary to summarize the recent progress concerning these important bio-inspired building blocks. Therefore, in this review, we explore the self-organization of this class of functional molecules from three aspects, i.e., Fmoc-modified individual amino acids, Fmoc-modified di- and tripeptides, and Fmoc-modified tetra- and pentapeptides. The relevant properties and applications related to cell cultivation, bio-templating, optical, drug delivery, catalytic, therapeutic and antibiotic properties are subsequently summarized. Finally, some existing questions impeding the development of Fmoc-modified simple biomolecules are discussed, and corresponding strategies and outlooks are suggested.","author":[{"dropping-particle":"","family":"Tao","given":"Kai","non-dropping-particle":"","parse-names":false,"suffix":""},{"dropping-particle":"","family":"Levin","given":"Aviad","non-dropping-particle":"","parse-names":false,"suffix":""},{"dropping-particle":"","family":"Adler-Abramovich","given":"Lihi","non-dropping-particle":"","parse-names":false,"suffix":""},{"dropping-particle":"","family":"Gazit","given":"Ehud","non-dropping-particle":"","parse-names":false,"suffix":""}],"container-title":"Chemical Society Reviews","id":"ITEM-1","issue":"14","issued":{"date-parts":[["2016"]]},"page":"3935-3953","publisher":"Royal Society of Chemistry","title":"Fmoc-modified amino acids and short peptides: Simple bio-inspired building blocks for the fabrication of functional materials","type":"article-journal","volume":"45"},"uris":["http://www.mendeley.com/documents/?uuid=b0b807b7-68c4-41cb-951f-6322bb76dd39"]},{"id":"ITEM-2","itemData":{"DOI":"10.1039/c4cs00247d","ISSN":"14604744","PMID":"25199102","abstract":"Aromatic peptide amphiphiles are gaining popularity as building blocks for the bottom-up fabrication of nanomaterials, including gels. These materials combine the simplicity of small molecules with the versatility of peptides, with a range of applications proposed in biomedicine, nanotechnology, food science, cosmetics, etc. Despite their simplicity, a wide range of self-assembly behaviours have been described. Due to varying conditions and protocols used, care should be taken when attempting to directly compare results from the literature. In this review, we rationalise the structural features which govern the self-assembly of aromatic peptide amphiphiles by focusing on four segments, (i) the N-terminal aromatic component, (ii) linker segment, (iii) peptide sequence, and (iv) C-terminus. It is clear that the molecular structure of these components significantly influences the self-assembly process and resultant supramolecular architectures. A number of modes of assembly have been proposed, including parallel, antiparallel, and interlocked antiparallel stacking conformations. In addition, the co-assembly arrangements of aromatic peptide amphiphiles are reviewed. Overall, this review elucidates the structural trends and design rules that underpin the field of aromatic peptide amphiphile assembly, paving the way to a more rational design of nanomaterials based on aromatic peptide amphiphiles. This journal is","author":[{"dropping-particle":"","family":"Fleming","given":"Scott","non-dropping-particle":"","parse-names":false,"suffix":""},{"dropping-particle":"V.","family":"Ulijn","given":"Rein","non-dropping-particle":"","parse-names":false,"suffix":""}],"container-title":"Chemical Society Reviews","id":"ITEM-2","issue":"23","issued":{"date-parts":[["2014"]]},"page":"8150-8177","publisher":"Royal Society of Chemistry","title":"Design of nanostructures based on aromatic peptide amphiphiles","type":"article-journal","volume":"43"},"uris":["http://www.mendeley.com/documents/?uuid=d97954ac-5de5-42b7-a69d-faac27f10ed9"]}],"mendeley":{"formattedCitation":"&lt;sup&gt;23,24&lt;/sup&gt;","plainTextFormattedCitation":"23,24","previouslyFormattedCitation":"&lt;sup&gt;23,24&lt;/sup&gt;"},"properties":{"noteIndex":0},"schema":"https://github.com/citation-style-language/schema/raw/master/csl-citation.json"}</w:instrText>
      </w:r>
      <w:r w:rsidRPr="002C105B">
        <w:rPr>
          <w:rFonts w:eastAsia="Calibri"/>
        </w:rPr>
        <w:fldChar w:fldCharType="separate"/>
      </w:r>
      <w:r w:rsidR="00184DC2" w:rsidRPr="00184DC2">
        <w:rPr>
          <w:rFonts w:eastAsia="Calibri"/>
          <w:noProof/>
          <w:vertAlign w:val="superscript"/>
        </w:rPr>
        <w:t>23,24</w:t>
      </w:r>
      <w:r w:rsidRPr="002C105B">
        <w:rPr>
          <w:rFonts w:eastAsia="Calibri"/>
        </w:rPr>
        <w:fldChar w:fldCharType="end"/>
      </w:r>
      <w:r w:rsidRPr="002C105B">
        <w:rPr>
          <w:rFonts w:eastAsia="Calibri"/>
        </w:rPr>
        <w:t xml:space="preserve"> are able to stabilize insulin crystals in higher degree, slowing down its release, compared to agarose crystals and crystal control grown without hydrogel.</w:t>
      </w:r>
    </w:p>
    <w:p w14:paraId="0F296E8F" w14:textId="59215DB0" w:rsidR="002C105B" w:rsidRDefault="00263B1F" w:rsidP="002C105B">
      <w:pPr>
        <w:pStyle w:val="TAMainText"/>
        <w:jc w:val="center"/>
        <w:rPr>
          <w:rFonts w:eastAsia="Calibri"/>
        </w:rPr>
      </w:pPr>
      <w:r w:rsidRPr="00263B1F">
        <w:rPr>
          <w:rFonts w:eastAsia="Calibri"/>
          <w:noProof/>
          <w:lang w:val="es-ES" w:eastAsia="es-ES"/>
        </w:rPr>
        <w:drawing>
          <wp:inline distT="0" distB="0" distL="0" distR="0" wp14:anchorId="70140300" wp14:editId="4AC3FD94">
            <wp:extent cx="2743200" cy="4241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43200" cy="4241800"/>
                    </a:xfrm>
                    <a:prstGeom prst="rect">
                      <a:avLst/>
                    </a:prstGeom>
                  </pic:spPr>
                </pic:pic>
              </a:graphicData>
            </a:graphic>
          </wp:inline>
        </w:drawing>
      </w:r>
    </w:p>
    <w:p w14:paraId="55D139EE" w14:textId="4E38A16C" w:rsidR="002C105B" w:rsidRDefault="002C105B" w:rsidP="002C105B">
      <w:pPr>
        <w:pStyle w:val="VAFigureCaption"/>
        <w:rPr>
          <w:lang w:val="en-GB"/>
        </w:rPr>
      </w:pPr>
      <w:r w:rsidRPr="002C105B">
        <w:rPr>
          <w:b/>
          <w:lang w:val="en-GB"/>
        </w:rPr>
        <w:t>Figure 1</w:t>
      </w:r>
      <w:r w:rsidRPr="002C105B">
        <w:rPr>
          <w:lang w:val="en-GB"/>
        </w:rPr>
        <w:t xml:space="preserve">. Schematic chart of the preparation of composite insulin crystals formulation for </w:t>
      </w:r>
      <w:r w:rsidRPr="002C105B">
        <w:rPr>
          <w:i/>
          <w:iCs/>
          <w:lang w:val="en-GB"/>
        </w:rPr>
        <w:t>in vivo</w:t>
      </w:r>
      <w:r w:rsidRPr="002C105B">
        <w:rPr>
          <w:lang w:val="en-GB"/>
        </w:rPr>
        <w:t xml:space="preserve"> administration.</w:t>
      </w:r>
    </w:p>
    <w:p w14:paraId="4A607BF5" w14:textId="0E2A0D06" w:rsidR="002775B1" w:rsidRPr="002775B1" w:rsidRDefault="002775B1" w:rsidP="002775B1">
      <w:pPr>
        <w:pStyle w:val="TAMainText"/>
        <w:ind w:firstLine="0"/>
        <w:rPr>
          <w:b/>
          <w:bCs/>
          <w:lang w:val="en-GB"/>
        </w:rPr>
      </w:pPr>
      <w:r w:rsidRPr="002775B1">
        <w:rPr>
          <w:b/>
          <w:bCs/>
          <w:lang w:val="en-GB"/>
        </w:rPr>
        <w:t>Results and discussion</w:t>
      </w:r>
    </w:p>
    <w:p w14:paraId="72804F20" w14:textId="7B3FC146" w:rsidR="002775B1" w:rsidRPr="002775B1" w:rsidRDefault="002775B1" w:rsidP="002775B1">
      <w:pPr>
        <w:pStyle w:val="TAMainText"/>
        <w:rPr>
          <w:lang w:val="en-GB"/>
        </w:rPr>
      </w:pPr>
      <w:r w:rsidRPr="002775B1">
        <w:rPr>
          <w:lang w:val="en-GB"/>
        </w:rPr>
        <w:t xml:space="preserve">First, we developed a novel protocol to produce homogeneous batches of small crystals with a very narrow size distribution (4 µm ± 1 µm) inside injectable and biocompatible hydrogels that </w:t>
      </w:r>
      <w:r w:rsidRPr="002775B1">
        <w:rPr>
          <w:lang w:val="en-GB"/>
        </w:rPr>
        <w:lastRenderedPageBreak/>
        <w:t>allowed direct subcutaneous administration (Figure 1). To do so, the election of the hydrogel was crucial since the hydrogel is responsible for: 1) controlling the quality, size and homogeneous distribution of the crystals i.e. dissolution rates; 2) conferring improved stability to crystals against mechanical stress and temperature and 3) being a biocompatible and injectable matrix that can be easily reconstituted to allow homogeneous resuspension of the crystals for an adequate administration. Based on our previous studies we selected agarose, Fmoc-AA and Fmoc-FF (Fmoc-diphenylalanine) hydrogels since these are physical hydrogels that at lower concentrations are weak, can be taken by a syringe and, as we have previously shown, are compatible with protein crystallization.</w:t>
      </w:r>
      <w:r w:rsidRPr="002775B1">
        <w:rPr>
          <w:lang w:val="en-GB"/>
        </w:rPr>
        <w:fldChar w:fldCharType="begin" w:fldLock="1"/>
      </w:r>
      <w:r w:rsidR="00184DC2">
        <w:rPr>
          <w:lang w:val="en-GB"/>
        </w:rPr>
        <w:instrText>ADDIN CSL_CITATION {"citationItems":[{"id":"ITEM-1","itemData":{"DOI":"10.1039/C5CE00850F","ISSN":"1466-8033","abstract":"Protein crystallization in hydrogels has been explored with the main purpose of facilitating the growth of high quality crystals while increasing their size to enhance their manipulation. New avenues are currently being built for the use of protein crystals as source materials to create sensors and drug delivery vehicles, to name just a few. In this sense, short-peptide supramolecular hydrogels may play a crucial role in integrating protein crystals within a wider range of applications. In this article, we show that protein crystallization in short-peptide supramolecular hydrogels is feasible and independent of the type of peptide that forms the hydrogel and/or the protein, although the output is not always the same. As a general trend, it is confirmed that hydrogel fibers are always incorporated within crystals so that novel composite materials for biotechnological applications with enhanced properties are produced.","author":[{"dropping-particle":"","family":"Conejero-Muriel","given":"Mayte","non-dropping-particle":"","parse-names":false,"suffix":""},{"dropping-particle":"","family":"Contreras-Montoya","given":"Rafael","non-dropping-particle":"","parse-names":false,"suffix":""},{"dropping-particle":"","family":"Díaz-Mochón","given":"Juan J.","non-dropping-particle":"","parse-names":false,"suffix":""},{"dropping-particle":"","family":"Álvarez de Cienfuegos","given":"Luis","non-dropping-particle":"","parse-names":false,"suffix":""},{"dropping-particle":"","family":"Gavira","given":"José A.","non-dropping-particle":"","parse-names":false,"suffix":""}],"container-title":"CrystEngComm","id":"ITEM-1","issue":"42","issued":{"date-parts":[["2015"]]},"page":"8072-8078","publisher":"Royal Society of Chemistry","title":"Protein crystallization in short-peptide supramolecular hydrogels: a versatile strategy towards biotechnological composite materials","type":"article-journal","volume":"17"},"uris":["http://www.mendeley.com/documents/?uuid=ad3248cc-6945-4c10-8cf3-447ebca6f144"]},{"id":"ITEM-2","itemData":{"DOI":"10.3390/cryst9050244","ISSN":"20734352","abstract":"Short-peptide supramolecular (SPS) hydrogels are a class of materials that have been found to be useful for (bio)technological applications thanks to their biocompatible nature. Among the advantages reported for these peptides, their economic affordability and easy functionalization or modulation have turned them into excellent candidates for the development of functional biomaterials. We have recently demonstrated that SPS hydrogels can be used to produce high-quality protein crystals, improve their properties, or incorporate relevant materials within the crystals. In this work, we prove that hydrogels based on methionine and tyrosine are also good candidates for growing high-quality crystals of the three model proteins: lysozyme, glucose isomerase, and thaumatin.","author":[{"dropping-particle":"","family":"Escolano-Casado","given":"Guillermo","non-dropping-particle":"","parse-names":false,"suffix":""},{"dropping-particle":"","family":"Contreras-Montoya","given":"Rafael","non-dropping-particle":"","parse-names":false,"suffix":""},{"dropping-particle":"","family":"Conejero-Muriel","given":"Mayte","non-dropping-particle":"","parse-names":false,"suffix":""},{"dropping-particle":"","family":"Castellví","given":"Albert","non-dropping-particle":"","parse-names":false,"suffix":""},{"dropping-particle":"","family":"Juanhuix","given":"Judith","non-dropping-particle":"","parse-names":false,"suffix":""},{"dropping-particle":"","family":"Lopez-Lopez","given":"Modesto T.","non-dropping-particle":"","parse-names":false,"suffix":""},{"dropping-particle":"","family":"Álvarez de Cienfuegos","given":"Luis","non-dropping-particle":"","parse-names":false,"suffix":""},{"dropping-particle":"","family":"Gavira","given":"José A.","non-dropping-particle":"","parse-names":false,"suffix":""}],"container-title":"Crystals","id":"ITEM-2","issue":"5","issued":{"date-parts":[["2019"]]},"page":"1-8","title":"Extending the pool of compatible peptide hydrogels for protein crystallization","type":"article-journal","volume":"9"},"uris":["http://www.mendeley.com/documents/?uuid=78d6ebf1-fd51-43e5-800f-ced09f9c80bc"]}],"mendeley":{"formattedCitation":"&lt;sup&gt;18,20&lt;/sup&gt;","plainTextFormattedCitation":"18,20","previouslyFormattedCitation":"&lt;sup&gt;18,20&lt;/sup&gt;"},"properties":{"noteIndex":0},"schema":"https://github.com/citation-style-language/schema/raw/master/csl-citation.json"}</w:instrText>
      </w:r>
      <w:r w:rsidRPr="002775B1">
        <w:rPr>
          <w:lang w:val="en-GB"/>
        </w:rPr>
        <w:fldChar w:fldCharType="separate"/>
      </w:r>
      <w:r w:rsidR="00184DC2" w:rsidRPr="00184DC2">
        <w:rPr>
          <w:noProof/>
          <w:vertAlign w:val="superscript"/>
          <w:lang w:val="en-GB"/>
        </w:rPr>
        <w:t>18,20</w:t>
      </w:r>
      <w:r w:rsidRPr="002775B1">
        <w:rPr>
          <w:lang w:val="en-GB"/>
        </w:rPr>
        <w:fldChar w:fldCharType="end"/>
      </w:r>
      <w:r w:rsidRPr="002775B1">
        <w:rPr>
          <w:lang w:val="en-GB"/>
        </w:rPr>
        <w:t xml:space="preserve"> </w:t>
      </w:r>
    </w:p>
    <w:p w14:paraId="3F6878C2" w14:textId="64FB1F82" w:rsidR="002775B1" w:rsidRPr="002775B1" w:rsidRDefault="002775B1" w:rsidP="002775B1">
      <w:pPr>
        <w:pStyle w:val="TAMainText"/>
        <w:rPr>
          <w:lang w:val="en-GB"/>
        </w:rPr>
      </w:pPr>
      <w:r w:rsidRPr="002775B1">
        <w:rPr>
          <w:lang w:val="en-GB"/>
        </w:rPr>
        <w:t>We started by studying the compatibility of insulin with the formation of the gel as a function of the gel concentration. When Fmoc-FF was mixed with insulin, it precipitated at all concentrations tested suggesting that a strong interaction between the peptide fiber and the protein was happening. When we carried out the same experiments with Fmoc-AA, we could avoid precipitation at lower peptide concentration of 0.2% w/v, affording very weak hydrogels in which protein in the solution formed the expected crystals. Agarose has been more widely studied to produce protein crystals, including insulin,</w:t>
      </w:r>
      <w:r w:rsidRPr="002775B1">
        <w:rPr>
          <w:lang w:val="en-GB"/>
        </w:rPr>
        <w:fldChar w:fldCharType="begin" w:fldLock="1"/>
      </w:r>
      <w:r w:rsidR="00184DC2">
        <w:rPr>
          <w:lang w:val="en-GB"/>
        </w:rPr>
        <w:instrText>ADDIN CSL_CITATION {"citationItems":[{"id":"ITEM-1","itemData":{"DOI":"10.1021/acs.cgd.0c00736","ISSN":"15287505","abstract":"The nucleation inducing ability of agarose gels has been exploited to study the crystallization of proteins in diffusion-dominated environments. The crystal size was successfully tuned in a wide range of gel, protein, and precipitant concentrations. The impact of the gel content on crystal size was independent of the specific protein, allowing the mathematical prediction of crystal size and pointing out the exclusivity of physical interactions between the gel and the protein. The versatility of the technique and the fine-tuning of the nucleation flux was demonstrated by crystallizing five different proteins and implementing batch and counter-diffusion crystallization. In addition, the potential of agarose gel to be used not only as a growth but also as a delivery medium for serial crystallography applications has been proven by preparing unidimensional microcrystal slurries with 0.1% (w/v) gel.","author":[{"dropping-particle":"","family":"Artusio","given":"Fiora","non-dropping-particle":"","parse-names":false,"suffix":""},{"dropping-particle":"","family":"Castellví","given":"Albert","non-dropping-particle":"","parse-names":false,"suffix":""},{"dropping-particle":"","family":"Sacristán","given":"Anabel","non-dropping-particle":"","parse-names":false,"suffix":""},{"dropping-particle":"","family":"Pisano","given":"Roberto","non-dropping-particle":"","parse-names":false,"suffix":""},{"dropping-particle":"","family":"Gavira","given":"José A.","non-dropping-particle":"","parse-names":false,"suffix":""}],"container-title":"Crystal Growth and Design","id":"ITEM-1","issue":"8","issued":{"date-parts":[["2020"]]},"page":"5564-5571","title":"Agarose Gel as a Medium for Growing and Tailoring Protein Crystals","type":"article-journal","volume":"20"},"uris":["http://www.mendeley.com/documents/?uuid=350b6328-5e92-4331-be5f-414399a468e6"]}],"mendeley":{"formattedCitation":"&lt;sup&gt;22&lt;/sup&gt;","plainTextFormattedCitation":"22","previouslyFormattedCitation":"&lt;sup&gt;22&lt;/sup&gt;"},"properties":{"noteIndex":0},"schema":"https://github.com/citation-style-language/schema/raw/master/csl-citation.json"}</w:instrText>
      </w:r>
      <w:r w:rsidRPr="002775B1">
        <w:rPr>
          <w:lang w:val="en-GB"/>
        </w:rPr>
        <w:fldChar w:fldCharType="separate"/>
      </w:r>
      <w:r w:rsidR="00184DC2" w:rsidRPr="00184DC2">
        <w:rPr>
          <w:noProof/>
          <w:vertAlign w:val="superscript"/>
          <w:lang w:val="en-GB"/>
        </w:rPr>
        <w:t>22</w:t>
      </w:r>
      <w:r w:rsidRPr="002775B1">
        <w:rPr>
          <w:lang w:val="en-GB"/>
        </w:rPr>
        <w:fldChar w:fldCharType="end"/>
      </w:r>
      <w:r w:rsidRPr="002775B1">
        <w:rPr>
          <w:lang w:val="en-GB"/>
        </w:rPr>
        <w:t xml:space="preserve"> and therefore we selected a low agarose concentration (0.05% w/v) to avoid any further influence on the crystallization process. Fmoc-AA hydrogels demonstrated a strong shear thinning behaviour, which could be attributed to rupture of the chain-like network by the shear forces causing reduction in viscosity, confirming the gel nature of the media (Figure 2A). The low values of viscosity (for reference the viscosity of water at 25 °C is 10</w:t>
      </w:r>
      <w:r w:rsidRPr="002775B1">
        <w:rPr>
          <w:vertAlign w:val="superscript"/>
          <w:lang w:val="en-GB"/>
        </w:rPr>
        <w:t>-3</w:t>
      </w:r>
      <w:r w:rsidRPr="002775B1">
        <w:rPr>
          <w:lang w:val="en-GB"/>
        </w:rPr>
        <w:t xml:space="preserve"> </w:t>
      </w:r>
      <w:proofErr w:type="spellStart"/>
      <w:r w:rsidRPr="002775B1">
        <w:rPr>
          <w:lang w:val="en-GB"/>
        </w:rPr>
        <w:t>Pa·s</w:t>
      </w:r>
      <w:proofErr w:type="spellEnd"/>
      <w:r w:rsidRPr="002775B1">
        <w:rPr>
          <w:lang w:val="en-GB"/>
        </w:rPr>
        <w:t xml:space="preserve">) showed the weakness of the gel at this particular concentration, which was already observed by visual and manual exploration. To further confirm the gel-like character we obtained the viscoelastic moduli of the sample as a function of strain amplitude for a fixed frequency of oscillation of 1 Hz (Figure </w:t>
      </w:r>
      <w:r w:rsidRPr="002775B1">
        <w:rPr>
          <w:lang w:val="en-GB"/>
        </w:rPr>
        <w:lastRenderedPageBreak/>
        <w:t xml:space="preserve">2B). As observed, the sample showed a typical behaviour of a weak gel, characterized by values of the viscoelastic moduli approximately independent of the strain amplitude at low values of the latter (linear viscoelastic region), with the storage modulus, G’, higher than the loss modulus, G’’, by less than one order of magnitude. At higher values of the strain amplitude, both G’ and G’’ decreased rapidly (nonlinear viscoelastic region), and eventually G’’ overcame G’ indicating the onset of the fluid-like behaviour due to the breakage of the internal structure of the gel by the shear forces. </w:t>
      </w:r>
    </w:p>
    <w:p w14:paraId="25ED8751" w14:textId="35377632" w:rsidR="002775B1" w:rsidRPr="002775B1" w:rsidRDefault="002775B1" w:rsidP="002775B1">
      <w:pPr>
        <w:pStyle w:val="TAMainText"/>
        <w:rPr>
          <w:lang w:val="en-GB"/>
        </w:rPr>
      </w:pPr>
      <w:r w:rsidRPr="002775B1">
        <w:rPr>
          <w:lang w:val="en-GB"/>
        </w:rPr>
        <w:t>Circular dichroism (CD) showed two distinctive negative bands at 230 nm and 282 nm corresponding to n−</w:t>
      </w:r>
      <w:r w:rsidRPr="002775B1">
        <w:rPr>
          <w:rFonts w:ascii="Symbol" w:hAnsi="Symbol"/>
          <w:lang w:val="en-GB"/>
        </w:rPr>
        <w:t></w:t>
      </w:r>
      <w:r w:rsidRPr="002775B1">
        <w:rPr>
          <w:lang w:val="en-GB"/>
        </w:rPr>
        <w:t xml:space="preserve">* and </w:t>
      </w:r>
      <w:r w:rsidRPr="002775B1">
        <w:rPr>
          <w:rFonts w:ascii="Symbol" w:hAnsi="Symbol"/>
          <w:lang w:val="en-GB"/>
        </w:rPr>
        <w:t></w:t>
      </w:r>
      <w:r w:rsidRPr="002775B1">
        <w:rPr>
          <w:lang w:val="en-GB"/>
        </w:rPr>
        <w:t>−</w:t>
      </w:r>
      <w:r w:rsidRPr="002775B1">
        <w:rPr>
          <w:rFonts w:ascii="Symbol" w:hAnsi="Symbol"/>
          <w:lang w:val="en-GB"/>
        </w:rPr>
        <w:t></w:t>
      </w:r>
      <w:r w:rsidRPr="002775B1">
        <w:rPr>
          <w:lang w:val="en-GB"/>
        </w:rPr>
        <w:t xml:space="preserve">* transitions of the Fmoc group, in agreement with previous results reported for other Fmoc-derivatives (Figure 2C). Although it is reported that these peptides preferentiality arrange in </w:t>
      </w:r>
      <w:r w:rsidRPr="002775B1">
        <w:rPr>
          <w:rFonts w:ascii="Symbol" w:hAnsi="Symbol"/>
          <w:lang w:val="en-GB"/>
        </w:rPr>
        <w:t></w:t>
      </w:r>
      <w:r w:rsidRPr="002775B1">
        <w:rPr>
          <w:lang w:val="en-GB"/>
        </w:rPr>
        <w:t>-sheets, Ren and co-workers have shown that this particular peptide adopts mainly a polyproline II conformation.</w:t>
      </w:r>
      <w:r w:rsidRPr="002775B1">
        <w:rPr>
          <w:lang w:val="en-GB"/>
        </w:rPr>
        <w:fldChar w:fldCharType="begin" w:fldLock="1"/>
      </w:r>
      <w:r w:rsidR="00184DC2">
        <w:rPr>
          <w:lang w:val="en-GB"/>
        </w:rPr>
        <w:instrText>ADDIN CSL_CITATION {"citationItems":[{"id":"ITEM-1","itemData":{"DOI":"10.1021/bm301007r","ISSN":"15257797","abstract":"We have investigated the self-assembly of fluorenylmethoxycarbonyl- conjugated dialanine (Fmoc-AA) molecules using combined computational and experimental approaches. Fmoc-AA gels were characterized using transmission electron microscopy (TEM), circular dichroism (CD), Fourier transform infrared (FTIR), and wide-angle X-ray scattering (WAXS). Computationally, we simulated the assembly of Fmoc-AA using molecular dynamics techniques. All simulations converged to a condensed fibril structure in which the Fmoc groups stack mostly within in the center of the fibril. However, the Fmoc groups are partially exposed to water, creating an amphiphilic surface, which may be responsible for the aggregation of fibrils into nanoscale fibers observed in TEM. From the fibril models, radial distribution calculations agree with d-spacings observed in WAXS for the fibril diameter and π-stacking interactions. Our analyses show that dialanine, despite its short length, adopts a mainly extended polyproline II conformation. In contrast to previous hypotheses, these results indicate that β-sheet-like hydrogen bonding is not prevalent. Rather, stacking of Fmoc groups, inter-residue hydrogen bonding, and hydrogen bonding with water play the important roles in stabilizing the fibril structure of supramolecular assemblies of short conjugated peptides. © 2012 American Chemical Society.","author":[{"dropping-particle":"","family":"Mu","given":"Xiaojia","non-dropping-particle":"","parse-names":false,"suffix":""},{"dropping-particle":"","family":"Eckes","given":"Kevin M.","non-dropping-particle":"","parse-names":false,"suffix":""},{"dropping-particle":"","family":"Nguyen","given":"Mary M.","non-dropping-particle":"","parse-names":false,"suffix":""},{"dropping-particle":"","family":"Suggs","given":"Laura J.","non-dropping-particle":"","parse-names":false,"suffix":""},{"dropping-particle":"","family":"Ren","given":"Pengyu","non-dropping-particle":"","parse-names":false,"suffix":""}],"container-title":"Biomacromolecules","id":"ITEM-1","issue":"11","issued":{"date-parts":[["2012"]]},"page":"3562-3571","title":"Experimental and computational studies reveal an alternative supramolecular structure for Fmoc-dipeptide self-assembly","type":"article-journal","volume":"13"},"uris":["http://www.mendeley.com/documents/?uuid=1bdf069c-5c1e-4ba0-bf26-e0957cad275d"]}],"mendeley":{"formattedCitation":"&lt;sup&gt;25&lt;/sup&gt;","plainTextFormattedCitation":"25","previouslyFormattedCitation":"&lt;sup&gt;25&lt;/sup&gt;"},"properties":{"noteIndex":0},"schema":"https://github.com/citation-style-language/schema/raw/master/csl-citation.json"}</w:instrText>
      </w:r>
      <w:r w:rsidRPr="002775B1">
        <w:rPr>
          <w:lang w:val="en-GB"/>
        </w:rPr>
        <w:fldChar w:fldCharType="separate"/>
      </w:r>
      <w:r w:rsidR="00184DC2" w:rsidRPr="00184DC2">
        <w:rPr>
          <w:noProof/>
          <w:vertAlign w:val="superscript"/>
          <w:lang w:val="en-GB"/>
        </w:rPr>
        <w:t>25</w:t>
      </w:r>
      <w:r w:rsidRPr="002775B1">
        <w:rPr>
          <w:lang w:val="en-GB"/>
        </w:rPr>
        <w:fldChar w:fldCharType="end"/>
      </w:r>
      <w:r w:rsidRPr="002775B1">
        <w:rPr>
          <w:lang w:val="en-GB"/>
        </w:rPr>
        <w:t xml:space="preserve"> These aggregates were directly observed by transmission electron microscopy (TEM) showing small fibers of approximately 20 and 500 nm of width and length, respectively (Figure 2E), a morphology frequently observed in this type of aggregates.</w:t>
      </w:r>
      <w:r w:rsidRPr="002775B1">
        <w:rPr>
          <w:lang w:val="en-GB"/>
        </w:rPr>
        <w:fldChar w:fldCharType="begin" w:fldLock="1"/>
      </w:r>
      <w:r w:rsidR="00184DC2">
        <w:rPr>
          <w:lang w:val="en-GB"/>
        </w:rPr>
        <w:instrText>ADDIN CSL_CITATION {"citationItems":[{"id":"ITEM-1","itemData":{"DOI":"10.1002/adma.200701221","ISSN":"09359648","author":[{"dropping-particle":"","family":"Smith","given":"Andrew M.","non-dropping-particle":"","parse-names":false,"suffix":""},{"dropping-particle":"","family":"Williams","given":"Richard J.","non-dropping-particle":"","parse-names":false,"suffix":""},{"dropping-particle":"","family":"Tang","given":"Claire","non-dropping-particle":"","parse-names":false,"suffix":""},{"dropping-particle":"","family":"Coppo","given":"Paolo","non-dropping-particle":"","parse-names":false,"suffix":""},{"dropping-particle":"","family":"Collins","given":"Richard F.","non-dropping-particle":"","parse-names":false,"suffix":""},{"dropping-particle":"","family":"Turner","given":"Michael L.","non-dropping-particle":"","parse-names":false,"suffix":""},{"dropping-particle":"","family":"Saiani","given":"Alberto","non-dropping-particle":"","parse-names":false,"suffix":""},{"dropping-particle":"V.","family":"Ulijn","given":"Rein","non-dropping-particle":"","parse-names":false,"suffix":""}],"container-title":"Advanced Materials","id":"ITEM-1","issue":"1","issued":{"date-parts":[["2008","1","7"]]},"page":"37-41","publisher":"John Wiley &amp; Sons, Ltd","title":"Fmoc-diphenylalanine self assembles to a hydrogel via a novel architecture based on π-π interlocked β-sheets","type":"article-journal","volume":"20"},"uris":["http://www.mendeley.com/documents/?uuid=f8d7da02-669f-384b-90be-fd35bb101465"]}],"mendeley":{"formattedCitation":"&lt;sup&gt;26&lt;/sup&gt;","plainTextFormattedCitation":"26","previouslyFormattedCitation":"&lt;sup&gt;26&lt;/sup&gt;"},"properties":{"noteIndex":0},"schema":"https://github.com/citation-style-language/schema/raw/master/csl-citation.json"}</w:instrText>
      </w:r>
      <w:r w:rsidRPr="002775B1">
        <w:rPr>
          <w:lang w:val="en-GB"/>
        </w:rPr>
        <w:fldChar w:fldCharType="separate"/>
      </w:r>
      <w:r w:rsidR="00184DC2" w:rsidRPr="00184DC2">
        <w:rPr>
          <w:noProof/>
          <w:vertAlign w:val="superscript"/>
          <w:lang w:val="en-GB"/>
        </w:rPr>
        <w:t>26</w:t>
      </w:r>
      <w:r w:rsidRPr="002775B1">
        <w:rPr>
          <w:lang w:val="en-GB"/>
        </w:rPr>
        <w:fldChar w:fldCharType="end"/>
      </w:r>
      <w:r w:rsidRPr="002775B1">
        <w:rPr>
          <w:lang w:val="en-GB"/>
        </w:rPr>
        <w:t xml:space="preserve"> The length of these aggregates was significantly shortened with respect to other examples at higher concentrations, which justifies the weakness of these gels.</w:t>
      </w:r>
      <w:r w:rsidRPr="002775B1">
        <w:rPr>
          <w:lang w:val="en-GB"/>
        </w:rPr>
        <w:fldChar w:fldCharType="begin" w:fldLock="1"/>
      </w:r>
      <w:r w:rsidR="00184DC2">
        <w:rPr>
          <w:lang w:val="en-GB"/>
        </w:rPr>
        <w:instrText xml:space="preserve">ADDIN CSL_CITATION {"citationItems":[{"id":"ITEM-1","itemData":{"DOI":"10.1039/c7qm00573c","ISSN":"20521537","abstract":"Novel iron nanoparticles-based supramolecular hydrogels are described. These materials present enhanced mechanical strength keeping a water-like diffusion behaviour. Here, we report the synthesis and structural characterization of novel iron nanoparticles (FeNPs)-based short-peptide supramolecular hydrogels. These hybrid hydrogels composed of Fmoc-diphenylalanine (Fmoc-FF) peptide and FeNPs were prepared through the self-assembly of Fmoc-FF in a suspension containing FeNPs in the presence or absence of an external magnetic field. Optical images of these hydrogels revealed the formation of column-like aggregates of FeNPs when the gels were formed in the presence of a magnetic field. Moreover, the intricate structure derived from the interwoven nature of the fiber peptides with these FeNP column-like aggregates resulted in anisotropic materials, more rigid under shear forces applied perpendicularly to the direction of the aggregates, presenting under these conditions values of G </w:instrText>
      </w:r>
      <w:r w:rsidR="00184DC2">
        <w:rPr>
          <w:rFonts w:ascii="Times New Roman" w:hAnsi="Times New Roman"/>
          <w:lang w:val="en-GB"/>
        </w:rPr>
        <w:instrText>′</w:instrText>
      </w:r>
      <w:r w:rsidR="00184DC2">
        <w:rPr>
          <w:lang w:val="en-GB"/>
        </w:rPr>
        <w:instrText xml:space="preserve"> (storage modulus) about 7 times those of the native hydrogel. To the best of our knowledge, this is the first example in which the mechanical properties of peptide hydrogels were strongly enhanced due to the presence of FeNPs. A theoretical model trying to explain this phenomenon is presented. Quite interesting CD, FTIR and synchrotron X-ray diffraction analyses indicated that the anti-parallel β-sheet arrangement of Fmoc-FF peptide was highly conserved in the hydrogels containing FeNPs. Moreover, FLCS measurements showed that the diffusion of a small solute through the hydrogel network was improved in hydrogels containing FeNPs, probably caused by the formation of preferential channels for diffusion. Taken together, our results provide a new method for the synthesis of novel hybrid Fmoc-FF–FeNPs anisotropic hydrogels with enhanced mechanical strength and water-like diffusion behavior, thus easing their application in drug delivery and tissue engineering.","author":[{"dropping-particle":"","family":"Contreras-Montoya","given":"Rafael","non-dropping-particle":"","parse-names":false,"suffix":""},{"dropping-particle":"","family":"Bonhome-Espinosa","given":"Ana B.","non-dropping-particle":"","parse-names":false,"suffix":""},{"dropping-particle":"","family":"Orte","given":"Angel","non-dropping-particle":"","parse-names":false,"suffix":""},{"dropping-particle":"","family":"Miguel","given":"Delia","non-dropping-particle":"","parse-names":false,"suffix":""},{"dropping-particle":"","family":"Delgado-López","given":"Jose M.","non-dropping-particle":"","parse-names":false,"suffix":""},{"dropping-particle":"","family":"Duran","given":"Juan D.G.","non-dropping-particle":"","parse-names":false,"suffix":""},{"dropping-particle":"","family":"Cuerva","given":"Juan M.","non-dropping-particle":"","parse-names":false,"suffix":""},{"dropping-particle":"","family":"Lopez-Lopez","given":"Modesto T.","non-dropping-particle":"","parse-names":false,"suffix":""},{"dropping-particle":"","family":"Álvarez de Cienfuegos","given":"Luis","non-dropping-particle":"","parse-names":false,"suffix":""}],"container-title":"Materials Chemistry Frontiers","id":"ITEM-1","issue":"4","issued":{"date-parts":[["2018"]]},"page":"686-699","publisher":"Royal Society of Chemistry","title":"Iron nanoparticles-based supramolecular hydrogels to originate anisotropic hybrid materials with enhanced mechanical strength","type":"article-journal","volume":"2"},"uris":["http://www.mendeley.com/documents/?uuid=9f26bb8a-beaa-4c3a-94ff-f7d8c07bc7e3"]}],"mendeley":{"formattedCitation":"&lt;sup&gt;27&lt;/sup&gt;","plainTextFormattedCitation":"27","previouslyFormattedCitation":"&lt;sup&gt;27&lt;/sup&gt;"},"properties":{"noteIndex":0},"schema":"https://github.com/citation-style-language/schema/raw/master/csl-citation.json"}</w:instrText>
      </w:r>
      <w:r w:rsidRPr="002775B1">
        <w:rPr>
          <w:lang w:val="en-GB"/>
        </w:rPr>
        <w:fldChar w:fldCharType="separate"/>
      </w:r>
      <w:r w:rsidR="00184DC2" w:rsidRPr="00184DC2">
        <w:rPr>
          <w:noProof/>
          <w:vertAlign w:val="superscript"/>
          <w:lang w:val="en-GB"/>
        </w:rPr>
        <w:t>27</w:t>
      </w:r>
      <w:r w:rsidRPr="002775B1">
        <w:rPr>
          <w:lang w:val="en-GB"/>
        </w:rPr>
        <w:fldChar w:fldCharType="end"/>
      </w:r>
      <w:r w:rsidRPr="002775B1">
        <w:rPr>
          <w:lang w:val="en-GB"/>
        </w:rPr>
        <w:t xml:space="preserve"> On the other hand, agarose hydrogels showed values of viscosity about one order of magnitude smaller than Fmoc-AA hydrogels (Figure 2A), evidencing their extremely weak nature. Nevertheless, a slight shear thinning behaviour was still observed for these hydrogels, which may be interpreted as an indication of their gel nature. This gel-like character was further confirmed by the curves of G’ and G’’ as a function of shear strain amplitude, which demonstrated similar trends to these of Fmoc-AA hydrogels, although with much lower (about three orders of magnitude) values of the </w:t>
      </w:r>
      <w:r w:rsidRPr="002775B1">
        <w:rPr>
          <w:lang w:val="en-GB"/>
        </w:rPr>
        <w:lastRenderedPageBreak/>
        <w:t>viscoelastic moduli (Figure 2B). TEM images of agarose hydrogels showed the presence of dense meshes of fiber aggregates of higher aspect ratio than those formed by Fmoc-AA (Figure 2F).</w:t>
      </w:r>
    </w:p>
    <w:p w14:paraId="6D7E8757" w14:textId="1124C0F2" w:rsidR="003971BC" w:rsidRDefault="003971BC" w:rsidP="002775B1">
      <w:pPr>
        <w:pStyle w:val="VAFigureCaption"/>
        <w:rPr>
          <w:b/>
          <w:lang w:val="en-GB"/>
        </w:rPr>
      </w:pPr>
      <w:r>
        <w:rPr>
          <w:noProof/>
          <w:lang w:val="es-ES" w:eastAsia="es-ES"/>
        </w:rPr>
        <w:drawing>
          <wp:anchor distT="0" distB="0" distL="114300" distR="114300" simplePos="0" relativeHeight="251658240" behindDoc="0" locked="0" layoutInCell="1" allowOverlap="1" wp14:anchorId="7567E1B1" wp14:editId="41BA77AA">
            <wp:simplePos x="0" y="0"/>
            <wp:positionH relativeFrom="column">
              <wp:posOffset>11430</wp:posOffset>
            </wp:positionH>
            <wp:positionV relativeFrom="paragraph">
              <wp:posOffset>0</wp:posOffset>
            </wp:positionV>
            <wp:extent cx="5976000" cy="3610899"/>
            <wp:effectExtent l="0" t="0" r="5715" b="889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6000" cy="3610899"/>
                    </a:xfrm>
                    <a:prstGeom prst="rect">
                      <a:avLst/>
                    </a:prstGeom>
                    <a:noFill/>
                  </pic:spPr>
                </pic:pic>
              </a:graphicData>
            </a:graphic>
            <wp14:sizeRelH relativeFrom="margin">
              <wp14:pctWidth>0</wp14:pctWidth>
            </wp14:sizeRelH>
            <wp14:sizeRelV relativeFrom="margin">
              <wp14:pctHeight>0</wp14:pctHeight>
            </wp14:sizeRelV>
          </wp:anchor>
        </w:drawing>
      </w:r>
    </w:p>
    <w:p w14:paraId="070273EB" w14:textId="06B909DC" w:rsidR="002775B1" w:rsidRPr="002775B1" w:rsidRDefault="002775B1" w:rsidP="002775B1">
      <w:pPr>
        <w:pStyle w:val="VAFigureCaption"/>
        <w:rPr>
          <w:lang w:val="en-GB"/>
        </w:rPr>
      </w:pPr>
      <w:r w:rsidRPr="002775B1">
        <w:rPr>
          <w:b/>
          <w:lang w:val="en-GB"/>
        </w:rPr>
        <w:t>Figure 2</w:t>
      </w:r>
      <w:r w:rsidRPr="002775B1">
        <w:rPr>
          <w:lang w:val="en-GB"/>
        </w:rPr>
        <w:t xml:space="preserve">. Viscosity (A) and viscoelastic moduli (B) values of the hydrogels (agarose: blue &amp; </w:t>
      </w:r>
      <w:r w:rsidRPr="003255D3">
        <w:rPr>
          <w:lang w:val="en-GB"/>
        </w:rPr>
        <w:t xml:space="preserve">Fmoc-AA: red). (C) CD spectra of Fmoc-AA. (D) Schematic representation of Fmoc-AA </w:t>
      </w:r>
      <w:r w:rsidR="003971BC" w:rsidRPr="003255D3">
        <w:rPr>
          <w:lang w:val="en-GB"/>
        </w:rPr>
        <w:t xml:space="preserve">and agarose </w:t>
      </w:r>
      <w:r w:rsidRPr="003255D3">
        <w:rPr>
          <w:lang w:val="en-GB"/>
        </w:rPr>
        <w:t>molecule</w:t>
      </w:r>
      <w:r w:rsidR="003971BC" w:rsidRPr="003255D3">
        <w:rPr>
          <w:lang w:val="en-GB"/>
        </w:rPr>
        <w:t>s</w:t>
      </w:r>
      <w:r w:rsidRPr="003255D3">
        <w:rPr>
          <w:lang w:val="en-GB"/>
        </w:rPr>
        <w:t xml:space="preserve">. (E) TEM image of Fmoc-AA and (F) agarose </w:t>
      </w:r>
      <w:r w:rsidR="003971BC" w:rsidRPr="003255D3">
        <w:rPr>
          <w:lang w:val="en-GB"/>
        </w:rPr>
        <w:t>dried gels.</w:t>
      </w:r>
      <w:r w:rsidR="003971BC">
        <w:rPr>
          <w:lang w:val="en-GB"/>
        </w:rPr>
        <w:t xml:space="preserve"> </w:t>
      </w:r>
    </w:p>
    <w:p w14:paraId="325E3677" w14:textId="058EE1B6" w:rsidR="002775B1" w:rsidRDefault="002775B1" w:rsidP="002775B1">
      <w:pPr>
        <w:pStyle w:val="TAMainText"/>
        <w:rPr>
          <w:lang w:val="en-GB"/>
        </w:rPr>
      </w:pPr>
      <w:r w:rsidRPr="00270938">
        <w:t xml:space="preserve">Crystallization of insulin in agarose and Fmoc-AA hydrogels, under optimized conditions, </w:t>
      </w:r>
      <w:r>
        <w:t>produced</w:t>
      </w:r>
      <w:r w:rsidRPr="00270938">
        <w:t xml:space="preserve"> homogeneous batches of small crystals (4 µm ± 1 µm) of very narrow size distribution </w:t>
      </w:r>
      <w:r w:rsidRPr="008E4001">
        <w:t>(Figure 3A-C).</w:t>
      </w:r>
      <w:r>
        <w:t xml:space="preserve"> </w:t>
      </w:r>
      <w:r w:rsidRPr="00443F24">
        <w:t>For comparison</w:t>
      </w:r>
      <w:r>
        <w:t>,</w:t>
      </w:r>
      <w:r w:rsidRPr="00443F24">
        <w:t xml:space="preserve"> crystals grown without hydrogels (crystal control) were also </w:t>
      </w:r>
      <w:r w:rsidRPr="008E4001">
        <w:t>obtained (Figure S1</w:t>
      </w:r>
      <w:r w:rsidR="00ED35E1">
        <w:t>, Supporting Information</w:t>
      </w:r>
      <w:r w:rsidRPr="008E4001">
        <w:t>).</w:t>
      </w:r>
      <w:r w:rsidRPr="00443F24">
        <w:t xml:space="preserve"> The</w:t>
      </w:r>
      <w:r w:rsidRPr="00270938">
        <w:t xml:space="preserve"> size of the crystals was measured manually from SEM images using only crystals with well-defined </w:t>
      </w:r>
      <w:r w:rsidRPr="00D06720">
        <w:t xml:space="preserve">edges (Figure 3D, E, and Figure S1 </w:t>
      </w:r>
      <w:r w:rsidR="00ED35E1">
        <w:t>Supporting Information</w:t>
      </w:r>
      <w:r w:rsidRPr="00D06720">
        <w:t>).</w:t>
      </w:r>
      <w:r>
        <w:t xml:space="preserve"> </w:t>
      </w:r>
      <w:r w:rsidRPr="00270938">
        <w:t xml:space="preserve">As shown in </w:t>
      </w:r>
      <w:r w:rsidRPr="00D06720">
        <w:t>Figure 3A, B</w:t>
      </w:r>
      <w:r w:rsidRPr="00270938">
        <w:t xml:space="preserve"> crystals presented a rhombohedral geometry </w:t>
      </w:r>
      <w:r w:rsidRPr="00270938">
        <w:lastRenderedPageBreak/>
        <w:t>corresponding to the expected and well described R3 space group containing two Zn atoms and six insulin molecules in the asymmetric unit, as early described by Hodgkin and co-workers in 1969.</w:t>
      </w:r>
      <w:r>
        <w:fldChar w:fldCharType="begin" w:fldLock="1"/>
      </w:r>
      <w:r w:rsidR="00184DC2">
        <w:instrText>ADDIN CSL_CITATION {"citationItems":[{"id":"ITEM-1","itemData":{"DOI":"10.1038/224491a0","ISSN":"0028-0836","author":[{"dropping-particle":"","family":"Adams","given":"M. J.","non-dropping-particle":"","parse-names":false,"suffix":""},{"dropping-particle":"","family":"Blundell","given":"T. L.","non-dropping-particle":"","parse-names":false,"suffix":""},{"dropping-particle":"","family":"Dodson","given":"E. J.","non-dropping-particle":"","parse-names":false,"suffix":""},{"dropping-particle":"","family":"Dodson","given":"G. G.","non-dropping-particle":"","parse-names":false,"suffix":""},{"dropping-particle":"","family":"Vijayan","given":"M.","non-dropping-particle":"","parse-names":false,"suffix":""},{"dropping-particle":"","family":"Baker","given":"E. N.","non-dropping-particle":"","parse-names":false,"suffix":""},{"dropping-particle":"","family":"Harding","given":"M. M.","non-dropping-particle":"","parse-names":false,"suffix":""},{"dropping-particle":"","family":"Hodgkin","given":"D. C.","non-dropping-particle":"","parse-names":false,"suffix":""},{"dropping-particle":"","family":"Rimmer","given":"B.","non-dropping-particle":"","parse-names":false,"suffix":""},{"dropping-particle":"","family":"Sheat","given":"S.","non-dropping-particle":"","parse-names":false,"suffix":""}],"container-title":"Nature","id":"ITEM-1","issue":"5218","issued":{"date-parts":[["1969","11"]]},"page":"491-495","title":"Structure of Rhombohedral 2 Zinc Insulin Crystals","type":"article-journal","volume":"224"},"uris":["http://www.mendeley.com/documents/?uuid=087b97b4-c3bd-415d-9461-1a9ec94b94f7"]}],"mendeley":{"formattedCitation":"&lt;sup&gt;28&lt;/sup&gt;","plainTextFormattedCitation":"28","previouslyFormattedCitation":"&lt;sup&gt;28&lt;/sup&gt;"},"properties":{"noteIndex":0},"schema":"https://github.com/citation-style-language/schema/raw/master/csl-citation.json"}</w:instrText>
      </w:r>
      <w:r>
        <w:fldChar w:fldCharType="separate"/>
      </w:r>
      <w:r w:rsidR="00184DC2" w:rsidRPr="00184DC2">
        <w:rPr>
          <w:noProof/>
          <w:vertAlign w:val="superscript"/>
        </w:rPr>
        <w:t>28</w:t>
      </w:r>
      <w:r>
        <w:fldChar w:fldCharType="end"/>
      </w:r>
      <w:r>
        <w:t xml:space="preserve"> </w:t>
      </w:r>
      <w:r w:rsidRPr="00270938">
        <w:t>This polymorph, preferred for insulin</w:t>
      </w:r>
      <w:r>
        <w:t xml:space="preserve"> </w:t>
      </w:r>
      <w:r w:rsidRPr="00270938">
        <w:t>hexamers, was expected since the crystallization was induced in the presence of Zn</w:t>
      </w:r>
      <w:r w:rsidRPr="00001D07">
        <w:rPr>
          <w:vertAlign w:val="superscript"/>
        </w:rPr>
        <w:t>2+</w:t>
      </w:r>
      <w:r w:rsidRPr="00270938">
        <w:t>.</w:t>
      </w:r>
      <w:r w:rsidRPr="00B960D0">
        <w:rPr>
          <w:vertAlign w:val="superscript"/>
        </w:rPr>
        <w:fldChar w:fldCharType="begin" w:fldLock="1"/>
      </w:r>
      <w:r w:rsidR="00184DC2">
        <w:rPr>
          <w:vertAlign w:val="superscript"/>
        </w:rPr>
        <w:instrText>ADDIN CSL_CITATION {"citationItems":[{"id":"ITEM-1","itemData":{"DOI":"10.1016/j.jcrysgro.2013.04.010","ISSN":"00220248","abstract":"Abstract Guidelines for growing insulin crystals of a uniform size are formulated and tested experimentally. A simple theoretical model based on the balance of matter predicts the time evolution of the crystal size and supersaturation. The time dependence of the size is checked experimentally. The experimental approach decouples crystal nucleation and growth processes according to the classical nucleation-growth-separation principle. The desired nucleation course was predetermined by carefully selecting the most suitable crystal nucleation parameters. Crystalline substance dispersity is predetermined during the nucleation stage of a batch crystallization process. To avert nutrition competition during the crystal growth stage, the number density of nucleated crystals is preset to be optimal. © 2013 Elsevier B.V.","author":[{"dropping-particle":"","family":"Nanev","given":"Christo N.","non-dropping-particle":"","parse-names":false,"suffix":""},{"dropping-particle":"","family":"Tonchev","given":"Vesselin D.","non-dropping-particle":"","parse-names":false,"suffix":""},{"dropping-particle":"V.","family":"Hodzhaoglu","given":"Feyzim","non-dropping-particle":"","parse-names":false,"suffix":""}],"container-title":"Journal of Crystal Growth","id":"ITEM-1","issued":{"date-parts":[["2013"]]},"page":"10-15","publisher":"Elsevier","title":"Protocol for growing insulin crystals of uniform size","type":"article-journal","volume":"375"},"uris":["http://www.mendeley.com/documents/?uuid=9952dc10-069b-482b-b127-efbcb71e27b0"]},{"id":"ITEM-2","itemData":{"abstract":"Crystallization of hexameric zinc-containing insulin in its rhombohedral space group is accomplished by step titration of an acidic insulin solution containing an excess amount of Zn 2+ ions either in the presence of acetone or not. During the preparation of the mixture, precipitation was observed when crossing a critical pH value. This precipitate dissolves and produces a clear solution after the addition of acetone. We investigated the influence of the pH on the crystallization of both porcine and recombinant human insulin by means of a systematic study of the pH evolution. Taking into account the volume fractions and concentrations of all components, by varying the ratio between the initial acid solution (0.02M HCl pH 1.55) and the citrate buffer (0.1M pH 6.98) we modulated the rate at which the critical pH was reached. This characterization allows us to precisely tune the conditions for obtaining small crystals in batch crystallization droplets in the presence or absence of acetone.","author":[{"dropping-particle":"V","family":"Hodzhaoglu","given":"F","non-dropping-particle":"","parse-names":false,"suffix":""},{"dropping-particle":"","family":"Conejero-Muriel","given":"M","non-dropping-particle":"","parse-names":false,"suffix":""},{"dropping-particle":"","family":"Dimitrov","given":"I L","non-dropping-particle":"","parse-names":false,"suffix":""},{"dropping-particle":"","family":"Gavira","given":"J A","non-dropping-particle":"","parse-names":false,"suffix":""}],"container-title":"Bulgarian Chemical Comunications","id":"ITEM-2","issued":{"date-parts":[["2016"]]},"page":"29-37","title":"Optimization of the classical method for nucleation and growth of rhombohedral insulin crystals by pH titration and screening","type":"article-journal","volume":"48"},"uris":["http://www.mendeley.com/documents/?uuid=3a4233c0-0095-4902-b167-ba4d33da5a88"]}],"mendeley":{"formattedCitation":"&lt;sup&gt;29,30&lt;/sup&gt;","plainTextFormattedCitation":"29,30","previouslyFormattedCitation":"&lt;sup&gt;29,30&lt;/sup&gt;"},"properties":{"noteIndex":0},"schema":"https://github.com/citation-style-language/schema/raw/master/csl-citation.json"}</w:instrText>
      </w:r>
      <w:r w:rsidRPr="00B960D0">
        <w:rPr>
          <w:vertAlign w:val="superscript"/>
        </w:rPr>
        <w:fldChar w:fldCharType="separate"/>
      </w:r>
      <w:r w:rsidR="00184DC2" w:rsidRPr="00184DC2">
        <w:rPr>
          <w:noProof/>
          <w:vertAlign w:val="superscript"/>
        </w:rPr>
        <w:t>29,30</w:t>
      </w:r>
      <w:r w:rsidRPr="00B960D0">
        <w:rPr>
          <w:vertAlign w:val="superscript"/>
        </w:rPr>
        <w:fldChar w:fldCharType="end"/>
      </w:r>
      <w:r w:rsidRPr="00270938">
        <w:t xml:space="preserve"> </w:t>
      </w:r>
      <w:r>
        <w:t xml:space="preserve">The practical absence of </w:t>
      </w:r>
      <w:r w:rsidRPr="00270938">
        <w:t xml:space="preserve">morphological differences between crystals </w:t>
      </w:r>
      <w:r>
        <w:t xml:space="preserve">grown in hydrogels and crystal control </w:t>
      </w:r>
      <w:r w:rsidRPr="00270938">
        <w:t>showed that, in this case, the hydrogel media were not influencing the polymorph selection. The quality of the crystals was evaluated at molecular level by X-ray synchrotron radiation. In spite of their small sizes, the quality of the crystals was very high being diffracted at a resolution hi</w:t>
      </w:r>
      <w:r>
        <w:t>gher than 1.2 Å</w:t>
      </w:r>
      <w:r w:rsidRPr="00270938">
        <w:t>. X-ray diffraction confirmed the presence of hexameric insulin units arranged in a rhombohedral crystal polymorph</w:t>
      </w:r>
      <w:r>
        <w:t>.</w:t>
      </w:r>
      <w:r w:rsidRPr="00270938">
        <w:t xml:space="preserve"> </w:t>
      </w:r>
      <w:r>
        <w:t>Gel</w:t>
      </w:r>
      <w:r w:rsidRPr="00270938">
        <w:t xml:space="preserve"> fibers inside crystals </w:t>
      </w:r>
      <w:r>
        <w:t xml:space="preserve">do not have a crystalline pattern and therefore cannot be detected by X-ray </w:t>
      </w:r>
      <w:r w:rsidRPr="00B27CEE">
        <w:t>diffraction neither contributes significantly to X-ray background scattering.</w:t>
      </w:r>
    </w:p>
    <w:p w14:paraId="678F7700" w14:textId="1E09CDBA" w:rsidR="002775B1" w:rsidRDefault="009B0A45" w:rsidP="002775B1">
      <w:pPr>
        <w:jc w:val="center"/>
        <w:rPr>
          <w:lang w:val="en-GB"/>
        </w:rPr>
      </w:pPr>
      <w:r w:rsidRPr="009B0A45">
        <w:rPr>
          <w:noProof/>
          <w:lang w:val="es-ES" w:eastAsia="es-ES"/>
        </w:rPr>
        <w:drawing>
          <wp:inline distT="0" distB="0" distL="0" distR="0" wp14:anchorId="79261AF4" wp14:editId="526CB917">
            <wp:extent cx="5592726" cy="381548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93905" cy="3816286"/>
                    </a:xfrm>
                    <a:prstGeom prst="rect">
                      <a:avLst/>
                    </a:prstGeom>
                  </pic:spPr>
                </pic:pic>
              </a:graphicData>
            </a:graphic>
          </wp:inline>
        </w:drawing>
      </w:r>
    </w:p>
    <w:p w14:paraId="29EEA70F" w14:textId="77777777" w:rsidR="002775B1" w:rsidRPr="002775B1" w:rsidRDefault="002775B1" w:rsidP="002775B1">
      <w:pPr>
        <w:pStyle w:val="VAFigureCaption"/>
      </w:pPr>
      <w:r w:rsidRPr="002775B1">
        <w:rPr>
          <w:b/>
          <w:bCs/>
        </w:rPr>
        <w:lastRenderedPageBreak/>
        <w:t>Figure 3</w:t>
      </w:r>
      <w:r w:rsidRPr="002775B1">
        <w:t>. Optical microscopy images of insulin composite crystals grown in Fmoc-AA (A) and agarose (B) hydrogels. Plot of Fmoc-AA crystals size distribution (C). SEM images of Fmoc-AA crystals at 50 µm (D) and 4 µm (E) magnification.</w:t>
      </w:r>
    </w:p>
    <w:p w14:paraId="41238037" w14:textId="2E8609F6" w:rsidR="009B0A45" w:rsidRDefault="009B0A45" w:rsidP="009B0A45">
      <w:pPr>
        <w:pStyle w:val="TAMainText"/>
      </w:pPr>
      <w:r w:rsidRPr="00270938">
        <w:t xml:space="preserve">Having already obtained small insulin composite crystals of high </w:t>
      </w:r>
      <w:r w:rsidRPr="00B27CEE">
        <w:t xml:space="preserve">quality i.e. low density of crystals defects, and very narrow size distribution, we evaluated their physicochemical properties in order to study the influence of the hydrogel nature. </w:t>
      </w:r>
      <w:r>
        <w:t>T</w:t>
      </w:r>
      <w:r w:rsidRPr="00270938">
        <w:t>he dissolution rate of both insulin composite crystals</w:t>
      </w:r>
      <w:r>
        <w:t xml:space="preserve"> was measured and compared </w:t>
      </w:r>
      <w:r w:rsidRPr="00EF08DA">
        <w:t>to crystal control, near</w:t>
      </w:r>
      <w:r w:rsidRPr="00270938">
        <w:t xml:space="preserve"> physiological conditions, that is, 38 °C and pH 7.0 (</w:t>
      </w:r>
      <w:r w:rsidRPr="00857056">
        <w:t>Figure 4A</w:t>
      </w:r>
      <w:r>
        <w:t xml:space="preserve">). </w:t>
      </w:r>
      <w:r w:rsidRPr="00270938">
        <w:t>To evaluate the dissolution rates of the isolate</w:t>
      </w:r>
      <w:r>
        <w:t>d</w:t>
      </w:r>
      <w:r w:rsidRPr="00270938">
        <w:t xml:space="preserve"> composite crystals, crystals were collected and cleaned from the hydrogel media. As we can observe from </w:t>
      </w:r>
      <w:r w:rsidRPr="00857056">
        <w:t>Figure 4A,</w:t>
      </w:r>
      <w:r w:rsidRPr="00270938">
        <w:t xml:space="preserve"> dissolution rates at shorter times, i.e. below 10 minutes, were similar for all type of crystals, however, after that initial phase the dissolution </w:t>
      </w:r>
      <w:r w:rsidR="00772B25" w:rsidRPr="00270938">
        <w:t>behavior</w:t>
      </w:r>
      <w:r w:rsidRPr="00270938">
        <w:t xml:space="preserve"> followed different paths. Thus, </w:t>
      </w:r>
      <w:r>
        <w:t xml:space="preserve">control and </w:t>
      </w:r>
      <w:r w:rsidRPr="00270938">
        <w:t>agarose crystals showed an increased dissolution</w:t>
      </w:r>
      <w:r>
        <w:t xml:space="preserve"> rate, levelling off at </w:t>
      </w:r>
      <w:r w:rsidRPr="00270938">
        <w:t>30 min, with a typical concave</w:t>
      </w:r>
      <w:r>
        <w:t xml:space="preserve"> </w:t>
      </w:r>
      <w:r w:rsidRPr="00270938">
        <w:t xml:space="preserve">curve of an inhomogeneous and accelerated dissolution rate (burst effect). In contrast, Fmoc-AA crystals presented a slower dissolution rate, </w:t>
      </w:r>
      <w:r>
        <w:t>levelling off</w:t>
      </w:r>
      <w:r w:rsidRPr="00270938">
        <w:t xml:space="preserve"> at 120 min. In this case, the slope of the curve was less pronounced, showing a more linear increase of insulin concentration versus time. These results showed that the nature of the hydrogel inside of the protein crystals modulates the dissolution rate. Insulin composite crystals obtained in Fmoc-AA hydrogels gave rise to crystals that had a slower dissolution rate.</w:t>
      </w:r>
      <w:r>
        <w:t xml:space="preserve"> </w:t>
      </w:r>
      <w:r w:rsidRPr="00270938">
        <w:t>The reason why Fmoc-AA peptide fibers produce crystals of slower dissolution rate than agarose c</w:t>
      </w:r>
      <w:r>
        <w:t>ould</w:t>
      </w:r>
      <w:r w:rsidRPr="00270938">
        <w:t xml:space="preserve"> be explained due to formation of stronger non-covalent interactions between the peptide fibers and the protein within the crystal. Fmoc-peptides, unlike agarose, can interact with proteins not only by the formation of hydrogen bonds but also by </w:t>
      </w:r>
      <w:r>
        <w:rPr>
          <w:rFonts w:ascii="Symbol" w:hAnsi="Symbol"/>
        </w:rPr>
        <w:t></w:t>
      </w:r>
      <w:r>
        <w:t>-</w:t>
      </w:r>
      <w:r>
        <w:rPr>
          <w:rFonts w:ascii="Symbol" w:hAnsi="Symbol"/>
        </w:rPr>
        <w:t></w:t>
      </w:r>
      <w:r>
        <w:t xml:space="preserve"> </w:t>
      </w:r>
      <w:r w:rsidRPr="00270938">
        <w:t>interactions through the aromatic groups.</w:t>
      </w:r>
      <w:r w:rsidRPr="00C71F5E">
        <w:rPr>
          <w:vertAlign w:val="superscript"/>
        </w:rPr>
        <w:fldChar w:fldCharType="begin" w:fldLock="1"/>
      </w:r>
      <w:r w:rsidR="00184DC2">
        <w:rPr>
          <w:vertAlign w:val="superscript"/>
        </w:rPr>
        <w:instrText>ADDIN CSL_CITATION {"citationItems":[{"id":"ITEM-1","itemData":{"DOI":"10.1021/bm301007r","ISSN":"15257797","abstract":"We have investigated the self-assembly of fluorenylmethoxycarbonyl- conjugated dialanine (Fmoc-AA) molecules using combined computational and experimental approaches. Fmoc-AA gels were characterized using transmission electron microscopy (TEM), circular dichroism (CD), Fourier transform infrared (FTIR), and wide-angle X-ray scattering (WAXS). Computationally, we simulated the assembly of Fmoc-AA using molecular dynamics techniques. All simulations converged to a condensed fibril structure in which the Fmoc groups stack mostly within in the center of the fibril. However, the Fmoc groups are partially exposed to water, creating an amphiphilic surface, which may be responsible for the aggregation of fibrils into nanoscale fibers observed in TEM. From the fibril models, radial distribution calculations agree with d-spacings observed in WAXS for the fibril diameter and π-stacking interactions. Our analyses show that dialanine, despite its short length, adopts a mainly extended polyproline II conformation. In contrast to previous hypotheses, these results indicate that β-sheet-like hydrogen bonding is not prevalent. Rather, stacking of Fmoc groups, inter-residue hydrogen bonding, and hydrogen bonding with water play the important roles in stabilizing the fibril structure of supramolecular assemblies of short conjugated peptides. © 2012 American Chemical Society.","author":[{"dropping-particle":"","family":"Mu","given":"Xiaojia","non-dropping-particle":"","parse-names":false,"suffix":""},{"dropping-particle":"","family":"Eckes","given":"Kevin M.","non-dropping-particle":"","parse-names":false,"suffix":""},{"dropping-particle":"","family":"Nguyen","given":"Mary M.","non-dropping-particle":"","parse-names":false,"suffix":""},{"dropping-particle":"","family":"Suggs","given":"Laura J.","non-dropping-particle":"","parse-names":false,"suffix":""},{"dropping-particle":"","family":"Ren","given":"Pengyu","non-dropping-particle":"","parse-names":false,"suffix":""}],"container-title":"Biomacromolecules","id":"ITEM-1","issue":"11","issued":{"date-parts":[["2012"]]},"page":"3562-3571","title":"Experimental and computational studies reveal an alternative supramolecular structure for Fmoc-dipeptide self-assembly","type":"article-journal","volume":"13"},"uris":["http://www.mendeley.com/documents/?uuid=1bdf069c-5c1e-4ba0-bf26-e0957cad275d"]}],"mendeley":{"formattedCitation":"&lt;sup&gt;25&lt;/sup&gt;","plainTextFormattedCitation":"25","previouslyFormattedCitation":"&lt;sup&gt;25&lt;/sup&gt;"},"properties":{"noteIndex":0},"schema":"https://github.com/citation-style-language/schema/raw/master/csl-citation.json"}</w:instrText>
      </w:r>
      <w:r w:rsidRPr="00C71F5E">
        <w:rPr>
          <w:vertAlign w:val="superscript"/>
        </w:rPr>
        <w:fldChar w:fldCharType="separate"/>
      </w:r>
      <w:r w:rsidR="00184DC2" w:rsidRPr="00184DC2">
        <w:rPr>
          <w:noProof/>
          <w:vertAlign w:val="superscript"/>
        </w:rPr>
        <w:t>25</w:t>
      </w:r>
      <w:r w:rsidRPr="00C71F5E">
        <w:rPr>
          <w:vertAlign w:val="superscript"/>
        </w:rPr>
        <w:fldChar w:fldCharType="end"/>
      </w:r>
      <w:r w:rsidRPr="00270938">
        <w:t xml:space="preserve"> We have recently shown that Fmoc-FF is able to efficiently interact and solvate carbon nanotubes and lysozyme crystals proving </w:t>
      </w:r>
      <w:r w:rsidRPr="00270938">
        <w:lastRenderedPageBreak/>
        <w:t>its capacity to form strong aromatic interactions.</w:t>
      </w:r>
      <w:r w:rsidRPr="00C71F5E">
        <w:rPr>
          <w:vertAlign w:val="superscript"/>
        </w:rPr>
        <w:fldChar w:fldCharType="begin" w:fldLock="1"/>
      </w:r>
      <w:r w:rsidR="00184DC2">
        <w:rPr>
          <w:vertAlign w:val="superscript"/>
        </w:rPr>
        <w:instrText>ADDIN CSL_CITATION {"citationItems":[{"id":"ITEM-1","itemData":{"DOI":"10.1002/adfm.201807351","ISSN":"16163028","author":[{"dropping-particle":"","family":"Contreras-Montoya","given":"Rafael","non-dropping-particle":"","parse-names":false,"suffix":""},{"dropping-particle":"","family":"Escolano","given":"Guillermo","non-dropping-particle":"","parse-names":false,"suffix":""},{"dropping-particle":"","family":"Roy","given":"Subhasish","non-dropping-particle":"","parse-names":false,"suffix":""},{"dropping-particle":"","family":"Lopez-Lopez","given":"Modesto T.","non-dropping-particle":"","parse-names":false,"suffix":""},{"dropping-particle":"","family":"Delgado-López","given":"Jose M.","non-dropping-particle":"","parse-names":false,"suffix":""},{"dropping-particle":"","family":"Cuerva","given":"Juan M.","non-dropping-particle":"","parse-names":false,"suffix":""},{"dropping-particle":"","family":"Díaz-Mochón","given":"Juan J.","non-dropping-particle":"","parse-names":false,"suffix":""},{"dropping-particle":"","family":"Ashkenasy","given":"Nurit","non-dropping-particle":"","parse-names":false,"suffix":""},{"dropping-particle":"","family":"Gavira","given":"José A.","non-dropping-particle":"","parse-names":false,"suffix":""},{"dropping-particle":"","family":"Álvarez de Cienfuegos","given":"Luis","non-dropping-particle":"","parse-names":false,"suffix":""}],"container-title":"Advanced Functional Materials","id":"ITEM-1","issue":"5","issued":{"date-parts":[["2019"]]},"page":"1-10","title":"Catalytic and Electron Conducting Carbon Nanotube–Reinforced Lysozyme Crystals","type":"article-journal","volume":"29"},"uris":["http://www.mendeley.com/documents/?uuid=5dfd6dc7-8804-452b-a8c2-f9efddf34e01"]}],"mendeley":{"formattedCitation":"&lt;sup&gt;31&lt;/sup&gt;","plainTextFormattedCitation":"31","previouslyFormattedCitation":"&lt;sup&gt;31&lt;/sup&gt;"},"properties":{"noteIndex":0},"schema":"https://github.com/citation-style-language/schema/raw/master/csl-citation.json"}</w:instrText>
      </w:r>
      <w:r w:rsidRPr="00C71F5E">
        <w:rPr>
          <w:vertAlign w:val="superscript"/>
        </w:rPr>
        <w:fldChar w:fldCharType="separate"/>
      </w:r>
      <w:r w:rsidR="00184DC2" w:rsidRPr="00184DC2">
        <w:rPr>
          <w:noProof/>
          <w:vertAlign w:val="superscript"/>
        </w:rPr>
        <w:t>31</w:t>
      </w:r>
      <w:r w:rsidRPr="00C71F5E">
        <w:rPr>
          <w:vertAlign w:val="superscript"/>
        </w:rPr>
        <w:fldChar w:fldCharType="end"/>
      </w:r>
      <w:r w:rsidRPr="00270938">
        <w:t xml:space="preserve"> It has also been reported that similar short peptide fibers are able to interact with proteins in different degrees.</w:t>
      </w:r>
      <w:r w:rsidRPr="00C71F5E">
        <w:rPr>
          <w:vertAlign w:val="superscript"/>
        </w:rPr>
        <w:fldChar w:fldCharType="begin" w:fldLock="1"/>
      </w:r>
      <w:r w:rsidR="00184DC2">
        <w:rPr>
          <w:vertAlign w:val="superscript"/>
        </w:rPr>
        <w:instrText>ADDIN CSL_CITATION {"citationItems":[{"id":"ITEM-1","itemData":{"DOI":"10.1039/c2cc33631f","ISSN":"1359-7345","author":[{"dropping-particle":"","family":"Gao","given":"Yuan","non-dropping-particle":"","parse-names":false,"suffix":""},{"dropping-particle":"","family":"Long","given":"Marcus J. C.","non-dropping-particle":"","parse-names":false,"suffix":""},{"dropping-particle":"","family":"Shi","given":"Junfeng","non-dropping-particle":"","parse-names":false,"suffix":""},{"dropping-particle":"","family":"Hedstrom","given":"Lizbeth","non-dropping-particle":"","parse-names":false,"suffix":""},{"dropping-particle":"","family":"Xu","given":"Bing","non-dropping-particle":"","parse-names":false,"suffix":""}],"container-title":"Chemical Communications","id":"ITEM-1","issue":"67","issued":{"date-parts":[["2012"]]},"page":"8404","title":"Using supramolecular hydrogels to discover the interactions between proteins and molecular nanofibers of small molecules","type":"article-journal","volume":"48"},"uris":["http://www.mendeley.com/documents/?uuid=c3adab07-bf6f-4e45-8da0-6093fe989d4a"]},{"id":"ITEM-2","itemData":{"DOI":"10.1021/bm401319c","ISSN":"15257797","PMID":"24256076","abstract":"Molecular self-assembly provides a versatile route for the production of nanoscale materials for medical and technological applications. Herein, we demonstrate that the cooperative self-assembly of amphiphilic small molecules and proteins can have drastic effects on supramolecular nanostructuring of resulting materials. We report that mesoscale, fractal-like clusters of proteins form at concentrations that are orders of magnitude lower compared to those usually associated with molecular crowding at room temperature. These protein clusters have pronounced effects on the molecular self-assembly of aromatic peptide amphiphiles (fluorenylmethoxycarbonyl- dipeptides), resulting in a reversal of chiral organization and enhanced order through templating and binding. Moreover, the morphological and mechanical properties of the resultant nanostructured gels can be controlled by the cooperative self-assembly of peptides and protein fractal clusters, having implications for biomedical applications where proteins and peptides are both present. In addition, fundamental insights into cooperative interplay of molecular interactions and confinement by clusters of chiral macromolecules is relevant to gaining understanding of the molecular mechanisms of relevance to the origin of life and development of synthetic mimics of living systems. © 2013 American Chemical Society.","author":[{"dropping-particle":"","family":"Javid","given":"Nadeem","non-dropping-particle":"","parse-names":false,"suffix":""},{"dropping-particle":"","family":"Roy","given":"Sangita","non-dropping-particle":"","parse-names":false,"suffix":""},{"dropping-particle":"","family":"Zelzer","given":"Mischa","non-dropping-particle":"","parse-names":false,"suffix":""},{"dropping-particle":"","family":"Yang","given":"Zhimou","non-dropping-particle":"","parse-names":false,"suffix":""},{"dropping-particle":"","family":"Sefcik","given":"Jan","non-dropping-particle":"","parse-names":false,"suffix":""},{"dropping-particle":"V.","family":"Ulijn","given":"Rein","non-dropping-particle":"","parse-names":false,"suffix":""}],"container-title":"Biomacromolecules","id":"ITEM-2","issue":"12","issued":{"date-parts":[["2013"]]},"page":"4368-4376","title":"Cooperative self-assembly of peptide gelators and proteins","type":"article-journal","volume":"14"},"uris":["http://www.mendeley.com/documents/?uuid=deb976c9-c66c-4355-a294-c9fa83e7a6ed"]}],"mendeley":{"formattedCitation":"&lt;sup&gt;32,33&lt;/sup&gt;","plainTextFormattedCitation":"32,33","previouslyFormattedCitation":"&lt;sup&gt;32,33&lt;/sup&gt;"},"properties":{"noteIndex":0},"schema":"https://github.com/citation-style-language/schema/raw/master/csl-citation.json"}</w:instrText>
      </w:r>
      <w:r w:rsidRPr="00C71F5E">
        <w:rPr>
          <w:vertAlign w:val="superscript"/>
        </w:rPr>
        <w:fldChar w:fldCharType="separate"/>
      </w:r>
      <w:r w:rsidR="00184DC2" w:rsidRPr="00184DC2">
        <w:rPr>
          <w:noProof/>
          <w:vertAlign w:val="superscript"/>
        </w:rPr>
        <w:t>32,33</w:t>
      </w:r>
      <w:r w:rsidRPr="00C71F5E">
        <w:rPr>
          <w:vertAlign w:val="superscript"/>
        </w:rPr>
        <w:fldChar w:fldCharType="end"/>
      </w:r>
      <w:r w:rsidRPr="00270938">
        <w:t xml:space="preserve"> As previously commented, the particular conformation of polyproline II adopted by Fmoc-AA in water makes the fibers more amphiphilic, displaying in their surfaces carboxylic and Fmoc- groups and, therefore, promoting interactions with the protein through both, hydrogen bonds and</w:t>
      </w:r>
      <w:r>
        <w:t xml:space="preserve"> </w:t>
      </w:r>
      <w:r>
        <w:rPr>
          <w:rFonts w:ascii="Symbol" w:hAnsi="Symbol"/>
        </w:rPr>
        <w:t></w:t>
      </w:r>
      <w:r>
        <w:rPr>
          <w:rFonts w:ascii="Symbol" w:hAnsi="Symbol"/>
        </w:rPr>
        <w:t></w:t>
      </w:r>
      <w:r>
        <w:rPr>
          <w:rFonts w:ascii="Symbol" w:hAnsi="Symbol"/>
        </w:rPr>
        <w:t></w:t>
      </w:r>
      <w:r>
        <w:t xml:space="preserve"> </w:t>
      </w:r>
      <w:r w:rsidRPr="00270938">
        <w:t xml:space="preserve">interactions. To further investigate </w:t>
      </w:r>
      <w:r>
        <w:t xml:space="preserve">if </w:t>
      </w:r>
      <w:r w:rsidRPr="00270938">
        <w:t>this interaction was happening in solution; DSC and fluorescence measure</w:t>
      </w:r>
      <w:r>
        <w:t xml:space="preserve">ments were performed with </w:t>
      </w:r>
      <w:r w:rsidRPr="00270938">
        <w:t xml:space="preserve">insulin </w:t>
      </w:r>
      <w:r>
        <w:t xml:space="preserve">incubated </w:t>
      </w:r>
      <w:r w:rsidRPr="00270938">
        <w:t>in solution w</w:t>
      </w:r>
      <w:r>
        <w:t xml:space="preserve">ith Fmoc-AA gel. In both cases, </w:t>
      </w:r>
      <w:r w:rsidRPr="00270938">
        <w:t>results showed that insulin in solution was not interacting with the peptide fibers suggesting that this interaction must</w:t>
      </w:r>
      <w:r>
        <w:t xml:space="preserve"> only</w:t>
      </w:r>
      <w:r w:rsidRPr="00270938">
        <w:t xml:space="preserve"> occur </w:t>
      </w:r>
      <w:r>
        <w:t>when the crystallization conditions force the protein to nucleate and form the crystals. Under these conditions, it is known that solid particles (in this case peptide fibers) can promote protein nucleation acting as nucleation centers.</w:t>
      </w:r>
    </w:p>
    <w:p w14:paraId="29D1122E" w14:textId="36459378" w:rsidR="002775B1" w:rsidRDefault="00621320" w:rsidP="00793BFA">
      <w:pPr>
        <w:jc w:val="center"/>
        <w:rPr>
          <w:lang w:val="en-GB"/>
        </w:rPr>
      </w:pPr>
      <w:r w:rsidRPr="00621320">
        <w:rPr>
          <w:noProof/>
          <w:lang w:val="es-ES" w:eastAsia="es-ES"/>
        </w:rPr>
        <w:drawing>
          <wp:inline distT="0" distB="0" distL="0" distR="0" wp14:anchorId="26372788" wp14:editId="7E5FB3FD">
            <wp:extent cx="5943600" cy="401510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015105"/>
                    </a:xfrm>
                    <a:prstGeom prst="rect">
                      <a:avLst/>
                    </a:prstGeom>
                  </pic:spPr>
                </pic:pic>
              </a:graphicData>
            </a:graphic>
          </wp:inline>
        </w:drawing>
      </w:r>
    </w:p>
    <w:p w14:paraId="7A4139EE" w14:textId="77777777" w:rsidR="002775B1" w:rsidRPr="002775B1" w:rsidRDefault="002775B1" w:rsidP="002775B1">
      <w:pPr>
        <w:rPr>
          <w:lang w:val="en-GB"/>
        </w:rPr>
      </w:pPr>
    </w:p>
    <w:p w14:paraId="003E7533" w14:textId="77777777" w:rsidR="009B0A45" w:rsidRPr="009B0A45" w:rsidRDefault="009B0A45" w:rsidP="009B0A45">
      <w:pPr>
        <w:pStyle w:val="VAFigureCaption"/>
      </w:pPr>
      <w:r w:rsidRPr="009B0A45">
        <w:rPr>
          <w:b/>
          <w:bCs/>
        </w:rPr>
        <w:lastRenderedPageBreak/>
        <w:t>Figure 4</w:t>
      </w:r>
      <w:r w:rsidRPr="009B0A45">
        <w:t>. Characterization of insulin crystals maintained at room temperature. (A) Dissolution rate of insulin crystals. (B) Differential scanning calorimetry (DSC) of insulin samples. Transition temperatures are shown at the peaks. (C) HPLC profiles of dissolved insulin crystals.</w:t>
      </w:r>
    </w:p>
    <w:p w14:paraId="36EC4AB7" w14:textId="0C4DF5E9" w:rsidR="00621320" w:rsidRDefault="00621320" w:rsidP="00621320">
      <w:pPr>
        <w:pStyle w:val="TAMainText"/>
      </w:pPr>
      <w:r w:rsidRPr="00270938">
        <w:t xml:space="preserve">Next, we </w:t>
      </w:r>
      <w:r w:rsidR="00D00EDB" w:rsidRPr="00270938">
        <w:t>analyzed</w:t>
      </w:r>
      <w:r w:rsidRPr="00270938">
        <w:t xml:space="preserve"> the resistance to thermally induced dissolution of the crystals by DSC </w:t>
      </w:r>
      <w:r w:rsidRPr="0099763E">
        <w:t>(Figure 4B</w:t>
      </w:r>
      <w:r w:rsidRPr="00270938">
        <w:t>). The crystal suspensions were pre-diluted with crystallization buffer to 1 mg/mL of insulin concentration. The DSC thermograms of the crystals kept at RT showed two peaks, a small one around 40-50 °C and a bigger one at about 70 °C. Soluble insulin</w:t>
      </w:r>
      <w:r>
        <w:t xml:space="preserve"> </w:t>
      </w:r>
      <w:r w:rsidRPr="00270938">
        <w:t>dissolved at 1 mg/mL in the same crystallization buffer gave rise only to the peak at 70 °C, corresponding to the thermal unfolding of insulin under the conditions of the experiments (</w:t>
      </w:r>
      <w:r w:rsidRPr="0099763E">
        <w:t>Figure 4B</w:t>
      </w:r>
      <w:r w:rsidRPr="00270938">
        <w:t>). Therefore, the first small transition must correspond to the thermally induced dissolution of the insulin crystals. This peak does not occur in a</w:t>
      </w:r>
      <w:r>
        <w:t xml:space="preserve"> second consecutive scan, as expected, since insulin does not recrystallize at 1 mg/mL under these conditions. Interestingly, crystals grown in both hydrogels were more thermally stable than crystal control. </w:t>
      </w:r>
      <w:r w:rsidRPr="003C2F97">
        <w:t>The higher stability of Fmoc-AA crystals can be explained in the same way as the slower release profile, due to stronger interactions between protein and peptide fibers.</w:t>
      </w:r>
      <w:r>
        <w:t xml:space="preserve"> The area under the first peak corresponds to the heat of crystal dissolution, which was similar for the two insulin composite crystals. Insulin was also more stable against thermal denaturation in the presence of Fmoc-AA, as evidenced by the higher temperature of the unfolding transition. This suggests that the gain interaction in the crystal form is somehow maintained under the experimental conditions contributing to insulin stabilization. </w:t>
      </w:r>
    </w:p>
    <w:p w14:paraId="21FB1404" w14:textId="78E10492" w:rsidR="00621320" w:rsidRDefault="00621320" w:rsidP="00621320">
      <w:pPr>
        <w:pStyle w:val="TAMainText"/>
      </w:pPr>
      <w:r>
        <w:t xml:space="preserve">The integrity of insulin in the composite crystals was determined by HPLC using a diode array detector to record the UV-vis absorption </w:t>
      </w:r>
      <w:r w:rsidRPr="00767EDA">
        <w:t xml:space="preserve">spectra (Figure 4C). Samples were fractioned by HPLC using a C18 column and a gradient method. Peaks detected at 276 nm were collected and </w:t>
      </w:r>
      <w:r w:rsidR="00ED35E1" w:rsidRPr="00767EDA">
        <w:t>analyzed</w:t>
      </w:r>
      <w:r w:rsidRPr="00767EDA">
        <w:t xml:space="preserve"> by MALDI-</w:t>
      </w:r>
      <w:proofErr w:type="spellStart"/>
      <w:r w:rsidRPr="00767EDA">
        <w:t>ToF</w:t>
      </w:r>
      <w:proofErr w:type="spellEnd"/>
      <w:r w:rsidRPr="00767EDA">
        <w:t xml:space="preserve"> mass spectrometry. A calibration curve was prepared with the soluble </w:t>
      </w:r>
      <w:r w:rsidRPr="00767EDA">
        <w:lastRenderedPageBreak/>
        <w:t>recombinant insulin used to prepare the composite crystals by integrating the peak with a retention time of 10 min absorbing at 276 nm (Figure S2 and S3 for crystal control</w:t>
      </w:r>
      <w:r w:rsidR="00ED35E1">
        <w:t>, Supporting Information</w:t>
      </w:r>
      <w:r w:rsidRPr="00767EDA">
        <w:t>). A single peak at 276 nm was observed. This peak corresponded to insulin monomer having a mass of 5808 g</w:t>
      </w:r>
      <w:r w:rsidRPr="00767EDA">
        <w:rPr>
          <w:rFonts w:eastAsia="Calibri"/>
        </w:rPr>
        <w:t>·</w:t>
      </w:r>
      <w:r w:rsidRPr="00767EDA">
        <w:t>mol</w:t>
      </w:r>
      <w:r w:rsidRPr="00767EDA">
        <w:rPr>
          <w:vertAlign w:val="superscript"/>
        </w:rPr>
        <w:t>-1</w:t>
      </w:r>
      <w:r w:rsidRPr="00767EDA">
        <w:t xml:space="preserve">. A Fmoc-AA gel sample prepared as for insulin crystallization was also </w:t>
      </w:r>
      <w:r w:rsidR="00ED35E1" w:rsidRPr="00767EDA">
        <w:t>analyzed</w:t>
      </w:r>
      <w:r w:rsidRPr="00767EDA">
        <w:t xml:space="preserve"> by HPLC showing a peak absorbing at 276 nm with a retention time of 11 min. Therefore, this method was able to clearly distinguish insulin from the dipeptide. This was further demonstrated via a sample mixture analysis. Crystal samples were then dissolved, and replicates (n = 5) were </w:t>
      </w:r>
      <w:r w:rsidR="00ED35E1" w:rsidRPr="00767EDA">
        <w:t>analyzed</w:t>
      </w:r>
      <w:r w:rsidRPr="00767EDA">
        <w:t>. Sharp and time resolved insulin peaks for all the crystal samples were obtained (Figure 4C). Integration of the peak at 10 min afforded a 5.0 ± 0.5 and 4.8 ± 0.4 mg</w:t>
      </w:r>
      <w:r w:rsidRPr="00767EDA">
        <w:rPr>
          <w:rFonts w:eastAsia="Calibri"/>
        </w:rPr>
        <w:t>·</w:t>
      </w:r>
      <w:r w:rsidRPr="00767EDA">
        <w:t>mL</w:t>
      </w:r>
      <w:r w:rsidRPr="00767EDA">
        <w:rPr>
          <w:vertAlign w:val="superscript"/>
        </w:rPr>
        <w:t>-1</w:t>
      </w:r>
      <w:r w:rsidRPr="00767EDA">
        <w:t xml:space="preserve"> insulin concentration for agarose and Fmoc-AA crystals respectively, in good correlation with the theoretical (5 mg</w:t>
      </w:r>
      <w:r w:rsidRPr="00767EDA">
        <w:rPr>
          <w:rFonts w:eastAsia="Calibri"/>
        </w:rPr>
        <w:t>·</w:t>
      </w:r>
      <w:r w:rsidRPr="00767EDA">
        <w:t>mL</w:t>
      </w:r>
      <w:r w:rsidRPr="00767EDA">
        <w:rPr>
          <w:vertAlign w:val="superscript"/>
        </w:rPr>
        <w:t>-1</w:t>
      </w:r>
      <w:r w:rsidRPr="00767EDA">
        <w:t>). Mass analysis of these peaks corresponded to the mass of the insulin monomer in agreement with the commercial insulin used to prepare the crystals (Figure S4</w:t>
      </w:r>
      <w:r w:rsidR="00ED35E1">
        <w:t>, Supporting Information</w:t>
      </w:r>
      <w:r w:rsidRPr="00767EDA">
        <w:t>).</w:t>
      </w:r>
      <w:r>
        <w:t xml:space="preserve">  </w:t>
      </w:r>
    </w:p>
    <w:p w14:paraId="002E7736" w14:textId="1F00A575" w:rsidR="00621320" w:rsidRPr="00767EDA" w:rsidRDefault="00621320" w:rsidP="00621320">
      <w:pPr>
        <w:pStyle w:val="TAMainText"/>
      </w:pPr>
      <w:r>
        <w:t xml:space="preserve">Next, crystals samples were evaluated by accelerated stability studies incubating crystal’s hydrogel suspensions at 50 °C during 7 days. It is established that incubation of crystals at 50 </w:t>
      </w:r>
      <w:r w:rsidRPr="00FC55AE">
        <w:rPr>
          <w:rFonts w:ascii="Symbol" w:hAnsi="Symbol"/>
        </w:rPr>
        <w:t></w:t>
      </w:r>
      <w:r>
        <w:t>C for 4 days is equivalent to a room temperature stability of 2 years.</w:t>
      </w:r>
      <w:r>
        <w:fldChar w:fldCharType="begin" w:fldLock="1"/>
      </w:r>
      <w:r w:rsidR="00184DC2">
        <w:instrText>ADDIN CSL_CITATION {"citationItems":[{"id":"ITEM-1","itemData":{"DOI":"10.1002/bit.1069","ISSN":"00063592","abstract":"By using two model proteins, glucose oxidase and lipase, we demonstrate that dry crystalline formulations are significantly more stable than their amorphous counterparts. The results of Fourier-transform infrared spectroscopy indicate that crystalline proteins better maintain their native conformation in accelerated stability studies. The lower tendency of crystalline proteins to aggregate is confirmed by size-exclusion chromatography. The data suggest that protein crystallization may significantly improve some aspects of protein handling, and change the way biopharmaceuticals are produced, formulated, and delivered. © 2001 John Wiley &amp; Sons, Inc.","author":[{"dropping-particle":"","family":"Shenoy","given":"Bhami","non-dropping-particle":"","parse-names":false,"suffix":""},{"dropping-particle":"","family":"Wang","given":"Yi","non-dropping-particle":"","parse-names":false,"suffix":""},{"dropping-particle":"","family":"Shan","given":"Weizhong","non-dropping-particle":"","parse-names":false,"suffix":""},{"dropping-particle":"","family":"Margolin","given":"Alexey L.","non-dropping-particle":"","parse-names":false,"suffix":""}],"container-title":"Biotechnology and Bioengineering","id":"ITEM-1","issue":"5","issued":{"date-parts":[["2001"]]},"page":"358-369","title":"Stability of crystalline proteins","type":"article-journal","volume":"73"},"uris":["http://www.mendeley.com/documents/?uuid=d818a0eb-ddd1-4a14-8af7-b4c5d72e7787"]}],"mendeley":{"formattedCitation":"&lt;sup&gt;34&lt;/sup&gt;","plainTextFormattedCitation":"34","previouslyFormattedCitation":"&lt;sup&gt;34&lt;/sup&gt;"},"properties":{"noteIndex":0},"schema":"https://github.com/citation-style-language/schema/raw/master/csl-citation.json"}</w:instrText>
      </w:r>
      <w:r>
        <w:fldChar w:fldCharType="separate"/>
      </w:r>
      <w:r w:rsidR="00184DC2" w:rsidRPr="00184DC2">
        <w:rPr>
          <w:noProof/>
          <w:vertAlign w:val="superscript"/>
        </w:rPr>
        <w:t>34</w:t>
      </w:r>
      <w:r>
        <w:fldChar w:fldCharType="end"/>
      </w:r>
      <w:r>
        <w:t xml:space="preserve"> Insulin in solution degrades in less than 24 h under this conditions. Optical </w:t>
      </w:r>
      <w:r w:rsidRPr="00767EDA">
        <w:t>microscopy images were taken from day 1 to day 7 in order to evaluate the quality of the crystals and to observe differences. Fmoc-AA and agarose crystals kept at 50 °C for 7 days, still showed good transparency and flat faces analogous to those kept at RT (Figure 5). Additionally, to confirm the quality of the crystals, SEM images</w:t>
      </w:r>
      <w:r>
        <w:t xml:space="preserve"> were taken </w:t>
      </w:r>
      <w:r w:rsidRPr="00767EDA">
        <w:t xml:space="preserve">(Figure 5C, D). As it can be seen from the images, the morphology, quality and size of the crystals were similar to those samples kept at RT. We next tested the stability of the crystal suspensions at 60 °C. In this case, after 24 hours, agarose and control crystals dissolved to the naked eye. Optical </w:t>
      </w:r>
      <w:r w:rsidRPr="00767EDA">
        <w:lastRenderedPageBreak/>
        <w:t xml:space="preserve">microscopy observation showed an amorphous precipitate in the agarose crystals sample. On the contrary, Fmoc-AA crystals were stable for up to 24 hours without degradation, monitored by optical microscopy. SEM images of Fmoc-AA crystals kept 24 hours at 60 °C showed crystals of similar quality than those kept at RT. These results, in line with those obtained in the dissolution experiments and DSC, reveal the superior stabilizing effect exerted by Fmoc-AA peptide fibers on the crystals. </w:t>
      </w:r>
    </w:p>
    <w:p w14:paraId="119FF16A" w14:textId="77777777" w:rsidR="00621320" w:rsidRPr="00BD43AC" w:rsidRDefault="00621320" w:rsidP="00621320">
      <w:pPr>
        <w:pStyle w:val="TAMainText"/>
        <w:rPr>
          <w:b/>
        </w:rPr>
      </w:pPr>
      <w:r w:rsidRPr="00767EDA">
        <w:t>HPLC analysis of Fmoc-AA and agarose crystals kept at 50 °C and Fmoc-AA kept at 60 °C showed the same clean spectra than samples kept at RT (Figure 5E). The peak corresponding to the insulin monomer appeared again at 10 min. MALDI analysis of the peak confirmed the mass (5808 g</w:t>
      </w:r>
      <w:r w:rsidRPr="00767EDA">
        <w:rPr>
          <w:rFonts w:eastAsia="Calibri"/>
        </w:rPr>
        <w:t>·</w:t>
      </w:r>
      <w:r w:rsidRPr="00767EDA">
        <w:t>mol</w:t>
      </w:r>
      <w:r w:rsidRPr="00767EDA">
        <w:rPr>
          <w:vertAlign w:val="superscript"/>
        </w:rPr>
        <w:t>-1</w:t>
      </w:r>
      <w:r w:rsidRPr="00767EDA">
        <w:t>) of the insulin monomer. The practical absence of other peaks</w:t>
      </w:r>
      <w:r>
        <w:t xml:space="preserve"> suggests that crystals do not suffer a significant degradation under these conditions. </w:t>
      </w:r>
    </w:p>
    <w:p w14:paraId="6647DBDC" w14:textId="4C55FECE" w:rsidR="009B0A45" w:rsidRDefault="00621320" w:rsidP="00621320">
      <w:pPr>
        <w:pStyle w:val="TAMainText"/>
        <w:ind w:firstLine="0"/>
        <w:rPr>
          <w:lang w:val="en-GB"/>
        </w:rPr>
      </w:pPr>
      <w:r w:rsidRPr="00621320">
        <w:rPr>
          <w:noProof/>
          <w:lang w:val="es-ES" w:eastAsia="es-ES"/>
        </w:rPr>
        <w:drawing>
          <wp:inline distT="0" distB="0" distL="0" distR="0" wp14:anchorId="18397C2E" wp14:editId="18818D10">
            <wp:extent cx="5943600" cy="2585720"/>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585720"/>
                    </a:xfrm>
                    <a:prstGeom prst="rect">
                      <a:avLst/>
                    </a:prstGeom>
                  </pic:spPr>
                </pic:pic>
              </a:graphicData>
            </a:graphic>
          </wp:inline>
        </w:drawing>
      </w:r>
    </w:p>
    <w:p w14:paraId="394DCC77" w14:textId="6E61C8E2" w:rsidR="00621320" w:rsidRPr="00BD43AC" w:rsidRDefault="00621320" w:rsidP="00621320">
      <w:pPr>
        <w:pStyle w:val="VAFigureCaption"/>
      </w:pPr>
      <w:r w:rsidRPr="00130E81">
        <w:rPr>
          <w:b/>
        </w:rPr>
        <w:t>Figure 5</w:t>
      </w:r>
      <w:r w:rsidRPr="00BD43AC">
        <w:t xml:space="preserve">. </w:t>
      </w:r>
      <w:r w:rsidRPr="00EF08DA">
        <w:t xml:space="preserve">Characterization of insulin crystals kept at 50 </w:t>
      </w:r>
      <w:r w:rsidRPr="00767EDA">
        <w:t>°</w:t>
      </w:r>
      <w:r w:rsidRPr="00EF08DA">
        <w:t xml:space="preserve">C for seven days. Optical microscopy images of insulin crystals grown in Fmoc-AA (A) and agarose (B) and the corresponding SEM images of Fmoc-AA (C) and agarose (D). </w:t>
      </w:r>
      <w:r w:rsidRPr="0028239F">
        <w:t>(E) HPLC profiles of dissolved insulin crystals. (F) Differential scanning calorimetry (DSC) of insulin samples. Transition temperatures are shown at the peaks.</w:t>
      </w:r>
    </w:p>
    <w:p w14:paraId="0B76B445" w14:textId="77777777" w:rsidR="00621320" w:rsidRDefault="00621320" w:rsidP="00621320">
      <w:pPr>
        <w:pStyle w:val="TAMainText"/>
      </w:pPr>
      <w:r>
        <w:lastRenderedPageBreak/>
        <w:t>DSC was used to evaluate the resistance against thermally induced dissolution of the crystals at 1mg/</w:t>
      </w:r>
      <w:r w:rsidRPr="00767EDA">
        <w:t>mL kept at 50 °C for 7 days. Strikingly, the pre-transitions corresponding to crystal dissolution were shifted to higher temperature for both hydrogels while their peak areas become larger (Figure 5F</w:t>
      </w:r>
      <w:r>
        <w:t>), indicating a considerable stabilization of the crystal structure by the heat treatment. Once more, the Fmoc-AA crystals were more stable than the agarose crystals but they both become stabilized by the heat treatment to a similar extent. This increase in stability suggests that the interactions between proteins and proteins-gel fibers within the crystal increased or became stronger after the heat treatment. Nevertheless, the clean HPLC and mass spectra of these samples show that this change is reversible and therefore the increase in stability must be come from non-covalent interactions.</w:t>
      </w:r>
    </w:p>
    <w:p w14:paraId="63EE6360" w14:textId="740F9DCB" w:rsidR="00621320" w:rsidRPr="00767EDA" w:rsidRDefault="00621320" w:rsidP="00621320">
      <w:pPr>
        <w:pStyle w:val="TAMainText"/>
      </w:pPr>
      <w:r>
        <w:t xml:space="preserve">The pharmacological effect of the novel insulin composite crystals was evaluated </w:t>
      </w:r>
      <w:r w:rsidRPr="00B93888">
        <w:rPr>
          <w:i/>
          <w:iCs/>
        </w:rPr>
        <w:t>in vivo</w:t>
      </w:r>
      <w:r>
        <w:t xml:space="preserve"> including samples kept at 50 °C and 60 °C. Native insulin in soluble form was used as a reference. Human insulin shows bioactivity in rodents and, as in humans, hypoglycemic activity is related to the concentration of insulin monomers in blood. Since the insulin molecule was the same in all preparations, the hypoglycemic response is directly related to the rate of insulin release from the injection site. In this regard, our assay is pharmacokinetic in nature. First, we conducted a dose-finding study for reference insulin, on the basis of published </w:t>
      </w:r>
      <w:r w:rsidRPr="00767EDA">
        <w:t>studies,</w:t>
      </w:r>
      <w:r w:rsidRPr="00767EDA">
        <w:fldChar w:fldCharType="begin" w:fldLock="1"/>
      </w:r>
      <w:r w:rsidR="00184DC2">
        <w:instrText>ADDIN CSL_CITATION {"citationItems":[{"id":"ITEM-1","itemData":{"DOI":"10.1016/j.actbio.2015.06.021","ISSN":"17427061","author":[{"dropping-particle":"","family":"Chen","given":"Mei-Chin","non-dropping-particle":"","parse-names":false,"suffix":""},{"dropping-particle":"","family":"Ling","given":"Ming-Hung","non-dropping-particle":"","parse-names":false,"suffix":""},{"dropping-particle":"","family":"Kusuma","given":"Setiawan Jati","non-dropping-particle":"","parse-names":false,"suffix":""}],"container-title":"Acta Biomaterialia","id":"ITEM-1","issued":{"date-parts":[["2015","9"]]},"page":"106-116","title":"Poly-γ-glutamic acid microneedles with a supporting structure design as a potential tool for transdermal delivery of insulin","type":"article-journal","volume":"24"},"uris":["http://www.mendeley.com/documents/?uuid=d4453ebe-61c3-4007-b338-66b97ba07878"]},{"id":"ITEM-2","itemData":{"DOI":"10.4103/2228-7477.157618","ISSN":"2228-7477","author":[{"dropping-particle":"","family":"Jabbari","given":"Nasrollah","non-dropping-particle":"","parse-names":false,"suffix":""},{"dropping-particle":"","family":"Asghari","given":"MohammadHossein","non-dropping-particle":"","parse-names":false,"suffix":""},{"dropping-particle":"","family":"Ahmadian","given":"Hassan","non-dropping-particle":"","parse-names":false,"suffix":""},{"dropping-particle":"","family":"Mikaili","given":"Peyman","non-dropping-particle":"","parse-names":false,"suffix":""}],"container-title":"Journal of Medical Signals &amp; Sensors","id":"ITEM-2","issue":"2","issued":{"date-parts":[["2015"]]},"page":"117","title":"Developing a commercial air ultrasonic ceramic transducer to transdermal insulin delivery","type":"article-journal","volume":"5"},"uris":["http://www.mendeley.com/documents/?uuid=1a364f8a-277f-44f0-be6b-8ffecf2fa7af"]},{"id":"ITEM-3","itemData":{"DOI":"10.1159/000430311","ISSN":"1015-8987","author":[{"dropping-particle":"","family":"Nolasco","given":"Eduardo L.","non-dropping-particle":"","parse-names":false,"suffix":""},{"dropping-particle":"","family":"Zanoni","given":"Fernando L.","non-dropping-particle":"","parse-names":false,"suffix":""},{"dropping-particle":"","family":"Nunes","given":"Fernanda P. B.","non-dropping-particle":"","parse-names":false,"suffix":""},{"dropping-particle":"","family":"Ferreira","given":"Sabrina S.","non-dropping-particle":"","parse-names":false,"suffix":""},{"dropping-particle":"","family":"Freitas","given":"Luiza A.","non-dropping-particle":"","parse-names":false,"suffix":""},{"dropping-particle":"","family":"Silva","given":"Mariana C.F.","non-dropping-particle":"","parse-names":false,"suffix":""},{"dropping-particle":"","family":"Martins","given":"Joilson O.","non-dropping-particle":"","parse-names":false,"suffix":""}],"container-title":"Cellular Physiology and Biochemistry","id":"ITEM-3","issue":"4","issued":{"date-parts":[["2015"]]},"page":"1467-1479","title":"Insulin Modulates Liver Function in a Type I Diabetes Rat Model","type":"article-journal","volume":"36"},"uris":["http://www.mendeley.com/documents/?uuid=d4920580-6a35-4c26-a57b-f818ddbb08eb"]},{"id":"ITEM-4","itemData":{"DOI":"10.1253/circj.CJ-14-1218","ISSN":"1346-9843","author":[{"dropping-particle":"","family":"Saito","given":"Shotaro","non-dropping-particle":"","parse-names":false,"suffix":""},{"dropping-particle":"","family":"Thuc","given":"Luong Cong","non-dropping-particle":"","parse-names":false,"suffix":""},{"dropping-particle":"","family":"Teshima","given":"Yasushi","non-dropping-particle":"","parse-names":false,"suffix":""},{"dropping-particle":"","family":"Nakada","given":"Chisato","non-dropping-particle":"","parse-names":false,"suffix":""},{"dropping-particle":"","family":"Nishio","given":"Satoru","non-dropping-particle":"","parse-names":false,"suffix":""},{"dropping-particle":"","family":"Kondo","given":"Hidekazu","non-dropping-particle":"","parse-names":false,"suffix":""},{"dropping-particle":"","family":"Fukui","given":"Akira","non-dropping-particle":"","parse-names":false,"suffix":""},{"dropping-particle":"","family":"Abe","given":"Ichitaro","non-dropping-particle":"","parse-names":false,"suffix":""},{"dropping-particle":"","family":"Ebata","given":"Yuki","non-dropping-particle":"","parse-names":false,"suffix":""},{"dropping-particle":"","family":"Saikawa","given":"Tetsunori","non-dropping-particle":"","parse-names":false,"suffix":""},{"dropping-particle":"","family":"Moriyama","given":"Masatsugu","non-dropping-particle":"","parse-names":false,"suffix":""},{"dropping-particle":"","family":"Takahashi","given":"Naohiko","non-dropping-particle":"","parse-names":false,"suffix":""}],"container-title":"Circulation Journal","id":"ITEM-4","issue":"1","issued":{"date-parts":[["2016"]]},"page":"186-195","title":"Glucose Fluctuations Aggravate Cardiac Susceptibility to Ischemia/Reperfusion Injury by Modulating MicroRNAs Expression","type":"article-journal","volume":"80"},"uris":["http://www.mendeley.com/documents/?uuid=22326ba6-0c4f-4e20-bec3-03e1a00010e3"]}],"mendeley":{"formattedCitation":"&lt;sup&gt;35–38&lt;/sup&gt;","plainTextFormattedCitation":"35–38","previouslyFormattedCitation":"&lt;sup&gt;35–38&lt;/sup&gt;"},"properties":{"noteIndex":0},"schema":"https://github.com/citation-style-language/schema/raw/master/csl-citation.json"}</w:instrText>
      </w:r>
      <w:r w:rsidRPr="00767EDA">
        <w:fldChar w:fldCharType="separate"/>
      </w:r>
      <w:r w:rsidR="00184DC2" w:rsidRPr="00184DC2">
        <w:rPr>
          <w:noProof/>
          <w:vertAlign w:val="superscript"/>
        </w:rPr>
        <w:t>35–38</w:t>
      </w:r>
      <w:r w:rsidRPr="00767EDA">
        <w:fldChar w:fldCharType="end"/>
      </w:r>
      <w:r w:rsidRPr="00767EDA">
        <w:t xml:space="preserve"> akin to establish a dose associated with a robust, nontoxic, and reproducible decrease in the glucose plasma level in rats (data not shown). The dose selected, 16.7 µg/kg rat (or 435 </w:t>
      </w:r>
      <w:proofErr w:type="spellStart"/>
      <w:r w:rsidRPr="00767EDA">
        <w:t>mIU</w:t>
      </w:r>
      <w:proofErr w:type="spellEnd"/>
      <w:r w:rsidRPr="00767EDA">
        <w:t xml:space="preserve">/kg), produced reliably a 30-40% reduction of glycemia in these conditions (Figure 6). As expected, glucose lowering started 20-30 minutes after administration in all cases and lasted for a little over an hour. </w:t>
      </w:r>
      <w:r w:rsidRPr="00660E88">
        <w:t xml:space="preserve">The vehicle groups exhibited a trend toward an increase immediately after administration, which probably reflects a physiologic response to the injection, which is to be expected in conscious animals, and is blunted </w:t>
      </w:r>
      <w:r w:rsidRPr="00660E88">
        <w:lastRenderedPageBreak/>
        <w:t>in the insulin treated groups.</w:t>
      </w:r>
      <w:r w:rsidRPr="00767EDA">
        <w:t xml:space="preserve"> As shown in Figure 6A, a similar hypoglycemic response was attained when the same dose of insulin was administered</w:t>
      </w:r>
      <w:r>
        <w:t xml:space="preserve"> in the form of agarose crystals, with no discernible differences in the starting time or overall duration</w:t>
      </w:r>
      <w:r w:rsidRPr="0028239F">
        <w:t xml:space="preserve">. Insulin control showed the same release profile as </w:t>
      </w:r>
      <w:r>
        <w:t>agarose crystals. In contrast, no response was observed in the case of Fmoc-AA crystals (not shown). As this lack of biological effect suggested a markedly slower rate of release to the bloodstream, larger doses, similar to those use for slow-release insulin glargine, were tested.</w:t>
      </w:r>
      <w:r>
        <w:fldChar w:fldCharType="begin" w:fldLock="1"/>
      </w:r>
      <w:r w:rsidR="00184DC2">
        <w:instrText>ADDIN CSL_CITATION {"citationItems":[{"id":"ITEM-1","itemData":{"DOI":"10.1080/10915810290096315","ISBN":"1091581029","ISSN":"10915818","PMID":"12055019","abstract":"Insulin glargine (LANTUS) is a new insulin analog that has a prolonged duration of action with no pronounced peak of activity, rendering it an ideal basal insulin for the treatment of diabetes. The aim of these studies was to assess the reproductive and embryotoxicity of insulin glargine. Reproductive toxicity was assessed in 25 male and 25 female Wistar rats per group treated with a daily subcutaneous injection of control; 1 IU/kg, 3 IU/kg, and 10 IU/kg insulin glargine; or 3 IU/kg NPH insulin in the premating and mating periods, and throughout pregnancy and lactation in the females. Embryotoxicity was assessed in 20 female rats per group injected with daily subcutaneous doses of control; 2 IU/kg, 6.3 IU/kg, and 20 IU/kg insulin glargine; or 6.3 IU/kg NPH insulin from the 7th to 18th day of pregnancy. Embryotoxicity was also assessed in 20 female rabbits per group treated with 0 IU/kg, 0.5 IU/kg, 1 IU/kg, and 2 IU/kg insulin glargine, or 1 IU/kg NPH insulin from the 6th to 18th day of pregnancy. The data demonstrated that, with the exception of toxicologic effects induced by hypoglycemia in response to high doses of insulin glargine and NPH insulin (including the premature dropout of female rats in the reproductive toxicity study, and increased incidence of abortions, early intrauterine deaths, and single anomalies in the rabbit embryotoxicity study), insulin glargine had no effects on reproduction, embryofetal development, and postnatal development in rats. Maternal and embryofetal toxicity in rabbits treated with middle and high doses of insulin glargine was related to the hypoglycemic effect of insulin.","author":[{"dropping-particle":"","family":"Hofmann","given":"Thomas","non-dropping-particle":"","parse-names":false,"suffix":""},{"dropping-particle":"","family":"Horstmann","given":"Georg","non-dropping-particle":"","parse-names":false,"suffix":""},{"dropping-particle":"","family":"Stammberger","given":"Ingo","non-dropping-particle":"","parse-names":false,"suffix":""}],"container-title":"International Journal of Toxicology","id":"ITEM-1","issue":"3","issued":{"date-parts":[["2002"]]},"page":"181-189","title":"Evaluation of the reproductive toxicity and embryotoxicity of insulin glargine (LANTUS) in rats and rabbits","type":"article-journal","volume":"21"},"uris":["http://www.mendeley.com/documents/?uuid=bb657dfd-2a16-4093-8d45-42704b8b5ab0"]}],"mendeley":{"formattedCitation":"&lt;sup&gt;39&lt;/sup&gt;","plainTextFormattedCitation":"39","previouslyFormattedCitation":"&lt;sup&gt;39&lt;/sup&gt;"},"properties":{"noteIndex":0},"schema":"https://github.com/citation-style-language/schema/raw/master/csl-citation.json"}</w:instrText>
      </w:r>
      <w:r>
        <w:fldChar w:fldCharType="separate"/>
      </w:r>
      <w:r w:rsidR="00184DC2" w:rsidRPr="00184DC2">
        <w:rPr>
          <w:noProof/>
          <w:vertAlign w:val="superscript"/>
        </w:rPr>
        <w:t>39</w:t>
      </w:r>
      <w:r>
        <w:fldChar w:fldCharType="end"/>
      </w:r>
      <w:r>
        <w:t xml:space="preserve"> In order to obtain an effect comparable to that of reference insulin</w:t>
      </w:r>
      <w:r w:rsidRPr="00767EDA">
        <w:t xml:space="preserve">, the dose had to be increased 5-fold (i.e. 83.7 µg/kg), as shown in Figure 6B. The effect took slightly longer to set in, therefore the sample collection pattern was changed to adapt to the different response and also to assess a possibility of a longer duration of those effect. Note that neither the empty hydrogels nor the insulin composite crystals produce any observable adverse effect in the animal during the whole treatment. </w:t>
      </w:r>
    </w:p>
    <w:p w14:paraId="34A9A4F7" w14:textId="4CD8B7C2" w:rsidR="00621320" w:rsidRPr="00621320" w:rsidRDefault="00621320" w:rsidP="00621320">
      <w:pPr>
        <w:pStyle w:val="TAMainText"/>
      </w:pPr>
      <w:r w:rsidRPr="00621320">
        <w:t>The resistance to heat of insulin crystals grown in both hydrogels was assessed by incubation the crystals at 50 °C during 7 days (Figure 6A, B) and, in the case of Fmoc-AA crystals, also at 60 °C for 24 hours (Figure 6C). Reference was clearly shown to lose biological activity in these conditions. In turn, insulin crystals grown in both hydrogels remained fully active. Our data indicate that (1) the agarose hydrogel does not affect insulin release from the injection site; (2) the Fmoc-AA hydrogel has, on the contrary, a marked slowing effect on this critical pharmacokinetic step; (3) both hydrogels fully protect insulin against the thermal challenge; and (4) neither agarose nor Fmoc-AA lower glycemia by themselves. Thus, in both instances, hydrogels may be useful to improve the stability of insulin and potentially other therapeutic proteins. As a rule, therapeutic proteins must be kept from high temperatures and handled adequately to avoid deterioration, which not only may reduce the therapeutic effect (as was the case here with reference insulin), but may also lead to enhanced immunogenicity.</w:t>
      </w:r>
      <w:r w:rsidRPr="00621320">
        <w:fldChar w:fldCharType="begin" w:fldLock="1"/>
      </w:r>
      <w:r w:rsidR="00184DC2">
        <w:instrText>ADDIN CSL_CITATION {"citationItems":[{"id":"ITEM-1","itemData":{"DOI":"10.1002/bit.1069","ISSN":"00063592","abstract":"By using two model proteins, glucose oxidase and lipase, we demonstrate that dry crystalline formulations are significantly more stable than their amorphous counterparts. The results of Fourier-transform infrared spectroscopy indicate that crystalline proteins better maintain their native conformation in accelerated stability studies. The lower tendency of crystalline proteins to aggregate is confirmed by size-exclusion chromatography. The data suggest that protein crystallization may significantly improve some aspects of protein handling, and change the way biopharmaceuticals are produced, formulated, and delivered. © 2001 John Wiley &amp; Sons, Inc.","author":[{"dropping-particle":"","family":"Shenoy","given":"Bhami","non-dropping-particle":"","parse-names":false,"suffix":""},{"dropping-particle":"","family":"Wang","given":"Yi","non-dropping-particle":"","parse-names":false,"suffix":""},{"dropping-particle":"","family":"Shan","given":"Weizhong","non-dropping-particle":"","parse-names":false,"suffix":""},{"dropping-particle":"","family":"Margolin","given":"Alexey L.","non-dropping-particle":"","parse-names":false,"suffix":""}],"container-title":"Biotechnology and Bioengineering","id":"ITEM-1","issue":"5","issued":{"date-parts":[["2001"]]},"page":"358-369","title":"Stability of crystalline proteins","type":"article-journal","volume":"73"},"uris":["http://www.mendeley.com/documents/?uuid=d818a0eb-ddd1-4a14-8af7-b4c5d72e7787"]},{"id":"ITEM-2","itemData":{"DOI":"10.1073/pnas.1131899100","ISSN":"00278424","abstract":"Therapeutic applications for mAbs have increased dramatically in recent years, but the large quantities required for clinical efficacy have limited the options that might be used for administration and thus have placed certain limitations on the use of these agents. We present an approach that allows for s.c. delivery of a small volume of a highly concentrated form of mAbs. Batch crystallization of three Ab-based therapeutics, rituximab, trastuzumab, and infliximab, provided products in high yield, with no detectable alteration to these proteins and with full retention of their biological activity in vitro. Administration s.c. of a crystalline preparation resulted in a remarkably long pharmacokinetic serum profile and a dose-dependent inhibition of tumor growth in nude mice bearing BT-474 xenografts (human breast cancer cells) in vivo. Overall, this approach of generating high-concentration, low-viscosity crystalline preparations of therapeutic Abs should lead to improved ease of administration and patient compliance, thus providing new opportunities for the biotechnology industry.","author":[{"dropping-particle":"","family":"Yang","given":"Mark X.","non-dropping-particle":"","parse-names":false,"suffix":""},{"dropping-particle":"","family":"Shenoy","given":"Bhami","non-dropping-particle":"","parse-names":false,"suffix":""},{"dropping-particle":"","family":"Disttler","given":"Matthew","non-dropping-particle":"","parse-names":false,"suffix":""},{"dropping-particle":"","family":"Patel","given":"Reena","non-dropping-particle":"","parse-names":false,"suffix":""},{"dropping-particle":"","family":"McGrath","given":"Margaret","non-dropping-particle":"","parse-names":false,"suffix":""},{"dropping-particle":"","family":"Pechenov","given":"Sergey","non-dropping-particle":"","parse-names":false,"suffix":""},{"dropping-particle":"","family":"Margolin","given":"Alexey L.","non-dropping-particle":"","parse-names":false,"suffix":""}],"container-title":"Proceedings of the National Academy of Sciences of the United States of America","id":"ITEM-2","issue":"12","issued":{"date-parts":[["2003"]]},"page":"6934-6939","title":"Crystalline monoclonal antibodies for subcutaneous delivery","type":"article-journal","volume":"100"},"uris":["http://www.mendeley.com/documents/?uuid=5ad0dca0-604c-42a9-828d-b09d5eed7914"]}],"mendeley":{"formattedCitation":"&lt;sup&gt;14,34&lt;/sup&gt;","plainTextFormattedCitation":"14,34","previouslyFormattedCitation":"&lt;sup&gt;14,34&lt;/sup&gt;"},"properties":{"noteIndex":0},"schema":"https://github.com/citation-style-language/schema/raw/master/csl-citation.json"}</w:instrText>
      </w:r>
      <w:r w:rsidRPr="00621320">
        <w:fldChar w:fldCharType="separate"/>
      </w:r>
      <w:r w:rsidR="00184DC2" w:rsidRPr="00184DC2">
        <w:rPr>
          <w:noProof/>
          <w:vertAlign w:val="superscript"/>
        </w:rPr>
        <w:t>14,34</w:t>
      </w:r>
      <w:r w:rsidRPr="00621320">
        <w:fldChar w:fldCharType="end"/>
      </w:r>
      <w:r w:rsidRPr="00621320">
        <w:t xml:space="preserve"> </w:t>
      </w:r>
    </w:p>
    <w:p w14:paraId="1A1CF815" w14:textId="7B12EDEC" w:rsidR="00621320" w:rsidRDefault="00621320" w:rsidP="00621320">
      <w:pPr>
        <w:pStyle w:val="TAMainText"/>
        <w:jc w:val="center"/>
        <w:rPr>
          <w:lang w:val="en-GB"/>
        </w:rPr>
      </w:pPr>
      <w:r w:rsidRPr="00621320">
        <w:rPr>
          <w:noProof/>
          <w:lang w:val="es-ES" w:eastAsia="es-ES"/>
        </w:rPr>
        <w:lastRenderedPageBreak/>
        <w:drawing>
          <wp:inline distT="0" distB="0" distL="0" distR="0" wp14:anchorId="203E66FB" wp14:editId="4E64E7E8">
            <wp:extent cx="3024000" cy="401316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24000" cy="4013162"/>
                    </a:xfrm>
                    <a:prstGeom prst="rect">
                      <a:avLst/>
                    </a:prstGeom>
                  </pic:spPr>
                </pic:pic>
              </a:graphicData>
            </a:graphic>
          </wp:inline>
        </w:drawing>
      </w:r>
    </w:p>
    <w:p w14:paraId="23C2172E" w14:textId="77777777" w:rsidR="00621320" w:rsidRPr="00BD43AC" w:rsidRDefault="00621320" w:rsidP="00621320">
      <w:pPr>
        <w:pStyle w:val="VAFigureCaption"/>
      </w:pPr>
      <w:r w:rsidRPr="00130E81">
        <w:rPr>
          <w:b/>
        </w:rPr>
        <w:t>Figure 6</w:t>
      </w:r>
      <w:r>
        <w:t>.</w:t>
      </w:r>
      <w:r w:rsidRPr="00BF5F7F">
        <w:rPr>
          <w:rFonts w:eastAsiaTheme="minorEastAsia" w:hAnsi="Calibri"/>
          <w:color w:val="000000" w:themeColor="text1"/>
          <w:kern w:val="24"/>
          <w:sz w:val="27"/>
          <w:szCs w:val="27"/>
        </w:rPr>
        <w:t xml:space="preserve"> </w:t>
      </w:r>
      <w:r w:rsidRPr="00BF5F7F">
        <w:t>(A) Glycemia profile of agarose crystals at 20 °C and 50 °C; (B) Glycemia profile of Fmoc-AA crystals at 20 °C and 50 °C. (C) Glycemia profile of dissolved Fmoc-AA crystals kept at 50 °C and Fmoc-AA crystals kept at 60 °C. Reference insulin (black), agarose crystals (blue), Fmoc-AA crystals (red).</w:t>
      </w:r>
    </w:p>
    <w:p w14:paraId="3AC2453A" w14:textId="77777777" w:rsidR="00621320" w:rsidRPr="00621320" w:rsidRDefault="00621320" w:rsidP="00621320">
      <w:pPr>
        <w:pStyle w:val="TAMainText"/>
      </w:pPr>
      <w:r w:rsidRPr="00621320">
        <w:t xml:space="preserve">On the other hand, it is interesting to consider the different impact of the hydrogels on insulin monomer release, as assessed by the resulting hypoglycemic response. Fmoc-AA had a major effect at this level, as opposed to agarose, which was neutral. The slower release profile </w:t>
      </w:r>
      <w:r w:rsidRPr="00D00EDB">
        <w:rPr>
          <w:i/>
        </w:rPr>
        <w:t>in vivo</w:t>
      </w:r>
      <w:r w:rsidRPr="00621320">
        <w:t xml:space="preserve"> of insulin grown in Fmoc-AA hydrogels can be correlated with the slower dissolution rate in near physiological conditions, and can be justified, as commented earlier, by the stabilizing effect exerted on the crystals by this peptide. This effect could be compensated by increasing insulin dose. With 5-fold higher levels than initially tested, the effect was comparable to the reference </w:t>
      </w:r>
      <w:r w:rsidRPr="00621320">
        <w:lastRenderedPageBreak/>
        <w:t xml:space="preserve">insulin in solution, although the effect onset tended to be somewhat slower. Even so, the duration of the effect was never consistently higher, even with higher concentrations/doses. The reason for this observation is still unclear, but it is likely that part of the insulin-gel composites releases very slowly after the first 3-4 h. Such minimal input to the bloodstream insulin thus may be matched by hepatic catabolism, resulting in a lack of effect. This would explain the results obtained with the initial 16.7 µg/kg dose. To demonstrate the slow-release effect exerted by Fmoc-AA peptide over the crystals and the preservation of the biological activity of the crystals, we tested a soluble insulin formulation prepared by dissolving Fmoc-AA crystals that have been kept at 50 °C during 7 days. As it can be seen in Figure 6C, now, 1-fold injection produced a similar pharmacological effect in terms of hypoglycemic response and onset time that native insulin in soluble form used as a reference. This result showed that Fmoc-AA was modifying the rate of release of insulin into the bloodstream without altering its pharmacological activity. </w:t>
      </w:r>
    </w:p>
    <w:p w14:paraId="0DAEA84D" w14:textId="6738E979" w:rsidR="009B0A45" w:rsidRDefault="00621320" w:rsidP="00621320">
      <w:pPr>
        <w:pStyle w:val="TAMainText"/>
      </w:pPr>
      <w:r w:rsidRPr="00621320">
        <w:t>Finally, the toxicity of the novel insulin composite</w:t>
      </w:r>
      <w:r w:rsidRPr="00767EDA">
        <w:t xml:space="preserve"> crystals was tested in two different cell lines, namely </w:t>
      </w:r>
      <w:proofErr w:type="spellStart"/>
      <w:r w:rsidRPr="00767EDA">
        <w:t>Caco</w:t>
      </w:r>
      <w:proofErr w:type="spellEnd"/>
      <w:r w:rsidRPr="00767EDA">
        <w:t xml:space="preserve"> 2</w:t>
      </w:r>
      <w:r w:rsidR="00772B25">
        <w:t>T</w:t>
      </w:r>
      <w:r w:rsidRPr="00767EDA">
        <w:t xml:space="preserve"> and IEC18 cells (Figure 7A, B), which have an intestinal epithelial phenotype. Insulin composite crystals had no effect on lactate dehydrogenase release, an index of cytotoxicity, up to a concentration of 100 µg mL</w:t>
      </w:r>
      <w:r w:rsidRPr="00767EDA">
        <w:rPr>
          <w:vertAlign w:val="superscript"/>
        </w:rPr>
        <w:t>-1</w:t>
      </w:r>
      <w:r w:rsidRPr="00767EDA">
        <w:t>, and produced no discernible changes in cells by phase contrast microscopy (Figure S5</w:t>
      </w:r>
      <w:r w:rsidR="00ED35E1">
        <w:t>, Supporting Information</w:t>
      </w:r>
      <w:r w:rsidRPr="00767EDA">
        <w:t>). Thus, these crystals are nontoxic at the concentrations</w:t>
      </w:r>
      <w:r>
        <w:t xml:space="preserve"> attained after subcutaneous injection.</w:t>
      </w:r>
    </w:p>
    <w:p w14:paraId="17F7DA28" w14:textId="749B3C1E" w:rsidR="00621320" w:rsidRDefault="00621320" w:rsidP="00621320">
      <w:pPr>
        <w:pStyle w:val="TAMainText"/>
      </w:pPr>
    </w:p>
    <w:p w14:paraId="025E4A35" w14:textId="134080D2" w:rsidR="00621320" w:rsidRDefault="00621320" w:rsidP="00621320">
      <w:pPr>
        <w:pStyle w:val="TAMainText"/>
        <w:rPr>
          <w:lang w:val="en-GB"/>
        </w:rPr>
      </w:pPr>
      <w:r w:rsidRPr="00621320">
        <w:rPr>
          <w:noProof/>
          <w:lang w:val="es-ES" w:eastAsia="es-ES"/>
        </w:rPr>
        <w:lastRenderedPageBreak/>
        <w:drawing>
          <wp:inline distT="0" distB="0" distL="0" distR="0" wp14:anchorId="15D1B6F3" wp14:editId="29643443">
            <wp:extent cx="5118100" cy="21082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18100" cy="2108200"/>
                    </a:xfrm>
                    <a:prstGeom prst="rect">
                      <a:avLst/>
                    </a:prstGeom>
                  </pic:spPr>
                </pic:pic>
              </a:graphicData>
            </a:graphic>
          </wp:inline>
        </w:drawing>
      </w:r>
    </w:p>
    <w:p w14:paraId="2533F260" w14:textId="77777777" w:rsidR="00621320" w:rsidRDefault="00621320" w:rsidP="00621320">
      <w:pPr>
        <w:pStyle w:val="VAFigureCaption"/>
      </w:pPr>
      <w:r w:rsidRPr="00B93888">
        <w:rPr>
          <w:b/>
        </w:rPr>
        <w:t>Figure 7</w:t>
      </w:r>
      <w:r>
        <w:t>.</w:t>
      </w:r>
      <w:r w:rsidRPr="00BF5F7F">
        <w:rPr>
          <w:rFonts w:eastAsiaTheme="minorEastAsia" w:hAnsi="Calibri"/>
          <w:color w:val="000000" w:themeColor="text1"/>
          <w:kern w:val="24"/>
          <w:sz w:val="27"/>
          <w:szCs w:val="27"/>
        </w:rPr>
        <w:t xml:space="preserve"> </w:t>
      </w:r>
      <w:r w:rsidRPr="00D00EDB">
        <w:rPr>
          <w:i/>
        </w:rPr>
        <w:t>In vitro</w:t>
      </w:r>
      <w:r w:rsidRPr="00B93888">
        <w:t xml:space="preserve"> cytotoxic assay: </w:t>
      </w:r>
      <w:proofErr w:type="spellStart"/>
      <w:r w:rsidRPr="00B93888">
        <w:t>Caco</w:t>
      </w:r>
      <w:proofErr w:type="spellEnd"/>
      <w:r w:rsidRPr="00B93888">
        <w:t xml:space="preserve"> 2T (</w:t>
      </w:r>
      <w:r>
        <w:t>A</w:t>
      </w:r>
      <w:r w:rsidRPr="00B93888">
        <w:t>) and IEC18 (</w:t>
      </w:r>
      <w:r>
        <w:t>B</w:t>
      </w:r>
      <w:r w:rsidRPr="00B93888">
        <w:t>). Cells were submitted to increasing concentrations of Fmoc-AA hydrogel (1-1000 µg/ml) kept at 20 °C or 50 °C for 7 days. Toxicity was measured by LDH cytotoxicity assay following the manufacturer’s instructions.</w:t>
      </w:r>
    </w:p>
    <w:p w14:paraId="6177365A" w14:textId="35554947" w:rsidR="00621320" w:rsidRPr="00793BA2" w:rsidRDefault="00621320" w:rsidP="00793BFA">
      <w:pPr>
        <w:pStyle w:val="TAMainText"/>
        <w:ind w:firstLine="0"/>
        <w:rPr>
          <w:b/>
          <w:bCs/>
        </w:rPr>
      </w:pPr>
      <w:r w:rsidRPr="00793BA2">
        <w:rPr>
          <w:b/>
          <w:bCs/>
        </w:rPr>
        <w:t>Conclusion</w:t>
      </w:r>
      <w:r w:rsidR="00793BFA">
        <w:rPr>
          <w:b/>
          <w:bCs/>
        </w:rPr>
        <w:t>s</w:t>
      </w:r>
      <w:r w:rsidRPr="00793BA2">
        <w:rPr>
          <w:b/>
          <w:bCs/>
        </w:rPr>
        <w:t xml:space="preserve"> </w:t>
      </w:r>
    </w:p>
    <w:p w14:paraId="356CF9A1" w14:textId="77777777" w:rsidR="00621320" w:rsidRPr="00621320" w:rsidRDefault="00621320" w:rsidP="00621320">
      <w:pPr>
        <w:pStyle w:val="TAMainText"/>
      </w:pPr>
      <w:r w:rsidRPr="00621320">
        <w:t xml:space="preserve">Insulin crystals grown in agarose and Fmoc-AA hydrogels have been successfully obtained in homogeneous batches compatible with </w:t>
      </w:r>
      <w:r w:rsidRPr="00D00EDB">
        <w:rPr>
          <w:i/>
        </w:rPr>
        <w:t>in vivo</w:t>
      </w:r>
      <w:r w:rsidRPr="00621320">
        <w:t xml:space="preserve"> subcutaneous administration, that is, samples containing very narrow size distribution of small crystals (less than 10 µm of diameter) free of any toxic additive. The physicochemical evaluation of both composite crystals has shown that these crystals are much more stable than insulin in solution, being pharmacologically active after keeping them at 50 °C during 7 days. In addition, insulin crystals grown in Fmoc-AA hydrogels showed an enhanced thermal stability being stable up to 60 °C during 24 hours. Significantly, this increase in stability also modifies the release profile of native insulin, turning it into a slow release one, without altering the chemical structure of the protein. These results show that the nature of the hydrogel has a major impact on the physicochemical properties of the resulting crystals. Herein we have presented two novel thermally stable insulin formulations having different release profiles using the same native insulin. The capacity of tuning and improving the physicochemical </w:t>
      </w:r>
      <w:r w:rsidRPr="00621320">
        <w:lastRenderedPageBreak/>
        <w:t>properties of therapeutic proteins by simply crystallizing them in different hydrogels offers the possibility to expand the therapeutic window of novel biopharmaceutical formulations.</w:t>
      </w:r>
    </w:p>
    <w:p w14:paraId="4407D576" w14:textId="7B94E79B" w:rsidR="00793BFA" w:rsidRPr="00621320" w:rsidRDefault="00621320" w:rsidP="00793BFA">
      <w:pPr>
        <w:pStyle w:val="TAMainText"/>
      </w:pPr>
      <w:r w:rsidRPr="00621320">
        <w:t xml:space="preserve">Insulin has been used in this work as a proof of concept; nevertheless, we are convinced that other therapeutic proteins can also be benefited from this approach. Thus, this work anticipates the potential advantages of using protein composite crystals for therapeutics purposes. </w:t>
      </w:r>
    </w:p>
    <w:p w14:paraId="0726604F" w14:textId="42CFD560" w:rsidR="00793BFA" w:rsidRPr="00793BFA" w:rsidRDefault="00793BFA" w:rsidP="00793BFA">
      <w:pPr>
        <w:pStyle w:val="TAMainText"/>
        <w:ind w:firstLine="0"/>
        <w:rPr>
          <w:b/>
          <w:bCs/>
        </w:rPr>
      </w:pPr>
      <w:r w:rsidRPr="00793BFA">
        <w:rPr>
          <w:b/>
          <w:bCs/>
        </w:rPr>
        <w:t>Experimental</w:t>
      </w:r>
      <w:r>
        <w:rPr>
          <w:b/>
          <w:bCs/>
        </w:rPr>
        <w:t xml:space="preserve"> Section</w:t>
      </w:r>
    </w:p>
    <w:p w14:paraId="66496B72" w14:textId="77777777" w:rsidR="00793BFA" w:rsidRPr="00793BFA" w:rsidRDefault="00793BFA" w:rsidP="00793BFA">
      <w:pPr>
        <w:pStyle w:val="TAMainText"/>
        <w:rPr>
          <w:b/>
          <w:bCs/>
        </w:rPr>
      </w:pPr>
      <w:r w:rsidRPr="00793BFA">
        <w:rPr>
          <w:b/>
          <w:bCs/>
        </w:rPr>
        <w:t>Hydrogel characterization</w:t>
      </w:r>
    </w:p>
    <w:p w14:paraId="29ABEFD3" w14:textId="77777777" w:rsidR="00793BFA" w:rsidRDefault="00793BFA" w:rsidP="00793BFA">
      <w:pPr>
        <w:pStyle w:val="TAMainText"/>
      </w:pPr>
      <w:r>
        <w:rPr>
          <w:b/>
        </w:rPr>
        <w:t xml:space="preserve">Transmission Electron Microscopy </w:t>
      </w:r>
      <w:r w:rsidRPr="00126817">
        <w:t>of dried gels (xerogels) were studied with a LIBRA 120 PLUS Carl Zeiss. Hydrogels were vortexed and diluted twice with water. A drop of the fiber suspension obtained was placed on a 300-mesh copper grid and stained with uranyl acetate negative stain. The sample was dried at room temperature for 1h.</w:t>
      </w:r>
    </w:p>
    <w:p w14:paraId="441C2B59" w14:textId="027C3DF3" w:rsidR="00793BFA" w:rsidRDefault="00793BFA" w:rsidP="00793BFA">
      <w:pPr>
        <w:pStyle w:val="TAMainText"/>
      </w:pPr>
      <w:r w:rsidRPr="00126817">
        <w:rPr>
          <w:b/>
        </w:rPr>
        <w:t>Circular Dichroism</w:t>
      </w:r>
      <w:r w:rsidRPr="00126817">
        <w:t xml:space="preserve"> of Fmoc-AA hydrogels were recorded using a spectrophotometer J-815 of Jasco with a xenon lamp of 150W. The mixtures were </w:t>
      </w:r>
      <w:r w:rsidR="00772B25" w:rsidRPr="00126817">
        <w:t>jellified</w:t>
      </w:r>
      <w:r w:rsidRPr="00126817">
        <w:t xml:space="preserve"> into a 0.1 mm quartz cell (</w:t>
      </w:r>
      <w:proofErr w:type="spellStart"/>
      <w:r w:rsidRPr="00126817">
        <w:t>Hellma</w:t>
      </w:r>
      <w:proofErr w:type="spellEnd"/>
      <w:r w:rsidRPr="00126817">
        <w:t xml:space="preserve"> 0.1 mm quartz </w:t>
      </w:r>
      <w:proofErr w:type="spellStart"/>
      <w:r w:rsidRPr="00126817">
        <w:t>SuprasilR</w:t>
      </w:r>
      <w:proofErr w:type="spellEnd"/>
      <w:r w:rsidRPr="00126817">
        <w:t>) using the protocols described below. Spectra were obtained from 200 to 350 nm with a 1 nm step and 0.5 s integration time per step at 25 °C. Data shown correspond to the average of 100 accumulations.</w:t>
      </w:r>
    </w:p>
    <w:p w14:paraId="770E2A51" w14:textId="164620BB" w:rsidR="00221B3D" w:rsidRPr="00E51BDB" w:rsidRDefault="00221B3D" w:rsidP="00221B3D">
      <w:pPr>
        <w:pStyle w:val="TAMainText"/>
      </w:pPr>
      <w:r>
        <w:rPr>
          <w:b/>
        </w:rPr>
        <w:t>R</w:t>
      </w:r>
      <w:r w:rsidRPr="00126817">
        <w:rPr>
          <w:b/>
        </w:rPr>
        <w:t>heological characterization</w:t>
      </w:r>
      <w:r>
        <w:t>:</w:t>
      </w:r>
      <w:r w:rsidRPr="00126817">
        <w:t xml:space="preserve"> we used a </w:t>
      </w:r>
      <w:proofErr w:type="spellStart"/>
      <w:r w:rsidRPr="00126817">
        <w:t>Haake</w:t>
      </w:r>
      <w:proofErr w:type="spellEnd"/>
      <w:r w:rsidRPr="00126817">
        <w:t xml:space="preserve"> Mars III controlled-stress rheometer (Thermo Fisher </w:t>
      </w:r>
      <w:r w:rsidRPr="003255D3">
        <w:t>Scientific, Waltham, MA, USA), provided with a double cone-plate sensor of 60 mm of diameter, 2° apex angle and 0.088 mm of truncation, and made of titanium (sensor DC60/2° Ti L). In measurements the gap between the double cone and the plate of the rheometer was equal to the truncation of the cone (0.088 mm) and a sample volume of 5.4 mL was required for this sensor.</w:t>
      </w:r>
      <w:r>
        <w:t xml:space="preserve"> </w:t>
      </w:r>
      <w:r w:rsidRPr="00126817">
        <w:t xml:space="preserve">We measured the viscosity using a logarithmic ramp of shear rates. Separately, we obtained the storage (G’) and loss (G’’) moduli of the samples by subjecting them to oscillatory shear strains </w:t>
      </w:r>
      <w:r w:rsidRPr="00126817">
        <w:lastRenderedPageBreak/>
        <w:t>of logarithmically increasing amplitude and fixed frequency of 1 Hz. Three different samples were measured to ensure statistical significance of the results. The mean values and standard deviations of each magnitude were provided in this work.</w:t>
      </w:r>
    </w:p>
    <w:p w14:paraId="5FACBE13" w14:textId="77777777" w:rsidR="00793BFA" w:rsidRPr="00793BFA" w:rsidRDefault="00793BFA" w:rsidP="00793BFA">
      <w:pPr>
        <w:pStyle w:val="TAMainText"/>
        <w:rPr>
          <w:b/>
          <w:bCs/>
        </w:rPr>
      </w:pPr>
      <w:r w:rsidRPr="00793BFA">
        <w:rPr>
          <w:b/>
          <w:bCs/>
        </w:rPr>
        <w:t>Crystal’s analysis</w:t>
      </w:r>
    </w:p>
    <w:p w14:paraId="0104B945" w14:textId="28FAA66D" w:rsidR="00793BFA" w:rsidRDefault="00793BFA" w:rsidP="00793BFA">
      <w:pPr>
        <w:pStyle w:val="TAMainText"/>
      </w:pPr>
      <w:r w:rsidRPr="00126817">
        <w:rPr>
          <w:b/>
        </w:rPr>
        <w:t>Crystallization protocol</w:t>
      </w:r>
      <w:r>
        <w:t>:</w:t>
      </w:r>
      <w:r w:rsidRPr="00126817">
        <w:t xml:space="preserve"> Human insulin, supplied by Sigma Aldrich (ref. 11376497001 ROCHE), was dissolved in 20 mM HCl and the concentration determined spectrophotometrically at 276 nm using an extinction coefficient (</w:t>
      </w:r>
      <w:r w:rsidRPr="00126817">
        <w:rPr>
          <w:lang w:val="es-ES"/>
        </w:rPr>
        <w:t>ε</w:t>
      </w:r>
      <w:r w:rsidRPr="00126817">
        <w:t>) of 1.04 mL</w:t>
      </w:r>
      <w:r w:rsidRPr="00270938">
        <w:rPr>
          <w:rFonts w:eastAsia="Calibri"/>
        </w:rPr>
        <w:t>·</w:t>
      </w:r>
      <w:r w:rsidRPr="00126817">
        <w:t>mg</w:t>
      </w:r>
      <w:r w:rsidRPr="00126817">
        <w:rPr>
          <w:vertAlign w:val="superscript"/>
        </w:rPr>
        <w:t>-1</w:t>
      </w:r>
      <w:r w:rsidRPr="00270938">
        <w:rPr>
          <w:rFonts w:eastAsia="Calibri"/>
        </w:rPr>
        <w:t>·</w:t>
      </w:r>
      <w:r w:rsidRPr="00126817">
        <w:t>cm</w:t>
      </w:r>
      <w:r w:rsidRPr="00126817">
        <w:rPr>
          <w:vertAlign w:val="superscript"/>
        </w:rPr>
        <w:t>-1</w:t>
      </w:r>
      <w:r w:rsidRPr="00126817">
        <w:t>. To obtain insulin crystal</w:t>
      </w:r>
      <w:r>
        <w:t>s</w:t>
      </w:r>
      <w:r w:rsidRPr="00126817">
        <w:t xml:space="preserve"> we used the batch method following a well-established sequential protocol consisting in the mix of the mother insulin solution (5 mg/mL final concentration), with ZnCl</w:t>
      </w:r>
      <w:r w:rsidRPr="00126817">
        <w:rPr>
          <w:vertAlign w:val="subscript"/>
        </w:rPr>
        <w:t>2</w:t>
      </w:r>
      <w:r w:rsidRPr="00126817">
        <w:t xml:space="preserve"> (5.0 mM final), sodium citrate pH 7.0 (22.0 mM final) and water to a final volume of 200 µL in a 1.5 mL Eppendorf tube.</w:t>
      </w:r>
      <w:r>
        <w:fldChar w:fldCharType="begin" w:fldLock="1"/>
      </w:r>
      <w:r w:rsidR="00184DC2">
        <w:instrText>ADDIN CSL_CITATION {"citationItems":[{"id":"ITEM-1","itemData":{"abstract":"Crystallization of hexameric zinc-containing insulin in its rhombohedral space group is accomplished by step titration of an acidic insulin solution containing an excess amount of Zn 2+ ions either in the presence of acetone or not. During the preparation of the mixture, precipitation was observed when crossing a critical pH value. This precipitate dissolves and produces a clear solution after the addition of acetone. We investigated the influence of the pH on the crystallization of both porcine and recombinant human insulin by means of a systematic study of the pH evolution. Taking into account the volume fractions and concentrations of all components, by varying the ratio between the initial acid solution (0.02M HCl pH 1.55) and the citrate buffer (0.1M pH 6.98) we modulated the rate at which the critical pH was reached. This characterization allows us to precisely tune the conditions for obtaining small crystals in batch crystallization droplets in the presence or absence of acetone.","author":[{"dropping-particle":"V","family":"Hodzhaoglu","given":"F","non-dropping-particle":"","parse-names":false,"suffix":""},{"dropping-particle":"","family":"Conejero-Muriel","given":"M","non-dropping-particle":"","parse-names":false,"suffix":""},{"dropping-particle":"","family":"Dimitrov","given":"I L","non-dropping-particle":"","parse-names":false,"suffix":""},{"dropping-particle":"","family":"Gavira","given":"J A","non-dropping-particle":"","parse-names":false,"suffix":""}],"container-title":"Bulgarian Chemical Comunications","id":"ITEM-1","issued":{"date-parts":[["2016"]]},"page":"29-37","title":"Optimization of the classical method for nucleation and growth of rhombohedral insulin crystals by pH titration and screening","type":"article-journal","volume":"48"},"uris":["http://www.mendeley.com/documents/?uuid=3a4233c0-0095-4902-b167-ba4d33da5a88"]}],"mendeley":{"formattedCitation":"&lt;sup&gt;30&lt;/sup&gt;","plainTextFormattedCitation":"30","previouslyFormattedCitation":"&lt;sup&gt;30&lt;/sup&gt;"},"properties":{"noteIndex":0},"schema":"https://github.com/citation-style-language/schema/raw/master/csl-citation.json"}</w:instrText>
      </w:r>
      <w:r>
        <w:fldChar w:fldCharType="separate"/>
      </w:r>
      <w:r w:rsidR="00184DC2" w:rsidRPr="00184DC2">
        <w:rPr>
          <w:noProof/>
          <w:vertAlign w:val="superscript"/>
        </w:rPr>
        <w:t>30</w:t>
      </w:r>
      <w:r>
        <w:fldChar w:fldCharType="end"/>
      </w:r>
      <w:r w:rsidRPr="00126817">
        <w:t xml:space="preserve"> To include the hydrogel, pre-warmed agarose solution at 0.5% (w/v) or Fmoc-AA dissolved in DMSO (5% v/v final concentration) were added as the last step to produce the hydrogel at a final concentration of 0.05% w/v and 0.2% w/v for agarose and Fmoc-AA, respectively. Identical protocol was used to assay different gel concentrations initially tested. Samples were incubated at 20 °C for 24 hours. For thermal stability evaluation, samples were kept in an incubator set at 50 °C for a week or 24 hours at 60 °C.</w:t>
      </w:r>
    </w:p>
    <w:p w14:paraId="2D4441CB" w14:textId="77777777" w:rsidR="00793BFA" w:rsidRDefault="00793BFA" w:rsidP="00793BFA">
      <w:pPr>
        <w:pStyle w:val="TAMainText"/>
      </w:pPr>
      <w:r w:rsidRPr="00126817">
        <w:rPr>
          <w:b/>
        </w:rPr>
        <w:t>Dissolution experiments</w:t>
      </w:r>
      <w:r w:rsidRPr="00126817">
        <w:t xml:space="preserve">: For the dissolution experiments insulin crystals grown in both hydrogels were moved into the bulk solution with the help of a cat whisker and those crystals sticking to the wall gently detached. Eppendorf tubes were then centrifuged at 11000 rpm. The precipitant solution was replaced by PBS buffer pH 7.4 prewarmed at 38 °C. Crystals were gently resuspended manually and tubes were shacked at 300 RPM and at 38 °C in a thermo-shaker (BRAND AND COUNTRY). Solution aliquots were taken at 2, 5, 10, 15, 20, 30 and 60 minutes. </w:t>
      </w:r>
      <w:r w:rsidRPr="00126817">
        <w:lastRenderedPageBreak/>
        <w:t xml:space="preserve">Tube samples were centrifuged at 11000 rpm for 30 seconds and 15 µL were extracted from the supernatant and diluted adding 300 µL. Insulin in solution was determined spectrophotometrically. </w:t>
      </w:r>
    </w:p>
    <w:p w14:paraId="2E9CC54A" w14:textId="77777777" w:rsidR="00793BFA" w:rsidRDefault="00793BFA" w:rsidP="00793BFA">
      <w:pPr>
        <w:pStyle w:val="TAMainText"/>
      </w:pPr>
      <w:r w:rsidRPr="00126817">
        <w:rPr>
          <w:b/>
        </w:rPr>
        <w:t>Differential Scanning Calorimetry</w:t>
      </w:r>
      <w:r>
        <w:t>:</w:t>
      </w:r>
      <w:r w:rsidRPr="00126817">
        <w:t xml:space="preserve"> DSC experiments were carried out in a DASM-4 microcalorimeter equipped with capillary platinum cells at a scan rate of 2 °C/min. Crystal suspensions were readily diluted with crystallization buffer to a 1 mg/mL insulin concentration and immediately loaded into the calorimeter cell. The reference cell was loaded with crystallization buffer. The samples were scanned up to 100 °C, cooled and rescanned again to check the reversibility of the thermograms. The experimental thermograms were corrected using a baseline obtained with both cells filled with crystallization buffer and normalized with the nominal insulin concentration. Then the intrinsic heat capacity dependence was subtracted from the thermograms to give the excess heat capacity profiles. </w:t>
      </w:r>
    </w:p>
    <w:p w14:paraId="4F49843B" w14:textId="77777777" w:rsidR="00793BFA" w:rsidRDefault="00793BFA" w:rsidP="00793BFA">
      <w:pPr>
        <w:pStyle w:val="TAMainText"/>
      </w:pPr>
      <w:r w:rsidRPr="00126817">
        <w:rPr>
          <w:b/>
        </w:rPr>
        <w:t>HPLC analysis</w:t>
      </w:r>
      <w:r>
        <w:t>:</w:t>
      </w:r>
      <w:r w:rsidRPr="00126817">
        <w:t xml:space="preserve"> HPLC analyses were performed on an Agilent 1260 infinity. Analytical HPLC analyses were performed with an Agilent </w:t>
      </w:r>
      <w:proofErr w:type="spellStart"/>
      <w:r w:rsidRPr="00126817">
        <w:t>Poroshell</w:t>
      </w:r>
      <w:proofErr w:type="spellEnd"/>
      <w:r w:rsidRPr="00126817">
        <w:t xml:space="preserve"> 120® EC-C18, 2.7 </w:t>
      </w:r>
      <w:proofErr w:type="spellStart"/>
      <w:r w:rsidRPr="00126817">
        <w:t>μm</w:t>
      </w:r>
      <w:proofErr w:type="spellEnd"/>
      <w:r w:rsidRPr="00126817">
        <w:t>, 50 x 4.6 mm column. Detection was by UV absorbance at 276 nm. The following eluents were used: (A) H</w:t>
      </w:r>
      <w:r w:rsidRPr="00126817">
        <w:rPr>
          <w:vertAlign w:val="subscript"/>
        </w:rPr>
        <w:t>2</w:t>
      </w:r>
      <w:r w:rsidRPr="00126817">
        <w:t xml:space="preserve">O + 0.1% TFA; (B) </w:t>
      </w:r>
      <w:proofErr w:type="spellStart"/>
      <w:r w:rsidRPr="00126817">
        <w:t>MeCN</w:t>
      </w:r>
      <w:proofErr w:type="spellEnd"/>
      <w:r w:rsidRPr="00126817">
        <w:t xml:space="preserve"> + 0.1% TFA HPLC grade eluents, from 5 % to 60 % of </w:t>
      </w:r>
      <w:proofErr w:type="spellStart"/>
      <w:r w:rsidRPr="00126817">
        <w:t>MeCN</w:t>
      </w:r>
      <w:proofErr w:type="spellEnd"/>
      <w:r w:rsidRPr="00126817">
        <w:t xml:space="preserve"> in 8 min, and then from 60 % to 95 % of </w:t>
      </w:r>
      <w:proofErr w:type="spellStart"/>
      <w:r w:rsidRPr="00126817">
        <w:t>MeCN</w:t>
      </w:r>
      <w:proofErr w:type="spellEnd"/>
      <w:r w:rsidRPr="00126817">
        <w:t xml:space="preserve"> in 3 min, were employed, at a flow rate of 1 mL/min and filtered with a 0.2 µm filter prior to injection. The following HPLC method was used. The injection volume was 10 µL and detection wavelength was 276 nm. All experiments occurred at 45 °C and all samples were</w:t>
      </w:r>
      <w:r>
        <w:t xml:space="preserve"> filtered previously injection. </w:t>
      </w:r>
      <w:r w:rsidRPr="00126817">
        <w:t>Crystal samples were diluted 5 times adding HCl 20 mM and shacked at 1000 rpm for 45 minut</w:t>
      </w:r>
      <w:r>
        <w:t xml:space="preserve">es at 35 °C in a thermo-shaker. </w:t>
      </w:r>
      <w:r w:rsidRPr="00126817">
        <w:t xml:space="preserve">Known concentration insulin solutions at 3, 8, 25, 75 and 225 µM in HCl 20 mM were injected to obtain a calibration curve in function of total area of peak (insulin peak) which absorb at 276 nm and 10 min retention </w:t>
      </w:r>
      <w:r w:rsidRPr="00126817">
        <w:lastRenderedPageBreak/>
        <w:t xml:space="preserve">time. To quantify the insulin concentration in all HPLC experiments, the insulin peak total area was interpolated and a dilution factor of 1:5 was applied.  </w:t>
      </w:r>
    </w:p>
    <w:p w14:paraId="5262B38C" w14:textId="77777777" w:rsidR="00793BFA" w:rsidRDefault="00793BFA" w:rsidP="00793BFA">
      <w:pPr>
        <w:pStyle w:val="TAMainText"/>
      </w:pPr>
      <w:r w:rsidRPr="00126817">
        <w:rPr>
          <w:b/>
        </w:rPr>
        <w:t>Mass spectrometry</w:t>
      </w:r>
      <w:r w:rsidRPr="00126817">
        <w:t xml:space="preserve">: Mass spectra were recorded on a BRUKER AUTOFLEX MALDI- </w:t>
      </w:r>
      <w:proofErr w:type="spellStart"/>
      <w:r w:rsidRPr="00126817">
        <w:t>ToF</w:t>
      </w:r>
      <w:proofErr w:type="spellEnd"/>
      <w:r w:rsidRPr="00126817">
        <w:t xml:space="preserve"> MS using a weight range from 1,800 to 10,000 Da. Spectra were acquired for each sample in positive ionization reflector mode (delay 270 ns, 19 kV accelerating voltage, variable laser intensity, typically more than 200 shots). 20 </w:t>
      </w:r>
      <w:r w:rsidRPr="00126817">
        <w:rPr>
          <w:lang w:val="es-ES"/>
        </w:rPr>
        <w:t>μ</w:t>
      </w:r>
      <w:r w:rsidRPr="00126817">
        <w:t xml:space="preserve">L of </w:t>
      </w:r>
      <w:proofErr w:type="spellStart"/>
      <w:r w:rsidRPr="00126817">
        <w:t>sinapinic</w:t>
      </w:r>
      <w:proofErr w:type="spellEnd"/>
      <w:r w:rsidRPr="00126817">
        <w:t xml:space="preserve"> acid matrix (saturated solution of </w:t>
      </w:r>
      <w:proofErr w:type="spellStart"/>
      <w:r w:rsidRPr="00126817">
        <w:t>sinapinic</w:t>
      </w:r>
      <w:proofErr w:type="spellEnd"/>
      <w:r w:rsidRPr="00126817">
        <w:t xml:space="preserve"> acid in Acetonitrile: 0.1% TFA in water, 1:2) were mixed with 2 </w:t>
      </w:r>
      <w:r w:rsidRPr="00126817">
        <w:rPr>
          <w:lang w:val="es-ES"/>
        </w:rPr>
        <w:t>μ</w:t>
      </w:r>
      <w:r w:rsidRPr="00126817">
        <w:t xml:space="preserve">L of sample. 2 </w:t>
      </w:r>
      <w:r w:rsidRPr="00126817">
        <w:rPr>
          <w:lang w:val="es-ES"/>
        </w:rPr>
        <w:t>μ</w:t>
      </w:r>
      <w:r w:rsidRPr="00126817">
        <w:t>L of the resulting mixture were spotted onto the Bruker® 384 stainless steel MALDI-</w:t>
      </w:r>
      <w:proofErr w:type="spellStart"/>
      <w:r w:rsidRPr="00126817">
        <w:t>ToF</w:t>
      </w:r>
      <w:proofErr w:type="spellEnd"/>
      <w:r w:rsidRPr="00126817">
        <w:t xml:space="preserve"> plate for analysis in a Bruker MALDI-</w:t>
      </w:r>
      <w:proofErr w:type="spellStart"/>
      <w:r w:rsidRPr="00126817">
        <w:t>ToF</w:t>
      </w:r>
      <w:proofErr w:type="spellEnd"/>
      <w:r w:rsidRPr="00126817">
        <w:t xml:space="preserve"> </w:t>
      </w:r>
      <w:proofErr w:type="spellStart"/>
      <w:r w:rsidRPr="00126817">
        <w:t>Autoflex</w:t>
      </w:r>
      <w:proofErr w:type="spellEnd"/>
      <w:r w:rsidRPr="00126817">
        <w:t>.</w:t>
      </w:r>
    </w:p>
    <w:p w14:paraId="2F8ED76E" w14:textId="7382C734" w:rsidR="00793BFA" w:rsidRDefault="00793BFA" w:rsidP="00793BFA">
      <w:pPr>
        <w:pStyle w:val="TAMainText"/>
      </w:pPr>
      <w:r w:rsidRPr="00126817">
        <w:rPr>
          <w:b/>
        </w:rPr>
        <w:t>Scanning Electron Microscopy</w:t>
      </w:r>
      <w:r w:rsidRPr="00126817">
        <w:t xml:space="preserve">: Crystal samples were cross-linked adding a commercial aqueous solution of glutaraldehyde 25% (v/v) (Sigma-Aldrich, USA) to reach a final concentration of 5% (v/v). The mixture was homogenized with a pipette and allowed to cross-link incubated at 20 °C for 24 h. Crystals were gently centrifugated, the supernatant was removed and substituted by </w:t>
      </w:r>
      <w:proofErr w:type="spellStart"/>
      <w:r w:rsidRPr="00126817">
        <w:t>MiliQ</w:t>
      </w:r>
      <w:proofErr w:type="spellEnd"/>
      <w:r w:rsidRPr="00126817">
        <w:t xml:space="preserve"> water. The process was repeated 5 times. 5 µL of the obtained aqueous cross-linked crystal suspension were manually extended on top of a carbon adhesive surface attached on a SEM pin stud and allowed to dry at room temperature overnight. Samples were then coat with a fine carbon layer and examined by SEM using a FEI Quanta 400 ESEM equipment.</w:t>
      </w:r>
      <w:r>
        <w:t xml:space="preserve"> </w:t>
      </w:r>
      <w:r w:rsidRPr="00126817">
        <w:t xml:space="preserve">Crystal size distribution was measured from SEM images using ImageJ 1.47 software. The final result was expressed as the average size of 100 crystals per sample. In each </w:t>
      </w:r>
      <w:r w:rsidR="00772B25" w:rsidRPr="00126817">
        <w:t>analyzed</w:t>
      </w:r>
      <w:r w:rsidRPr="00126817">
        <w:t xml:space="preserve"> image, all crystals with at least one defined face have been measured taking the diagonal length of the biggest exposed face. </w:t>
      </w:r>
    </w:p>
    <w:p w14:paraId="15EB5B13" w14:textId="77777777" w:rsidR="00793BFA" w:rsidRDefault="00793BFA" w:rsidP="00793BFA">
      <w:pPr>
        <w:pStyle w:val="TAMainText"/>
      </w:pPr>
      <w:r w:rsidRPr="008E4001">
        <w:rPr>
          <w:b/>
          <w:i/>
          <w:iCs/>
        </w:rPr>
        <w:t>In vivo</w:t>
      </w:r>
      <w:r w:rsidRPr="00126817">
        <w:rPr>
          <w:b/>
        </w:rPr>
        <w:t xml:space="preserve"> assays</w:t>
      </w:r>
      <w:r w:rsidRPr="00126817">
        <w:t>: All animal procedures in this study were carried out in accordance with existing guidelines and were approved by the Animal Welfare Committee registry number: CEEA 2011–</w:t>
      </w:r>
      <w:r w:rsidRPr="00126817">
        <w:lastRenderedPageBreak/>
        <w:t>354. Male Wistar rats obtained from Janvier Labs (Le Genest-Saint-Isle, France) of approximately 8 weeks were used. Animals were maintained at the Unit of Animal Research Biomedical Research Center, University of Granada, Granada, Spain in specific pathogen-free conditions with free access to autoclaved tap water and food Harlan-</w:t>
      </w:r>
      <w:proofErr w:type="spellStart"/>
      <w:r w:rsidRPr="00126817">
        <w:t>Teklad</w:t>
      </w:r>
      <w:proofErr w:type="spellEnd"/>
      <w:r w:rsidRPr="00126817">
        <w:t xml:space="preserve"> 2014, Harlan </w:t>
      </w:r>
      <w:proofErr w:type="spellStart"/>
      <w:r w:rsidRPr="00126817">
        <w:t>Ibérica</w:t>
      </w:r>
      <w:proofErr w:type="spellEnd"/>
      <w:r w:rsidRPr="00126817">
        <w:t xml:space="preserve">, Barcelona, Spain. </w:t>
      </w:r>
    </w:p>
    <w:p w14:paraId="01119FA7" w14:textId="77777777" w:rsidR="00793BFA" w:rsidRDefault="00793BFA" w:rsidP="00793BFA">
      <w:pPr>
        <w:pStyle w:val="TAMainText"/>
      </w:pPr>
      <w:r w:rsidRPr="008E4001">
        <w:rPr>
          <w:b/>
          <w:i/>
          <w:iCs/>
        </w:rPr>
        <w:t>In vivo</w:t>
      </w:r>
      <w:r w:rsidRPr="00126817">
        <w:rPr>
          <w:b/>
        </w:rPr>
        <w:t xml:space="preserve"> experiments</w:t>
      </w:r>
      <w:r w:rsidRPr="00126817">
        <w:t xml:space="preserve">: rats were fasted overnight and a sample for basal glycemia determination was obtained. Rats were then administered subcutaneously an insulin preparation or vehicle. Namely, standard human insulin, agarose and Fmoc-AA crystals or the respective vehicle. The samples were subjected to 30 min UV radiation for sterilization purposes. Insulin preparations were subjected to incubation at 20 °C or 50 °C for 1 week and 60 °C for 24 h in order to test thermostability. Blood samples were obtained at 0.5, 1, 2, 4, 6 and 8 hours after administration of Fmoc-AA crystals, or at 20, 40, 60, 90, 120 and 180 minutes of agarose crystals, owing to the different time response (n=10 except n=7 for native insulin with thermal stress and n=4 for the groups receiving gel without insulin). Blood samples were drawn from a little incision of the tip of the rat tails and the blood was spun and plasma stored at -80 °C until assayed for glucose levels. </w:t>
      </w:r>
    </w:p>
    <w:p w14:paraId="1C26828B" w14:textId="77777777" w:rsidR="00793BFA" w:rsidRPr="00126817" w:rsidRDefault="00793BFA" w:rsidP="00793BFA">
      <w:pPr>
        <w:pStyle w:val="TAMainText"/>
      </w:pPr>
      <w:r w:rsidRPr="00126817">
        <w:rPr>
          <w:b/>
        </w:rPr>
        <w:t>Measurement of glucose levels</w:t>
      </w:r>
      <w:r w:rsidRPr="00126817">
        <w:t xml:space="preserve">: glucose plasma levels were measured using the enzymatic kit from </w:t>
      </w:r>
      <w:proofErr w:type="spellStart"/>
      <w:r w:rsidRPr="00126817">
        <w:t>SpinReact</w:t>
      </w:r>
      <w:proofErr w:type="spellEnd"/>
      <w:r w:rsidRPr="00126817">
        <w:t xml:space="preserve"> (Ref. 1001192) following the manufacturer’s instructions.</w:t>
      </w:r>
    </w:p>
    <w:p w14:paraId="0C6ABCCE" w14:textId="77777777" w:rsidR="00793BFA" w:rsidRPr="00126817" w:rsidRDefault="00793BFA" w:rsidP="00793BFA">
      <w:pPr>
        <w:pStyle w:val="TAMainText"/>
      </w:pPr>
      <w:r w:rsidRPr="008E4001">
        <w:rPr>
          <w:b/>
          <w:i/>
          <w:iCs/>
        </w:rPr>
        <w:t>In vivo</w:t>
      </w:r>
      <w:r w:rsidRPr="00126817">
        <w:rPr>
          <w:b/>
        </w:rPr>
        <w:t xml:space="preserve"> data and statistical analysis</w:t>
      </w:r>
      <w:r w:rsidRPr="00126817">
        <w:t>: samples were run at least in triplicate and results are expressed as mean ± standard error of the mean SEM. Differences among means were tested for statistical significance by two-way ANOVA and a posteriori Fisher’s least significant difference tests on preselected pairs. All analyses were carried out with the GraphPad Prism 6 (La Jolla, CA, USA). Differences were considered significant at P &lt; 0.05.</w:t>
      </w:r>
    </w:p>
    <w:p w14:paraId="75D9F38D" w14:textId="7B20FDAA" w:rsidR="00793BFA" w:rsidRPr="00126817" w:rsidRDefault="00793BFA" w:rsidP="00793BFA">
      <w:pPr>
        <w:pStyle w:val="TAMainText"/>
      </w:pPr>
      <w:r w:rsidRPr="00126817">
        <w:rPr>
          <w:b/>
        </w:rPr>
        <w:t>Toxicological studies</w:t>
      </w:r>
      <w:r w:rsidRPr="00126817">
        <w:t xml:space="preserve">: IEC18 (passages 56-61) and </w:t>
      </w:r>
      <w:proofErr w:type="spellStart"/>
      <w:r w:rsidRPr="00126817">
        <w:t>Caco</w:t>
      </w:r>
      <w:proofErr w:type="spellEnd"/>
      <w:r w:rsidRPr="00126817">
        <w:t xml:space="preserve"> 2</w:t>
      </w:r>
      <w:r w:rsidR="00772B25">
        <w:t>T</w:t>
      </w:r>
      <w:r w:rsidRPr="00126817">
        <w:t xml:space="preserve"> cells (passages 65-70) were cultured in standard conditions to confluence in 96 well plates, then exposed to the composite </w:t>
      </w:r>
      <w:r w:rsidRPr="00126817">
        <w:lastRenderedPageBreak/>
        <w:t>crystals for 16 h in fresh culture medium (Dulbecco’s Modified Eagle’s Medium with 10% fetal bovine serum, 100 IU/ml penicillin, 0.1 mg/ml streptomycin, 25 µg/ml Fungizone (Gibco) and 2 mM L-glutamine, Sigma). LDH activity was measured in the supernatant using Pierce cytotoxicity kits (ref. 88954) while cells appearance was documented with an Olympus CKX41 microscope</w:t>
      </w:r>
      <w:r>
        <w:t>.</w:t>
      </w:r>
    </w:p>
    <w:p w14:paraId="14189EF8" w14:textId="77777777" w:rsidR="009B0A45" w:rsidRPr="002C105B" w:rsidRDefault="009B0A45" w:rsidP="00793BFA">
      <w:pPr>
        <w:pStyle w:val="TAMainText"/>
        <w:ind w:firstLine="0"/>
        <w:rPr>
          <w:lang w:val="en-GB"/>
        </w:rPr>
      </w:pPr>
    </w:p>
    <w:p w14:paraId="055D0760" w14:textId="77777777" w:rsidR="00DD6DBB" w:rsidRDefault="00C10EE0" w:rsidP="000B5610">
      <w:pPr>
        <w:pStyle w:val="TESupportingInformation"/>
        <w:spacing w:after="240"/>
        <w:ind w:firstLine="0"/>
        <w:jc w:val="left"/>
      </w:pPr>
      <w:r>
        <w:t>ASSOCIATED CONTENT</w:t>
      </w:r>
    </w:p>
    <w:p w14:paraId="5CF08E18" w14:textId="7C8B9E17" w:rsidR="00C10EE0" w:rsidRPr="001D5049" w:rsidRDefault="00C10EE0" w:rsidP="001D5049">
      <w:pPr>
        <w:pStyle w:val="TESupportingInformation"/>
      </w:pPr>
      <w:r w:rsidRPr="001D5049">
        <w:rPr>
          <w:b/>
          <w:bCs/>
        </w:rPr>
        <w:t>Supporting Information</w:t>
      </w:r>
      <w:r w:rsidRPr="001D5049">
        <w:t xml:space="preserve">. </w:t>
      </w:r>
      <w:r w:rsidR="001D5049" w:rsidRPr="001D5049">
        <w:t xml:space="preserve"> Figure S1 SEM images of all insulin crystals samples. Figure S2 HPLC calibration curve. Figure S3 HPLC analysis of control crystals. Figure S4 Mass spectra of all samples. Figure S5 Contrast phase microscopy of the two cell lines used to study the cytotoxicity. </w:t>
      </w:r>
      <w:r w:rsidR="0031373B" w:rsidRPr="001D5049">
        <w:t>The following files are available free of charge.</w:t>
      </w:r>
    </w:p>
    <w:p w14:paraId="13880C9B" w14:textId="77777777" w:rsidR="00DD6DBB" w:rsidRDefault="00DD6DBB" w:rsidP="00DD6DBB">
      <w:pPr>
        <w:pStyle w:val="FACorrespondingAuthorFootnote"/>
        <w:spacing w:after="0"/>
        <w:jc w:val="left"/>
      </w:pPr>
      <w:r>
        <w:t>AUTHOR INFORMATION</w:t>
      </w:r>
    </w:p>
    <w:p w14:paraId="5127C552" w14:textId="527AEAD0" w:rsidR="001D5049" w:rsidRPr="003F1D3C" w:rsidRDefault="001D5049" w:rsidP="00A72FAB">
      <w:pPr>
        <w:pStyle w:val="FAAuthorInfoSubtitle"/>
      </w:pPr>
      <w:r w:rsidRPr="003F1D3C">
        <w:t>Corresponding Author</w:t>
      </w:r>
      <w:r>
        <w:t>s</w:t>
      </w:r>
    </w:p>
    <w:p w14:paraId="7DC9B0F4" w14:textId="1FEA5CE2" w:rsidR="001D5049" w:rsidRPr="00375C57" w:rsidRDefault="001D5049" w:rsidP="001D5049">
      <w:pPr>
        <w:spacing w:after="160"/>
        <w:rPr>
          <w:rStyle w:val="Hipervnculo"/>
          <w:szCs w:val="24"/>
          <w:lang w:val="es-ES"/>
        </w:rPr>
      </w:pPr>
      <w:r w:rsidRPr="00375C57">
        <w:rPr>
          <w:lang w:val="es-ES"/>
        </w:rPr>
        <w:t xml:space="preserve">José A. </w:t>
      </w:r>
      <w:proofErr w:type="spellStart"/>
      <w:r w:rsidRPr="00375C57">
        <w:rPr>
          <w:lang w:val="es-ES"/>
        </w:rPr>
        <w:t>Gavira</w:t>
      </w:r>
      <w:proofErr w:type="spellEnd"/>
      <w:r w:rsidRPr="00375C57">
        <w:rPr>
          <w:lang w:val="es-ES"/>
        </w:rPr>
        <w:t xml:space="preserve">, </w:t>
      </w:r>
      <w:r w:rsidRPr="00375C57">
        <w:rPr>
          <w:szCs w:val="24"/>
          <w:lang w:val="es-ES"/>
        </w:rPr>
        <w:t xml:space="preserve">*E-mail: </w:t>
      </w:r>
      <w:hyperlink r:id="rId15" w:history="1">
        <w:r w:rsidRPr="00375C57">
          <w:rPr>
            <w:rStyle w:val="Hipervnculo"/>
            <w:szCs w:val="24"/>
            <w:lang w:val="es-ES"/>
          </w:rPr>
          <w:t>jgavira@iact.ugr-csic.es</w:t>
        </w:r>
      </w:hyperlink>
    </w:p>
    <w:p w14:paraId="3D967C7F" w14:textId="57F7D00C" w:rsidR="001D5049" w:rsidRPr="001D5049" w:rsidRDefault="001D5049" w:rsidP="001D5049">
      <w:pPr>
        <w:pStyle w:val="FACorrespondingAuthorFootnote"/>
        <w:spacing w:after="0"/>
        <w:jc w:val="left"/>
        <w:rPr>
          <w:szCs w:val="24"/>
          <w:lang w:val="es-ES"/>
        </w:rPr>
      </w:pPr>
      <w:r w:rsidRPr="00BC15C2">
        <w:rPr>
          <w:lang w:val="es-ES"/>
        </w:rPr>
        <w:t>Luis Álvarez de Cienfuegos</w:t>
      </w:r>
      <w:r>
        <w:rPr>
          <w:szCs w:val="24"/>
          <w:lang w:val="es-ES"/>
        </w:rPr>
        <w:t xml:space="preserve">, </w:t>
      </w:r>
      <w:r w:rsidRPr="001D5049">
        <w:rPr>
          <w:szCs w:val="24"/>
          <w:lang w:val="es-ES"/>
        </w:rPr>
        <w:t xml:space="preserve">*E-mail: </w:t>
      </w:r>
      <w:hyperlink r:id="rId16" w:history="1">
        <w:r w:rsidRPr="001D5049">
          <w:rPr>
            <w:rStyle w:val="Hipervnculo"/>
            <w:szCs w:val="24"/>
            <w:lang w:val="es-ES"/>
          </w:rPr>
          <w:t>lac@ugr.es</w:t>
        </w:r>
      </w:hyperlink>
      <w:r w:rsidRPr="001D5049">
        <w:rPr>
          <w:rStyle w:val="Hipervnculo"/>
          <w:szCs w:val="24"/>
          <w:lang w:val="es-ES"/>
        </w:rPr>
        <w:t xml:space="preserve"> </w:t>
      </w:r>
    </w:p>
    <w:p w14:paraId="5132F7B7" w14:textId="77777777" w:rsidR="001D5049" w:rsidRPr="00184DC2" w:rsidRDefault="001D5049" w:rsidP="00A72FAB">
      <w:pPr>
        <w:pStyle w:val="FAAuthorInfoSubtitle"/>
        <w:rPr>
          <w:lang w:val="es-ES"/>
        </w:rPr>
      </w:pPr>
      <w:r w:rsidRPr="00184DC2">
        <w:rPr>
          <w:lang w:val="es-ES"/>
        </w:rPr>
        <w:t>ORCID</w:t>
      </w:r>
    </w:p>
    <w:p w14:paraId="24DD874F" w14:textId="77777777" w:rsidR="00375C57" w:rsidRPr="00BC15C2" w:rsidRDefault="00375C57" w:rsidP="00A72FAB">
      <w:pPr>
        <w:pStyle w:val="FAAuthorInfoSubtitle"/>
        <w:rPr>
          <w:b/>
          <w:lang w:val="es-ES"/>
        </w:rPr>
      </w:pPr>
      <w:r w:rsidRPr="00BC15C2">
        <w:rPr>
          <w:lang w:val="es-ES"/>
        </w:rPr>
        <w:t>Rafael Contreras-Montoya: 0000-0002-0766-004X</w:t>
      </w:r>
    </w:p>
    <w:p w14:paraId="53F618C3" w14:textId="77777777" w:rsidR="00375C57" w:rsidRPr="00BC15C2" w:rsidRDefault="00375C57" w:rsidP="00A72FAB">
      <w:pPr>
        <w:pStyle w:val="FAAuthorInfoSubtitle"/>
        <w:rPr>
          <w:b/>
          <w:lang w:val="es-ES"/>
        </w:rPr>
      </w:pPr>
      <w:r w:rsidRPr="00BC15C2">
        <w:rPr>
          <w:lang w:val="es-ES"/>
        </w:rPr>
        <w:t>María Arredondo-Amador: 0000-0001-6618-1885</w:t>
      </w:r>
    </w:p>
    <w:p w14:paraId="2B5610AE" w14:textId="77777777" w:rsidR="001D5049" w:rsidRDefault="001D5049" w:rsidP="00A72FAB">
      <w:pPr>
        <w:pStyle w:val="FAAuthorInfoSubtitle"/>
        <w:rPr>
          <w:b/>
          <w:lang w:val="es-ES"/>
        </w:rPr>
      </w:pPr>
      <w:r>
        <w:rPr>
          <w:lang w:val="es-ES"/>
        </w:rPr>
        <w:t xml:space="preserve">Guillermo Escolano-Casado: </w:t>
      </w:r>
      <w:r w:rsidRPr="00451F63">
        <w:rPr>
          <w:lang w:val="es-ES"/>
        </w:rPr>
        <w:t>0000-0002-1996-1253</w:t>
      </w:r>
    </w:p>
    <w:p w14:paraId="612AAAE1" w14:textId="5E8DA1E3" w:rsidR="00375C57" w:rsidRPr="00375C57" w:rsidRDefault="00375C57" w:rsidP="00A72FAB">
      <w:pPr>
        <w:pStyle w:val="FAAuthorInfoSubtitle"/>
        <w:rPr>
          <w:lang w:val="es-ES"/>
        </w:rPr>
      </w:pPr>
      <w:r>
        <w:rPr>
          <w:lang w:val="es-ES"/>
        </w:rPr>
        <w:t xml:space="preserve">Mari C. Mañas-Torres: </w:t>
      </w:r>
      <w:r w:rsidRPr="00375C57">
        <w:rPr>
          <w:lang w:val="es-ES"/>
        </w:rPr>
        <w:t>0000-0003-4673-5224</w:t>
      </w:r>
    </w:p>
    <w:p w14:paraId="3FE5EBD8" w14:textId="597463EF" w:rsidR="001D5049" w:rsidRPr="00BC15C2" w:rsidRDefault="001D5049" w:rsidP="00A72FAB">
      <w:pPr>
        <w:pStyle w:val="FAAuthorInfoSubtitle"/>
        <w:rPr>
          <w:b/>
          <w:lang w:val="es-ES"/>
        </w:rPr>
      </w:pPr>
      <w:r w:rsidRPr="00BC15C2">
        <w:rPr>
          <w:lang w:val="es-ES"/>
        </w:rPr>
        <w:t>Mercedes González: 0000-0001-8216-6511</w:t>
      </w:r>
    </w:p>
    <w:p w14:paraId="6E1FD749" w14:textId="77777777" w:rsidR="001D5049" w:rsidRPr="00BC15C2" w:rsidRDefault="001D5049" w:rsidP="00A72FAB">
      <w:pPr>
        <w:pStyle w:val="FAAuthorInfoSubtitle"/>
        <w:rPr>
          <w:b/>
          <w:lang w:val="es-ES"/>
        </w:rPr>
      </w:pPr>
      <w:r w:rsidRPr="00BC15C2">
        <w:rPr>
          <w:lang w:val="es-ES"/>
        </w:rPr>
        <w:t xml:space="preserve">Mayte Conejero-Muriel: 0000-0002-2996-8723 </w:t>
      </w:r>
    </w:p>
    <w:p w14:paraId="6D145040" w14:textId="716A8E84" w:rsidR="00375C57" w:rsidRPr="00375C57" w:rsidRDefault="00375C57" w:rsidP="00A72FAB">
      <w:pPr>
        <w:pStyle w:val="FAAuthorInfoSubtitle"/>
        <w:rPr>
          <w:lang w:val="es-ES"/>
        </w:rPr>
      </w:pPr>
      <w:proofErr w:type="spellStart"/>
      <w:r>
        <w:rPr>
          <w:lang w:val="es-ES"/>
        </w:rPr>
        <w:lastRenderedPageBreak/>
        <w:t>Vaibhav</w:t>
      </w:r>
      <w:proofErr w:type="spellEnd"/>
      <w:r>
        <w:rPr>
          <w:lang w:val="es-ES"/>
        </w:rPr>
        <w:t xml:space="preserve"> </w:t>
      </w:r>
      <w:proofErr w:type="spellStart"/>
      <w:r>
        <w:rPr>
          <w:lang w:val="es-ES"/>
        </w:rPr>
        <w:t>Bhatia</w:t>
      </w:r>
      <w:proofErr w:type="spellEnd"/>
      <w:r>
        <w:rPr>
          <w:lang w:val="es-ES"/>
        </w:rPr>
        <w:t xml:space="preserve">: </w:t>
      </w:r>
      <w:r w:rsidRPr="00375C57">
        <w:rPr>
          <w:lang w:val="es-ES"/>
        </w:rPr>
        <w:t>0000-0003-4553-7824</w:t>
      </w:r>
    </w:p>
    <w:p w14:paraId="5692F9BD" w14:textId="190B99B4" w:rsidR="001D5049" w:rsidRPr="00BC15C2" w:rsidRDefault="001D5049" w:rsidP="00A72FAB">
      <w:pPr>
        <w:pStyle w:val="FAAuthorInfoSubtitle"/>
        <w:rPr>
          <w:b/>
          <w:lang w:val="es-ES"/>
        </w:rPr>
      </w:pPr>
      <w:r w:rsidRPr="00BC15C2">
        <w:rPr>
          <w:lang w:val="es-ES"/>
        </w:rPr>
        <w:t>Juan J. Díaz-Mochón: 0000-0002-3599-1954</w:t>
      </w:r>
    </w:p>
    <w:p w14:paraId="5F83A8FE" w14:textId="77777777" w:rsidR="001D5049" w:rsidRPr="00BC15C2" w:rsidRDefault="001D5049" w:rsidP="00A72FAB">
      <w:pPr>
        <w:pStyle w:val="FAAuthorInfoSubtitle"/>
        <w:rPr>
          <w:b/>
          <w:lang w:val="es-ES"/>
        </w:rPr>
      </w:pPr>
      <w:r w:rsidRPr="00BC15C2">
        <w:rPr>
          <w:lang w:val="es-ES"/>
        </w:rPr>
        <w:t>Olga Martínez-</w:t>
      </w:r>
      <w:proofErr w:type="spellStart"/>
      <w:r w:rsidRPr="00BC15C2">
        <w:rPr>
          <w:lang w:val="es-ES"/>
        </w:rPr>
        <w:t>Augustin</w:t>
      </w:r>
      <w:proofErr w:type="spellEnd"/>
      <w:r w:rsidRPr="00BC15C2">
        <w:rPr>
          <w:lang w:val="es-ES"/>
        </w:rPr>
        <w:t>: 0000-0001-8291-3468</w:t>
      </w:r>
    </w:p>
    <w:p w14:paraId="58F6F03D" w14:textId="77777777" w:rsidR="001D5049" w:rsidRPr="00BC15C2" w:rsidRDefault="001D5049" w:rsidP="00A72FAB">
      <w:pPr>
        <w:pStyle w:val="FAAuthorInfoSubtitle"/>
        <w:rPr>
          <w:b/>
          <w:lang w:val="es-ES"/>
        </w:rPr>
      </w:pPr>
      <w:r w:rsidRPr="00BC15C2">
        <w:rPr>
          <w:lang w:val="es-ES"/>
        </w:rPr>
        <w:t>Fermín Sánchez de Medina: 0000-0002-4516-5824</w:t>
      </w:r>
    </w:p>
    <w:p w14:paraId="091B6569" w14:textId="54367B5F" w:rsidR="00375C57" w:rsidRPr="00375C57" w:rsidRDefault="00375C57" w:rsidP="00A72FAB">
      <w:pPr>
        <w:pStyle w:val="FAAuthorInfoSubtitle"/>
        <w:rPr>
          <w:b/>
          <w:lang w:val="es-ES"/>
        </w:rPr>
      </w:pPr>
      <w:r>
        <w:rPr>
          <w:lang w:val="es-ES"/>
        </w:rPr>
        <w:t xml:space="preserve">Modesto T. </w:t>
      </w:r>
      <w:proofErr w:type="spellStart"/>
      <w:r>
        <w:rPr>
          <w:lang w:val="es-ES"/>
        </w:rPr>
        <w:t>Lopez-Lopez</w:t>
      </w:r>
      <w:proofErr w:type="spellEnd"/>
      <w:r>
        <w:rPr>
          <w:lang w:val="es-ES"/>
        </w:rPr>
        <w:t xml:space="preserve">: </w:t>
      </w:r>
      <w:r w:rsidRPr="00375C57">
        <w:rPr>
          <w:lang w:val="es-ES"/>
        </w:rPr>
        <w:t>0000-0002-9068-7795</w:t>
      </w:r>
    </w:p>
    <w:p w14:paraId="78C2AE47" w14:textId="0FCC5BEB" w:rsidR="00375C57" w:rsidRPr="00375C57" w:rsidRDefault="00375C57" w:rsidP="00A72FAB">
      <w:pPr>
        <w:pStyle w:val="FAAuthorInfoSubtitle"/>
        <w:rPr>
          <w:lang w:val="es-ES"/>
        </w:rPr>
      </w:pPr>
      <w:r>
        <w:rPr>
          <w:lang w:val="es-ES"/>
        </w:rPr>
        <w:t xml:space="preserve">F. Conejero-Lara: </w:t>
      </w:r>
      <w:r w:rsidRPr="00375C57">
        <w:rPr>
          <w:lang w:val="es-ES"/>
        </w:rPr>
        <w:t>0000-0002-8282-2168</w:t>
      </w:r>
    </w:p>
    <w:p w14:paraId="146B3771" w14:textId="5D35EC9A" w:rsidR="001D5049" w:rsidRPr="00BC15C2" w:rsidRDefault="001D5049" w:rsidP="00A72FAB">
      <w:pPr>
        <w:pStyle w:val="FAAuthorInfoSubtitle"/>
        <w:rPr>
          <w:b/>
          <w:lang w:val="es-ES"/>
        </w:rPr>
      </w:pPr>
      <w:r w:rsidRPr="00BC15C2">
        <w:rPr>
          <w:lang w:val="es-ES"/>
        </w:rPr>
        <w:t xml:space="preserve">José A. </w:t>
      </w:r>
      <w:proofErr w:type="spellStart"/>
      <w:r w:rsidRPr="00BC15C2">
        <w:rPr>
          <w:lang w:val="es-ES"/>
        </w:rPr>
        <w:t>Gavira</w:t>
      </w:r>
      <w:proofErr w:type="spellEnd"/>
      <w:r w:rsidRPr="00BC15C2">
        <w:rPr>
          <w:lang w:val="es-ES"/>
        </w:rPr>
        <w:t>: 0000-0002-7386-6484</w:t>
      </w:r>
    </w:p>
    <w:p w14:paraId="703AB760" w14:textId="77777777" w:rsidR="001D5049" w:rsidRDefault="001D5049" w:rsidP="00A72FAB">
      <w:pPr>
        <w:pStyle w:val="FAAuthorInfoSubtitle"/>
        <w:rPr>
          <w:b/>
          <w:lang w:val="es-ES"/>
        </w:rPr>
      </w:pPr>
      <w:r w:rsidRPr="00BC15C2">
        <w:rPr>
          <w:lang w:val="es-ES"/>
        </w:rPr>
        <w:t>Luis Álvarez de Cienfuegos: 0000-0001-8910-4241</w:t>
      </w:r>
    </w:p>
    <w:p w14:paraId="1799C91A" w14:textId="77777777" w:rsidR="001D5049" w:rsidRPr="00184DC2" w:rsidRDefault="001D5049" w:rsidP="00A72FAB">
      <w:pPr>
        <w:pStyle w:val="FAAuthorInfoSubtitle"/>
      </w:pPr>
      <w:r w:rsidRPr="00184DC2">
        <w:t>Author Contributions</w:t>
      </w:r>
    </w:p>
    <w:p w14:paraId="1D430756" w14:textId="47A06A70" w:rsidR="0019691B" w:rsidRDefault="0019691B" w:rsidP="0019691B">
      <w:pPr>
        <w:spacing w:after="0" w:line="480" w:lineRule="auto"/>
        <w:rPr>
          <w:rFonts w:cs="Times"/>
          <w:szCs w:val="24"/>
          <w:lang w:val="en-GB"/>
        </w:rPr>
      </w:pPr>
      <w:r w:rsidRPr="00512216">
        <w:rPr>
          <w:rFonts w:cs="Times"/>
          <w:szCs w:val="24"/>
          <w:lang w:val="en-GB"/>
        </w:rPr>
        <w:t>JA</w:t>
      </w:r>
      <w:r>
        <w:rPr>
          <w:rFonts w:cs="Times"/>
          <w:szCs w:val="24"/>
          <w:lang w:val="en-GB"/>
        </w:rPr>
        <w:t>G</w:t>
      </w:r>
      <w:r w:rsidRPr="00512216">
        <w:rPr>
          <w:rFonts w:cs="Times"/>
          <w:szCs w:val="24"/>
          <w:lang w:val="en-GB"/>
        </w:rPr>
        <w:t xml:space="preserve"> and LAC conceived </w:t>
      </w:r>
      <w:r>
        <w:rPr>
          <w:rFonts w:cs="Times"/>
          <w:szCs w:val="24"/>
          <w:lang w:val="en-GB"/>
        </w:rPr>
        <w:t xml:space="preserve">the idea </w:t>
      </w:r>
      <w:r w:rsidRPr="00512216">
        <w:rPr>
          <w:rFonts w:cs="Times"/>
          <w:szCs w:val="24"/>
          <w:lang w:val="en-GB"/>
        </w:rPr>
        <w:t xml:space="preserve">and designed the </w:t>
      </w:r>
      <w:r>
        <w:rPr>
          <w:rFonts w:cs="Times"/>
          <w:szCs w:val="24"/>
          <w:lang w:val="en-GB"/>
        </w:rPr>
        <w:t xml:space="preserve">crystallization </w:t>
      </w:r>
      <w:r w:rsidRPr="00512216">
        <w:rPr>
          <w:rFonts w:cs="Times"/>
          <w:szCs w:val="24"/>
          <w:lang w:val="en-GB"/>
        </w:rPr>
        <w:t xml:space="preserve">experiments. OM-A and FSM designed the </w:t>
      </w:r>
      <w:r w:rsidRPr="00512216">
        <w:rPr>
          <w:rFonts w:cs="Times"/>
          <w:i/>
          <w:szCs w:val="24"/>
          <w:lang w:val="en-GB"/>
        </w:rPr>
        <w:t>in vivo</w:t>
      </w:r>
      <w:r w:rsidRPr="00512216">
        <w:rPr>
          <w:rFonts w:cs="Times"/>
          <w:szCs w:val="24"/>
          <w:lang w:val="en-GB"/>
        </w:rPr>
        <w:t xml:space="preserve"> experiments. RC-M</w:t>
      </w:r>
      <w:r>
        <w:rPr>
          <w:rFonts w:cs="Times"/>
          <w:szCs w:val="24"/>
          <w:lang w:val="en-GB"/>
        </w:rPr>
        <w:t xml:space="preserve">, </w:t>
      </w:r>
      <w:r w:rsidRPr="00512216">
        <w:rPr>
          <w:rFonts w:cs="Times"/>
          <w:szCs w:val="24"/>
          <w:lang w:val="en-GB"/>
        </w:rPr>
        <w:t xml:space="preserve">GE-C, </w:t>
      </w:r>
      <w:r>
        <w:rPr>
          <w:rFonts w:cs="Times"/>
          <w:szCs w:val="24"/>
          <w:lang w:val="en-GB"/>
        </w:rPr>
        <w:t>MCM-T</w:t>
      </w:r>
      <w:r w:rsidRPr="00512216">
        <w:rPr>
          <w:rFonts w:cs="Times"/>
          <w:szCs w:val="24"/>
          <w:lang w:val="en-GB"/>
        </w:rPr>
        <w:t xml:space="preserve"> and MC-M did the crystallization experiments. </w:t>
      </w:r>
      <w:r>
        <w:rPr>
          <w:rFonts w:cs="Times"/>
          <w:szCs w:val="24"/>
          <w:lang w:val="en-GB"/>
        </w:rPr>
        <w:t xml:space="preserve">MTL-L did the rheological experiments and interpreted the data. FC-L did the DSC experiments and interpreted the data. JJD-M analysed HPLC and mass spectrometry data. </w:t>
      </w:r>
      <w:r w:rsidRPr="00512216">
        <w:rPr>
          <w:rFonts w:cs="Times"/>
          <w:szCs w:val="24"/>
          <w:lang w:val="en-GB"/>
        </w:rPr>
        <w:t xml:space="preserve">MA-A and MG did the </w:t>
      </w:r>
      <w:r w:rsidRPr="00512216">
        <w:rPr>
          <w:rFonts w:cs="Times"/>
          <w:i/>
          <w:szCs w:val="24"/>
          <w:lang w:val="en-GB"/>
        </w:rPr>
        <w:t>in vivo</w:t>
      </w:r>
      <w:r w:rsidRPr="00512216">
        <w:rPr>
          <w:rFonts w:cs="Times"/>
          <w:szCs w:val="24"/>
          <w:lang w:val="en-GB"/>
        </w:rPr>
        <w:t xml:space="preserve"> experiments. OM-A, FSM, JJD-M, </w:t>
      </w:r>
      <w:r>
        <w:rPr>
          <w:rFonts w:cs="Times"/>
          <w:szCs w:val="24"/>
          <w:lang w:val="en-GB"/>
        </w:rPr>
        <w:t xml:space="preserve">VB, MTL-L, FC-L, </w:t>
      </w:r>
      <w:r w:rsidRPr="00512216">
        <w:rPr>
          <w:rFonts w:cs="Times"/>
          <w:szCs w:val="24"/>
          <w:lang w:val="en-GB"/>
        </w:rPr>
        <w:t>JAG and LAC discussed the results</w:t>
      </w:r>
      <w:r w:rsidR="00FE6799">
        <w:rPr>
          <w:rFonts w:cs="Times"/>
          <w:szCs w:val="24"/>
          <w:lang w:val="en-GB"/>
        </w:rPr>
        <w:t xml:space="preserve"> and</w:t>
      </w:r>
      <w:r w:rsidRPr="00512216">
        <w:rPr>
          <w:rFonts w:cs="Times"/>
          <w:szCs w:val="24"/>
          <w:lang w:val="en-GB"/>
        </w:rPr>
        <w:t xml:space="preserve"> contributed to draft writing and revision. All authors read and approved the final manuscript.</w:t>
      </w:r>
      <w:r w:rsidRPr="00E057FC">
        <w:rPr>
          <w:rFonts w:cs="Times"/>
          <w:szCs w:val="24"/>
          <w:lang w:val="en-GB"/>
        </w:rPr>
        <w:t xml:space="preserve"> </w:t>
      </w:r>
    </w:p>
    <w:p w14:paraId="6E83BD0F" w14:textId="77777777" w:rsidR="001D5049" w:rsidRPr="00E74C90" w:rsidRDefault="001D5049" w:rsidP="001D5049">
      <w:pPr>
        <w:spacing w:after="0" w:line="480" w:lineRule="auto"/>
        <w:rPr>
          <w:rFonts w:cs="Times"/>
          <w:szCs w:val="24"/>
          <w:lang w:val="en-GB"/>
        </w:rPr>
      </w:pPr>
      <w:r w:rsidRPr="004062FA">
        <w:rPr>
          <w:rFonts w:cs="Times"/>
          <w:szCs w:val="24"/>
          <w:vertAlign w:val="superscript"/>
          <w:lang w:val="en-GB"/>
        </w:rPr>
        <w:t>#</w:t>
      </w:r>
      <w:r w:rsidRPr="0031608B">
        <w:rPr>
          <w:rFonts w:cs="Times"/>
          <w:szCs w:val="24"/>
          <w:lang w:val="en-GB"/>
        </w:rPr>
        <w:t xml:space="preserve"> Both authors contributed equally to this work.</w:t>
      </w:r>
    </w:p>
    <w:p w14:paraId="1C26C7E3" w14:textId="77777777" w:rsidR="00A72FAB" w:rsidRDefault="00A72FAB" w:rsidP="00A72FAB">
      <w:pPr>
        <w:pStyle w:val="FAAuthorInfoSubtitle"/>
        <w:rPr>
          <w:lang w:val="en-GB"/>
        </w:rPr>
      </w:pPr>
      <w:r>
        <w:rPr>
          <w:lang w:val="en-GB"/>
        </w:rPr>
        <w:t>Notes</w:t>
      </w:r>
    </w:p>
    <w:p w14:paraId="3F4907EF" w14:textId="452E4C02" w:rsidR="00A72FAB" w:rsidRPr="00A72FAB" w:rsidRDefault="00A72FAB" w:rsidP="00A72FAB">
      <w:pPr>
        <w:pStyle w:val="FAAuthorInfoSubtitle"/>
      </w:pPr>
      <w:r w:rsidRPr="00A72FAB">
        <w:t xml:space="preserve">The authors declare no competing financial interest. </w:t>
      </w:r>
    </w:p>
    <w:p w14:paraId="60D4C5BE" w14:textId="77777777" w:rsidR="00C10EE0" w:rsidRPr="00DD6DBB" w:rsidRDefault="00C10EE0" w:rsidP="00A72FAB">
      <w:pPr>
        <w:pStyle w:val="FAAuthorInfoSubtitle"/>
      </w:pPr>
      <w:r w:rsidRPr="00DD6DBB">
        <w:t>Funding Sources</w:t>
      </w:r>
    </w:p>
    <w:p w14:paraId="7CC3E884" w14:textId="757FC596" w:rsidR="00184DC2" w:rsidRDefault="00375C57" w:rsidP="00184DC2">
      <w:pPr>
        <w:pStyle w:val="TDAcknowledgments"/>
        <w:spacing w:before="0" w:after="0"/>
        <w:ind w:firstLine="0"/>
      </w:pPr>
      <w:r w:rsidRPr="0094178E">
        <w:lastRenderedPageBreak/>
        <w:t xml:space="preserve">The research leading to these results has received funding from the “la Caixa” Banking Foundation” </w:t>
      </w:r>
      <w:proofErr w:type="spellStart"/>
      <w:r w:rsidRPr="0094178E">
        <w:t>CaixaImpulse</w:t>
      </w:r>
      <w:proofErr w:type="spellEnd"/>
      <w:r w:rsidRPr="0094178E">
        <w:t xml:space="preserve"> program, EIT-Health </w:t>
      </w:r>
      <w:proofErr w:type="spellStart"/>
      <w:r w:rsidRPr="0094178E">
        <w:t>PocPlus</w:t>
      </w:r>
      <w:proofErr w:type="spellEnd"/>
      <w:r w:rsidRPr="0094178E">
        <w:t xml:space="preserve"> program and from the Ministry of Economy and Competitiveness of Spain, acknowledged through the following projects: BIO2016-74875-P, BFU2014-57736-P, AGL2014-58883-R, SAF2017-88457-R, AGL2017-85270-R and FIS2017-85954-R co-funded by </w:t>
      </w:r>
      <w:proofErr w:type="spellStart"/>
      <w:r w:rsidRPr="0094178E">
        <w:t>Fondo</w:t>
      </w:r>
      <w:proofErr w:type="spellEnd"/>
      <w:r w:rsidRPr="0094178E">
        <w:t xml:space="preserve"> </w:t>
      </w:r>
      <w:proofErr w:type="spellStart"/>
      <w:r w:rsidRPr="0094178E">
        <w:t>Europeo</w:t>
      </w:r>
      <w:proofErr w:type="spellEnd"/>
      <w:r w:rsidRPr="0094178E">
        <w:t xml:space="preserve"> de Desarrollo Regional, ERDF, European Union and </w:t>
      </w:r>
      <w:r w:rsidRPr="00EC5633">
        <w:rPr>
          <w:bCs/>
        </w:rPr>
        <w:t>FEDER/Junta de Andalucía-</w:t>
      </w:r>
      <w:proofErr w:type="spellStart"/>
      <w:r w:rsidRPr="00EC5633">
        <w:rPr>
          <w:bCs/>
        </w:rPr>
        <w:t>Consejería</w:t>
      </w:r>
      <w:proofErr w:type="spellEnd"/>
      <w:r w:rsidRPr="00EC5633">
        <w:rPr>
          <w:bCs/>
        </w:rPr>
        <w:t xml:space="preserve"> de </w:t>
      </w:r>
      <w:proofErr w:type="spellStart"/>
      <w:r w:rsidRPr="00EC5633">
        <w:rPr>
          <w:bCs/>
        </w:rPr>
        <w:t>Transformación</w:t>
      </w:r>
      <w:proofErr w:type="spellEnd"/>
      <w:r w:rsidRPr="00EC5633">
        <w:rPr>
          <w:bCs/>
        </w:rPr>
        <w:t xml:space="preserve"> </w:t>
      </w:r>
      <w:proofErr w:type="spellStart"/>
      <w:r w:rsidRPr="00EC5633">
        <w:rPr>
          <w:bCs/>
        </w:rPr>
        <w:t>Económica</w:t>
      </w:r>
      <w:proofErr w:type="spellEnd"/>
      <w:r w:rsidRPr="00EC5633">
        <w:rPr>
          <w:bCs/>
        </w:rPr>
        <w:t xml:space="preserve">, </w:t>
      </w:r>
      <w:proofErr w:type="spellStart"/>
      <w:r w:rsidRPr="00EC5633">
        <w:rPr>
          <w:bCs/>
        </w:rPr>
        <w:t>Industria</w:t>
      </w:r>
      <w:proofErr w:type="spellEnd"/>
      <w:r w:rsidRPr="00EC5633">
        <w:rPr>
          <w:bCs/>
        </w:rPr>
        <w:t xml:space="preserve">, </w:t>
      </w:r>
      <w:proofErr w:type="spellStart"/>
      <w:r w:rsidRPr="00EC5633">
        <w:rPr>
          <w:bCs/>
        </w:rPr>
        <w:t>Conocimiento</w:t>
      </w:r>
      <w:proofErr w:type="spellEnd"/>
      <w:r w:rsidRPr="00EC5633">
        <w:rPr>
          <w:bCs/>
        </w:rPr>
        <w:t xml:space="preserve"> y </w:t>
      </w:r>
      <w:proofErr w:type="spellStart"/>
      <w:r w:rsidRPr="00EC5633">
        <w:rPr>
          <w:bCs/>
        </w:rPr>
        <w:t>Universidades</w:t>
      </w:r>
      <w:proofErr w:type="spellEnd"/>
      <w:r w:rsidRPr="00EC5633">
        <w:t xml:space="preserve"> (Spain) </w:t>
      </w:r>
      <w:r w:rsidRPr="0094178E">
        <w:t xml:space="preserve">projects P18-FR-3533, P12-FQM-2721, P12-FQM-790, CTS235 and CTS164. MA-A and MCM-T, were supported by fellowships from the Ministry of Education. </w:t>
      </w:r>
      <w:proofErr w:type="spellStart"/>
      <w:r w:rsidRPr="0094178E">
        <w:t>CIBERehd</w:t>
      </w:r>
      <w:proofErr w:type="spellEnd"/>
      <w:r w:rsidRPr="0094178E">
        <w:t xml:space="preserve"> is funded by Instituto de </w:t>
      </w:r>
      <w:proofErr w:type="spellStart"/>
      <w:r w:rsidRPr="0094178E">
        <w:t>Salud</w:t>
      </w:r>
      <w:proofErr w:type="spellEnd"/>
      <w:r w:rsidRPr="0094178E">
        <w:t xml:space="preserve"> Carlos III.</w:t>
      </w:r>
    </w:p>
    <w:p w14:paraId="3E9D8ED4" w14:textId="77777777" w:rsidR="00A72FAB" w:rsidRDefault="00A72FAB" w:rsidP="00184DC2">
      <w:pPr>
        <w:pStyle w:val="TDAcknowledgments"/>
        <w:spacing w:before="0" w:after="0"/>
        <w:ind w:firstLine="0"/>
      </w:pPr>
    </w:p>
    <w:p w14:paraId="31E36737" w14:textId="229EBBF6" w:rsidR="00DD6DBB" w:rsidRDefault="00DD6DBB" w:rsidP="00184DC2">
      <w:pPr>
        <w:pStyle w:val="TDAcknowledgments"/>
        <w:spacing w:before="0" w:after="0"/>
        <w:ind w:firstLine="0"/>
      </w:pPr>
      <w:r>
        <w:t>ACKNOWLEDGMENT</w:t>
      </w:r>
      <w:r w:rsidR="00A72FAB">
        <w:t>S</w:t>
      </w:r>
    </w:p>
    <w:p w14:paraId="3D6B9555" w14:textId="0DC3BD89" w:rsidR="00A72FAB" w:rsidRDefault="00184DC2" w:rsidP="00A72FAB">
      <w:pPr>
        <w:pStyle w:val="TDAcknowledgments"/>
      </w:pPr>
      <w:r w:rsidRPr="0094178E">
        <w:t xml:space="preserve">We want to thank “Unidad de </w:t>
      </w:r>
      <w:proofErr w:type="spellStart"/>
      <w:r w:rsidRPr="0094178E">
        <w:t>Excelencia</w:t>
      </w:r>
      <w:proofErr w:type="spellEnd"/>
      <w:r w:rsidRPr="0094178E">
        <w:t xml:space="preserve"> </w:t>
      </w:r>
      <w:proofErr w:type="spellStart"/>
      <w:r w:rsidRPr="0094178E">
        <w:t>Química</w:t>
      </w:r>
      <w:proofErr w:type="spellEnd"/>
      <w:r w:rsidRPr="0094178E">
        <w:t xml:space="preserve"> </w:t>
      </w:r>
      <w:proofErr w:type="spellStart"/>
      <w:r w:rsidRPr="0094178E">
        <w:t>aplicada</w:t>
      </w:r>
      <w:proofErr w:type="spellEnd"/>
      <w:r w:rsidRPr="0094178E">
        <w:t xml:space="preserve"> a </w:t>
      </w:r>
      <w:proofErr w:type="spellStart"/>
      <w:r w:rsidRPr="0094178E">
        <w:t>Biomedicina</w:t>
      </w:r>
      <w:proofErr w:type="spellEnd"/>
      <w:r w:rsidRPr="0094178E">
        <w:t xml:space="preserve"> y </w:t>
      </w:r>
      <w:proofErr w:type="spellStart"/>
      <w:r w:rsidRPr="0094178E">
        <w:t>Medioambiente</w:t>
      </w:r>
      <w:proofErr w:type="spellEnd"/>
      <w:r w:rsidRPr="0094178E">
        <w:t xml:space="preserve">” of the University of Granada. </w:t>
      </w:r>
      <w:r w:rsidR="00660E88">
        <w:t>We would like to t</w:t>
      </w:r>
      <w:r w:rsidR="00853479">
        <w:t>hank</w:t>
      </w:r>
      <w:r w:rsidR="00660E88">
        <w:t xml:space="preserve"> Dr. </w:t>
      </w:r>
      <w:r w:rsidR="00853479">
        <w:t>Juan José Guardia-</w:t>
      </w:r>
      <w:proofErr w:type="spellStart"/>
      <w:r w:rsidR="00853479">
        <w:t>Monteagudo</w:t>
      </w:r>
      <w:proofErr w:type="spellEnd"/>
      <w:r w:rsidR="00660E88">
        <w:t xml:space="preserve"> for his help in performing HPLC and mass measurements. </w:t>
      </w:r>
      <w:r w:rsidRPr="0094178E">
        <w:t>Thanks go to the CIC personnel of the University of Granada for technical assistance.</w:t>
      </w:r>
    </w:p>
    <w:p w14:paraId="0119F359" w14:textId="77777777" w:rsidR="00A72FAB" w:rsidRPr="00A72FAB" w:rsidRDefault="00A72FAB" w:rsidP="00A72FAB"/>
    <w:p w14:paraId="2DB34EE7" w14:textId="77777777" w:rsidR="00DD6DBB" w:rsidRDefault="00DD6DBB" w:rsidP="000B5610">
      <w:pPr>
        <w:pStyle w:val="TFReferencesSection"/>
        <w:spacing w:after="0"/>
        <w:ind w:firstLine="0"/>
      </w:pPr>
      <w:r>
        <w:t>REFERENCES</w:t>
      </w:r>
    </w:p>
    <w:p w14:paraId="6FCC2360" w14:textId="67014B4B" w:rsidR="00184DC2" w:rsidRPr="00A72FAB" w:rsidRDefault="00683131" w:rsidP="00184DC2">
      <w:pPr>
        <w:widowControl w:val="0"/>
        <w:autoSpaceDE w:val="0"/>
        <w:autoSpaceDN w:val="0"/>
        <w:adjustRightInd w:val="0"/>
        <w:spacing w:after="240" w:line="480" w:lineRule="auto"/>
        <w:ind w:left="640" w:hanging="640"/>
        <w:rPr>
          <w:noProof/>
        </w:rPr>
      </w:pPr>
      <w:r>
        <w:t xml:space="preserve"> </w:t>
      </w:r>
      <w:r w:rsidR="00184DC2">
        <w:fldChar w:fldCharType="begin" w:fldLock="1"/>
      </w:r>
      <w:r w:rsidR="00184DC2">
        <w:instrText xml:space="preserve">ADDIN Mendeley Bibliography CSL_BIBLIOGRAPHY </w:instrText>
      </w:r>
      <w:r w:rsidR="00184DC2">
        <w:fldChar w:fldCharType="separate"/>
      </w:r>
      <w:r w:rsidR="00184DC2" w:rsidRPr="00A72FAB">
        <w:rPr>
          <w:noProof/>
        </w:rPr>
        <w:t xml:space="preserve">(1) </w:t>
      </w:r>
      <w:r w:rsidR="00184DC2" w:rsidRPr="00A72FAB">
        <w:rPr>
          <w:noProof/>
        </w:rPr>
        <w:tab/>
        <w:t xml:space="preserve">Leader, B.; Baca, Q. J.; Golan, D. E. Protein Therapeutics: A Summary and Pharmacological Classification. </w:t>
      </w:r>
      <w:r w:rsidR="00184DC2" w:rsidRPr="00A72FAB">
        <w:rPr>
          <w:i/>
          <w:iCs/>
          <w:noProof/>
        </w:rPr>
        <w:t>Nat. Rev. Drug Discov.</w:t>
      </w:r>
      <w:r w:rsidR="00184DC2" w:rsidRPr="00A72FAB">
        <w:rPr>
          <w:noProof/>
        </w:rPr>
        <w:t xml:space="preserve"> </w:t>
      </w:r>
      <w:r w:rsidR="00184DC2" w:rsidRPr="00A72FAB">
        <w:rPr>
          <w:b/>
          <w:bCs/>
          <w:noProof/>
        </w:rPr>
        <w:t>2008</w:t>
      </w:r>
      <w:r w:rsidR="00184DC2" w:rsidRPr="00A72FAB">
        <w:rPr>
          <w:noProof/>
        </w:rPr>
        <w:t xml:space="preserve">, </w:t>
      </w:r>
      <w:r w:rsidR="00184DC2" w:rsidRPr="00A72FAB">
        <w:rPr>
          <w:i/>
          <w:iCs/>
          <w:noProof/>
        </w:rPr>
        <w:t>7</w:t>
      </w:r>
      <w:r w:rsidR="00184DC2" w:rsidRPr="00A72FAB">
        <w:rPr>
          <w:noProof/>
        </w:rPr>
        <w:t xml:space="preserve"> (1), 21–39. https://doi.org/10.1038/nrd2399.</w:t>
      </w:r>
    </w:p>
    <w:p w14:paraId="05760DCB"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 </w:t>
      </w:r>
      <w:r w:rsidRPr="00A72FAB">
        <w:rPr>
          <w:noProof/>
        </w:rPr>
        <w:tab/>
        <w:t xml:space="preserve">Shire, S. J. Formulation and Manufacturability of Biologics. </w:t>
      </w:r>
      <w:r w:rsidRPr="00A72FAB">
        <w:rPr>
          <w:i/>
          <w:iCs/>
          <w:noProof/>
        </w:rPr>
        <w:t>Curr. Opin. Biotechnol.</w:t>
      </w:r>
      <w:r w:rsidRPr="00A72FAB">
        <w:rPr>
          <w:noProof/>
        </w:rPr>
        <w:t xml:space="preserve"> </w:t>
      </w:r>
      <w:r w:rsidRPr="00A72FAB">
        <w:rPr>
          <w:b/>
          <w:bCs/>
          <w:noProof/>
        </w:rPr>
        <w:t>2009</w:t>
      </w:r>
      <w:r w:rsidRPr="00A72FAB">
        <w:rPr>
          <w:noProof/>
        </w:rPr>
        <w:t xml:space="preserve">, </w:t>
      </w:r>
      <w:r w:rsidRPr="00A72FAB">
        <w:rPr>
          <w:i/>
          <w:iCs/>
          <w:noProof/>
        </w:rPr>
        <w:t>20</w:t>
      </w:r>
      <w:r w:rsidRPr="00A72FAB">
        <w:rPr>
          <w:noProof/>
        </w:rPr>
        <w:t xml:space="preserve"> (6), 708–714. https://doi.org/10.1016/j.copbio.2009.10.006.</w:t>
      </w:r>
    </w:p>
    <w:p w14:paraId="1CFBD839"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lastRenderedPageBreak/>
        <w:t xml:space="preserve">(3) </w:t>
      </w:r>
      <w:r w:rsidRPr="00A72FAB">
        <w:rPr>
          <w:noProof/>
        </w:rPr>
        <w:tab/>
        <w:t xml:space="preserve">Mitragotri, S.; Burke, P. A.; Langer, R. Overcoming the Challenges in Administering Biopharmaceuticals: Formulation and Delivery Strategies. </w:t>
      </w:r>
      <w:r w:rsidRPr="00A72FAB">
        <w:rPr>
          <w:i/>
          <w:iCs/>
          <w:noProof/>
        </w:rPr>
        <w:t>Nat. Rev. Drug Discov.</w:t>
      </w:r>
      <w:r w:rsidRPr="00A72FAB">
        <w:rPr>
          <w:noProof/>
        </w:rPr>
        <w:t xml:space="preserve"> </w:t>
      </w:r>
      <w:r w:rsidRPr="00A72FAB">
        <w:rPr>
          <w:b/>
          <w:bCs/>
          <w:noProof/>
        </w:rPr>
        <w:t>2014</w:t>
      </w:r>
      <w:r w:rsidRPr="00A72FAB">
        <w:rPr>
          <w:noProof/>
        </w:rPr>
        <w:t xml:space="preserve">, </w:t>
      </w:r>
      <w:r w:rsidRPr="00A72FAB">
        <w:rPr>
          <w:i/>
          <w:iCs/>
          <w:noProof/>
        </w:rPr>
        <w:t>13</w:t>
      </w:r>
      <w:r w:rsidRPr="00A72FAB">
        <w:rPr>
          <w:noProof/>
        </w:rPr>
        <w:t xml:space="preserve"> (9), 655–672. https://doi.org/10.1038/nrd4363.</w:t>
      </w:r>
    </w:p>
    <w:p w14:paraId="04A2D462"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(4) </w:t>
      </w:r>
      <w:r w:rsidRPr="00A72FAB">
        <w:rPr>
          <w:noProof/>
        </w:rPr>
        <w:tab/>
        <w:t xml:space="preserve">Bruno, B. J.; Miller, G. D.; Lim, C. S. Basics and Recent Advances in Peptide and Protein Drug Delivery. </w:t>
      </w:r>
      <w:r w:rsidRPr="00A72FAB">
        <w:rPr>
          <w:i/>
          <w:iCs/>
          <w:noProof/>
        </w:rPr>
        <w:t>Ther. Deliv.</w:t>
      </w:r>
      <w:r w:rsidRPr="00A72FAB">
        <w:rPr>
          <w:noProof/>
        </w:rPr>
        <w:t xml:space="preserve"> </w:t>
      </w:r>
      <w:r w:rsidRPr="00A72FAB">
        <w:rPr>
          <w:b/>
          <w:bCs/>
          <w:noProof/>
        </w:rPr>
        <w:t>2013</w:t>
      </w:r>
      <w:r w:rsidRPr="00A72FAB">
        <w:rPr>
          <w:noProof/>
        </w:rPr>
        <w:t xml:space="preserve">, </w:t>
      </w:r>
      <w:r w:rsidRPr="00A72FAB">
        <w:rPr>
          <w:i/>
          <w:iCs/>
          <w:noProof/>
        </w:rPr>
        <w:t>4</w:t>
      </w:r>
      <w:r w:rsidRPr="00A72FAB">
        <w:rPr>
          <w:noProof/>
        </w:rPr>
        <w:t xml:space="preserve"> (11), 1443–1467. https://doi.org/10.4155/tde.13.104.</w:t>
      </w:r>
    </w:p>
    <w:p w14:paraId="75BA66A0"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(5) </w:t>
      </w:r>
      <w:r w:rsidRPr="00A72FAB">
        <w:rPr>
          <w:noProof/>
        </w:rPr>
        <w:tab/>
        <w:t xml:space="preserve">Uhrich, K. E.; Cannizzaro, S. M.; Langer, R. S.; Shakesheff, K. M. Polymeric Systems for Controlled Drug Release. </w:t>
      </w:r>
      <w:r w:rsidRPr="00A72FAB">
        <w:rPr>
          <w:i/>
          <w:iCs/>
          <w:noProof/>
        </w:rPr>
        <w:t>Chem. Rev.</w:t>
      </w:r>
      <w:r w:rsidRPr="00A72FAB">
        <w:rPr>
          <w:noProof/>
        </w:rPr>
        <w:t xml:space="preserve"> </w:t>
      </w:r>
      <w:r w:rsidRPr="00A72FAB">
        <w:rPr>
          <w:b/>
          <w:bCs/>
          <w:noProof/>
        </w:rPr>
        <w:t>1999</w:t>
      </w:r>
      <w:r w:rsidRPr="00A72FAB">
        <w:rPr>
          <w:noProof/>
        </w:rPr>
        <w:t xml:space="preserve">, </w:t>
      </w:r>
      <w:r w:rsidRPr="00A72FAB">
        <w:rPr>
          <w:i/>
          <w:iCs/>
          <w:noProof/>
        </w:rPr>
        <w:t>99</w:t>
      </w:r>
      <w:r w:rsidRPr="00A72FAB">
        <w:rPr>
          <w:noProof/>
        </w:rPr>
        <w:t xml:space="preserve"> (11), 3181–3198. https://doi.org/10.1021/cr940351u.</w:t>
      </w:r>
    </w:p>
    <w:p w14:paraId="0AFFFCB8"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(6) </w:t>
      </w:r>
      <w:r w:rsidRPr="00A72FAB">
        <w:rPr>
          <w:noProof/>
        </w:rPr>
        <w:tab/>
        <w:t xml:space="preserve">Censi, R.; Di Martino, P.; Vermonden, T.; Hennink, W. E. Hydrogels for Protein Delivery in Tissue Engineering. </w:t>
      </w:r>
      <w:r w:rsidRPr="00A72FAB">
        <w:rPr>
          <w:i/>
          <w:iCs/>
          <w:noProof/>
        </w:rPr>
        <w:t>J. Control. Release</w:t>
      </w:r>
      <w:r w:rsidRPr="00A72FAB">
        <w:rPr>
          <w:noProof/>
        </w:rPr>
        <w:t xml:space="preserve"> </w:t>
      </w:r>
      <w:r w:rsidRPr="00A72FAB">
        <w:rPr>
          <w:b/>
          <w:bCs/>
          <w:noProof/>
        </w:rPr>
        <w:t>2012</w:t>
      </w:r>
      <w:r w:rsidRPr="00A72FAB">
        <w:rPr>
          <w:noProof/>
        </w:rPr>
        <w:t xml:space="preserve">, </w:t>
      </w:r>
      <w:r w:rsidRPr="00A72FAB">
        <w:rPr>
          <w:i/>
          <w:iCs/>
          <w:noProof/>
        </w:rPr>
        <w:t>161</w:t>
      </w:r>
      <w:r w:rsidRPr="00A72FAB">
        <w:rPr>
          <w:noProof/>
        </w:rPr>
        <w:t xml:space="preserve"> (2), 680–692. https://doi.org/10.1016/j.jconrel.2012.03.002.</w:t>
      </w:r>
    </w:p>
    <w:p w14:paraId="198EC43C"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(7) </w:t>
      </w:r>
      <w:r w:rsidRPr="00A72FAB">
        <w:rPr>
          <w:noProof/>
        </w:rPr>
        <w:tab/>
        <w:t xml:space="preserve">Bertz, A.; Wöhl-Bruhn, S.; Miethe, S.; Tiersch, B.; Koetz, J.; Hust, M.; Bunjes, H.; Menzel, H. Encapsulation of Proteins in Hydrogel Carrier Systems for Controlled Drug Delivery: Influence of Network Structure and Drug Size on Release Rate. </w:t>
      </w:r>
      <w:r w:rsidRPr="00A72FAB">
        <w:rPr>
          <w:i/>
          <w:iCs/>
          <w:noProof/>
        </w:rPr>
        <w:t>J. Biotechnol.</w:t>
      </w:r>
      <w:r w:rsidRPr="00A72FAB">
        <w:rPr>
          <w:noProof/>
        </w:rPr>
        <w:t xml:space="preserve"> </w:t>
      </w:r>
      <w:r w:rsidRPr="00A72FAB">
        <w:rPr>
          <w:b/>
          <w:bCs/>
          <w:noProof/>
        </w:rPr>
        <w:t>2013</w:t>
      </w:r>
      <w:r w:rsidRPr="00A72FAB">
        <w:rPr>
          <w:noProof/>
        </w:rPr>
        <w:t xml:space="preserve">, </w:t>
      </w:r>
      <w:r w:rsidRPr="00A72FAB">
        <w:rPr>
          <w:i/>
          <w:iCs/>
          <w:noProof/>
        </w:rPr>
        <w:t>163</w:t>
      </w:r>
      <w:r w:rsidRPr="00A72FAB">
        <w:rPr>
          <w:noProof/>
        </w:rPr>
        <w:t xml:space="preserve"> (2), 243–249. https://doi.org/10.1016/j.jbiotec.2012.06.036.</w:t>
      </w:r>
    </w:p>
    <w:p w14:paraId="150AFDC7"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(8) </w:t>
      </w:r>
      <w:r w:rsidRPr="00A72FAB">
        <w:rPr>
          <w:noProof/>
        </w:rPr>
        <w:tab/>
        <w:t xml:space="preserve">Bae, K. H.; Kurisawa, M. Emerging Hydrogel Designs for Controlled Protein Delivery. </w:t>
      </w:r>
      <w:r w:rsidRPr="00A72FAB">
        <w:rPr>
          <w:i/>
          <w:iCs/>
          <w:noProof/>
        </w:rPr>
        <w:t>Biomater. Sci.</w:t>
      </w:r>
      <w:r w:rsidRPr="00A72FAB">
        <w:rPr>
          <w:noProof/>
        </w:rPr>
        <w:t xml:space="preserve"> </w:t>
      </w:r>
      <w:r w:rsidRPr="00A72FAB">
        <w:rPr>
          <w:b/>
          <w:bCs/>
          <w:noProof/>
        </w:rPr>
        <w:t>2016</w:t>
      </w:r>
      <w:r w:rsidRPr="00A72FAB">
        <w:rPr>
          <w:noProof/>
        </w:rPr>
        <w:t xml:space="preserve">, </w:t>
      </w:r>
      <w:r w:rsidRPr="00A72FAB">
        <w:rPr>
          <w:i/>
          <w:iCs/>
          <w:noProof/>
        </w:rPr>
        <w:t>4</w:t>
      </w:r>
      <w:r w:rsidRPr="00A72FAB">
        <w:rPr>
          <w:noProof/>
        </w:rPr>
        <w:t xml:space="preserve"> (8), 1184–1192. https://doi.org/10.1039/c6bm00330c.</w:t>
      </w:r>
    </w:p>
    <w:p w14:paraId="61B675CF"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(9) </w:t>
      </w:r>
      <w:r w:rsidRPr="00A72FAB">
        <w:rPr>
          <w:noProof/>
        </w:rPr>
        <w:tab/>
        <w:t xml:space="preserve">Kurisawa, M.; Lee, F.; Wang, L. S.; Chung, J. E. Injectable Enzymatically Crosslinked Hydrogel System with Independent Tuning of Mechanical Strength and Gelation Rate for Drug Delivery and Tissue Engineering. </w:t>
      </w:r>
      <w:r w:rsidRPr="00A72FAB">
        <w:rPr>
          <w:i/>
          <w:iCs/>
          <w:noProof/>
        </w:rPr>
        <w:t>J. Mater. Chem.</w:t>
      </w:r>
      <w:r w:rsidRPr="00A72FAB">
        <w:rPr>
          <w:noProof/>
        </w:rPr>
        <w:t xml:space="preserve"> </w:t>
      </w:r>
      <w:r w:rsidRPr="00A72FAB">
        <w:rPr>
          <w:b/>
          <w:bCs/>
          <w:noProof/>
        </w:rPr>
        <w:t>2010</w:t>
      </w:r>
      <w:r w:rsidRPr="00A72FAB">
        <w:rPr>
          <w:noProof/>
        </w:rPr>
        <w:t xml:space="preserve">, </w:t>
      </w:r>
      <w:r w:rsidRPr="00A72FAB">
        <w:rPr>
          <w:i/>
          <w:iCs/>
          <w:noProof/>
        </w:rPr>
        <w:t>20</w:t>
      </w:r>
      <w:r w:rsidRPr="00A72FAB">
        <w:rPr>
          <w:noProof/>
        </w:rPr>
        <w:t xml:space="preserve"> (26), 5371–5375. https://doi.org/10.1039/b926456f.</w:t>
      </w:r>
    </w:p>
    <w:p w14:paraId="2FD28115"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lastRenderedPageBreak/>
        <w:t xml:space="preserve">(10) </w:t>
      </w:r>
      <w:r w:rsidRPr="00A72FAB">
        <w:rPr>
          <w:noProof/>
        </w:rPr>
        <w:tab/>
        <w:t xml:space="preserve">Koshy, S. T.; Zhang, D. K. Y.; Grolman, J. M.; Stafford, A. G.; Mooney, D. J. Injectable Nanocomposite Cryogels for Versatile Protein Drug Delivery. </w:t>
      </w:r>
      <w:r w:rsidRPr="00A72FAB">
        <w:rPr>
          <w:i/>
          <w:iCs/>
          <w:noProof/>
        </w:rPr>
        <w:t>Acta Biomater.</w:t>
      </w:r>
      <w:r w:rsidRPr="00A72FAB">
        <w:rPr>
          <w:noProof/>
        </w:rPr>
        <w:t xml:space="preserve"> </w:t>
      </w:r>
      <w:r w:rsidRPr="00A72FAB">
        <w:rPr>
          <w:b/>
          <w:bCs/>
          <w:noProof/>
        </w:rPr>
        <w:t>2018</w:t>
      </w:r>
      <w:r w:rsidRPr="00A72FAB">
        <w:rPr>
          <w:noProof/>
        </w:rPr>
        <w:t xml:space="preserve">, </w:t>
      </w:r>
      <w:r w:rsidRPr="00A72FAB">
        <w:rPr>
          <w:i/>
          <w:iCs/>
          <w:noProof/>
        </w:rPr>
        <w:t>65</w:t>
      </w:r>
      <w:r w:rsidRPr="00A72FAB">
        <w:rPr>
          <w:noProof/>
        </w:rPr>
        <w:t>, 36–43. https://doi.org/10.1016/j.actbio.2017.11.024.</w:t>
      </w:r>
    </w:p>
    <w:p w14:paraId="39AED846"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(11) </w:t>
      </w:r>
      <w:r w:rsidRPr="00A72FAB">
        <w:rPr>
          <w:noProof/>
        </w:rPr>
        <w:tab/>
        <w:t xml:space="preserve">Ferber, S.; Behrens, A. M.; McHugh, K. J.; Rosenberg, E. M.; Linehan, A. R.; Sugarman, J. L.; Jayawardena, H. S. N.; Langer, R.; Jaklenec, A. Evaporative Cooling Hydrogel Packaging for Storing Biologics Outside of the Cold Chain. </w:t>
      </w:r>
      <w:r w:rsidRPr="00A72FAB">
        <w:rPr>
          <w:i/>
          <w:iCs/>
          <w:noProof/>
        </w:rPr>
        <w:t>Adv. Healthc. Mater.</w:t>
      </w:r>
      <w:r w:rsidRPr="00A72FAB">
        <w:rPr>
          <w:noProof/>
        </w:rPr>
        <w:t xml:space="preserve"> </w:t>
      </w:r>
      <w:r w:rsidRPr="00A72FAB">
        <w:rPr>
          <w:b/>
          <w:bCs/>
          <w:noProof/>
        </w:rPr>
        <w:t>2018</w:t>
      </w:r>
      <w:r w:rsidRPr="00A72FAB">
        <w:rPr>
          <w:noProof/>
        </w:rPr>
        <w:t xml:space="preserve">, </w:t>
      </w:r>
      <w:r w:rsidRPr="00A72FAB">
        <w:rPr>
          <w:i/>
          <w:iCs/>
          <w:noProof/>
        </w:rPr>
        <w:t>7</w:t>
      </w:r>
      <w:r w:rsidRPr="00A72FAB">
        <w:rPr>
          <w:noProof/>
        </w:rPr>
        <w:t xml:space="preserve"> (14), 10–15. https://doi.org/10.1002/adhm.201800220.</w:t>
      </w:r>
    </w:p>
    <w:p w14:paraId="03ABC083"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(12) </w:t>
      </w:r>
      <w:r w:rsidRPr="00A72FAB">
        <w:rPr>
          <w:noProof/>
        </w:rPr>
        <w:tab/>
        <w:t xml:space="preserve">Meis, C. M.; Salzman, E. E.; Maikawa, C. L.; Smith, A. A. A.; Mann, J. L.; Grosskopf, A. K.; Appel, E. A. Self-Assembled, Dilution-Responsive Hydrogels for Enhanced Thermal Stability of Insulin Biopharmaceuticals. </w:t>
      </w:r>
      <w:r w:rsidRPr="00A72FAB">
        <w:rPr>
          <w:i/>
          <w:iCs/>
          <w:noProof/>
        </w:rPr>
        <w:t>ACS Biomater. Sci. Eng.</w:t>
      </w:r>
      <w:r w:rsidRPr="00A72FAB">
        <w:rPr>
          <w:noProof/>
        </w:rPr>
        <w:t xml:space="preserve"> </w:t>
      </w:r>
      <w:r w:rsidRPr="00A72FAB">
        <w:rPr>
          <w:b/>
          <w:bCs/>
          <w:noProof/>
        </w:rPr>
        <w:t>2020</w:t>
      </w:r>
      <w:r w:rsidRPr="00A72FAB">
        <w:rPr>
          <w:noProof/>
        </w:rPr>
        <w:t>. https://doi.org/10.1021/acsbiomaterials.0c01306.</w:t>
      </w:r>
    </w:p>
    <w:p w14:paraId="6F051537"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(13) </w:t>
      </w:r>
      <w:r w:rsidRPr="00A72FAB">
        <w:rPr>
          <w:noProof/>
        </w:rPr>
        <w:tab/>
        <w:t xml:space="preserve">Basu, S. K.; Govardhan, C. P.; Jung, C. W.; Margolin, A. L. Protein Crystals for the Delivery of Biopharmaceuticals. </w:t>
      </w:r>
      <w:r w:rsidRPr="00A72FAB">
        <w:rPr>
          <w:i/>
          <w:iCs/>
          <w:noProof/>
        </w:rPr>
        <w:t>Expert Opin. Biol. Ther.</w:t>
      </w:r>
      <w:r w:rsidRPr="00A72FAB">
        <w:rPr>
          <w:noProof/>
        </w:rPr>
        <w:t xml:space="preserve"> </w:t>
      </w:r>
      <w:r w:rsidRPr="00A72FAB">
        <w:rPr>
          <w:b/>
          <w:bCs/>
          <w:noProof/>
        </w:rPr>
        <w:t>2004</w:t>
      </w:r>
      <w:r w:rsidRPr="00A72FAB">
        <w:rPr>
          <w:noProof/>
        </w:rPr>
        <w:t xml:space="preserve">, </w:t>
      </w:r>
      <w:r w:rsidRPr="00A72FAB">
        <w:rPr>
          <w:i/>
          <w:iCs/>
          <w:noProof/>
        </w:rPr>
        <w:t>4</w:t>
      </w:r>
      <w:r w:rsidRPr="00A72FAB">
        <w:rPr>
          <w:noProof/>
        </w:rPr>
        <w:t xml:space="preserve"> (3), 301–317. https://doi.org/10.1517/14712598.4.3.301.</w:t>
      </w:r>
    </w:p>
    <w:p w14:paraId="310BBE97"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(14) </w:t>
      </w:r>
      <w:r w:rsidRPr="00A72FAB">
        <w:rPr>
          <w:noProof/>
        </w:rPr>
        <w:tab/>
        <w:t xml:space="preserve">Yang, M. X.; Shenoy, B.; Disttler, M.; Patel, R.; McGrath, M.; Pechenov, S.; Margolin, A. L. Crystalline Monoclonal Antibodies for Subcutaneous Delivery. </w:t>
      </w:r>
      <w:r w:rsidRPr="00A72FAB">
        <w:rPr>
          <w:i/>
          <w:iCs/>
          <w:noProof/>
        </w:rPr>
        <w:t>Proc. Natl. Acad. Sci. U. S. A.</w:t>
      </w:r>
      <w:r w:rsidRPr="00A72FAB">
        <w:rPr>
          <w:noProof/>
        </w:rPr>
        <w:t xml:space="preserve"> </w:t>
      </w:r>
      <w:r w:rsidRPr="00A72FAB">
        <w:rPr>
          <w:b/>
          <w:bCs/>
          <w:noProof/>
        </w:rPr>
        <w:t>2003</w:t>
      </w:r>
      <w:r w:rsidRPr="00A72FAB">
        <w:rPr>
          <w:noProof/>
        </w:rPr>
        <w:t xml:space="preserve">, </w:t>
      </w:r>
      <w:r w:rsidRPr="00A72FAB">
        <w:rPr>
          <w:i/>
          <w:iCs/>
          <w:noProof/>
        </w:rPr>
        <w:t>100</w:t>
      </w:r>
      <w:r w:rsidRPr="00A72FAB">
        <w:rPr>
          <w:noProof/>
        </w:rPr>
        <w:t xml:space="preserve"> (12), 6934–6939. https://doi.org/10.1073/pnas.1131899100.</w:t>
      </w:r>
    </w:p>
    <w:p w14:paraId="2A9B7801"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(15) </w:t>
      </w:r>
      <w:r w:rsidRPr="00A72FAB">
        <w:rPr>
          <w:noProof/>
        </w:rPr>
        <w:tab/>
        <w:t xml:space="preserve">Lorber, B.; Sauter, C.; Théobald-Dietrich, A.; Moreno, A.; Schellenberger, P.; Robert, M. C.; Capelle, B.; Sanglier, S.; Potier, N.; Giegé, R. Crystal Growth of Proteins, Nucleic Acids, and Viruses in Gels. </w:t>
      </w:r>
      <w:r w:rsidRPr="00A72FAB">
        <w:rPr>
          <w:i/>
          <w:iCs/>
          <w:noProof/>
        </w:rPr>
        <w:t>Prog. Biophys. Mol. Biol.</w:t>
      </w:r>
      <w:r w:rsidRPr="00A72FAB">
        <w:rPr>
          <w:noProof/>
        </w:rPr>
        <w:t xml:space="preserve"> </w:t>
      </w:r>
      <w:r w:rsidRPr="00A72FAB">
        <w:rPr>
          <w:b/>
          <w:bCs/>
          <w:noProof/>
        </w:rPr>
        <w:t>2009</w:t>
      </w:r>
      <w:r w:rsidRPr="00A72FAB">
        <w:rPr>
          <w:noProof/>
        </w:rPr>
        <w:t xml:space="preserve">, </w:t>
      </w:r>
      <w:r w:rsidRPr="00A72FAB">
        <w:rPr>
          <w:i/>
          <w:iCs/>
          <w:noProof/>
        </w:rPr>
        <w:t>101</w:t>
      </w:r>
      <w:r w:rsidRPr="00A72FAB">
        <w:rPr>
          <w:noProof/>
        </w:rPr>
        <w:t xml:space="preserve"> (1–3), 13–25. https://doi.org/10.1016/j.pbiomolbio.2009.12.002.</w:t>
      </w:r>
    </w:p>
    <w:p w14:paraId="29578D57"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lastRenderedPageBreak/>
        <w:t xml:space="preserve">(16) </w:t>
      </w:r>
      <w:r w:rsidRPr="00A72FAB">
        <w:rPr>
          <w:noProof/>
        </w:rPr>
        <w:tab/>
        <w:t xml:space="preserve">Gavira, J. A.; Van Driessche, A. E. S.; Garcia-Ruiz, J. M. Growth of Ultrastable Protein-Silica Composite Crystals. </w:t>
      </w:r>
      <w:r w:rsidRPr="00A72FAB">
        <w:rPr>
          <w:i/>
          <w:iCs/>
          <w:noProof/>
        </w:rPr>
        <w:t>Cryst. Growth Des.</w:t>
      </w:r>
      <w:r w:rsidRPr="00A72FAB">
        <w:rPr>
          <w:noProof/>
        </w:rPr>
        <w:t xml:space="preserve"> </w:t>
      </w:r>
      <w:r w:rsidRPr="00A72FAB">
        <w:rPr>
          <w:b/>
          <w:bCs/>
          <w:noProof/>
        </w:rPr>
        <w:t>2013</w:t>
      </w:r>
      <w:r w:rsidRPr="00A72FAB">
        <w:rPr>
          <w:noProof/>
        </w:rPr>
        <w:t xml:space="preserve">, </w:t>
      </w:r>
      <w:r w:rsidRPr="00A72FAB">
        <w:rPr>
          <w:i/>
          <w:iCs/>
          <w:noProof/>
        </w:rPr>
        <w:t>13</w:t>
      </w:r>
      <w:r w:rsidRPr="00A72FAB">
        <w:rPr>
          <w:noProof/>
        </w:rPr>
        <w:t xml:space="preserve"> (6), 2522–2529. https://doi.org/10.1021/cg400231g.</w:t>
      </w:r>
    </w:p>
    <w:p w14:paraId="1ED60751"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(17) </w:t>
      </w:r>
      <w:r w:rsidRPr="00A72FAB">
        <w:rPr>
          <w:noProof/>
        </w:rPr>
        <w:tab/>
        <w:t xml:space="preserve">Gavira, J. A.; Cera-Manjarres, A.; Ortiz, K.; Mendez, J.; Jimenez-Torres, J. A.; Patiño-Lopez, L. D.; Torres-Lugo, M. Use of Cross-Linked Poly(Ethylene Glycol)-Based Hydrogels for Protein Crystallization. </w:t>
      </w:r>
      <w:r w:rsidRPr="00A72FAB">
        <w:rPr>
          <w:i/>
          <w:iCs/>
          <w:noProof/>
        </w:rPr>
        <w:t>Cryst. Growth Des.</w:t>
      </w:r>
      <w:r w:rsidRPr="00A72FAB">
        <w:rPr>
          <w:noProof/>
        </w:rPr>
        <w:t xml:space="preserve"> </w:t>
      </w:r>
      <w:r w:rsidRPr="00A72FAB">
        <w:rPr>
          <w:b/>
          <w:bCs/>
          <w:noProof/>
        </w:rPr>
        <w:t>2014</w:t>
      </w:r>
      <w:r w:rsidRPr="00A72FAB">
        <w:rPr>
          <w:noProof/>
        </w:rPr>
        <w:t xml:space="preserve">, </w:t>
      </w:r>
      <w:r w:rsidRPr="00A72FAB">
        <w:rPr>
          <w:i/>
          <w:iCs/>
          <w:noProof/>
        </w:rPr>
        <w:t>14</w:t>
      </w:r>
      <w:r w:rsidRPr="00A72FAB">
        <w:rPr>
          <w:noProof/>
        </w:rPr>
        <w:t xml:space="preserve"> (7), 3239–3248. https://doi.org/10.1021/cg401668z.</w:t>
      </w:r>
    </w:p>
    <w:p w14:paraId="13E3778F"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(18) </w:t>
      </w:r>
      <w:r w:rsidRPr="00A72FAB">
        <w:rPr>
          <w:noProof/>
        </w:rPr>
        <w:tab/>
        <w:t xml:space="preserve">Conejero-Muriel, M.; Contreras-Montoya, R.; Díaz-Mochón, J. J.; Álvarez de Cienfuegos, L.; Gavira, J. A. Protein Crystallization in Short-Peptide Supramolecular Hydrogels: A Versatile Strategy towards Biotechnological Composite Materials. </w:t>
      </w:r>
      <w:r w:rsidRPr="00A72FAB">
        <w:rPr>
          <w:i/>
          <w:iCs/>
          <w:noProof/>
        </w:rPr>
        <w:t>CrystEngComm</w:t>
      </w:r>
      <w:r w:rsidRPr="00A72FAB">
        <w:rPr>
          <w:noProof/>
        </w:rPr>
        <w:t xml:space="preserve"> </w:t>
      </w:r>
      <w:r w:rsidRPr="00A72FAB">
        <w:rPr>
          <w:b/>
          <w:bCs/>
          <w:noProof/>
        </w:rPr>
        <w:t>2015</w:t>
      </w:r>
      <w:r w:rsidRPr="00A72FAB">
        <w:rPr>
          <w:noProof/>
        </w:rPr>
        <w:t xml:space="preserve">, </w:t>
      </w:r>
      <w:r w:rsidRPr="00A72FAB">
        <w:rPr>
          <w:i/>
          <w:iCs/>
          <w:noProof/>
        </w:rPr>
        <w:t>17</w:t>
      </w:r>
      <w:r w:rsidRPr="00A72FAB">
        <w:rPr>
          <w:noProof/>
        </w:rPr>
        <w:t xml:space="preserve"> (42), 8072–8078. https://doi.org/10.1039/C5CE00850F.</w:t>
      </w:r>
    </w:p>
    <w:p w14:paraId="186E6738"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(19) </w:t>
      </w:r>
      <w:r w:rsidRPr="00A72FAB">
        <w:rPr>
          <w:noProof/>
        </w:rPr>
        <w:tab/>
        <w:t xml:space="preserve">Conejero-Muriel, M.; Gavira, J. A.; Pineda-Molina, E.; Belsom, A.; Bradley, M.; Moral, M.; García López Durán, J. D. D.; Luque González, A.; Díaz-Mochón, J. J.; Contreras-Montoya, R.; Martínez-Peragón, Á.; Cuerva, J. M.; Álvarez de Cienfuegos, L. Influence of the Chirality of Short Peptide Supramolecular Hydrogels in Protein Crystallogenesis. </w:t>
      </w:r>
      <w:r w:rsidRPr="00A72FAB">
        <w:rPr>
          <w:i/>
          <w:iCs/>
          <w:noProof/>
        </w:rPr>
        <w:t>Chem. Commun.</w:t>
      </w:r>
      <w:r w:rsidRPr="00A72FAB">
        <w:rPr>
          <w:noProof/>
        </w:rPr>
        <w:t xml:space="preserve"> </w:t>
      </w:r>
      <w:r w:rsidRPr="00A72FAB">
        <w:rPr>
          <w:b/>
          <w:bCs/>
          <w:noProof/>
        </w:rPr>
        <w:t>2015</w:t>
      </w:r>
      <w:r w:rsidRPr="00A72FAB">
        <w:rPr>
          <w:noProof/>
        </w:rPr>
        <w:t xml:space="preserve">, </w:t>
      </w:r>
      <w:r w:rsidRPr="00A72FAB">
        <w:rPr>
          <w:i/>
          <w:iCs/>
          <w:noProof/>
        </w:rPr>
        <w:t>51</w:t>
      </w:r>
      <w:r w:rsidRPr="00A72FAB">
        <w:rPr>
          <w:noProof/>
        </w:rPr>
        <w:t xml:space="preserve"> (18), 3862–3865. https://doi.org/10.1039/c4cc09024a.</w:t>
      </w:r>
    </w:p>
    <w:p w14:paraId="5E7A80A5"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(20) </w:t>
      </w:r>
      <w:r w:rsidRPr="00A72FAB">
        <w:rPr>
          <w:noProof/>
        </w:rPr>
        <w:tab/>
        <w:t xml:space="preserve">Escolano-Casado, G.; Contreras-Montoya, R.; Conejero-Muriel, M.; Castellví, A.; Juanhuix, J.; Lopez-Lopez, M. T.; Álvarez de Cienfuegos, L.; Gavira, J. A. Extending the Pool of Compatible Peptide Hydrogels for Protein Crystallization. </w:t>
      </w:r>
      <w:r w:rsidRPr="00A72FAB">
        <w:rPr>
          <w:i/>
          <w:iCs/>
          <w:noProof/>
        </w:rPr>
        <w:t>Crystals</w:t>
      </w:r>
      <w:r w:rsidRPr="00A72FAB">
        <w:rPr>
          <w:noProof/>
        </w:rPr>
        <w:t xml:space="preserve"> </w:t>
      </w:r>
      <w:r w:rsidRPr="00A72FAB">
        <w:rPr>
          <w:b/>
          <w:bCs/>
          <w:noProof/>
        </w:rPr>
        <w:t>2019</w:t>
      </w:r>
      <w:r w:rsidRPr="00A72FAB">
        <w:rPr>
          <w:noProof/>
        </w:rPr>
        <w:t xml:space="preserve">, </w:t>
      </w:r>
      <w:r w:rsidRPr="00A72FAB">
        <w:rPr>
          <w:i/>
          <w:iCs/>
          <w:noProof/>
        </w:rPr>
        <w:t>9</w:t>
      </w:r>
      <w:r w:rsidRPr="00A72FAB">
        <w:rPr>
          <w:noProof/>
        </w:rPr>
        <w:t xml:space="preserve"> (5), 1–8. https://doi.org/10.3390/cryst9050244.</w:t>
      </w:r>
    </w:p>
    <w:p w14:paraId="1CA627B7"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(21) </w:t>
      </w:r>
      <w:r w:rsidRPr="00A72FAB">
        <w:rPr>
          <w:noProof/>
        </w:rPr>
        <w:tab/>
        <w:t xml:space="preserve">Contreras-Montoya, R.; Castellví, A.; Escolano-Casado, G.; Juanhuix, J.; Conejero-Muriel, </w:t>
      </w:r>
      <w:r w:rsidRPr="00A72FAB">
        <w:rPr>
          <w:noProof/>
        </w:rPr>
        <w:lastRenderedPageBreak/>
        <w:t xml:space="preserve">M.; Lopez-Lopez, M. T.; Cuerva, J. M.; Álvarez de Cienfuegos, L.; Gavira, J. A. Enhanced Stability against Radiation Damage of Lysozyme Crystals Grown in Fmoc-CF Hydrogels. </w:t>
      </w:r>
      <w:r w:rsidRPr="00A72FAB">
        <w:rPr>
          <w:i/>
          <w:iCs/>
          <w:noProof/>
        </w:rPr>
        <w:t>Cryst. Growth Des.</w:t>
      </w:r>
      <w:r w:rsidRPr="00A72FAB">
        <w:rPr>
          <w:noProof/>
        </w:rPr>
        <w:t xml:space="preserve"> </w:t>
      </w:r>
      <w:r w:rsidRPr="00A72FAB">
        <w:rPr>
          <w:b/>
          <w:bCs/>
          <w:noProof/>
        </w:rPr>
        <w:t>2019</w:t>
      </w:r>
      <w:r w:rsidRPr="00A72FAB">
        <w:rPr>
          <w:noProof/>
        </w:rPr>
        <w:t xml:space="preserve">, </w:t>
      </w:r>
      <w:r w:rsidRPr="00A72FAB">
        <w:rPr>
          <w:i/>
          <w:iCs/>
          <w:noProof/>
        </w:rPr>
        <w:t>19</w:t>
      </w:r>
      <w:r w:rsidRPr="00A72FAB">
        <w:rPr>
          <w:noProof/>
        </w:rPr>
        <w:t xml:space="preserve"> (8), 4229–4233. https://doi.org/10.1021/acs.cgd.9b00131.</w:t>
      </w:r>
    </w:p>
    <w:p w14:paraId="2D4E4EEE"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(22) </w:t>
      </w:r>
      <w:r w:rsidRPr="00A72FAB">
        <w:rPr>
          <w:noProof/>
        </w:rPr>
        <w:tab/>
        <w:t xml:space="preserve">Artusio, F.; Castellví, A.; Sacristán, A.; Pisano, R.; Gavira, J. A. Agarose Gel as a Medium for Growing and Tailoring Protein Crystals. </w:t>
      </w:r>
      <w:r w:rsidRPr="00A72FAB">
        <w:rPr>
          <w:i/>
          <w:iCs/>
          <w:noProof/>
        </w:rPr>
        <w:t>Cryst. Growth Des.</w:t>
      </w:r>
      <w:r w:rsidRPr="00A72FAB">
        <w:rPr>
          <w:noProof/>
        </w:rPr>
        <w:t xml:space="preserve"> </w:t>
      </w:r>
      <w:r w:rsidRPr="00A72FAB">
        <w:rPr>
          <w:b/>
          <w:bCs/>
          <w:noProof/>
        </w:rPr>
        <w:t>2020</w:t>
      </w:r>
      <w:r w:rsidRPr="00A72FAB">
        <w:rPr>
          <w:noProof/>
        </w:rPr>
        <w:t xml:space="preserve">, </w:t>
      </w:r>
      <w:r w:rsidRPr="00A72FAB">
        <w:rPr>
          <w:i/>
          <w:iCs/>
          <w:noProof/>
        </w:rPr>
        <w:t>20</w:t>
      </w:r>
      <w:r w:rsidRPr="00A72FAB">
        <w:rPr>
          <w:noProof/>
        </w:rPr>
        <w:t xml:space="preserve"> (8), 5564–5571. https://doi.org/10.1021/acs.cgd.0c00736.</w:t>
      </w:r>
    </w:p>
    <w:p w14:paraId="3036C3D3"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(23) </w:t>
      </w:r>
      <w:r w:rsidRPr="00A72FAB">
        <w:rPr>
          <w:noProof/>
        </w:rPr>
        <w:tab/>
        <w:t xml:space="preserve">Tao, K.; Levin, A.; Adler-Abramovich, L.; Gazit, E. Fmoc-Modified Amino Acids and Short Peptides: Simple Bio-Inspired Building Blocks for the Fabrication of Functional Materials. </w:t>
      </w:r>
      <w:r w:rsidRPr="00A72FAB">
        <w:rPr>
          <w:i/>
          <w:iCs/>
          <w:noProof/>
        </w:rPr>
        <w:t>Chem. Soc. Rev.</w:t>
      </w:r>
      <w:r w:rsidRPr="00A72FAB">
        <w:rPr>
          <w:noProof/>
        </w:rPr>
        <w:t xml:space="preserve"> </w:t>
      </w:r>
      <w:r w:rsidRPr="00A72FAB">
        <w:rPr>
          <w:b/>
          <w:bCs/>
          <w:noProof/>
        </w:rPr>
        <w:t>2016</w:t>
      </w:r>
      <w:r w:rsidRPr="00A72FAB">
        <w:rPr>
          <w:noProof/>
        </w:rPr>
        <w:t xml:space="preserve">, </w:t>
      </w:r>
      <w:r w:rsidRPr="00A72FAB">
        <w:rPr>
          <w:i/>
          <w:iCs/>
          <w:noProof/>
        </w:rPr>
        <w:t>45</w:t>
      </w:r>
      <w:r w:rsidRPr="00A72FAB">
        <w:rPr>
          <w:noProof/>
        </w:rPr>
        <w:t xml:space="preserve"> (14), 3935–3953. https://doi.org/10.1039/c5cs00889a.</w:t>
      </w:r>
    </w:p>
    <w:p w14:paraId="40033471"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(24) </w:t>
      </w:r>
      <w:r w:rsidRPr="00A72FAB">
        <w:rPr>
          <w:noProof/>
        </w:rPr>
        <w:tab/>
        <w:t xml:space="preserve">Fleming, S.; Ulijn, R. V. Design of Nanostructures Based on Aromatic Peptide Amphiphiles. </w:t>
      </w:r>
      <w:r w:rsidRPr="00A72FAB">
        <w:rPr>
          <w:i/>
          <w:iCs/>
          <w:noProof/>
        </w:rPr>
        <w:t>Chem. Soc. Rev.</w:t>
      </w:r>
      <w:r w:rsidRPr="00A72FAB">
        <w:rPr>
          <w:noProof/>
        </w:rPr>
        <w:t xml:space="preserve"> </w:t>
      </w:r>
      <w:r w:rsidRPr="00A72FAB">
        <w:rPr>
          <w:b/>
          <w:bCs/>
          <w:noProof/>
        </w:rPr>
        <w:t>2014</w:t>
      </w:r>
      <w:r w:rsidRPr="00A72FAB">
        <w:rPr>
          <w:noProof/>
        </w:rPr>
        <w:t xml:space="preserve">, </w:t>
      </w:r>
      <w:r w:rsidRPr="00A72FAB">
        <w:rPr>
          <w:i/>
          <w:iCs/>
          <w:noProof/>
        </w:rPr>
        <w:t>43</w:t>
      </w:r>
      <w:r w:rsidRPr="00A72FAB">
        <w:rPr>
          <w:noProof/>
        </w:rPr>
        <w:t xml:space="preserve"> (23), 8150–8177. https://doi.org/10.1039/c4cs00247d.</w:t>
      </w:r>
    </w:p>
    <w:p w14:paraId="55FFB522"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(25) </w:t>
      </w:r>
      <w:r w:rsidRPr="00A72FAB">
        <w:rPr>
          <w:noProof/>
        </w:rPr>
        <w:tab/>
        <w:t xml:space="preserve">Mu, X.; Eckes, K. M.; Nguyen, M. M.; Suggs, L. J.; Ren, P. Experimental and Computational Studies Reveal an Alternative Supramolecular Structure for Fmoc-Dipeptide Self-Assembly. </w:t>
      </w:r>
      <w:r w:rsidRPr="00A72FAB">
        <w:rPr>
          <w:i/>
          <w:iCs/>
          <w:noProof/>
        </w:rPr>
        <w:t>Biomacromolecules</w:t>
      </w:r>
      <w:r w:rsidRPr="00A72FAB">
        <w:rPr>
          <w:noProof/>
        </w:rPr>
        <w:t xml:space="preserve"> </w:t>
      </w:r>
      <w:r w:rsidRPr="00A72FAB">
        <w:rPr>
          <w:b/>
          <w:bCs/>
          <w:noProof/>
        </w:rPr>
        <w:t>2012</w:t>
      </w:r>
      <w:r w:rsidRPr="00A72FAB">
        <w:rPr>
          <w:noProof/>
        </w:rPr>
        <w:t xml:space="preserve">, </w:t>
      </w:r>
      <w:r w:rsidRPr="00A72FAB">
        <w:rPr>
          <w:i/>
          <w:iCs/>
          <w:noProof/>
        </w:rPr>
        <w:t>13</w:t>
      </w:r>
      <w:r w:rsidRPr="00A72FAB">
        <w:rPr>
          <w:noProof/>
        </w:rPr>
        <w:t xml:space="preserve"> (11), 3562–3571. https://doi.org/10.1021/bm301007r.</w:t>
      </w:r>
    </w:p>
    <w:p w14:paraId="4DD4AA46"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(26) </w:t>
      </w:r>
      <w:r w:rsidRPr="00A72FAB">
        <w:rPr>
          <w:noProof/>
        </w:rPr>
        <w:tab/>
        <w:t xml:space="preserve">Smith, A. M.; Williams, R. J.; Tang, C.; Coppo, P.; Collins, R. F.; Turner, M. L.; Saiani, A.; Ulijn, R. V. Fmoc-Diphenylalanine Self Assembles to a Hydrogel via a Novel Architecture Based on </w:t>
      </w:r>
      <w:r w:rsidRPr="00184DC2">
        <w:rPr>
          <w:noProof/>
          <w:lang w:val="es-ES_tradnl"/>
        </w:rPr>
        <w:t>π</w:t>
      </w:r>
      <w:r w:rsidRPr="00A72FAB">
        <w:rPr>
          <w:noProof/>
        </w:rPr>
        <w:t>-</w:t>
      </w:r>
      <w:r w:rsidRPr="00184DC2">
        <w:rPr>
          <w:noProof/>
          <w:lang w:val="es-ES_tradnl"/>
        </w:rPr>
        <w:t>π</w:t>
      </w:r>
      <w:r w:rsidRPr="00A72FAB">
        <w:rPr>
          <w:noProof/>
        </w:rPr>
        <w:t xml:space="preserve"> Interlocked </w:t>
      </w:r>
      <w:r w:rsidRPr="00184DC2">
        <w:rPr>
          <w:noProof/>
          <w:lang w:val="es-ES_tradnl"/>
        </w:rPr>
        <w:t>β</w:t>
      </w:r>
      <w:r w:rsidRPr="00A72FAB">
        <w:rPr>
          <w:noProof/>
        </w:rPr>
        <w:t xml:space="preserve">-Sheets. </w:t>
      </w:r>
      <w:r w:rsidRPr="00A72FAB">
        <w:rPr>
          <w:i/>
          <w:iCs/>
          <w:noProof/>
        </w:rPr>
        <w:t>Adv. Mater.</w:t>
      </w:r>
      <w:r w:rsidRPr="00A72FAB">
        <w:rPr>
          <w:noProof/>
        </w:rPr>
        <w:t xml:space="preserve"> </w:t>
      </w:r>
      <w:r w:rsidRPr="00A72FAB">
        <w:rPr>
          <w:b/>
          <w:bCs/>
          <w:noProof/>
        </w:rPr>
        <w:t>2008</w:t>
      </w:r>
      <w:r w:rsidRPr="00A72FAB">
        <w:rPr>
          <w:noProof/>
        </w:rPr>
        <w:t xml:space="preserve">, </w:t>
      </w:r>
      <w:r w:rsidRPr="00A72FAB">
        <w:rPr>
          <w:i/>
          <w:iCs/>
          <w:noProof/>
        </w:rPr>
        <w:t>20</w:t>
      </w:r>
      <w:r w:rsidRPr="00A72FAB">
        <w:rPr>
          <w:noProof/>
        </w:rPr>
        <w:t xml:space="preserve"> (1), 37–41. https://doi.org/10.1002/adma.200701221.</w:t>
      </w:r>
    </w:p>
    <w:p w14:paraId="72951FDC"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(27) </w:t>
      </w:r>
      <w:r w:rsidRPr="00A72FAB">
        <w:rPr>
          <w:noProof/>
        </w:rPr>
        <w:tab/>
        <w:t xml:space="preserve">Contreras-Montoya, R.; Bonhome-Espinosa, A. B.; Orte, A.; Miguel, D.; Delgado-López, </w:t>
      </w:r>
      <w:r w:rsidRPr="00A72FAB">
        <w:rPr>
          <w:noProof/>
        </w:rPr>
        <w:lastRenderedPageBreak/>
        <w:t xml:space="preserve">J. M.; Duran, J. D. G.; Cuerva, J. M.; Lopez-Lopez, M. T.; Álvarez de Cienfuegos, L. Iron Nanoparticles-Based Supramolecular Hydrogels to Originate Anisotropic Hybrid Materials with Enhanced Mechanical Strength. </w:t>
      </w:r>
      <w:r w:rsidRPr="00A72FAB">
        <w:rPr>
          <w:i/>
          <w:iCs/>
          <w:noProof/>
        </w:rPr>
        <w:t>Mater. Chem. Front.</w:t>
      </w:r>
      <w:r w:rsidRPr="00A72FAB">
        <w:rPr>
          <w:noProof/>
        </w:rPr>
        <w:t xml:space="preserve"> </w:t>
      </w:r>
      <w:r w:rsidRPr="00A72FAB">
        <w:rPr>
          <w:b/>
          <w:bCs/>
          <w:noProof/>
        </w:rPr>
        <w:t>2018</w:t>
      </w:r>
      <w:r w:rsidRPr="00A72FAB">
        <w:rPr>
          <w:noProof/>
        </w:rPr>
        <w:t xml:space="preserve">, </w:t>
      </w:r>
      <w:r w:rsidRPr="00A72FAB">
        <w:rPr>
          <w:i/>
          <w:iCs/>
          <w:noProof/>
        </w:rPr>
        <w:t>2</w:t>
      </w:r>
      <w:r w:rsidRPr="00A72FAB">
        <w:rPr>
          <w:noProof/>
        </w:rPr>
        <w:t xml:space="preserve"> (4), 686–699. https://doi.org/10.1039/c7qm00573c.</w:t>
      </w:r>
    </w:p>
    <w:p w14:paraId="5DF4325B"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(28) </w:t>
      </w:r>
      <w:r w:rsidRPr="00A72FAB">
        <w:rPr>
          <w:noProof/>
        </w:rPr>
        <w:tab/>
        <w:t xml:space="preserve">Adams, M. J.; Blundell, T. L.; Dodson, E. J.; Dodson, G. G.; Vijayan, M.; Baker, E. N.; Harding, M. M.; Hodgkin, D. C.; Rimmer, B.; Sheat, S. Structure of Rhombohedral 2 Zinc Insulin Crystals. </w:t>
      </w:r>
      <w:r w:rsidRPr="00A72FAB">
        <w:rPr>
          <w:i/>
          <w:iCs/>
          <w:noProof/>
        </w:rPr>
        <w:t>Nature</w:t>
      </w:r>
      <w:r w:rsidRPr="00A72FAB">
        <w:rPr>
          <w:noProof/>
        </w:rPr>
        <w:t xml:space="preserve"> </w:t>
      </w:r>
      <w:r w:rsidRPr="00A72FAB">
        <w:rPr>
          <w:b/>
          <w:bCs/>
          <w:noProof/>
        </w:rPr>
        <w:t>1969</w:t>
      </w:r>
      <w:r w:rsidRPr="00A72FAB">
        <w:rPr>
          <w:noProof/>
        </w:rPr>
        <w:t xml:space="preserve">, </w:t>
      </w:r>
      <w:r w:rsidRPr="00A72FAB">
        <w:rPr>
          <w:i/>
          <w:iCs/>
          <w:noProof/>
        </w:rPr>
        <w:t>224</w:t>
      </w:r>
      <w:r w:rsidRPr="00A72FAB">
        <w:rPr>
          <w:noProof/>
        </w:rPr>
        <w:t xml:space="preserve"> (5218), 491–495. https://doi.org/10.1038/224491a0.</w:t>
      </w:r>
    </w:p>
    <w:p w14:paraId="7C3CBB93"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(29) </w:t>
      </w:r>
      <w:r w:rsidRPr="00A72FAB">
        <w:rPr>
          <w:noProof/>
        </w:rPr>
        <w:tab/>
        <w:t xml:space="preserve">Nanev, C. N.; Tonchev, V. D.; Hodzhaoglu, F. V. Protocol for Growing Insulin Crystals of Uniform Size. </w:t>
      </w:r>
      <w:r w:rsidRPr="00A72FAB">
        <w:rPr>
          <w:i/>
          <w:iCs/>
          <w:noProof/>
        </w:rPr>
        <w:t>J. Cryst. Growth</w:t>
      </w:r>
      <w:r w:rsidRPr="00A72FAB">
        <w:rPr>
          <w:noProof/>
        </w:rPr>
        <w:t xml:space="preserve"> </w:t>
      </w:r>
      <w:r w:rsidRPr="00A72FAB">
        <w:rPr>
          <w:b/>
          <w:bCs/>
          <w:noProof/>
        </w:rPr>
        <w:t>2013</w:t>
      </w:r>
      <w:r w:rsidRPr="00A72FAB">
        <w:rPr>
          <w:noProof/>
        </w:rPr>
        <w:t xml:space="preserve">, </w:t>
      </w:r>
      <w:r w:rsidRPr="00A72FAB">
        <w:rPr>
          <w:i/>
          <w:iCs/>
          <w:noProof/>
        </w:rPr>
        <w:t>375</w:t>
      </w:r>
      <w:r w:rsidRPr="00A72FAB">
        <w:rPr>
          <w:noProof/>
        </w:rPr>
        <w:t>, 10–15. https://doi.org/10.1016/j.jcrysgro.2013.04.010.</w:t>
      </w:r>
    </w:p>
    <w:p w14:paraId="40F4F388"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(30) </w:t>
      </w:r>
      <w:r w:rsidRPr="00A72FAB">
        <w:rPr>
          <w:noProof/>
        </w:rPr>
        <w:tab/>
        <w:t xml:space="preserve">Hodzhaoglu, F. V; Conejero-Muriel, M.; Dimitrov, I. L.; Gavira, J. A. Optimization of the Classical Method for Nucleation and Growth of Rhombohedral Insulin Crystals by PH Titration and Screening. </w:t>
      </w:r>
      <w:r w:rsidRPr="00A72FAB">
        <w:rPr>
          <w:i/>
          <w:iCs/>
          <w:noProof/>
        </w:rPr>
        <w:t>Bulg. Chem. Comun.</w:t>
      </w:r>
      <w:r w:rsidRPr="00A72FAB">
        <w:rPr>
          <w:noProof/>
        </w:rPr>
        <w:t xml:space="preserve"> </w:t>
      </w:r>
      <w:r w:rsidRPr="00A72FAB">
        <w:rPr>
          <w:b/>
          <w:bCs/>
          <w:noProof/>
        </w:rPr>
        <w:t>2016</w:t>
      </w:r>
      <w:r w:rsidRPr="00A72FAB">
        <w:rPr>
          <w:noProof/>
        </w:rPr>
        <w:t xml:space="preserve">, </w:t>
      </w:r>
      <w:r w:rsidRPr="00A72FAB">
        <w:rPr>
          <w:i/>
          <w:iCs/>
          <w:noProof/>
        </w:rPr>
        <w:t>48</w:t>
      </w:r>
      <w:r w:rsidRPr="00A72FAB">
        <w:rPr>
          <w:noProof/>
        </w:rPr>
        <w:t>, 29–37.</w:t>
      </w:r>
    </w:p>
    <w:p w14:paraId="102F8F70"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(31) </w:t>
      </w:r>
      <w:r w:rsidRPr="00A72FAB">
        <w:rPr>
          <w:noProof/>
        </w:rPr>
        <w:tab/>
        <w:t xml:space="preserve">Contreras-Montoya, R.; Escolano, G.; Roy, S.; Lopez-Lopez, M. T.; Delgado-López, J. M.; Cuerva, J. M.; Díaz-Mochón, J. J.; Ashkenasy, N.; Gavira, J. A.; Álvarez de Cienfuegos, L. Catalytic and Electron Conducting Carbon Nanotube–Reinforced Lysozyme Crystals. </w:t>
      </w:r>
      <w:r w:rsidRPr="00A72FAB">
        <w:rPr>
          <w:i/>
          <w:iCs/>
          <w:noProof/>
        </w:rPr>
        <w:t>Adv. Funct. Mater.</w:t>
      </w:r>
      <w:r w:rsidRPr="00A72FAB">
        <w:rPr>
          <w:noProof/>
        </w:rPr>
        <w:t xml:space="preserve"> </w:t>
      </w:r>
      <w:r w:rsidRPr="00A72FAB">
        <w:rPr>
          <w:b/>
          <w:bCs/>
          <w:noProof/>
        </w:rPr>
        <w:t>2019</w:t>
      </w:r>
      <w:r w:rsidRPr="00A72FAB">
        <w:rPr>
          <w:noProof/>
        </w:rPr>
        <w:t xml:space="preserve">, </w:t>
      </w:r>
      <w:r w:rsidRPr="00A72FAB">
        <w:rPr>
          <w:i/>
          <w:iCs/>
          <w:noProof/>
        </w:rPr>
        <w:t>29</w:t>
      </w:r>
      <w:r w:rsidRPr="00A72FAB">
        <w:rPr>
          <w:noProof/>
        </w:rPr>
        <w:t xml:space="preserve"> (5), 1–10. https://doi.org/10.1002/adfm.201807351.</w:t>
      </w:r>
    </w:p>
    <w:p w14:paraId="0B9E65CD"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(32) </w:t>
      </w:r>
      <w:r w:rsidRPr="00A72FAB">
        <w:rPr>
          <w:noProof/>
        </w:rPr>
        <w:tab/>
        <w:t xml:space="preserve">Gao, Y.; Long, M. J. C.; Shi, J.; Hedstrom, L.; Xu, B. Using Supramolecular Hydrogels to Discover the Interactions between Proteins and Molecular Nanofibers of Small Molecules. </w:t>
      </w:r>
      <w:r w:rsidRPr="00A72FAB">
        <w:rPr>
          <w:i/>
          <w:iCs/>
          <w:noProof/>
        </w:rPr>
        <w:t>Chem. Commun.</w:t>
      </w:r>
      <w:r w:rsidRPr="00A72FAB">
        <w:rPr>
          <w:noProof/>
        </w:rPr>
        <w:t xml:space="preserve"> </w:t>
      </w:r>
      <w:r w:rsidRPr="00A72FAB">
        <w:rPr>
          <w:b/>
          <w:bCs/>
          <w:noProof/>
        </w:rPr>
        <w:t>2012</w:t>
      </w:r>
      <w:r w:rsidRPr="00A72FAB">
        <w:rPr>
          <w:noProof/>
        </w:rPr>
        <w:t xml:space="preserve">, </w:t>
      </w:r>
      <w:r w:rsidRPr="00A72FAB">
        <w:rPr>
          <w:i/>
          <w:iCs/>
          <w:noProof/>
        </w:rPr>
        <w:t>48</w:t>
      </w:r>
      <w:r w:rsidRPr="00A72FAB">
        <w:rPr>
          <w:noProof/>
        </w:rPr>
        <w:t xml:space="preserve"> (67), 8404. https://doi.org/10.1039/c2cc33631f.</w:t>
      </w:r>
    </w:p>
    <w:p w14:paraId="56B42018"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(33) </w:t>
      </w:r>
      <w:r w:rsidRPr="00A72FAB">
        <w:rPr>
          <w:noProof/>
        </w:rPr>
        <w:tab/>
        <w:t xml:space="preserve">Javid, N.; Roy, S.; Zelzer, M.; Yang, Z.; Sefcik, J.; Ulijn, R. V. Cooperative Self-Assembly </w:t>
      </w:r>
      <w:r w:rsidRPr="00A72FAB">
        <w:rPr>
          <w:noProof/>
        </w:rPr>
        <w:lastRenderedPageBreak/>
        <w:t xml:space="preserve">of Peptide Gelators and Proteins. </w:t>
      </w:r>
      <w:r w:rsidRPr="00A72FAB">
        <w:rPr>
          <w:i/>
          <w:iCs/>
          <w:noProof/>
        </w:rPr>
        <w:t>Biomacromolecules</w:t>
      </w:r>
      <w:r w:rsidRPr="00A72FAB">
        <w:rPr>
          <w:noProof/>
        </w:rPr>
        <w:t xml:space="preserve"> </w:t>
      </w:r>
      <w:r w:rsidRPr="00A72FAB">
        <w:rPr>
          <w:b/>
          <w:bCs/>
          <w:noProof/>
        </w:rPr>
        <w:t>2013</w:t>
      </w:r>
      <w:r w:rsidRPr="00A72FAB">
        <w:rPr>
          <w:noProof/>
        </w:rPr>
        <w:t xml:space="preserve">, </w:t>
      </w:r>
      <w:r w:rsidRPr="00A72FAB">
        <w:rPr>
          <w:i/>
          <w:iCs/>
          <w:noProof/>
        </w:rPr>
        <w:t>14</w:t>
      </w:r>
      <w:r w:rsidRPr="00A72FAB">
        <w:rPr>
          <w:noProof/>
        </w:rPr>
        <w:t xml:space="preserve"> (12), 4368–4376. https://doi.org/10.1021/bm401319c.</w:t>
      </w:r>
    </w:p>
    <w:p w14:paraId="57402284"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(34) </w:t>
      </w:r>
      <w:r w:rsidRPr="00A72FAB">
        <w:rPr>
          <w:noProof/>
        </w:rPr>
        <w:tab/>
        <w:t xml:space="preserve">Shenoy, B.; Wang, Y.; Shan, W.; Margolin, A. L. Stability of Crystalline Proteins. </w:t>
      </w:r>
      <w:r w:rsidRPr="00A72FAB">
        <w:rPr>
          <w:i/>
          <w:iCs/>
          <w:noProof/>
        </w:rPr>
        <w:t>Biotechnol. Bioeng.</w:t>
      </w:r>
      <w:r w:rsidRPr="00A72FAB">
        <w:rPr>
          <w:noProof/>
        </w:rPr>
        <w:t xml:space="preserve"> </w:t>
      </w:r>
      <w:r w:rsidRPr="00A72FAB">
        <w:rPr>
          <w:b/>
          <w:bCs/>
          <w:noProof/>
        </w:rPr>
        <w:t>2001</w:t>
      </w:r>
      <w:r w:rsidRPr="00A72FAB">
        <w:rPr>
          <w:noProof/>
        </w:rPr>
        <w:t xml:space="preserve">, </w:t>
      </w:r>
      <w:r w:rsidRPr="00A72FAB">
        <w:rPr>
          <w:i/>
          <w:iCs/>
          <w:noProof/>
        </w:rPr>
        <w:t>73</w:t>
      </w:r>
      <w:r w:rsidRPr="00A72FAB">
        <w:rPr>
          <w:noProof/>
        </w:rPr>
        <w:t xml:space="preserve"> (5), 358–369. https://doi.org/10.1002/bit.1069.</w:t>
      </w:r>
    </w:p>
    <w:p w14:paraId="52790E13"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(35) </w:t>
      </w:r>
      <w:r w:rsidRPr="00A72FAB">
        <w:rPr>
          <w:noProof/>
        </w:rPr>
        <w:tab/>
        <w:t>Chen, M.-C.; Ling, M.-H.; Kusuma, S. J. Poly-</w:t>
      </w:r>
      <w:r w:rsidRPr="00184DC2">
        <w:rPr>
          <w:noProof/>
          <w:lang w:val="es-ES_tradnl"/>
        </w:rPr>
        <w:t>γ</w:t>
      </w:r>
      <w:r w:rsidRPr="00A72FAB">
        <w:rPr>
          <w:noProof/>
        </w:rPr>
        <w:t xml:space="preserve">-Glutamic Acid Microneedles with a Supporting Structure Design as a Potential Tool for Transdermal Delivery of Insulin. </w:t>
      </w:r>
      <w:r w:rsidRPr="00A72FAB">
        <w:rPr>
          <w:i/>
          <w:iCs/>
          <w:noProof/>
        </w:rPr>
        <w:t>Acta Biomater.</w:t>
      </w:r>
      <w:r w:rsidRPr="00A72FAB">
        <w:rPr>
          <w:noProof/>
        </w:rPr>
        <w:t xml:space="preserve"> </w:t>
      </w:r>
      <w:r w:rsidRPr="00A72FAB">
        <w:rPr>
          <w:b/>
          <w:bCs/>
          <w:noProof/>
        </w:rPr>
        <w:t>2015</w:t>
      </w:r>
      <w:r w:rsidRPr="00A72FAB">
        <w:rPr>
          <w:noProof/>
        </w:rPr>
        <w:t xml:space="preserve">, </w:t>
      </w:r>
      <w:r w:rsidRPr="00A72FAB">
        <w:rPr>
          <w:i/>
          <w:iCs/>
          <w:noProof/>
        </w:rPr>
        <w:t>24</w:t>
      </w:r>
      <w:r w:rsidRPr="00A72FAB">
        <w:rPr>
          <w:noProof/>
        </w:rPr>
        <w:t>, 106–116. https://doi.org/10.1016/j.actbio.2015.06.021.</w:t>
      </w:r>
    </w:p>
    <w:p w14:paraId="091DCCDE"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(36) </w:t>
      </w:r>
      <w:r w:rsidRPr="00A72FAB">
        <w:rPr>
          <w:noProof/>
        </w:rPr>
        <w:tab/>
        <w:t xml:space="preserve">Jabbari, N.; Asghari, M.; Ahmadian, H.; Mikaili, P. Developing a Commercial Air Ultrasonic Ceramic Transducer to Transdermal Insulin Delivery. </w:t>
      </w:r>
      <w:r w:rsidRPr="00A72FAB">
        <w:rPr>
          <w:i/>
          <w:iCs/>
          <w:noProof/>
        </w:rPr>
        <w:t>J. Med. Signals Sensors</w:t>
      </w:r>
      <w:r w:rsidRPr="00A72FAB">
        <w:rPr>
          <w:noProof/>
        </w:rPr>
        <w:t xml:space="preserve"> </w:t>
      </w:r>
      <w:r w:rsidRPr="00A72FAB">
        <w:rPr>
          <w:b/>
          <w:bCs/>
          <w:noProof/>
        </w:rPr>
        <w:t>2015</w:t>
      </w:r>
      <w:r w:rsidRPr="00A72FAB">
        <w:rPr>
          <w:noProof/>
        </w:rPr>
        <w:t xml:space="preserve">, </w:t>
      </w:r>
      <w:r w:rsidRPr="00A72FAB">
        <w:rPr>
          <w:i/>
          <w:iCs/>
          <w:noProof/>
        </w:rPr>
        <w:t>5</w:t>
      </w:r>
      <w:r w:rsidRPr="00A72FAB">
        <w:rPr>
          <w:noProof/>
        </w:rPr>
        <w:t xml:space="preserve"> (2), 117. https://doi.org/10.4103/2228-7477.157618.</w:t>
      </w:r>
    </w:p>
    <w:p w14:paraId="57490B95"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(37) </w:t>
      </w:r>
      <w:r w:rsidRPr="00A72FAB">
        <w:rPr>
          <w:noProof/>
        </w:rPr>
        <w:tab/>
        <w:t xml:space="preserve">Nolasco, E. L.; Zanoni, F. L.; Nunes, F. P. B.; Ferreira, S. S.; Freitas, L. A.; Silva, M. C. F.; Martins, J. O. Insulin Modulates Liver Function in a Type I Diabetes Rat Model. </w:t>
      </w:r>
      <w:r w:rsidRPr="00A72FAB">
        <w:rPr>
          <w:i/>
          <w:iCs/>
          <w:noProof/>
        </w:rPr>
        <w:t>Cell. Physiol. Biochem.</w:t>
      </w:r>
      <w:r w:rsidRPr="00A72FAB">
        <w:rPr>
          <w:noProof/>
        </w:rPr>
        <w:t xml:space="preserve"> </w:t>
      </w:r>
      <w:r w:rsidRPr="00A72FAB">
        <w:rPr>
          <w:b/>
          <w:bCs/>
          <w:noProof/>
        </w:rPr>
        <w:t>2015</w:t>
      </w:r>
      <w:r w:rsidRPr="00A72FAB">
        <w:rPr>
          <w:noProof/>
        </w:rPr>
        <w:t xml:space="preserve">, </w:t>
      </w:r>
      <w:r w:rsidRPr="00A72FAB">
        <w:rPr>
          <w:i/>
          <w:iCs/>
          <w:noProof/>
        </w:rPr>
        <w:t>36</w:t>
      </w:r>
      <w:r w:rsidRPr="00A72FAB">
        <w:rPr>
          <w:noProof/>
        </w:rPr>
        <w:t xml:space="preserve"> (4), 1467–1479. https://doi.org/10.1159/000430311.</w:t>
      </w:r>
    </w:p>
    <w:p w14:paraId="284E300B" w14:textId="77777777" w:rsidR="00184DC2" w:rsidRPr="00A72FAB" w:rsidRDefault="00184DC2" w:rsidP="00184DC2">
      <w:pPr>
        <w:widowControl w:val="0"/>
        <w:autoSpaceDE w:val="0"/>
        <w:autoSpaceDN w:val="0"/>
        <w:adjustRightInd w:val="0"/>
        <w:spacing w:after="240" w:line="480" w:lineRule="auto"/>
        <w:ind w:left="640" w:hanging="640"/>
        <w:rPr>
          <w:noProof/>
        </w:rPr>
      </w:pPr>
      <w:r w:rsidRPr="00A72FAB">
        <w:rPr>
          <w:noProof/>
        </w:rPr>
        <w:t xml:space="preserve">(38) </w:t>
      </w:r>
      <w:r w:rsidRPr="00A72FAB">
        <w:rPr>
          <w:noProof/>
        </w:rPr>
        <w:tab/>
        <w:t xml:space="preserve">Saito, S.; Thuc, L. C.; Teshima, Y.; Nakada, C.; Nishio, S.; Kondo, H.; Fukui, A.; Abe, I.; Ebata, Y.; Saikawa, T.; Moriyama, M.; Takahashi, N. Glucose Fluctuations Aggravate Cardiac Susceptibility to Ischemia/Reperfusion Injury by Modulating MicroRNAs Expression. </w:t>
      </w:r>
      <w:r w:rsidRPr="00A72FAB">
        <w:rPr>
          <w:i/>
          <w:iCs/>
          <w:noProof/>
        </w:rPr>
        <w:t>Circ. J.</w:t>
      </w:r>
      <w:r w:rsidRPr="00A72FAB">
        <w:rPr>
          <w:noProof/>
        </w:rPr>
        <w:t xml:space="preserve"> </w:t>
      </w:r>
      <w:r w:rsidRPr="00A72FAB">
        <w:rPr>
          <w:b/>
          <w:bCs/>
          <w:noProof/>
        </w:rPr>
        <w:t>2016</w:t>
      </w:r>
      <w:r w:rsidRPr="00A72FAB">
        <w:rPr>
          <w:noProof/>
        </w:rPr>
        <w:t xml:space="preserve">, </w:t>
      </w:r>
      <w:r w:rsidRPr="00A72FAB">
        <w:rPr>
          <w:i/>
          <w:iCs/>
          <w:noProof/>
        </w:rPr>
        <w:t>80</w:t>
      </w:r>
      <w:r w:rsidRPr="00A72FAB">
        <w:rPr>
          <w:noProof/>
        </w:rPr>
        <w:t xml:space="preserve"> (1), 186–195. https://doi.org/10.1253/circj.CJ-14-1218.</w:t>
      </w:r>
    </w:p>
    <w:p w14:paraId="6EDFA2A7" w14:textId="3405E8F8" w:rsidR="00221B3D" w:rsidRPr="0069195C" w:rsidRDefault="00184DC2" w:rsidP="0069195C">
      <w:pPr>
        <w:widowControl w:val="0"/>
        <w:autoSpaceDE w:val="0"/>
        <w:autoSpaceDN w:val="0"/>
        <w:adjustRightInd w:val="0"/>
        <w:spacing w:after="240" w:line="480" w:lineRule="auto"/>
        <w:ind w:left="640" w:hanging="640"/>
        <w:rPr>
          <w:noProof/>
        </w:rPr>
      </w:pPr>
      <w:r w:rsidRPr="00A72FAB">
        <w:rPr>
          <w:noProof/>
        </w:rPr>
        <w:t xml:space="preserve">(39) </w:t>
      </w:r>
      <w:r w:rsidRPr="00A72FAB">
        <w:rPr>
          <w:noProof/>
        </w:rPr>
        <w:tab/>
        <w:t xml:space="preserve">Hofmann, T.; Horstmann, G.; Stammberger, I. Evaluation of the Reproductive Toxicity and Embryotoxicity of Insulin Glargine (LANTUS) in Rats and Rabbits. </w:t>
      </w:r>
      <w:r w:rsidRPr="0069195C">
        <w:rPr>
          <w:i/>
          <w:iCs/>
          <w:noProof/>
        </w:rPr>
        <w:t>Int. J. Toxicol.</w:t>
      </w:r>
      <w:r w:rsidRPr="0069195C">
        <w:rPr>
          <w:noProof/>
        </w:rPr>
        <w:t xml:space="preserve"> </w:t>
      </w:r>
      <w:r w:rsidRPr="0069195C">
        <w:rPr>
          <w:b/>
          <w:bCs/>
          <w:noProof/>
        </w:rPr>
        <w:t>2002</w:t>
      </w:r>
      <w:r w:rsidRPr="0069195C">
        <w:rPr>
          <w:noProof/>
        </w:rPr>
        <w:t xml:space="preserve">, </w:t>
      </w:r>
      <w:r w:rsidRPr="0069195C">
        <w:rPr>
          <w:i/>
          <w:iCs/>
          <w:noProof/>
        </w:rPr>
        <w:t>21</w:t>
      </w:r>
      <w:r w:rsidRPr="0069195C">
        <w:rPr>
          <w:noProof/>
        </w:rPr>
        <w:t xml:space="preserve"> (3), 181–189. https://doi.org/10.1080/10915810290096315.</w:t>
      </w:r>
    </w:p>
    <w:p w14:paraId="146FE42C" w14:textId="15CBC958" w:rsidR="00221B3D" w:rsidRPr="0069195C" w:rsidRDefault="00221B3D" w:rsidP="00221B3D">
      <w:pPr>
        <w:widowControl w:val="0"/>
        <w:autoSpaceDE w:val="0"/>
        <w:autoSpaceDN w:val="0"/>
        <w:adjustRightInd w:val="0"/>
        <w:spacing w:after="240" w:line="480" w:lineRule="auto"/>
        <w:ind w:left="640" w:hanging="640"/>
        <w:jc w:val="center"/>
        <w:rPr>
          <w:i/>
          <w:noProof/>
        </w:rPr>
      </w:pPr>
      <w:r>
        <w:rPr>
          <w:rFonts w:ascii="Arno Pro" w:eastAsia="Arno Pro" w:hAnsi="Arno Pro" w:cs="Arno Pro"/>
        </w:rPr>
        <w:lastRenderedPageBreak/>
        <w:t>Table of Contents artwork</w:t>
      </w:r>
    </w:p>
    <w:p w14:paraId="23911712" w14:textId="0677BFB2" w:rsidR="00221B3D" w:rsidRDefault="00221B3D" w:rsidP="00221B3D">
      <w:pPr>
        <w:widowControl w:val="0"/>
        <w:autoSpaceDE w:val="0"/>
        <w:autoSpaceDN w:val="0"/>
        <w:adjustRightInd w:val="0"/>
        <w:spacing w:after="240" w:line="480" w:lineRule="auto"/>
        <w:ind w:left="640" w:hanging="640"/>
        <w:jc w:val="center"/>
        <w:rPr>
          <w:noProof/>
          <w:lang w:val="es-ES_tradnl"/>
        </w:rPr>
      </w:pPr>
      <w:r>
        <w:rPr>
          <w:rFonts w:ascii="Times New Roman" w:hAnsi="Times New Roman"/>
          <w:noProof/>
          <w:lang w:val="es-ES" w:eastAsia="es-ES"/>
        </w:rPr>
        <w:drawing>
          <wp:inline distT="0" distB="0" distL="0" distR="0" wp14:anchorId="3B01C311" wp14:editId="4DA52DE1">
            <wp:extent cx="3349733" cy="1800000"/>
            <wp:effectExtent l="0" t="0" r="3175"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c-Insulin.png"/>
                    <pic:cNvPicPr/>
                  </pic:nvPicPr>
                  <pic:blipFill>
                    <a:blip r:embed="rId17">
                      <a:extLst>
                        <a:ext uri="{28A0092B-C50C-407E-A947-70E740481C1C}">
                          <a14:useLocalDpi xmlns:a14="http://schemas.microsoft.com/office/drawing/2010/main"/>
                        </a:ext>
                      </a:extLst>
                    </a:blip>
                    <a:stretch>
                      <a:fillRect/>
                    </a:stretch>
                  </pic:blipFill>
                  <pic:spPr>
                    <a:xfrm>
                      <a:off x="0" y="0"/>
                      <a:ext cx="3349733" cy="1800000"/>
                    </a:xfrm>
                    <a:prstGeom prst="rect">
                      <a:avLst/>
                    </a:prstGeom>
                  </pic:spPr>
                </pic:pic>
              </a:graphicData>
            </a:graphic>
          </wp:inline>
        </w:drawing>
      </w:r>
    </w:p>
    <w:p w14:paraId="102ED207" w14:textId="77777777" w:rsidR="00221B3D" w:rsidRDefault="00221B3D" w:rsidP="00184DC2">
      <w:pPr>
        <w:widowControl w:val="0"/>
        <w:autoSpaceDE w:val="0"/>
        <w:autoSpaceDN w:val="0"/>
        <w:adjustRightInd w:val="0"/>
        <w:spacing w:after="240" w:line="480" w:lineRule="auto"/>
        <w:ind w:left="640" w:hanging="640"/>
        <w:rPr>
          <w:noProof/>
          <w:lang w:val="es-ES_tradnl"/>
        </w:rPr>
      </w:pPr>
    </w:p>
    <w:p w14:paraId="6F3C0AC4" w14:textId="77777777" w:rsidR="00221B3D" w:rsidRDefault="00221B3D" w:rsidP="00184DC2">
      <w:pPr>
        <w:widowControl w:val="0"/>
        <w:autoSpaceDE w:val="0"/>
        <w:autoSpaceDN w:val="0"/>
        <w:adjustRightInd w:val="0"/>
        <w:spacing w:after="240" w:line="480" w:lineRule="auto"/>
        <w:ind w:left="640" w:hanging="640"/>
        <w:rPr>
          <w:noProof/>
          <w:lang w:val="es-ES_tradnl"/>
        </w:rPr>
      </w:pPr>
    </w:p>
    <w:p w14:paraId="6D75F231" w14:textId="77777777" w:rsidR="00221B3D" w:rsidRDefault="00221B3D" w:rsidP="00184DC2">
      <w:pPr>
        <w:widowControl w:val="0"/>
        <w:autoSpaceDE w:val="0"/>
        <w:autoSpaceDN w:val="0"/>
        <w:adjustRightInd w:val="0"/>
        <w:spacing w:after="240" w:line="480" w:lineRule="auto"/>
        <w:ind w:left="640" w:hanging="640"/>
        <w:rPr>
          <w:noProof/>
          <w:lang w:val="es-ES_tradnl"/>
        </w:rPr>
      </w:pPr>
    </w:p>
    <w:p w14:paraId="60D93EB4" w14:textId="77777777" w:rsidR="00221B3D" w:rsidRDefault="00221B3D" w:rsidP="00184DC2">
      <w:pPr>
        <w:widowControl w:val="0"/>
        <w:autoSpaceDE w:val="0"/>
        <w:autoSpaceDN w:val="0"/>
        <w:adjustRightInd w:val="0"/>
        <w:spacing w:after="240" w:line="480" w:lineRule="auto"/>
        <w:ind w:left="640" w:hanging="640"/>
        <w:rPr>
          <w:noProof/>
          <w:lang w:val="es-ES_tradnl"/>
        </w:rPr>
      </w:pPr>
    </w:p>
    <w:p w14:paraId="094777CE" w14:textId="77777777" w:rsidR="00221B3D" w:rsidRPr="00184DC2" w:rsidRDefault="00221B3D" w:rsidP="00184DC2">
      <w:pPr>
        <w:widowControl w:val="0"/>
        <w:autoSpaceDE w:val="0"/>
        <w:autoSpaceDN w:val="0"/>
        <w:adjustRightInd w:val="0"/>
        <w:spacing w:after="240" w:line="480" w:lineRule="auto"/>
        <w:ind w:left="640" w:hanging="640"/>
        <w:rPr>
          <w:noProof/>
        </w:rPr>
      </w:pPr>
    </w:p>
    <w:p w14:paraId="52E6B601" w14:textId="40B7E91C" w:rsidR="00683131" w:rsidRDefault="00184DC2" w:rsidP="00683131">
      <w:pPr>
        <w:pStyle w:val="TFReferencesSection"/>
        <w:spacing w:after="240"/>
        <w:ind w:firstLine="0"/>
        <w:jc w:val="left"/>
      </w:pPr>
      <w:r>
        <w:fldChar w:fldCharType="end"/>
      </w:r>
    </w:p>
    <w:p w14:paraId="5ED5801C" w14:textId="649070D9" w:rsidR="009246AD" w:rsidRDefault="009246AD" w:rsidP="000B5610">
      <w:pPr>
        <w:pStyle w:val="SNSynopsisTOC"/>
        <w:spacing w:after="240"/>
        <w:jc w:val="left"/>
      </w:pPr>
    </w:p>
    <w:sectPr w:rsidR="009246AD" w:rsidSect="000B5610">
      <w:footerReference w:type="even" r:id="rId18"/>
      <w:footerReference w:type="default" r:id="rId19"/>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014B2A" w14:textId="77777777" w:rsidR="00996C82" w:rsidRDefault="00996C82">
      <w:r>
        <w:separator/>
      </w:r>
    </w:p>
  </w:endnote>
  <w:endnote w:type="continuationSeparator" w:id="0">
    <w:p w14:paraId="4ED9B73B" w14:textId="77777777" w:rsidR="00996C82" w:rsidRDefault="00996C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New York">
    <w:altName w:val="Times New Roman"/>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no Pro">
    <w:altName w:val="Constantia"/>
    <w:panose1 w:val="020B0604020202020204"/>
    <w:charset w:val="00"/>
    <w:family w:val="auto"/>
    <w:pitch w:val="variable"/>
    <w:sig w:usb0="00000001" w:usb1="00000001" w:usb2="0000000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4F880" w14:textId="77777777" w:rsidR="003B4AF3" w:rsidRDefault="003B4AF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4AFE006B" w14:textId="77777777" w:rsidR="003B4AF3" w:rsidRDefault="003B4AF3">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F8F6C3" w14:textId="77777777" w:rsidR="003B4AF3" w:rsidRDefault="003B4AF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FB045D">
      <w:rPr>
        <w:rStyle w:val="Nmerodepgina"/>
        <w:noProof/>
      </w:rPr>
      <w:t>20</w:t>
    </w:r>
    <w:r>
      <w:rPr>
        <w:rStyle w:val="Nmerodepgina"/>
      </w:rPr>
      <w:fldChar w:fldCharType="end"/>
    </w:r>
  </w:p>
  <w:p w14:paraId="151F5EEC" w14:textId="77777777" w:rsidR="003B4AF3" w:rsidRDefault="003B4AF3">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F1F11E" w14:textId="77777777" w:rsidR="00996C82" w:rsidRDefault="00996C82">
      <w:r>
        <w:separator/>
      </w:r>
    </w:p>
  </w:footnote>
  <w:footnote w:type="continuationSeparator" w:id="0">
    <w:p w14:paraId="3C783737" w14:textId="77777777" w:rsidR="00996C82" w:rsidRDefault="00996C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9D3714"/>
    <w:multiLevelType w:val="hybridMultilevel"/>
    <w:tmpl w:val="1ADCD6F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6"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8"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9"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0"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9"/>
  </w:num>
  <w:num w:numId="2">
    <w:abstractNumId w:val="7"/>
  </w:num>
  <w:num w:numId="3">
    <w:abstractNumId w:val="10"/>
  </w:num>
  <w:num w:numId="4">
    <w:abstractNumId w:val="8"/>
  </w:num>
  <w:num w:numId="5">
    <w:abstractNumId w:val="6"/>
  </w:num>
  <w:num w:numId="6">
    <w:abstractNumId w:val="5"/>
  </w:num>
  <w:num w:numId="7">
    <w:abstractNumId w:val="4"/>
  </w:num>
  <w:num w:numId="8">
    <w:abstractNumId w:val="2"/>
  </w:num>
  <w:num w:numId="9">
    <w:abstractNumId w:val="1"/>
  </w:num>
  <w:num w:numId="10">
    <w:abstractNumId w:val="3"/>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278F"/>
    <w:rsid w:val="000002F2"/>
    <w:rsid w:val="0005660F"/>
    <w:rsid w:val="000702AD"/>
    <w:rsid w:val="000B2EEB"/>
    <w:rsid w:val="000B5610"/>
    <w:rsid w:val="000C05CC"/>
    <w:rsid w:val="001821F5"/>
    <w:rsid w:val="00184DC2"/>
    <w:rsid w:val="00195ACA"/>
    <w:rsid w:val="0019691B"/>
    <w:rsid w:val="001A7A90"/>
    <w:rsid w:val="001D5049"/>
    <w:rsid w:val="00212B1D"/>
    <w:rsid w:val="00221B3D"/>
    <w:rsid w:val="00263B1F"/>
    <w:rsid w:val="00271A02"/>
    <w:rsid w:val="002775B1"/>
    <w:rsid w:val="002A7493"/>
    <w:rsid w:val="002C105B"/>
    <w:rsid w:val="002C3431"/>
    <w:rsid w:val="0031373B"/>
    <w:rsid w:val="00324128"/>
    <w:rsid w:val="003255D3"/>
    <w:rsid w:val="00361E35"/>
    <w:rsid w:val="003664E9"/>
    <w:rsid w:val="003679A1"/>
    <w:rsid w:val="00375C57"/>
    <w:rsid w:val="003971BC"/>
    <w:rsid w:val="003A42F0"/>
    <w:rsid w:val="003B4AF3"/>
    <w:rsid w:val="003E1F76"/>
    <w:rsid w:val="00475FD2"/>
    <w:rsid w:val="004E126A"/>
    <w:rsid w:val="004E283C"/>
    <w:rsid w:val="004E7185"/>
    <w:rsid w:val="005553EF"/>
    <w:rsid w:val="00567E81"/>
    <w:rsid w:val="00591A57"/>
    <w:rsid w:val="005D0C10"/>
    <w:rsid w:val="00621320"/>
    <w:rsid w:val="006455A5"/>
    <w:rsid w:val="00656FFE"/>
    <w:rsid w:val="00660E88"/>
    <w:rsid w:val="00683131"/>
    <w:rsid w:val="0069195C"/>
    <w:rsid w:val="006A3E34"/>
    <w:rsid w:val="006B2581"/>
    <w:rsid w:val="007000D9"/>
    <w:rsid w:val="0072278F"/>
    <w:rsid w:val="00735953"/>
    <w:rsid w:val="00747701"/>
    <w:rsid w:val="007629D3"/>
    <w:rsid w:val="00772B25"/>
    <w:rsid w:val="0078588D"/>
    <w:rsid w:val="00793BA2"/>
    <w:rsid w:val="00793BFA"/>
    <w:rsid w:val="00794616"/>
    <w:rsid w:val="007A11AD"/>
    <w:rsid w:val="008047DE"/>
    <w:rsid w:val="00853479"/>
    <w:rsid w:val="008633FA"/>
    <w:rsid w:val="008655C0"/>
    <w:rsid w:val="008D30F9"/>
    <w:rsid w:val="008D53B2"/>
    <w:rsid w:val="00912169"/>
    <w:rsid w:val="0092037A"/>
    <w:rsid w:val="009246AD"/>
    <w:rsid w:val="00996C82"/>
    <w:rsid w:val="009B0A45"/>
    <w:rsid w:val="009F2E7E"/>
    <w:rsid w:val="00A02D62"/>
    <w:rsid w:val="00A20EB5"/>
    <w:rsid w:val="00A72FAB"/>
    <w:rsid w:val="00A764EF"/>
    <w:rsid w:val="00AB34C5"/>
    <w:rsid w:val="00AF4F6D"/>
    <w:rsid w:val="00AF7F6A"/>
    <w:rsid w:val="00B05A88"/>
    <w:rsid w:val="00B32C90"/>
    <w:rsid w:val="00B44641"/>
    <w:rsid w:val="00B7618D"/>
    <w:rsid w:val="00BD2C44"/>
    <w:rsid w:val="00C10EE0"/>
    <w:rsid w:val="00C12556"/>
    <w:rsid w:val="00C6170A"/>
    <w:rsid w:val="00D00EDB"/>
    <w:rsid w:val="00D27C00"/>
    <w:rsid w:val="00D318E5"/>
    <w:rsid w:val="00D32E24"/>
    <w:rsid w:val="00DD6DBB"/>
    <w:rsid w:val="00DF65C7"/>
    <w:rsid w:val="00E074F2"/>
    <w:rsid w:val="00E91482"/>
    <w:rsid w:val="00E96302"/>
    <w:rsid w:val="00ED35E1"/>
    <w:rsid w:val="00EE2BF6"/>
    <w:rsid w:val="00F134F5"/>
    <w:rsid w:val="00F47B85"/>
    <w:rsid w:val="00F54BDD"/>
    <w:rsid w:val="00F5645C"/>
    <w:rsid w:val="00F65D18"/>
    <w:rsid w:val="00FB045D"/>
    <w:rsid w:val="00FE6219"/>
    <w:rsid w:val="00FE6799"/>
    <w:rsid w:val="00FF2D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F2DEC4E"/>
  <w15:docId w15:val="{06F26531-BC53-F24D-B9A5-6F4870E5B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200"/>
      <w:jc w:val="both"/>
    </w:pPr>
    <w:rPr>
      <w:rFonts w:ascii="Times" w:hAnsi="Time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visitado">
    <w:name w:val="FollowedHyperlink"/>
    <w:rPr>
      <w:color w:val="800080"/>
      <w:u w:val="single"/>
    </w:rPr>
  </w:style>
  <w:style w:type="paragraph" w:styleId="Textoindependiente">
    <w:name w:val="Body Text"/>
    <w:basedOn w:val="Normal"/>
    <w:pPr>
      <w:jc w:val="center"/>
    </w:pPr>
    <w:rPr>
      <w:b/>
      <w:sz w:val="40"/>
    </w:rPr>
  </w:style>
  <w:style w:type="paragraph" w:styleId="Textonotapie">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ipervnculo">
    <w:name w:val="Hyperlink"/>
    <w:rPr>
      <w:color w:val="0000FF"/>
      <w:u w:val="single"/>
    </w:rPr>
  </w:style>
  <w:style w:type="paragraph" w:styleId="Piedepgina">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Nmerodepgina">
    <w:name w:val="page number"/>
    <w:basedOn w:val="Fuentedeprrafopredeter"/>
  </w:style>
  <w:style w:type="paragraph" w:styleId="Textodeglobo">
    <w:name w:val="Balloon Text"/>
    <w:basedOn w:val="Normal"/>
    <w:link w:val="TextodegloboCar"/>
    <w:uiPriority w:val="99"/>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A72FAB"/>
    <w:pPr>
      <w:spacing w:before="120" w:after="60" w:line="480" w:lineRule="auto"/>
      <w:jc w:val="left"/>
    </w:pPr>
    <w:rPr>
      <w:bCs/>
    </w:rPr>
  </w:style>
  <w:style w:type="character" w:customStyle="1" w:styleId="FAAuthorInfoSubtitleChar">
    <w:name w:val="FA_Author_Info_Subtitle Char"/>
    <w:link w:val="FAAuthorInfoSubtitle"/>
    <w:rsid w:val="00A72FAB"/>
    <w:rPr>
      <w:rFonts w:ascii="Times" w:hAnsi="Times"/>
      <w:bCs/>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customStyle="1" w:styleId="RSCB01ARTAbstract">
    <w:name w:val="RSC B01 ART Abstract"/>
    <w:basedOn w:val="Normal"/>
    <w:link w:val="RSCB01ARTAbstractChar"/>
    <w:qFormat/>
    <w:rsid w:val="002C105B"/>
    <w:pPr>
      <w:spacing w:line="240" w:lineRule="exact"/>
    </w:pPr>
    <w:rPr>
      <w:rFonts w:asciiTheme="minorHAnsi" w:eastAsiaTheme="minorHAnsi" w:hAnsiTheme="minorHAnsi" w:cstheme="minorBidi"/>
      <w:noProof/>
      <w:sz w:val="16"/>
      <w:szCs w:val="22"/>
      <w:lang w:val="en-GB" w:eastAsia="en-GB"/>
    </w:rPr>
  </w:style>
  <w:style w:type="character" w:customStyle="1" w:styleId="RSCB01ARTAbstractChar">
    <w:name w:val="RSC B01 ART Abstract Char"/>
    <w:basedOn w:val="Fuentedeprrafopredeter"/>
    <w:link w:val="RSCB01ARTAbstract"/>
    <w:rsid w:val="002C105B"/>
    <w:rPr>
      <w:rFonts w:asciiTheme="minorHAnsi" w:eastAsiaTheme="minorHAnsi" w:hAnsiTheme="minorHAnsi" w:cstheme="minorBidi"/>
      <w:noProof/>
      <w:sz w:val="16"/>
      <w:szCs w:val="22"/>
      <w:lang w:val="en-GB" w:eastAsia="en-GB"/>
    </w:rPr>
  </w:style>
  <w:style w:type="paragraph" w:customStyle="1" w:styleId="RSCB02ArticleText">
    <w:name w:val="RSC B02 Article Text"/>
    <w:basedOn w:val="Normal"/>
    <w:link w:val="RSCB02ArticleTextChar"/>
    <w:qFormat/>
    <w:rsid w:val="002C105B"/>
    <w:pPr>
      <w:spacing w:after="0" w:line="240" w:lineRule="exact"/>
    </w:pPr>
    <w:rPr>
      <w:rFonts w:asciiTheme="minorHAnsi" w:eastAsiaTheme="minorHAnsi" w:hAnsiTheme="minorHAnsi"/>
      <w:w w:val="108"/>
      <w:sz w:val="18"/>
      <w:szCs w:val="18"/>
      <w:lang w:val="en-GB"/>
    </w:rPr>
  </w:style>
  <w:style w:type="character" w:customStyle="1" w:styleId="RSCB02ArticleTextChar">
    <w:name w:val="RSC B02 Article Text Char"/>
    <w:basedOn w:val="Fuentedeprrafopredeter"/>
    <w:link w:val="RSCB02ArticleText"/>
    <w:rsid w:val="002C105B"/>
    <w:rPr>
      <w:rFonts w:asciiTheme="minorHAnsi" w:eastAsiaTheme="minorHAnsi" w:hAnsiTheme="minorHAnsi"/>
      <w:w w:val="108"/>
      <w:sz w:val="18"/>
      <w:szCs w:val="18"/>
      <w:lang w:val="en-GB"/>
    </w:rPr>
  </w:style>
  <w:style w:type="paragraph" w:customStyle="1" w:styleId="RSCI05CaptiontoFigureSchemeChartwithbottombar">
    <w:name w:val="RSC I05 Caption to Figure/Scheme/Chart with bottom bar"/>
    <w:link w:val="RSCI05CaptiontoFigureSchemeChartwithbottombarChar"/>
    <w:qFormat/>
    <w:rsid w:val="009B0A45"/>
    <w:pPr>
      <w:pBdr>
        <w:bottom w:val="single" w:sz="12" w:space="1" w:color="A6A6A6" w:themeColor="background1" w:themeShade="A6"/>
      </w:pBdr>
      <w:spacing w:after="200" w:line="276" w:lineRule="auto"/>
      <w:jc w:val="both"/>
    </w:pPr>
    <w:rPr>
      <w:rFonts w:asciiTheme="minorHAnsi" w:eastAsiaTheme="minorHAnsi" w:hAnsiTheme="minorHAnsi" w:cstheme="minorBidi"/>
      <w:bCs/>
      <w:sz w:val="14"/>
      <w:szCs w:val="18"/>
      <w:lang w:val="en-GB"/>
    </w:rPr>
  </w:style>
  <w:style w:type="character" w:customStyle="1" w:styleId="RSCI05CaptiontoFigureSchemeChartwithbottombarChar">
    <w:name w:val="RSC I05 Caption to Figure/Scheme/Chart with bottom bar Char"/>
    <w:basedOn w:val="Fuentedeprrafopredeter"/>
    <w:link w:val="RSCI05CaptiontoFigureSchemeChartwithbottombar"/>
    <w:rsid w:val="009B0A45"/>
    <w:rPr>
      <w:rFonts w:asciiTheme="minorHAnsi" w:eastAsiaTheme="minorHAnsi" w:hAnsiTheme="minorHAnsi" w:cstheme="minorBidi"/>
      <w:bCs/>
      <w:sz w:val="14"/>
      <w:szCs w:val="18"/>
      <w:lang w:val="en-GB"/>
    </w:rPr>
  </w:style>
  <w:style w:type="character" w:customStyle="1" w:styleId="TextodegloboCar">
    <w:name w:val="Texto de globo Car"/>
    <w:basedOn w:val="Fuentedeprrafopredeter"/>
    <w:link w:val="Textodeglobo"/>
    <w:uiPriority w:val="99"/>
    <w:semiHidden/>
    <w:rsid w:val="00621320"/>
    <w:rPr>
      <w:rFonts w:ascii="Tahoma" w:hAnsi="Tahoma" w:cs="Tahoma"/>
      <w:sz w:val="16"/>
      <w:szCs w:val="16"/>
    </w:rPr>
  </w:style>
  <w:style w:type="paragraph" w:customStyle="1" w:styleId="RSCB04AHeadingSection">
    <w:name w:val="RSC B04 A Heading (Section)"/>
    <w:basedOn w:val="Normal"/>
    <w:link w:val="RSCB04AHeadingSectionChar"/>
    <w:qFormat/>
    <w:rsid w:val="00621320"/>
    <w:pPr>
      <w:spacing w:before="400" w:after="80"/>
      <w:jc w:val="left"/>
    </w:pPr>
    <w:rPr>
      <w:rFonts w:asciiTheme="minorHAnsi" w:eastAsiaTheme="minorHAnsi" w:hAnsiTheme="minorHAnsi" w:cstheme="minorBidi"/>
      <w:b/>
      <w:szCs w:val="22"/>
      <w:lang w:val="en-GB"/>
    </w:rPr>
  </w:style>
  <w:style w:type="character" w:customStyle="1" w:styleId="RSCB04AHeadingSectionChar">
    <w:name w:val="RSC B04 A Heading (Section) Char"/>
    <w:basedOn w:val="Fuentedeprrafopredeter"/>
    <w:link w:val="RSCB04AHeadingSection"/>
    <w:rsid w:val="00621320"/>
    <w:rPr>
      <w:rFonts w:asciiTheme="minorHAnsi" w:eastAsiaTheme="minorHAnsi" w:hAnsiTheme="minorHAnsi" w:cstheme="minorBidi"/>
      <w:b/>
      <w:sz w:val="24"/>
      <w:szCs w:val="22"/>
      <w:lang w:val="en-GB"/>
    </w:rPr>
  </w:style>
  <w:style w:type="paragraph" w:customStyle="1" w:styleId="RSCB06BHeadingSub-Section">
    <w:name w:val="RSC B06 B Heading (Sub-Section)"/>
    <w:link w:val="RSCB06BHeadingSub-SectionChar"/>
    <w:qFormat/>
    <w:rsid w:val="00793BFA"/>
    <w:pPr>
      <w:spacing w:after="80" w:line="240" w:lineRule="exact"/>
    </w:pPr>
    <w:rPr>
      <w:rFonts w:asciiTheme="minorHAnsi" w:eastAsiaTheme="minorHAnsi" w:hAnsiTheme="minorHAnsi" w:cstheme="minorBidi"/>
      <w:b/>
      <w:sz w:val="18"/>
      <w:szCs w:val="22"/>
      <w:lang w:val="en-GB"/>
    </w:rPr>
  </w:style>
  <w:style w:type="character" w:customStyle="1" w:styleId="RSCB06BHeadingSub-SectionChar">
    <w:name w:val="RSC B06 B Heading (Sub-Section) Char"/>
    <w:basedOn w:val="Fuentedeprrafopredeter"/>
    <w:link w:val="RSCB06BHeadingSub-Section"/>
    <w:rsid w:val="00793BFA"/>
    <w:rPr>
      <w:rFonts w:asciiTheme="minorHAnsi" w:eastAsiaTheme="minorHAnsi" w:hAnsiTheme="minorHAnsi" w:cstheme="minorBidi"/>
      <w:b/>
      <w:sz w:val="18"/>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2313532">
      <w:bodyDiv w:val="1"/>
      <w:marLeft w:val="0"/>
      <w:marRight w:val="0"/>
      <w:marTop w:val="0"/>
      <w:marBottom w:val="0"/>
      <w:divBdr>
        <w:top w:val="none" w:sz="0" w:space="0" w:color="auto"/>
        <w:left w:val="none" w:sz="0" w:space="0" w:color="auto"/>
        <w:bottom w:val="none" w:sz="0" w:space="0" w:color="auto"/>
        <w:right w:val="none" w:sz="0" w:space="0" w:color="auto"/>
      </w:divBdr>
    </w:div>
    <w:div w:id="835144964">
      <w:bodyDiv w:val="1"/>
      <w:marLeft w:val="0"/>
      <w:marRight w:val="0"/>
      <w:marTop w:val="0"/>
      <w:marBottom w:val="0"/>
      <w:divBdr>
        <w:top w:val="none" w:sz="0" w:space="0" w:color="auto"/>
        <w:left w:val="none" w:sz="0" w:space="0" w:color="auto"/>
        <w:bottom w:val="none" w:sz="0" w:space="0" w:color="auto"/>
        <w:right w:val="none" w:sz="0" w:space="0" w:color="auto"/>
      </w:divBdr>
      <w:divsChild>
        <w:div w:id="2107311633">
          <w:marLeft w:val="0"/>
          <w:marRight w:val="0"/>
          <w:marTop w:val="0"/>
          <w:marBottom w:val="0"/>
          <w:divBdr>
            <w:top w:val="none" w:sz="0" w:space="0" w:color="auto"/>
            <w:left w:val="none" w:sz="0" w:space="0" w:color="auto"/>
            <w:bottom w:val="none" w:sz="0" w:space="0" w:color="auto"/>
            <w:right w:val="none" w:sz="0" w:space="0" w:color="auto"/>
          </w:divBdr>
          <w:divsChild>
            <w:div w:id="1347950747">
              <w:marLeft w:val="0"/>
              <w:marRight w:val="0"/>
              <w:marTop w:val="0"/>
              <w:marBottom w:val="0"/>
              <w:divBdr>
                <w:top w:val="none" w:sz="0" w:space="0" w:color="auto"/>
                <w:left w:val="none" w:sz="0" w:space="0" w:color="auto"/>
                <w:bottom w:val="none" w:sz="0" w:space="0" w:color="auto"/>
                <w:right w:val="none" w:sz="0" w:space="0" w:color="auto"/>
              </w:divBdr>
              <w:divsChild>
                <w:div w:id="52841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837747">
      <w:bodyDiv w:val="1"/>
      <w:marLeft w:val="0"/>
      <w:marRight w:val="0"/>
      <w:marTop w:val="0"/>
      <w:marBottom w:val="0"/>
      <w:divBdr>
        <w:top w:val="none" w:sz="0" w:space="0" w:color="auto"/>
        <w:left w:val="none" w:sz="0" w:space="0" w:color="auto"/>
        <w:bottom w:val="none" w:sz="0" w:space="0" w:color="auto"/>
        <w:right w:val="none" w:sz="0" w:space="0" w:color="auto"/>
      </w:divBdr>
    </w:div>
    <w:div w:id="1119226939">
      <w:bodyDiv w:val="1"/>
      <w:marLeft w:val="0"/>
      <w:marRight w:val="0"/>
      <w:marTop w:val="0"/>
      <w:marBottom w:val="0"/>
      <w:divBdr>
        <w:top w:val="none" w:sz="0" w:space="0" w:color="auto"/>
        <w:left w:val="none" w:sz="0" w:space="0" w:color="auto"/>
        <w:bottom w:val="none" w:sz="0" w:space="0" w:color="auto"/>
        <w:right w:val="none" w:sz="0" w:space="0" w:color="auto"/>
      </w:divBdr>
      <w:divsChild>
        <w:div w:id="1275403157">
          <w:marLeft w:val="0"/>
          <w:marRight w:val="0"/>
          <w:marTop w:val="0"/>
          <w:marBottom w:val="0"/>
          <w:divBdr>
            <w:top w:val="none" w:sz="0" w:space="0" w:color="auto"/>
            <w:left w:val="none" w:sz="0" w:space="0" w:color="auto"/>
            <w:bottom w:val="none" w:sz="0" w:space="0" w:color="auto"/>
            <w:right w:val="none" w:sz="0" w:space="0" w:color="auto"/>
          </w:divBdr>
          <w:divsChild>
            <w:div w:id="1591356721">
              <w:marLeft w:val="0"/>
              <w:marRight w:val="0"/>
              <w:marTop w:val="0"/>
              <w:marBottom w:val="0"/>
              <w:divBdr>
                <w:top w:val="none" w:sz="0" w:space="0" w:color="auto"/>
                <w:left w:val="none" w:sz="0" w:space="0" w:color="auto"/>
                <w:bottom w:val="none" w:sz="0" w:space="0" w:color="auto"/>
                <w:right w:val="none" w:sz="0" w:space="0" w:color="auto"/>
              </w:divBdr>
              <w:divsChild>
                <w:div w:id="79136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981250">
      <w:bodyDiv w:val="1"/>
      <w:marLeft w:val="0"/>
      <w:marRight w:val="0"/>
      <w:marTop w:val="0"/>
      <w:marBottom w:val="0"/>
      <w:divBdr>
        <w:top w:val="none" w:sz="0" w:space="0" w:color="auto"/>
        <w:left w:val="none" w:sz="0" w:space="0" w:color="auto"/>
        <w:bottom w:val="none" w:sz="0" w:space="0" w:color="auto"/>
        <w:right w:val="none" w:sz="0" w:space="0" w:color="auto"/>
      </w:divBdr>
    </w:div>
    <w:div w:id="1175418026">
      <w:bodyDiv w:val="1"/>
      <w:marLeft w:val="0"/>
      <w:marRight w:val="0"/>
      <w:marTop w:val="0"/>
      <w:marBottom w:val="0"/>
      <w:divBdr>
        <w:top w:val="none" w:sz="0" w:space="0" w:color="auto"/>
        <w:left w:val="none" w:sz="0" w:space="0" w:color="auto"/>
        <w:bottom w:val="none" w:sz="0" w:space="0" w:color="auto"/>
        <w:right w:val="none" w:sz="0" w:space="0" w:color="auto"/>
      </w:divBdr>
    </w:div>
    <w:div w:id="1558931378">
      <w:bodyDiv w:val="1"/>
      <w:marLeft w:val="0"/>
      <w:marRight w:val="0"/>
      <w:marTop w:val="0"/>
      <w:marBottom w:val="0"/>
      <w:divBdr>
        <w:top w:val="none" w:sz="0" w:space="0" w:color="auto"/>
        <w:left w:val="none" w:sz="0" w:space="0" w:color="auto"/>
        <w:bottom w:val="none" w:sz="0" w:space="0" w:color="auto"/>
        <w:right w:val="none" w:sz="0" w:space="0" w:color="auto"/>
      </w:divBdr>
    </w:div>
    <w:div w:id="1768885361">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2031758568">
      <w:bodyDiv w:val="1"/>
      <w:marLeft w:val="0"/>
      <w:marRight w:val="0"/>
      <w:marTop w:val="0"/>
      <w:marBottom w:val="0"/>
      <w:divBdr>
        <w:top w:val="none" w:sz="0" w:space="0" w:color="auto"/>
        <w:left w:val="none" w:sz="0" w:space="0" w:color="auto"/>
        <w:bottom w:val="none" w:sz="0" w:space="0" w:color="auto"/>
        <w:right w:val="none" w:sz="0" w:space="0" w:color="auto"/>
      </w:divBdr>
    </w:div>
    <w:div w:id="2036691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hyperlink" Target="mailto:lac@ugr.es"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mailto:jgavira@iact.ugr-csic.es" TargetMode="External"/><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99C8D0-B5F5-4832-9B6D-F619C1488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TotalTime>
  <Pages>34</Pages>
  <Words>24128</Words>
  <Characters>132709</Characters>
  <Application>Microsoft Office Word</Application>
  <DocSecurity>0</DocSecurity>
  <Lines>1105</Lines>
  <Paragraphs>313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156524</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Microsoft Office User</dc:creator>
  <cp:keywords/>
  <cp:lastModifiedBy>Microsoft Office User</cp:lastModifiedBy>
  <cp:revision>16</cp:revision>
  <cp:lastPrinted>2008-06-11T21:33:00Z</cp:lastPrinted>
  <dcterms:created xsi:type="dcterms:W3CDTF">2021-01-10T16:51:00Z</dcterms:created>
  <dcterms:modified xsi:type="dcterms:W3CDTF">2021-02-17T17:21:00Z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http://www.zotero.org/styles/acs-applied-materials-and-interfaces</vt:lpwstr>
  </property>
  <property fmtid="{D5CDD505-2E9C-101B-9397-08002B2CF9AE}" pid="4" name="Mendeley Unique User Id_1">
    <vt:lpwstr>1327a676-547f-3b6a-8099-1cca35c1e464</vt:lpwstr>
  </property>
  <property fmtid="{D5CDD505-2E9C-101B-9397-08002B2CF9AE}" pid="5" name="Mendeley Recent Style Id 0_1">
    <vt:lpwstr>http://www.zotero.org/styles/acs-applied-materials-and-interfaces</vt:lpwstr>
  </property>
  <property fmtid="{D5CDD505-2E9C-101B-9397-08002B2CF9AE}" pid="6" name="Mendeley Recent Style Name 0_1">
    <vt:lpwstr>ACS Applied Materials &amp; Interfaces</vt:lpwstr>
  </property>
  <property fmtid="{D5CDD505-2E9C-101B-9397-08002B2CF9AE}" pid="7" name="Mendeley Recent Style Id 1_1">
    <vt:lpwstr>http://www.zotero.org/styles/advanced-functional-materials</vt:lpwstr>
  </property>
  <property fmtid="{D5CDD505-2E9C-101B-9397-08002B2CF9AE}" pid="8" name="Mendeley Recent Style Name 1_1">
    <vt:lpwstr>Advanced Functional Materials</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7th edition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 6th edition</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17th edition (author-date)</vt:lpwstr>
  </property>
  <property fmtid="{D5CDD505-2E9C-101B-9397-08002B2CF9AE}" pid="17" name="Mendeley Recent Style Id 6_1">
    <vt:lpwstr>http://www.zotero.org/styles/harvard-cite-them-right</vt:lpwstr>
  </property>
  <property fmtid="{D5CDD505-2E9C-101B-9397-08002B2CF9AE}" pid="18" name="Mendeley Recent Style Name 6_1">
    <vt:lpwstr>Cite Them Right 10th edition - Harvard</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8th edition</vt:lpwstr>
  </property>
</Properties>
</file>