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D724C" w14:textId="77777777" w:rsidR="00A50B9A" w:rsidRDefault="00BB1DBA" w:rsidP="00633346">
      <w:pPr>
        <w:pStyle w:val="JVACMTtulo"/>
      </w:pPr>
      <w:r>
        <w:t>ESTRUCTURAS</w:t>
      </w:r>
      <w:r w:rsidR="00476E88">
        <w:t xml:space="preserve">EN FUNCIONES </w:t>
      </w:r>
      <w:r w:rsidR="00764FE9">
        <w:t xml:space="preserve">CON VARIABLES CONTINUAS EN </w:t>
      </w:r>
      <w:r w:rsidR="001C06FF">
        <w:t>ESTUDIANTES</w:t>
      </w:r>
      <w:r w:rsidR="00764FE9">
        <w:t xml:space="preserve"> DE EDUCACIÓN PRIMARIA EN UN PROGRAMA DE ENRIQUECIMIENTO CURRICULAR</w:t>
      </w:r>
    </w:p>
    <w:p w14:paraId="7E26C890" w14:textId="1597AC96" w:rsidR="003C76A2" w:rsidRPr="00133F8A" w:rsidRDefault="00476E88" w:rsidP="00D01B04">
      <w:pPr>
        <w:pStyle w:val="JVACMTtuloIngls"/>
      </w:pPr>
      <w:r>
        <w:t>Structures in functions of continuous variables by P</w:t>
      </w:r>
      <w:r w:rsidR="00764FE9" w:rsidRPr="00764FE9">
        <w:t>rimary students’</w:t>
      </w:r>
      <w:r w:rsidR="00E82D3C">
        <w:t xml:space="preserve">I </w:t>
      </w:r>
      <w:r w:rsidR="00764FE9" w:rsidRPr="00764FE9">
        <w:t>n a curriculum enrichment program</w:t>
      </w:r>
    </w:p>
    <w:p w14:paraId="30E93F4A" w14:textId="77777777" w:rsidR="003C76A2" w:rsidRPr="00013533" w:rsidRDefault="00764FE9" w:rsidP="00D01B04">
      <w:pPr>
        <w:pStyle w:val="JVACMAutor"/>
        <w:rPr>
          <w:lang w:val="en-GB"/>
        </w:rPr>
      </w:pPr>
      <w:r w:rsidRPr="00013533">
        <w:rPr>
          <w:u w:val="single"/>
          <w:lang w:val="en-GB"/>
        </w:rPr>
        <w:t>Damián, A.</w:t>
      </w:r>
      <w:r w:rsidR="003C76A2" w:rsidRPr="00013533">
        <w:rPr>
          <w:vertAlign w:val="superscript"/>
          <w:lang w:val="en-GB"/>
        </w:rPr>
        <w:t>a</w:t>
      </w:r>
      <w:r w:rsidR="003C76A2" w:rsidRPr="00013533">
        <w:rPr>
          <w:lang w:val="en-GB"/>
        </w:rPr>
        <w:t xml:space="preserve">, </w:t>
      </w:r>
      <w:r w:rsidRPr="00013533">
        <w:rPr>
          <w:lang w:val="en-GB"/>
        </w:rPr>
        <w:t>Cañadas, M.</w:t>
      </w:r>
      <w:r w:rsidR="00F7538A" w:rsidRPr="00013533">
        <w:rPr>
          <w:lang w:val="en-GB"/>
        </w:rPr>
        <w:t>C.</w:t>
      </w:r>
      <w:r w:rsidRPr="00013533">
        <w:rPr>
          <w:vertAlign w:val="superscript"/>
          <w:lang w:val="en-GB"/>
        </w:rPr>
        <w:t>a</w:t>
      </w:r>
      <w:r w:rsidRPr="00013533">
        <w:rPr>
          <w:lang w:val="en-GB"/>
        </w:rPr>
        <w:t>, Ramírez, R.</w:t>
      </w:r>
      <w:r w:rsidRPr="00013533">
        <w:rPr>
          <w:vertAlign w:val="superscript"/>
          <w:lang w:val="en-GB"/>
        </w:rPr>
        <w:t>a</w:t>
      </w:r>
    </w:p>
    <w:p w14:paraId="7F2DC0D6" w14:textId="77777777" w:rsidR="003C76A2" w:rsidRDefault="003C76A2" w:rsidP="00D01B04">
      <w:pPr>
        <w:pStyle w:val="JVACMAutor"/>
      </w:pPr>
      <w:r w:rsidRPr="008A296D">
        <w:rPr>
          <w:vertAlign w:val="superscript"/>
        </w:rPr>
        <w:t>a</w:t>
      </w:r>
      <w:r w:rsidR="00764FE9">
        <w:t>Universidad de Granada</w:t>
      </w:r>
    </w:p>
    <w:p w14:paraId="194BD279" w14:textId="77777777" w:rsidR="003C76A2" w:rsidRDefault="003C76A2" w:rsidP="00D01B04">
      <w:pPr>
        <w:pStyle w:val="JVACMAutor"/>
      </w:pPr>
    </w:p>
    <w:p w14:paraId="0CD621D5" w14:textId="77777777" w:rsidR="003C76A2" w:rsidRDefault="003C76A2" w:rsidP="00175714">
      <w:pPr>
        <w:pStyle w:val="JVACMNivel2"/>
      </w:pPr>
      <w:r w:rsidRPr="008A296D">
        <w:t>Resumen</w:t>
      </w:r>
    </w:p>
    <w:p w14:paraId="0DDCB2DC" w14:textId="56B9136F" w:rsidR="00175714" w:rsidRPr="003948BF" w:rsidRDefault="00904E47" w:rsidP="00904E47">
      <w:pPr>
        <w:pStyle w:val="JVACMResumen"/>
        <w:rPr>
          <w:rFonts w:eastAsiaTheme="minorEastAsia"/>
        </w:rPr>
      </w:pPr>
      <w:r>
        <w:t>Este trabajo se enmarca en el ámbito del pensamiento algebraico en las primeras edades. Nuestr</w:t>
      </w:r>
      <w:r w:rsidR="00E50612">
        <w:t>a investigación es parte de otra más amplia cuyo</w:t>
      </w:r>
      <w:r w:rsidR="00175714" w:rsidRPr="003948BF">
        <w:t xml:space="preserve"> objetivo es describir el pensamiento funcional de seis </w:t>
      </w:r>
      <w:r w:rsidR="001C06FF">
        <w:t>estudiantes</w:t>
      </w:r>
      <w:r w:rsidR="00175714" w:rsidRPr="003948BF">
        <w:t xml:space="preserve"> de 6º de primaria que pertenecen a un programa de enriquecimiento curricular. </w:t>
      </w:r>
      <w:r w:rsidR="002934DA">
        <w:t>En el presente documento</w:t>
      </w:r>
      <w:r>
        <w:t xml:space="preserve">, nos centramos en </w:t>
      </w:r>
      <w:r w:rsidR="002934DA">
        <w:t xml:space="preserve">la descripción de </w:t>
      </w:r>
      <w:r>
        <w:t xml:space="preserve">las estructuras evidenciadas </w:t>
      </w:r>
      <w:r w:rsidR="002934DA">
        <w:t>por</w:t>
      </w:r>
      <w:r>
        <w:t xml:space="preserve"> los estudiantes en una tarea de generalización</w:t>
      </w:r>
      <w:r w:rsidR="00E82D3C">
        <w:t xml:space="preserve"> </w:t>
      </w:r>
      <w:r w:rsidR="006B151A">
        <w:t xml:space="preserve">en un </w:t>
      </w:r>
      <w:r w:rsidR="006A7F1C">
        <w:t xml:space="preserve">contexto geométrico que </w:t>
      </w:r>
      <w:r w:rsidR="00175714" w:rsidRPr="003948BF">
        <w:t xml:space="preserve">involucra una función </w:t>
      </w:r>
      <w:r w:rsidR="003864A0">
        <w:t>cuadrática de variable continua</w:t>
      </w:r>
      <w:r>
        <w:t>.</w:t>
      </w:r>
      <w:r w:rsidR="002934DA">
        <w:t xml:space="preserve"> Implementamos dicha tarea durante dos sesiones: en la primera de ellas, los alumnos trabajan de forma individual y colectiva, siendo la segunda una entrevista individual. </w:t>
      </w:r>
      <w:r w:rsidR="006A7F1C">
        <w:t>Los estudiantes establecen varias estructura</w:t>
      </w:r>
      <w:r w:rsidR="00226AE9">
        <w:t>s</w:t>
      </w:r>
      <w:r w:rsidR="00083C44">
        <w:t xml:space="preserve"> y </w:t>
      </w:r>
      <w:r w:rsidR="00226AE9">
        <w:t>evidenciamos que tiene</w:t>
      </w:r>
      <w:r w:rsidR="00083C44">
        <w:t>n</w:t>
      </w:r>
      <w:r w:rsidR="00226AE9">
        <w:t xml:space="preserve"> capacidad para representar de forma verbal y simbólica.</w:t>
      </w:r>
    </w:p>
    <w:p w14:paraId="66C66A86" w14:textId="152B5C0C" w:rsidR="003C76A2" w:rsidRPr="00CA6A22" w:rsidRDefault="003C76A2" w:rsidP="00175714">
      <w:pPr>
        <w:pStyle w:val="JVACMNormal"/>
      </w:pPr>
      <w:r w:rsidRPr="00CA6A22">
        <w:rPr>
          <w:b/>
          <w:bCs/>
        </w:rPr>
        <w:t>Palabras clave:</w:t>
      </w:r>
      <w:r w:rsidR="00E82D3C">
        <w:rPr>
          <w:b/>
          <w:bCs/>
        </w:rPr>
        <w:t xml:space="preserve"> </w:t>
      </w:r>
      <w:r w:rsidR="00175714" w:rsidRPr="00175714">
        <w:t>pensamiento funcional, enriquecimiento curricular, estructura, representación, variable continua</w:t>
      </w:r>
    </w:p>
    <w:p w14:paraId="64F19741" w14:textId="77777777" w:rsidR="003C76A2" w:rsidRPr="00997FA8" w:rsidRDefault="003C76A2" w:rsidP="00D01B04">
      <w:pPr>
        <w:pStyle w:val="JVACMNivel2"/>
        <w:rPr>
          <w:lang w:val="en-US"/>
        </w:rPr>
      </w:pPr>
      <w:r w:rsidRPr="00997FA8">
        <w:rPr>
          <w:lang w:val="en-US"/>
        </w:rPr>
        <w:t>Abstract</w:t>
      </w:r>
    </w:p>
    <w:p w14:paraId="23448D21" w14:textId="77777777" w:rsidR="006B151A" w:rsidRPr="002A7449" w:rsidRDefault="002A7449" w:rsidP="002A7449">
      <w:pPr>
        <w:pStyle w:val="JVACMResumen"/>
        <w:rPr>
          <w:lang w:val="en-US"/>
        </w:rPr>
      </w:pPr>
      <w:r w:rsidRPr="002A7449">
        <w:rPr>
          <w:lang w:val="en-US"/>
        </w:rPr>
        <w:t xml:space="preserve">This work is part of the field of algebraic thinking in the early ages. Our research is part of a broader one whose objective is to describe the functional thinking of six 6th grade students who belong to a curricular enrichment program. In this document, we focus on the description of the structures evidenced by the students in a generalization task in a geometric context that involves a quadratic function of a continuous variable. We implement this task during two sessions: in the first one, the students work individually and collectively, the second being an individual interview. The students establish various structures, </w:t>
      </w:r>
      <w:r w:rsidR="00083C44">
        <w:rPr>
          <w:lang w:val="en-US"/>
        </w:rPr>
        <w:t>and</w:t>
      </w:r>
      <w:r w:rsidRPr="002A7449">
        <w:rPr>
          <w:lang w:val="en-US"/>
        </w:rPr>
        <w:t xml:space="preserve"> we show that they have the ability to represent verbally and symbolically.</w:t>
      </w:r>
    </w:p>
    <w:p w14:paraId="17E6EFC6" w14:textId="77777777" w:rsidR="00605FD3" w:rsidRPr="00175714" w:rsidRDefault="003C76A2" w:rsidP="00226AE9">
      <w:pPr>
        <w:pStyle w:val="JVACMResumen"/>
        <w:rPr>
          <w:lang w:val="en-US"/>
        </w:rPr>
      </w:pPr>
      <w:r w:rsidRPr="00175714">
        <w:rPr>
          <w:b/>
          <w:lang w:val="en-US"/>
        </w:rPr>
        <w:t>Keywords</w:t>
      </w:r>
      <w:r w:rsidRPr="00175714">
        <w:rPr>
          <w:lang w:val="en-US"/>
        </w:rPr>
        <w:t xml:space="preserve">: </w:t>
      </w:r>
      <w:r w:rsidR="00175714" w:rsidRPr="00175714">
        <w:rPr>
          <w:lang w:val="en-US"/>
        </w:rPr>
        <w:t>functional thinking, enrichment program, structure, representation, continuous variable</w:t>
      </w:r>
    </w:p>
    <w:p w14:paraId="11894F08" w14:textId="77777777" w:rsidR="003C76A2" w:rsidRPr="00175714" w:rsidRDefault="003C76A2" w:rsidP="00D01B04">
      <w:pPr>
        <w:pStyle w:val="JVACMNormal"/>
        <w:rPr>
          <w:lang w:val="en-US"/>
        </w:rPr>
      </w:pPr>
    </w:p>
    <w:p w14:paraId="5BA9A00D" w14:textId="77777777" w:rsidR="003C76A2" w:rsidRPr="00B83EB3" w:rsidRDefault="00FC6667" w:rsidP="00D01B04">
      <w:pPr>
        <w:pStyle w:val="JVACMNivel1"/>
      </w:pPr>
      <w:r>
        <w:t>introducción</w:t>
      </w:r>
      <w:r w:rsidR="008C2756">
        <w:t xml:space="preserve"> y justificación</w:t>
      </w:r>
    </w:p>
    <w:p w14:paraId="156DEAC4" w14:textId="77777777" w:rsidR="00A32308" w:rsidRPr="004E1929" w:rsidRDefault="00A32308" w:rsidP="00A32308">
      <w:pPr>
        <w:rPr>
          <w:u w:val="single"/>
        </w:rPr>
      </w:pPr>
      <w:r>
        <w:t xml:space="preserve">Desde la década de los 90 se han llevado a cabo múltiples investigaciones en torno al desarrollo del pensamiento algebraico en educación primaria. Con las primeras investigaciones surge la conocida propuesta curricular conocida como </w:t>
      </w:r>
      <w:r w:rsidRPr="004E1929">
        <w:rPr>
          <w:i/>
        </w:rPr>
        <w:t>early algebra</w:t>
      </w:r>
      <w:r>
        <w:t xml:space="preserve">, que busca promover modos de pensamiento algebraico, generar un mayor grado de generalización en el pensamiento de </w:t>
      </w:r>
      <w:r>
        <w:lastRenderedPageBreak/>
        <w:t xml:space="preserve">alumnos de educación primaria y aumentar su capacidad para expresar la </w:t>
      </w:r>
      <w:r w:rsidRPr="002A7449">
        <w:t>generalización (e.g., Brizuela y Blanton, 2014; Molina, 2005).</w:t>
      </w:r>
    </w:p>
    <w:p w14:paraId="34D42517" w14:textId="77777777" w:rsidR="00EE435A" w:rsidRDefault="00A32308" w:rsidP="000E1BB7">
      <w:r>
        <w:t xml:space="preserve">Uno de los focos de investigación en el contexto de la propuesta </w:t>
      </w:r>
      <w:r w:rsidRPr="004E1929">
        <w:rPr>
          <w:i/>
        </w:rPr>
        <w:t>early algebra</w:t>
      </w:r>
      <w:r>
        <w:t xml:space="preserve"> es el pensamiento funcional. </w:t>
      </w:r>
      <w:r w:rsidR="000E1BB7" w:rsidRPr="003948BF">
        <w:t xml:space="preserve">Se entiende por pensamiento funcional “la componente del pensamiento algebraico basada en la construcción, descripción, representación y razonamiento con y sobre las funciones y los elementos que las constituyen” (Cañadas y Molina, 2016, p. 3). </w:t>
      </w:r>
      <w:r>
        <w:t>En la última década se han publicado diferentes estudios en este contexto con estudiantes en España</w:t>
      </w:r>
      <w:r w:rsidR="008F059B">
        <w:t xml:space="preserve">, en el marco de dos proyectos investigación I+D centrados en el pensamiento algebraico de estudiantes de educación primaria </w:t>
      </w:r>
      <w:r>
        <w:t xml:space="preserve">(e.g., </w:t>
      </w:r>
      <w:r w:rsidR="006006AE">
        <w:t>Pinto y Cañadas, 2019; Torres, Cañadas y Moreno, 2019</w:t>
      </w:r>
      <w:r>
        <w:t xml:space="preserve">). Estos autores indagan en las relaciones funcionales y las </w:t>
      </w:r>
      <w:r w:rsidR="006006AE">
        <w:t xml:space="preserve">estructuras </w:t>
      </w:r>
      <w:r>
        <w:t xml:space="preserve">de las mismas </w:t>
      </w:r>
      <w:r w:rsidR="006006AE">
        <w:t xml:space="preserve">establecidas </w:t>
      </w:r>
      <w:r>
        <w:t xml:space="preserve">por los estudiantes, entre otros aspectos. </w:t>
      </w:r>
    </w:p>
    <w:p w14:paraId="499FAC8F" w14:textId="77777777" w:rsidR="00013533" w:rsidRDefault="000E1BB7" w:rsidP="00EE435A">
      <w:r>
        <w:t>Hasta ahora</w:t>
      </w:r>
      <w:r w:rsidR="008F059B">
        <w:t xml:space="preserve">, </w:t>
      </w:r>
      <w:r w:rsidR="00EE435A">
        <w:t>tanto en el ámbito nacional como en el internacional,</w:t>
      </w:r>
      <w:r>
        <w:t xml:space="preserve"> las investigaciones se han centrado en el trabajo con funciones </w:t>
      </w:r>
      <w:r w:rsidR="00871CFD">
        <w:t xml:space="preserve">lineales </w:t>
      </w:r>
      <w:r>
        <w:t>de variable discreta</w:t>
      </w:r>
      <w:r w:rsidR="006006AE">
        <w:t>, por lo que consideramos relevante el estudio con funciones no lineales</w:t>
      </w:r>
      <w:r>
        <w:t>.</w:t>
      </w:r>
      <w:r w:rsidR="006006AE">
        <w:t xml:space="preserve"> Es por ello que introducimos </w:t>
      </w:r>
      <w:r w:rsidR="00476E88">
        <w:t>funciones</w:t>
      </w:r>
      <w:r w:rsidR="00013533">
        <w:t xml:space="preserve"> </w:t>
      </w:r>
      <w:r w:rsidR="006006AE">
        <w:t>cuadráticas, por ser las más simples dentro de las no lineales.</w:t>
      </w:r>
      <w:r>
        <w:t xml:space="preserve"> Consideramos interesante explorar también las variables continuas, pues describen muchos de los fenómenos que podrían contextualizar otros problemas con funciones.</w:t>
      </w:r>
    </w:p>
    <w:p w14:paraId="0DABD58D" w14:textId="77777777" w:rsidR="004E1929" w:rsidRDefault="00871CFD" w:rsidP="00EE435A">
      <w:r>
        <w:t xml:space="preserve">Como primera aproximación a este tipo de funciones con estudiantes de primaria, en este estudio </w:t>
      </w:r>
      <w:r w:rsidR="00EE435A">
        <w:t xml:space="preserve">trabajamos </w:t>
      </w:r>
      <w:r w:rsidR="004E1929" w:rsidRPr="004E1929">
        <w:t>con alumnos de 6º de educación primaria que pertenecen a un programa de enriquecimiento curricular mediante el uso de una tarea que implica una función cuadrática de variable continua.</w:t>
      </w:r>
      <w:r w:rsidR="005F52D3">
        <w:t xml:space="preserve"> En este tipo de programas se añaden “</w:t>
      </w:r>
      <w:r w:rsidR="005F52D3" w:rsidRPr="002237B2">
        <w:t>nuevos contenidos o temas que no están cubiertos por el currículo oficial o trabajo en un nivel de mayor profundidad de determinados contenidos de éste” (Benavides, Maz, Castro y Blanco, 2004</w:t>
      </w:r>
      <w:r w:rsidR="002A7449">
        <w:t>, p. 54</w:t>
      </w:r>
      <w:r w:rsidR="005F52D3" w:rsidRPr="002237B2">
        <w:t>).</w:t>
      </w:r>
      <w:r w:rsidR="00013533">
        <w:t xml:space="preserve"> </w:t>
      </w:r>
      <w:r w:rsidR="005F52D3">
        <w:t>La elección de dicho colectivo es minimizar las potenciales dificultades que podrían derivarse de la falta de conocimientos matemáticos previos o de una actitud negativa hacia las tareas matemáticas propuestas.</w:t>
      </w:r>
    </w:p>
    <w:p w14:paraId="142C2F68" w14:textId="77777777" w:rsidR="00FC6667" w:rsidRPr="002237B2" w:rsidRDefault="00FC6667" w:rsidP="00FC6667">
      <w:r>
        <w:t xml:space="preserve">El presente estudio se justifica con base en dos dimensiones: curricular e investigadora. </w:t>
      </w:r>
      <w:r w:rsidRPr="002237B2">
        <w:t xml:space="preserve">Desde el punto de vista curricular, el </w:t>
      </w:r>
      <w:r w:rsidR="003864A0" w:rsidRPr="0009647C">
        <w:t>Ministerio de Educación y Ciencia (</w:t>
      </w:r>
      <w:r w:rsidR="003864A0">
        <w:t xml:space="preserve">2014) establece </w:t>
      </w:r>
      <w:r w:rsidRPr="002237B2">
        <w:t xml:space="preserve">el currículo básico de </w:t>
      </w:r>
      <w:r>
        <w:t>educación primaria</w:t>
      </w:r>
      <w:r w:rsidRPr="002237B2">
        <w:t xml:space="preserve">. En matemáticas, encontramos la referencia al </w:t>
      </w:r>
      <w:r>
        <w:t xml:space="preserve">pensamiento </w:t>
      </w:r>
      <w:r w:rsidR="005F554C">
        <w:t>funcional</w:t>
      </w:r>
      <w:r w:rsidR="00013533">
        <w:t xml:space="preserve"> </w:t>
      </w:r>
      <w:r w:rsidRPr="002237B2">
        <w:t>cuando se expone</w:t>
      </w:r>
      <w:r>
        <w:t xml:space="preserve"> que el </w:t>
      </w:r>
      <w:r w:rsidR="001C06FF">
        <w:t>estudiante</w:t>
      </w:r>
      <w:r>
        <w:t xml:space="preserve"> debe conseguir “d</w:t>
      </w:r>
      <w:r w:rsidRPr="002237B2">
        <w:t xml:space="preserve">escribir y analizar situaciones de cambio, encontrar patrones, regularidades y leyes matemáticas en contextos numéricos, geométricos y funcionales, valorando su utilidades para hacer predicciones” (MECD, 2014, p. 19.387). En cuanto a la </w:t>
      </w:r>
      <w:r w:rsidR="002A7449">
        <w:t>potenciación usada en la estructura de la tarea</w:t>
      </w:r>
      <w:r w:rsidRPr="002237B2">
        <w:t>, la potencia es parte del bloque 2 y el área y el área del cuadrado aparecen en los bloques 3 y 4.</w:t>
      </w:r>
    </w:p>
    <w:p w14:paraId="7E23708F" w14:textId="562EB816" w:rsidR="00FC6667" w:rsidRDefault="00FC6667" w:rsidP="00FC6667">
      <w:r>
        <w:t>Desde el ámbito investigador, encontramos e</w:t>
      </w:r>
      <w:r w:rsidRPr="002237B2">
        <w:t xml:space="preserve">videncias de la importancia de promover el pensamiento funcional en </w:t>
      </w:r>
      <w:r>
        <w:t>los primeros niveles educativos</w:t>
      </w:r>
      <w:r w:rsidR="002A7449">
        <w:t xml:space="preserve"> en estudios como Cañadas y Fuentes (2015) o Torres</w:t>
      </w:r>
      <w:r w:rsidR="006006AE">
        <w:t xml:space="preserve"> et al.</w:t>
      </w:r>
      <w:r w:rsidR="002A7449">
        <w:t xml:space="preserve"> (2019)</w:t>
      </w:r>
      <w:r w:rsidR="00FF0DA9">
        <w:t>, entre otros</w:t>
      </w:r>
      <w:r w:rsidR="002A7449">
        <w:t>.</w:t>
      </w:r>
      <w:r w:rsidR="00E82D3C">
        <w:t xml:space="preserve"> </w:t>
      </w:r>
      <w:r w:rsidR="002A7449">
        <w:t>D</w:t>
      </w:r>
      <w:r>
        <w:t>ichos e</w:t>
      </w:r>
      <w:r w:rsidRPr="002237B2">
        <w:t>studios</w:t>
      </w:r>
      <w:r w:rsidR="00E82D3C">
        <w:t xml:space="preserve"> </w:t>
      </w:r>
      <w:r w:rsidR="00FF0DA9">
        <w:t>cuentan</w:t>
      </w:r>
      <w:r w:rsidRPr="002237B2">
        <w:t xml:space="preserve"> con elementos comunes: tipo de variables (discre</w:t>
      </w:r>
      <w:r>
        <w:t xml:space="preserve">ta) y tipo de funciones (lineales). </w:t>
      </w:r>
      <w:r w:rsidR="00476E88">
        <w:t>P</w:t>
      </w:r>
      <w:r>
        <w:t>or tanto</w:t>
      </w:r>
      <w:r w:rsidR="00476E88">
        <w:t>,</w:t>
      </w:r>
      <w:r w:rsidR="00013533">
        <w:t xml:space="preserve"> </w:t>
      </w:r>
      <w:r w:rsidR="00E82D3C">
        <w:t>destacamos</w:t>
      </w:r>
      <w:r w:rsidR="00E82D3C">
        <w:t xml:space="preserve"> </w:t>
      </w:r>
      <w:r>
        <w:t>la n</w:t>
      </w:r>
      <w:r w:rsidRPr="002237B2">
        <w:t>ecesidad de indagar en el pensamiento funcional con tareas que implique</w:t>
      </w:r>
      <w:r>
        <w:t>n</w:t>
      </w:r>
      <w:r w:rsidRPr="002237B2">
        <w:t xml:space="preserve"> variables con</w:t>
      </w:r>
      <w:r>
        <w:t>tinuas y funciones no lineales.</w:t>
      </w:r>
    </w:p>
    <w:p w14:paraId="30A21E9A" w14:textId="77777777" w:rsidR="00422BD9" w:rsidRDefault="00422BD9" w:rsidP="00422BD9">
      <w:pPr>
        <w:pStyle w:val="JVACMNivel1"/>
      </w:pPr>
      <w:r>
        <w:t>marco teórico y antecedentes</w:t>
      </w:r>
    </w:p>
    <w:p w14:paraId="567CCF23" w14:textId="35D85B3F" w:rsidR="00E46D6D" w:rsidRDefault="005F52D3" w:rsidP="00CE71B1">
      <w:pPr>
        <w:pStyle w:val="JVACMNormal"/>
      </w:pPr>
      <w:r>
        <w:t>E</w:t>
      </w:r>
      <w:r w:rsidR="00E46D6D" w:rsidRPr="00E46D6D">
        <w:t xml:space="preserve">l foco matemático del pensamiento </w:t>
      </w:r>
      <w:r>
        <w:t>funcional</w:t>
      </w:r>
      <w:r w:rsidR="00E46D6D" w:rsidRPr="00E46D6D">
        <w:t>es la función</w:t>
      </w:r>
      <w:r w:rsidR="00E82D3C">
        <w:t xml:space="preserve"> </w:t>
      </w:r>
      <w:r w:rsidR="00E46D6D" w:rsidRPr="00E46D6D">
        <w:t xml:space="preserve">(Cañadas, Brizuela y Blanton, 2016). Se denomina pensamiento funcional al proceso de construir, describir y razonar con y sobre funciones, entendiendo como función la relación de dependencia entre cantidades covariantes. “Es una componente del pensamiento algebraico basada en la construcción, descripción, </w:t>
      </w:r>
      <w:r w:rsidR="00E46D6D" w:rsidRPr="00E46D6D">
        <w:lastRenderedPageBreak/>
        <w:t>representación y razonamiento con y sobre las funciones y los elementos que las constituyen” (Cañadas y Molina, 2016, p. 3).</w:t>
      </w:r>
    </w:p>
    <w:p w14:paraId="0D235FB7" w14:textId="48314C2A" w:rsidR="00476E88" w:rsidRDefault="00476E88" w:rsidP="00CE71B1">
      <w:pPr>
        <w:pStyle w:val="JVACMNormal"/>
      </w:pPr>
      <w:r>
        <w:t xml:space="preserve">Nos centramos en funciones de variable continua. </w:t>
      </w:r>
      <w:r w:rsidRPr="00626E00">
        <w:t xml:space="preserve">Se </w:t>
      </w:r>
      <w:r>
        <w:t>llama</w:t>
      </w:r>
      <w:r w:rsidRPr="00626E00">
        <w:t xml:space="preserve"> variable continua </w:t>
      </w:r>
      <w:r>
        <w:t xml:space="preserve">a </w:t>
      </w:r>
      <w:r w:rsidRPr="00626E00">
        <w:t>aquella cuyos posibles valores son todos los valores</w:t>
      </w:r>
      <w:r w:rsidR="00E82D3C">
        <w:t xml:space="preserve"> </w:t>
      </w:r>
      <w:r>
        <w:rPr>
          <w:sz w:val="23"/>
          <w:szCs w:val="23"/>
        </w:rPr>
        <w:t xml:space="preserve">pertenecientes a un intervalo y, por tanto, infinitos valores (Asencio, Romero y de Vicente, 2003). </w:t>
      </w:r>
    </w:p>
    <w:p w14:paraId="211B9579" w14:textId="77777777" w:rsidR="00CE71B1" w:rsidRDefault="002F4B57" w:rsidP="00CE71B1">
      <w:pPr>
        <w:pStyle w:val="JVACMNormal"/>
      </w:pPr>
      <w:r>
        <w:t xml:space="preserve">De entre las diferentes concepciones de la estructura en el pensamiento algebraico </w:t>
      </w:r>
      <w:r w:rsidR="00CE71B1">
        <w:t>(Molina y Cañadas, 2018)</w:t>
      </w:r>
      <w:r>
        <w:t xml:space="preserve">, en el contexto funcional </w:t>
      </w:r>
      <w:r w:rsidR="00CE71B1">
        <w:t xml:space="preserve">la asociamos a la organización de la </w:t>
      </w:r>
      <w:r w:rsidR="00E51588">
        <w:t xml:space="preserve">regularidad </w:t>
      </w:r>
      <w:r w:rsidR="00CE71B1">
        <w:t xml:space="preserve">entre las variables. Desde la perspectiva del pensamiento funcional, consideramos la noción de estructura como los números y las variables numéricas (expresadas mediante el uso de diferentes representaciones), operaciones y sus propiedades presentes (Pinto y Cañadas, 2018). </w:t>
      </w:r>
    </w:p>
    <w:p w14:paraId="3A41F9F4" w14:textId="77777777" w:rsidR="00CE71B1" w:rsidRDefault="00CD015B" w:rsidP="00CE71B1">
      <w:pPr>
        <w:pStyle w:val="JVACMNormal"/>
      </w:pPr>
      <w:r>
        <w:t xml:space="preserve">Diferentes autores </w:t>
      </w:r>
      <w:r w:rsidR="0018206C">
        <w:t xml:space="preserve">abordan </w:t>
      </w:r>
      <w:r w:rsidR="00CE71B1">
        <w:t xml:space="preserve">las estructuras que los estudiantes </w:t>
      </w:r>
      <w:r w:rsidR="0018206C">
        <w:t xml:space="preserve">de educación primaria </w:t>
      </w:r>
      <w:r w:rsidR="00CE71B1">
        <w:t xml:space="preserve">utilizan en </w:t>
      </w:r>
      <w:r w:rsidR="00DF405D">
        <w:t xml:space="preserve">la resolución de </w:t>
      </w:r>
      <w:r w:rsidR="00CE71B1">
        <w:t>tareas</w:t>
      </w:r>
      <w:r w:rsidR="00DF405D">
        <w:t xml:space="preserve"> de generalización de involucran funciones lineales</w:t>
      </w:r>
      <w:r w:rsidR="00CE71B1">
        <w:t>. Torres</w:t>
      </w:r>
      <w:r w:rsidR="00FF0DA9">
        <w:t xml:space="preserve"> et al.</w:t>
      </w:r>
      <w:r w:rsidR="00CE71B1">
        <w:t xml:space="preserve"> (2019) indagan en el pensamiento funcional de tres estudiantes de 2º de educación primaria (7-8 años), mediante el uso de tareas que implican tres funciones lineales</w:t>
      </w:r>
      <w:r w:rsidR="00DF405D">
        <w:t>: (a)</w:t>
      </w:r>
      <m:oMath>
        <m:r>
          <w:rPr>
            <w:rFonts w:ascii="Cambria Math" w:hAnsi="Cambria Math"/>
          </w:rPr>
          <m:t>f(</m:t>
        </m:r>
        <m:r>
          <w:rPr>
            <w:rFonts w:ascii="Cambria Math" w:hAnsi="Cambria Math" w:cs="Cambria Math"/>
          </w:rPr>
          <m:t>x</m:t>
        </m:r>
        <m:r>
          <w:rPr>
            <w:rFonts w:ascii="Cambria Math" w:hAnsi="Cambria Math"/>
          </w:rPr>
          <m:t>)=</m:t>
        </m:r>
        <m:r>
          <w:rPr>
            <w:rFonts w:ascii="Cambria Math" w:hAnsi="Cambria Math" w:cs="Cambria Math"/>
          </w:rPr>
          <m:t>x</m:t>
        </m:r>
        <m:r>
          <w:rPr>
            <w:rFonts w:ascii="Cambria Math" w:hAnsi="Cambria Math"/>
          </w:rPr>
          <m:t>+3</m:t>
        </m:r>
      </m:oMath>
      <w:r w:rsidR="00CE71B1">
        <w:t xml:space="preserve"> (aditiva), </w:t>
      </w:r>
      <w:r w:rsidR="00DF405D">
        <w:t xml:space="preserve">(b) </w:t>
      </w:r>
      <m:oMath>
        <m:r>
          <w:rPr>
            <w:rFonts w:ascii="Cambria Math" w:hAnsi="Cambria Math"/>
          </w:rPr>
          <m:t>(</m:t>
        </m:r>
        <m:r>
          <w:rPr>
            <w:rFonts w:ascii="Cambria Math" w:hAnsi="Cambria Math" w:cs="Cambria Math"/>
          </w:rPr>
          <m:t>x</m:t>
        </m:r>
        <m:r>
          <w:rPr>
            <w:rFonts w:ascii="Cambria Math" w:hAnsi="Cambria Math"/>
          </w:rPr>
          <m:t>)=2</m:t>
        </m:r>
        <m:r>
          <w:rPr>
            <w:rFonts w:ascii="Cambria Math" w:hAnsi="Cambria Math" w:cs="Cambria Math"/>
          </w:rPr>
          <m:t>x</m:t>
        </m:r>
      </m:oMath>
      <w:r w:rsidR="00DF405D">
        <w:t xml:space="preserve"> (</w:t>
      </w:r>
      <w:r w:rsidR="00CE71B1">
        <w:t>multiplica</w:t>
      </w:r>
      <w:r w:rsidR="00DF405D">
        <w:t xml:space="preserve">tiva) y (c) </w:t>
      </w:r>
      <m:oMath>
        <m:r>
          <w:rPr>
            <w:rFonts w:ascii="Cambria Math" w:hAnsi="Cambria Math" w:cs="Cambria Math"/>
          </w:rPr>
          <m:t>f</m:t>
        </m:r>
        <m:r>
          <w:rPr>
            <w:rFonts w:ascii="Cambria Math" w:hAnsi="Cambria Math"/>
          </w:rPr>
          <m:t>(</m:t>
        </m:r>
        <m:r>
          <w:rPr>
            <w:rFonts w:ascii="Cambria Math" w:hAnsi="Cambria Math" w:cs="Cambria Math"/>
          </w:rPr>
          <m:t>x</m:t>
        </m:r>
        <m:r>
          <w:rPr>
            <w:rFonts w:ascii="Cambria Math" w:hAnsi="Cambria Math"/>
          </w:rPr>
          <m:t>)=1+2</m:t>
        </m:r>
        <m:r>
          <w:rPr>
            <w:rFonts w:ascii="Cambria Math" w:hAnsi="Cambria Math" w:cs="Cambria Math"/>
          </w:rPr>
          <m:t>x</m:t>
        </m:r>
      </m:oMath>
      <w:r w:rsidR="00DF405D">
        <w:t xml:space="preserve"> (aditiva y multiplicativa)</w:t>
      </w:r>
      <w:r w:rsidR="00CE71B1">
        <w:t xml:space="preserve">. </w:t>
      </w:r>
      <w:r w:rsidR="00DF405D">
        <w:t>Los autores destacan</w:t>
      </w:r>
      <w:r w:rsidR="00CE71B1">
        <w:t xml:space="preserve"> la </w:t>
      </w:r>
      <w:r w:rsidR="00E12AC4">
        <w:t>escasa variedad de</w:t>
      </w:r>
      <w:r w:rsidR="00CE71B1">
        <w:t xml:space="preserve"> estructuras diferentes por parte de los alumnos para una misma regularidad</w:t>
      </w:r>
      <w:r w:rsidR="00E12AC4">
        <w:t>, en ocasiones porque identifican y usan la misma para todas las situaciones planteadas (correcta). También se evidencia</w:t>
      </w:r>
      <w:r w:rsidR="00CE71B1">
        <w:t xml:space="preserve"> la dificultad en el establecimiento de estructuras que implican una combinación de operaciones.</w:t>
      </w:r>
    </w:p>
    <w:p w14:paraId="101EEBEC" w14:textId="77777777" w:rsidR="00CE71B1" w:rsidRDefault="00CE71B1" w:rsidP="00CE71B1">
      <w:pPr>
        <w:pStyle w:val="JVACMNormal"/>
      </w:pPr>
      <w:r>
        <w:t>Pinto y Cañadas (2018) realizan un estudio a 24 estudiantes de 5º de educación primaria (10-11 años) que implica</w:t>
      </w:r>
      <w:r w:rsidR="003A1804">
        <w:t>ba</w:t>
      </w:r>
      <w:r>
        <w:t xml:space="preserve"> la función lineal </w:t>
      </w:r>
      <m:oMath>
        <m:r>
          <w:rPr>
            <w:rFonts w:ascii="Cambria Math" w:hAnsi="Cambria Math"/>
          </w:rPr>
          <m:t>f(</m:t>
        </m:r>
        <m:r>
          <w:rPr>
            <w:rFonts w:ascii="Cambria Math" w:hAnsi="Cambria Math" w:cs="Cambria Math"/>
          </w:rPr>
          <m:t>x</m:t>
        </m:r>
        <m:r>
          <w:rPr>
            <w:rFonts w:ascii="Cambria Math" w:hAnsi="Cambria Math"/>
          </w:rPr>
          <m:t>)=2</m:t>
        </m:r>
        <m:r>
          <w:rPr>
            <w:rFonts w:ascii="Cambria Math" w:hAnsi="Cambria Math" w:cs="Cambria Math"/>
          </w:rPr>
          <m:t>x</m:t>
        </m:r>
        <m:r>
          <w:rPr>
            <w:rFonts w:ascii="Cambria Math" w:hAnsi="Cambria Math"/>
          </w:rPr>
          <m:t>+6</m:t>
        </m:r>
      </m:oMath>
      <w:r>
        <w:t xml:space="preserve">. </w:t>
      </w:r>
      <w:r w:rsidR="007140B7">
        <w:t xml:space="preserve">Entre los resultados, </w:t>
      </w:r>
      <w:r w:rsidR="00013533">
        <w:t xml:space="preserve">destacan </w:t>
      </w:r>
      <w:r>
        <w:t xml:space="preserve">que los alumnos </w:t>
      </w:r>
      <w:r w:rsidR="003A1804">
        <w:t xml:space="preserve">fueron </w:t>
      </w:r>
      <w:r>
        <w:t xml:space="preserve">capaces de establecer la generalización y que 10 estudiantes </w:t>
      </w:r>
      <w:r w:rsidR="003A1804">
        <w:t xml:space="preserve">establecieron </w:t>
      </w:r>
      <w:r>
        <w:t>diferentes estructuras, expresadas de varias formas (hecho que permite interpretar y entender el proceso seguido por los estudiantes</w:t>
      </w:r>
      <w:r w:rsidR="00CB3460">
        <w:t xml:space="preserve"> para generalizar</w:t>
      </w:r>
      <w:r>
        <w:t xml:space="preserve">, según los autores). </w:t>
      </w:r>
      <w:r w:rsidR="00C80E95">
        <w:t>Los autores conjeturaron</w:t>
      </w:r>
      <w:r>
        <w:t xml:space="preserve"> que algunos estudiantes </w:t>
      </w:r>
      <w:r w:rsidR="00C80E95">
        <w:t>generalizaron</w:t>
      </w:r>
      <w:r>
        <w:t xml:space="preserve"> pero no lo expresa</w:t>
      </w:r>
      <w:r w:rsidR="00C80E95">
        <w:t>ro</w:t>
      </w:r>
      <w:r>
        <w:t xml:space="preserve">n hasta que se les </w:t>
      </w:r>
      <w:r w:rsidR="00013533">
        <w:t>requirió</w:t>
      </w:r>
      <w:r>
        <w:t>.</w:t>
      </w:r>
      <w:r w:rsidR="00013533">
        <w:t xml:space="preserve"> </w:t>
      </w:r>
      <w:r>
        <w:t>Pinto y Cañadas (2019)</w:t>
      </w:r>
      <w:r w:rsidR="00EC24F7">
        <w:t xml:space="preserve"> plantean la tarea anterior a alumnos de </w:t>
      </w:r>
      <w:r>
        <w:t xml:space="preserve">3º </w:t>
      </w:r>
      <w:r w:rsidR="00EC24F7">
        <w:t xml:space="preserve">de educación primaria </w:t>
      </w:r>
      <w:r>
        <w:t xml:space="preserve">(8-9 años) y 5º de educación primaria, </w:t>
      </w:r>
      <w:r w:rsidR="00626E00">
        <w:t xml:space="preserve">observando </w:t>
      </w:r>
      <w:r w:rsidR="00EC24F7">
        <w:t>una</w:t>
      </w:r>
      <w:r w:rsidR="00013533">
        <w:t xml:space="preserve"> </w:t>
      </w:r>
      <w:r w:rsidR="00C80E95">
        <w:t>mayor</w:t>
      </w:r>
      <w:r w:rsidR="00013533">
        <w:t xml:space="preserve"> </w:t>
      </w:r>
      <w:r>
        <w:t>variedad de estructuras</w:t>
      </w:r>
      <w:r w:rsidR="00013533">
        <w:rPr>
          <w:lang w:val="es-ES"/>
        </w:rPr>
        <w:t xml:space="preserve"> </w:t>
      </w:r>
      <w:r>
        <w:t xml:space="preserve">en 3º que en 5º. </w:t>
      </w:r>
      <w:r w:rsidR="00C80E95">
        <w:t>Más</w:t>
      </w:r>
      <w:r>
        <w:t xml:space="preserve"> estudiantes en 5º (19 de 24) que en 3º (11 de 24) establec</w:t>
      </w:r>
      <w:r w:rsidR="00CB3460">
        <w:t>ieron</w:t>
      </w:r>
      <w:r>
        <w:t xml:space="preserve"> la estructura</w:t>
      </w:r>
      <w:r w:rsidR="00C80E95">
        <w:t xml:space="preserve">. </w:t>
      </w:r>
      <w:r>
        <w:t xml:space="preserve">De hecho, los estudiantes de 3º </w:t>
      </w:r>
      <w:r w:rsidR="00013533">
        <w:t xml:space="preserve">hicieron </w:t>
      </w:r>
      <w:r>
        <w:t xml:space="preserve">uso de casos particulares en sus producciones, </w:t>
      </w:r>
      <w:r w:rsidR="00EC24F7">
        <w:t>en ocasiones porque no necesitaban la regularidad para responder a las preguntas</w:t>
      </w:r>
      <w:r>
        <w:t>.</w:t>
      </w:r>
    </w:p>
    <w:p w14:paraId="0D4D6DE4" w14:textId="77777777" w:rsidR="000E54EB" w:rsidRDefault="000E54EB" w:rsidP="000E54EB">
      <w:pPr>
        <w:pStyle w:val="JVACMNivel1"/>
      </w:pPr>
      <w:r>
        <w:t>Objetivos</w:t>
      </w:r>
    </w:p>
    <w:p w14:paraId="6E7D7D4C" w14:textId="77777777" w:rsidR="000E54EB" w:rsidRDefault="001269DC" w:rsidP="000E54EB">
      <w:pPr>
        <w:pStyle w:val="JVACMNormal"/>
      </w:pPr>
      <w:r>
        <w:t>El presente trabajo</w:t>
      </w:r>
      <w:r w:rsidR="00422BD9">
        <w:t xml:space="preserve"> forma parte de </w:t>
      </w:r>
      <w:r>
        <w:t>una investigación</w:t>
      </w:r>
      <w:r w:rsidR="00422BD9">
        <w:t xml:space="preserve"> más general cuyo</w:t>
      </w:r>
      <w:r w:rsidR="000E54EB">
        <w:t xml:space="preserve"> objetivo general es </w:t>
      </w:r>
      <w:r>
        <w:t xml:space="preserve">describir </w:t>
      </w:r>
      <w:r w:rsidR="000E54EB">
        <w:t>el pensamiento funcional manifestado por un grupo de estudiantes de un programa de enriquecimiento curricular de 6º de educación primaria.</w:t>
      </w:r>
      <w:r w:rsidR="00013533">
        <w:t xml:space="preserve"> </w:t>
      </w:r>
      <w:r w:rsidR="00C76D87">
        <w:t xml:space="preserve">El objetivo de </w:t>
      </w:r>
      <w:r w:rsidR="00C80E95">
        <w:t>este trabajo</w:t>
      </w:r>
      <w:r w:rsidR="00C76D87">
        <w:t xml:space="preserve"> es</w:t>
      </w:r>
      <w:r w:rsidR="00013533">
        <w:t xml:space="preserve"> </w:t>
      </w:r>
      <w:r w:rsidR="00C76D87">
        <w:t>describir</w:t>
      </w:r>
      <w:r w:rsidR="00422BD9">
        <w:t xml:space="preserve"> las estructuras establecidas por </w:t>
      </w:r>
      <w:r w:rsidR="00013533">
        <w:t xml:space="preserve">dichos </w:t>
      </w:r>
      <w:r w:rsidR="00422BD9">
        <w:t>estudiantes.</w:t>
      </w:r>
    </w:p>
    <w:p w14:paraId="5F3CB2A9" w14:textId="77777777" w:rsidR="00F7538A" w:rsidRDefault="00F7538A" w:rsidP="00F7538A">
      <w:pPr>
        <w:pStyle w:val="JVACMNivel1"/>
      </w:pPr>
      <w:r>
        <w:t>Metodología</w:t>
      </w:r>
    </w:p>
    <w:p w14:paraId="369EE685" w14:textId="77777777" w:rsidR="00F7538A" w:rsidRDefault="001269DC" w:rsidP="00F7538A">
      <w:r>
        <w:t>Este</w:t>
      </w:r>
      <w:r w:rsidR="00F7538A">
        <w:t xml:space="preserve"> estudio posee un enfoque cualitativo. Su naturaleza es, en consecuencia, descriptiva. Con base en la escasez de literatura de investigación en materia de estructuras cuadráticas y variables continuas</w:t>
      </w:r>
      <w:r w:rsidR="00FF0DA9">
        <w:t xml:space="preserve"> en el contexto de educación primaria</w:t>
      </w:r>
      <w:r w:rsidR="00F7538A">
        <w:t>, este trabajo es de carácter exploratorio.</w:t>
      </w:r>
    </w:p>
    <w:p w14:paraId="08FE5017" w14:textId="77777777" w:rsidR="00F7538A" w:rsidRDefault="006555E3" w:rsidP="00F7538A">
      <w:r>
        <w:t>Trabajamos con</w:t>
      </w:r>
      <w:r w:rsidR="00F7538A">
        <w:t xml:space="preserve"> 6 </w:t>
      </w:r>
      <w:r w:rsidR="001C06FF">
        <w:t>estudiante</w:t>
      </w:r>
      <w:r w:rsidR="00F7538A">
        <w:t>s de 6º de educación primaria (11-12 años) de un colegio concertado de Granada</w:t>
      </w:r>
      <w:r>
        <w:t xml:space="preserve"> (</w:t>
      </w:r>
      <w:r w:rsidR="00F7538A">
        <w:t>España</w:t>
      </w:r>
      <w:r>
        <w:t>). Se trata de una muestra</w:t>
      </w:r>
      <w:r w:rsidR="00F7538A">
        <w:t xml:space="preserve"> de carácter intencional. Los </w:t>
      </w:r>
      <w:r w:rsidR="001C06FF">
        <w:t>estudiante</w:t>
      </w:r>
      <w:r w:rsidR="00F7538A">
        <w:t>s pertenecían a un programa de enriquecimiento curricular en el área de matemáticas para atender a la diversidad dentro del aula.</w:t>
      </w:r>
    </w:p>
    <w:p w14:paraId="1F5338AE" w14:textId="77777777" w:rsidR="008C4694" w:rsidRPr="00013533" w:rsidRDefault="00F7538A" w:rsidP="00F7538A">
      <w:pPr>
        <w:rPr>
          <w:rFonts w:eastAsiaTheme="minorEastAsia"/>
          <w:lang w:val="es-ES"/>
        </w:rPr>
      </w:pPr>
      <w:r>
        <w:t xml:space="preserve">El instrumento de recogida de información </w:t>
      </w:r>
      <w:r w:rsidR="00115EB2">
        <w:t>es un cuestionario</w:t>
      </w:r>
      <w:r>
        <w:t xml:space="preserve"> que trabajamos con los </w:t>
      </w:r>
      <w:r w:rsidR="001C06FF">
        <w:t>estudiante</w:t>
      </w:r>
      <w:r>
        <w:t>s durante el desarrollo de dos sesiones</w:t>
      </w:r>
      <w:r w:rsidR="006A7F1C">
        <w:t xml:space="preserve">, </w:t>
      </w:r>
      <w:r w:rsidR="00013533">
        <w:t>compuesto por</w:t>
      </w:r>
      <w:r w:rsidR="006A7F1C">
        <w:t xml:space="preserve"> </w:t>
      </w:r>
      <w:r w:rsidR="00115EB2">
        <w:t xml:space="preserve">diferentes preguntas. </w:t>
      </w:r>
      <w:r>
        <w:t xml:space="preserve">Dicha tarea involucra </w:t>
      </w:r>
      <w:r>
        <w:lastRenderedPageBreak/>
        <w:t xml:space="preserve">la función </w:t>
      </w:r>
      <w:r w:rsidR="00115EB2">
        <w:t>cuadrática</w:t>
      </w:r>
      <m:oMath>
        <m:r>
          <w:rPr>
            <w:rFonts w:ascii="Cambria Math" w:hAnsi="Cambria Math"/>
          </w:rPr>
          <m:t>A</m:t>
        </m:r>
        <m:d>
          <m:dPr>
            <m:ctrlPr>
              <w:rPr>
                <w:rFonts w:ascii="Cambria Math" w:hAnsi="Cambria Math"/>
                <w:i/>
              </w:rPr>
            </m:ctrlPr>
          </m:dPr>
          <m:e>
            <m:r>
              <w:rPr>
                <w:rFonts w:ascii="Cambria Math" w:hAnsi="Cambria Math"/>
              </w:rPr>
              <m:t>L</m:t>
            </m:r>
          </m:e>
        </m:d>
        <m:r>
          <w:rPr>
            <w:rFonts w:ascii="Cambria Math" w:hAnsi="Cambria Math"/>
          </w:rPr>
          <m:t>=36-</m:t>
        </m:r>
        <m:sSup>
          <m:sSupPr>
            <m:ctrlPr>
              <w:rPr>
                <w:rFonts w:ascii="Cambria Math" w:hAnsi="Cambria Math"/>
                <w:i/>
              </w:rPr>
            </m:ctrlPr>
          </m:sSupPr>
          <m:e>
            <m:r>
              <w:rPr>
                <w:rFonts w:ascii="Cambria Math" w:hAnsi="Cambria Math"/>
              </w:rPr>
              <m:t>L</m:t>
            </m:r>
          </m:e>
          <m:sup>
            <m:r>
              <w:rPr>
                <w:rFonts w:ascii="Cambria Math" w:hAnsi="Cambria Math"/>
              </w:rPr>
              <m:t>2</m:t>
            </m:r>
          </m:sup>
        </m:sSup>
      </m:oMath>
      <w:r w:rsidR="00115EB2">
        <w:rPr>
          <w:rFonts w:eastAsiaTheme="minorEastAsia"/>
        </w:rPr>
        <w:t xml:space="preserve"> con </w:t>
      </w:r>
      <w:r>
        <w:rPr>
          <w:rFonts w:eastAsiaTheme="minorEastAsia"/>
        </w:rPr>
        <w:t>una contextualización geométric</w:t>
      </w:r>
      <w:r w:rsidR="00115EB2">
        <w:rPr>
          <w:rFonts w:eastAsiaTheme="minorEastAsia"/>
        </w:rPr>
        <w:t>a</w:t>
      </w:r>
      <w:r w:rsidR="006A7F1C">
        <w:rPr>
          <w:rFonts w:eastAsiaTheme="minorEastAsia"/>
        </w:rPr>
        <w:t>,</w:t>
      </w:r>
      <w:r>
        <w:rPr>
          <w:rFonts w:eastAsiaTheme="minorEastAsia"/>
        </w:rPr>
        <w:t xml:space="preserve"> hecho que permite el análisis de la continuidad de la variable, los valores extremos de las mismas y el uso de representación pictórica.</w:t>
      </w:r>
      <w:r w:rsidR="00013533">
        <w:rPr>
          <w:rFonts w:eastAsiaTheme="minorEastAsia"/>
        </w:rPr>
        <w:t xml:space="preserve"> Entendemos en el presente estudio por continuidad de la variable que los estudiantes reconozcan que la misma puede tomar todos los valores comprendidos en un intervalo (para los estudiantes, que puede tomar valores decimales); en este caso, el valor de la variable L está comprendido entre los valores 0 y 6.</w:t>
      </w:r>
    </w:p>
    <w:p w14:paraId="56B23923" w14:textId="77777777" w:rsidR="00F7538A" w:rsidRDefault="00276A7D" w:rsidP="00F7538A">
      <w:pPr>
        <w:rPr>
          <w:rFonts w:eastAsiaTheme="minorEastAsia"/>
        </w:rPr>
      </w:pPr>
      <w:r>
        <w:rPr>
          <w:rFonts w:eastAsiaTheme="minorEastAsia"/>
        </w:rPr>
        <w:t>L</w:t>
      </w:r>
      <w:r w:rsidR="00071C26">
        <w:rPr>
          <w:rFonts w:eastAsiaTheme="minorEastAsia"/>
        </w:rPr>
        <w:t>a</w:t>
      </w:r>
      <w:r w:rsidR="00013533">
        <w:rPr>
          <w:rFonts w:eastAsiaTheme="minorEastAsia"/>
        </w:rPr>
        <w:t xml:space="preserve"> </w:t>
      </w:r>
      <w:r w:rsidR="008C4694">
        <w:rPr>
          <w:rFonts w:eastAsiaTheme="minorEastAsia"/>
        </w:rPr>
        <w:t>tarea c</w:t>
      </w:r>
      <w:r w:rsidR="00944EF2">
        <w:rPr>
          <w:rFonts w:eastAsiaTheme="minorEastAsia"/>
        </w:rPr>
        <w:t>onsiste</w:t>
      </w:r>
      <w:r w:rsidR="00F7538A">
        <w:rPr>
          <w:rFonts w:eastAsiaTheme="minorEastAsia"/>
        </w:rPr>
        <w:t xml:space="preserve"> en la determinación del área resultante de </w:t>
      </w:r>
      <w:r w:rsidR="00071C26">
        <w:rPr>
          <w:rFonts w:eastAsiaTheme="minorEastAsia"/>
        </w:rPr>
        <w:t xml:space="preserve">quitar una esquina cuadrada de lado indeterminado (L) </w:t>
      </w:r>
      <w:r w:rsidR="00F7538A">
        <w:rPr>
          <w:rFonts w:eastAsiaTheme="minorEastAsia"/>
        </w:rPr>
        <w:t xml:space="preserve">a un cuadrado de lado 6 </w:t>
      </w:r>
      <w:r w:rsidR="008C4694">
        <w:rPr>
          <w:rFonts w:eastAsiaTheme="minorEastAsia"/>
        </w:rPr>
        <w:t>(Figura 1)</w:t>
      </w:r>
      <w:r w:rsidR="00F7538A">
        <w:rPr>
          <w:rFonts w:eastAsiaTheme="minorEastAsia"/>
        </w:rPr>
        <w:t xml:space="preserve">. </w:t>
      </w:r>
    </w:p>
    <w:p w14:paraId="0E46C9F6" w14:textId="77777777" w:rsidR="008C4694" w:rsidRDefault="001F5921" w:rsidP="008C4694">
      <w:pPr>
        <w:pStyle w:val="JVACMPiedefigura"/>
      </w:pPr>
      <w:r>
        <w:rPr>
          <w:rFonts w:ascii="Times New Roman" w:eastAsiaTheme="minorHAnsi" w:hAnsi="Times New Roman" w:cstheme="minorBidi"/>
          <w:noProof/>
          <w:sz w:val="16"/>
          <w:szCs w:val="16"/>
          <w:lang w:val="es-ES" w:eastAsia="es-ES"/>
        </w:rPr>
        <w:drawing>
          <wp:inline distT="0" distB="0" distL="0" distR="0" wp14:anchorId="580F9AFB" wp14:editId="69B98305">
            <wp:extent cx="1075556" cy="1080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3.JPG"/>
                    <pic:cNvPicPr/>
                  </pic:nvPicPr>
                  <pic:blipFill>
                    <a:blip r:embed="rId8">
                      <a:extLst>
                        <a:ext uri="{28A0092B-C50C-407E-A947-70E740481C1C}">
                          <a14:useLocalDpi xmlns:a14="http://schemas.microsoft.com/office/drawing/2010/main" val="0"/>
                        </a:ext>
                      </a:extLst>
                    </a:blip>
                    <a:stretch>
                      <a:fillRect/>
                    </a:stretch>
                  </pic:blipFill>
                  <pic:spPr>
                    <a:xfrm>
                      <a:off x="0" y="0"/>
                      <a:ext cx="1075556" cy="1080000"/>
                    </a:xfrm>
                    <a:prstGeom prst="rect">
                      <a:avLst/>
                    </a:prstGeom>
                  </pic:spPr>
                </pic:pic>
              </a:graphicData>
            </a:graphic>
          </wp:inline>
        </w:drawing>
      </w:r>
    </w:p>
    <w:p w14:paraId="4CBE9877" w14:textId="77777777" w:rsidR="008C4694" w:rsidRDefault="008C4694" w:rsidP="008C4694">
      <w:pPr>
        <w:pStyle w:val="JVACMPiedefigura"/>
      </w:pPr>
      <w:r>
        <w:t xml:space="preserve">Figura 1. Tarea </w:t>
      </w:r>
      <w:r w:rsidR="00782DCA">
        <w:t>correspondiente a la primera sesión</w:t>
      </w:r>
      <w:r>
        <w:t>.</w:t>
      </w:r>
    </w:p>
    <w:p w14:paraId="46EBEC9D" w14:textId="77777777" w:rsidR="00F7538A" w:rsidRDefault="00276A7D" w:rsidP="00F7538A">
      <w:pPr>
        <w:rPr>
          <w:rFonts w:eastAsiaTheme="minorEastAsia"/>
        </w:rPr>
      </w:pPr>
      <w:r>
        <w:rPr>
          <w:rFonts w:eastAsiaTheme="minorEastAsia"/>
        </w:rPr>
        <w:t xml:space="preserve">Diseñamos la recogida de información en dos sesiones en las que </w:t>
      </w:r>
      <w:r w:rsidR="00F7538A">
        <w:rPr>
          <w:rFonts w:eastAsiaTheme="minorEastAsia"/>
        </w:rPr>
        <w:t xml:space="preserve">dos investigadores estuvieron presentes, así como la tutora de los </w:t>
      </w:r>
      <w:r w:rsidR="001C06FF">
        <w:rPr>
          <w:rFonts w:eastAsiaTheme="minorEastAsia"/>
        </w:rPr>
        <w:t>estudiante</w:t>
      </w:r>
      <w:r w:rsidR="00F7538A">
        <w:rPr>
          <w:rFonts w:eastAsiaTheme="minorEastAsia"/>
        </w:rPr>
        <w:t xml:space="preserve">s, aunque esta última no participó. Ambas sesiones fueron </w:t>
      </w:r>
      <w:r>
        <w:rPr>
          <w:rFonts w:eastAsiaTheme="minorEastAsia"/>
        </w:rPr>
        <w:t xml:space="preserve">video </w:t>
      </w:r>
      <w:r w:rsidR="00F7538A">
        <w:rPr>
          <w:rFonts w:eastAsiaTheme="minorEastAsia"/>
        </w:rPr>
        <w:t>grabadas</w:t>
      </w:r>
      <w:r>
        <w:rPr>
          <w:rFonts w:eastAsiaTheme="minorEastAsia"/>
        </w:rPr>
        <w:t xml:space="preserve">. </w:t>
      </w:r>
    </w:p>
    <w:p w14:paraId="63E125A4" w14:textId="77777777" w:rsidR="00F7538A" w:rsidRDefault="00F7538A" w:rsidP="00F7538A">
      <w:pPr>
        <w:rPr>
          <w:rFonts w:eastAsiaTheme="minorEastAsia"/>
        </w:rPr>
      </w:pPr>
      <w:r>
        <w:t xml:space="preserve">En la primera sesión </w:t>
      </w:r>
      <w:r w:rsidR="00A65743">
        <w:t>propusimos a los estudiantes trabajar</w:t>
      </w:r>
      <w:r>
        <w:t xml:space="preserve"> con un cuadrado de lado 6 al que se le quita la esquina superior derecha. </w:t>
      </w:r>
      <w:r w:rsidR="00A65743">
        <w:t>Les preguntamos</w:t>
      </w:r>
      <w:r>
        <w:t xml:space="preserve"> por la relación existente entre el área de la figura resultante y el lado de la esquina que se elimina, siendo la misma </w:t>
      </w:r>
      <m:oMath>
        <m:r>
          <w:rPr>
            <w:rFonts w:ascii="Cambria Math" w:hAnsi="Cambria Math" w:cs="Cambria Math"/>
          </w:rPr>
          <m:t>A(L)=36-</m:t>
        </m:r>
        <m:sSup>
          <m:sSupPr>
            <m:ctrlPr>
              <w:rPr>
                <w:rFonts w:ascii="Cambria Math" w:hAnsi="Cambria Math" w:cs="Cambria Math"/>
                <w:i/>
              </w:rPr>
            </m:ctrlPr>
          </m:sSupPr>
          <m:e>
            <m:r>
              <w:rPr>
                <w:rFonts w:ascii="Cambria Math" w:hAnsi="Cambria Math" w:cs="Cambria Math"/>
              </w:rPr>
              <m:t>L</m:t>
            </m:r>
          </m:e>
          <m:sup>
            <m:r>
              <w:rPr>
                <w:rFonts w:ascii="Cambria Math" w:hAnsi="Cambria Math" w:cs="Cambria Math"/>
              </w:rPr>
              <m:t>2</m:t>
            </m:r>
          </m:sup>
        </m:sSup>
      </m:oMath>
      <w:r>
        <w:t xml:space="preserve">, donde </w:t>
      </w:r>
      <m:oMath>
        <m:r>
          <w:rPr>
            <w:rFonts w:ascii="Cambria Math" w:hAnsi="Cambria Math" w:cs="Cambria Math"/>
          </w:rPr>
          <m:t>A(L)</m:t>
        </m:r>
      </m:oMath>
      <w:r w:rsidR="00013533">
        <w:t xml:space="preserve"> </w:t>
      </w:r>
      <w:r>
        <w:t xml:space="preserve">es el área de la figura resultante y </w:t>
      </w:r>
      <m:oMath>
        <m:r>
          <w:rPr>
            <w:rFonts w:ascii="Cambria Math" w:hAnsi="Cambria Math" w:cs="Cambria Math"/>
          </w:rPr>
          <m:t>L</m:t>
        </m:r>
      </m:oMath>
      <w:r w:rsidR="00013533">
        <w:t xml:space="preserve"> </w:t>
      </w:r>
      <w:r>
        <w:t xml:space="preserve">es el lado de la esquina suprimida. La tarea se compone de tres </w:t>
      </w:r>
      <w:r w:rsidR="008A1675">
        <w:t>apartados</w:t>
      </w:r>
      <w:r>
        <w:t xml:space="preserve">. En </w:t>
      </w:r>
      <w:r w:rsidR="008A1675">
        <w:t xml:space="preserve">el </w:t>
      </w:r>
      <w:r>
        <w:t>primer</w:t>
      </w:r>
      <w:r w:rsidR="008A1675">
        <w:t>o</w:t>
      </w:r>
      <w:r>
        <w:t xml:space="preserve"> de ell</w:t>
      </w:r>
      <w:r w:rsidR="00013533">
        <w:t>o</w:t>
      </w:r>
      <w:r>
        <w:t xml:space="preserve">s, los </w:t>
      </w:r>
      <w:r w:rsidR="001C06FF">
        <w:t>estudiante</w:t>
      </w:r>
      <w:r>
        <w:t xml:space="preserve">s calcularon el área de un cuadrado de lado 6. En </w:t>
      </w:r>
      <w:r w:rsidR="008A1675">
        <w:t xml:space="preserve">el </w:t>
      </w:r>
      <w:r>
        <w:t>segund</w:t>
      </w:r>
      <w:r w:rsidR="008A1675">
        <w:t>o</w:t>
      </w:r>
      <w:r>
        <w:t xml:space="preserve">, el área de un cuadrado de lado 6 al que se le suprimen esquinas de lados 2 y 4; en </w:t>
      </w:r>
      <w:r w:rsidR="008A1675">
        <w:t xml:space="preserve">el </w:t>
      </w:r>
      <w:r>
        <w:t>últim</w:t>
      </w:r>
      <w:r w:rsidR="008A1675">
        <w:t>o</w:t>
      </w:r>
      <w:r>
        <w:t xml:space="preserve">, el área de un cuadrado de lado 6 al que </w:t>
      </w:r>
      <w:r w:rsidR="001C06FF">
        <w:t>s</w:t>
      </w:r>
      <w:r>
        <w:t xml:space="preserve">e le suprime una esquina de lado </w:t>
      </w:r>
      <m:oMath>
        <m:r>
          <w:rPr>
            <w:rFonts w:ascii="Cambria Math" w:hAnsi="Cambria Math"/>
          </w:rPr>
          <m:t>L</m:t>
        </m:r>
      </m:oMath>
      <w:r>
        <w:rPr>
          <w:rFonts w:eastAsiaTheme="minorEastAsia"/>
        </w:rPr>
        <w:t>. Tras trabajar de forma individual cada un</w:t>
      </w:r>
      <w:r w:rsidR="00013533">
        <w:rPr>
          <w:rFonts w:eastAsiaTheme="minorEastAsia"/>
        </w:rPr>
        <w:t>o</w:t>
      </w:r>
      <w:r>
        <w:rPr>
          <w:rFonts w:eastAsiaTheme="minorEastAsia"/>
        </w:rPr>
        <w:t xml:space="preserve"> de </w:t>
      </w:r>
      <w:r w:rsidR="008A1675">
        <w:rPr>
          <w:rFonts w:eastAsiaTheme="minorEastAsia"/>
        </w:rPr>
        <w:t>los apartados</w:t>
      </w:r>
      <w:r>
        <w:rPr>
          <w:rFonts w:eastAsiaTheme="minorEastAsia"/>
        </w:rPr>
        <w:t xml:space="preserve">, los </w:t>
      </w:r>
      <w:r w:rsidR="001C06FF">
        <w:rPr>
          <w:rFonts w:eastAsiaTheme="minorEastAsia"/>
        </w:rPr>
        <w:t>estudiante</w:t>
      </w:r>
      <w:r>
        <w:rPr>
          <w:rFonts w:eastAsiaTheme="minorEastAsia"/>
        </w:rPr>
        <w:t>s hicieron una puesta en común junto con los investigadores, donde expusieron sus respuestas y llegaron a conclusiones comunes.</w:t>
      </w:r>
    </w:p>
    <w:p w14:paraId="4F6DDFEA" w14:textId="77777777" w:rsidR="00F7538A" w:rsidRDefault="00F7538A" w:rsidP="00F7538A">
      <w:r w:rsidRPr="00C7176D">
        <w:t xml:space="preserve">La segunda sesión fue una entrevista individual con cada uno de los estudiantes. La llevamos a cabo </w:t>
      </w:r>
      <w:r w:rsidR="00B957D3">
        <w:t xml:space="preserve">los </w:t>
      </w:r>
      <w:r w:rsidRPr="00C7176D">
        <w:t>dos investigadores del equipo</w:t>
      </w:r>
      <w:r w:rsidR="00B957D3">
        <w:rPr>
          <w:lang w:val="es-ES"/>
        </w:rPr>
        <w:t xml:space="preserve"> que realizamos la sesión anterior</w:t>
      </w:r>
      <w:r w:rsidRPr="00C7176D">
        <w:t xml:space="preserve">, siendo uno de ellos el entrevistador y el otro, el encargado de grabaciones y observación. Les planteamos dos tareas similares a la de la primera sesión: un cuadrado al que se le </w:t>
      </w:r>
      <w:r w:rsidR="00D9164B">
        <w:t>quitan</w:t>
      </w:r>
      <w:r w:rsidR="00013533">
        <w:t xml:space="preserve"> </w:t>
      </w:r>
      <w:r w:rsidRPr="00C7176D">
        <w:t>cuatro esquinas iguales y un cuadrado al que se le sustraen dos esquinas opuestas, no necesariamente iguales. En la primera tarea</w:t>
      </w:r>
      <w:r w:rsidR="008C4694">
        <w:t xml:space="preserve"> (Figura 2, izquierda)</w:t>
      </w:r>
      <w:r w:rsidRPr="00C7176D">
        <w:t xml:space="preserve">, la relación es </w:t>
      </w:r>
      <m:oMath>
        <m:r>
          <w:rPr>
            <w:rFonts w:ascii="Cambria Math" w:hAnsi="Cambria Math" w:cs="Cambria Math"/>
          </w:rPr>
          <m:t>A</m:t>
        </m:r>
        <m:r>
          <w:rPr>
            <w:rFonts w:ascii="Cambria Math" w:hAnsi="Cambria Math"/>
          </w:rPr>
          <m:t>(</m:t>
        </m:r>
        <m:r>
          <w:rPr>
            <w:rFonts w:ascii="Cambria Math" w:hAnsi="Cambria Math" w:cs="Cambria Math"/>
          </w:rPr>
          <m:t>L</m:t>
        </m:r>
        <m:r>
          <w:rPr>
            <w:rFonts w:ascii="Cambria Math" w:hAnsi="Cambria Math"/>
          </w:rPr>
          <m:t>)=36-4</m:t>
        </m:r>
        <m:sSup>
          <m:sSupPr>
            <m:ctrlPr>
              <w:rPr>
                <w:rFonts w:ascii="Cambria Math" w:hAnsi="Cambria Math" w:cs="Cambria Math"/>
                <w:i/>
              </w:rPr>
            </m:ctrlPr>
          </m:sSupPr>
          <m:e>
            <m:r>
              <w:rPr>
                <w:rFonts w:ascii="Cambria Math" w:hAnsi="Cambria Math" w:cs="Cambria Math"/>
              </w:rPr>
              <m:t>L</m:t>
            </m:r>
          </m:e>
          <m:sup>
            <m:r>
              <w:rPr>
                <w:rFonts w:ascii="Cambria Math" w:hAnsi="Cambria Math" w:cs="Cambria Math"/>
              </w:rPr>
              <m:t>2</m:t>
            </m:r>
          </m:sup>
        </m:sSup>
      </m:oMath>
      <w:r w:rsidRPr="00C7176D">
        <w:t xml:space="preserve">, donde </w:t>
      </w:r>
      <m:oMath>
        <m:r>
          <w:rPr>
            <w:rFonts w:ascii="Cambria Math" w:hAnsi="Cambria Math" w:cs="Cambria Math"/>
          </w:rPr>
          <m:t>A</m:t>
        </m:r>
        <m:r>
          <w:rPr>
            <w:rFonts w:ascii="Cambria Math" w:hAnsi="Cambria Math"/>
          </w:rPr>
          <m:t>(</m:t>
        </m:r>
        <m:r>
          <w:rPr>
            <w:rFonts w:ascii="Cambria Math" w:hAnsi="Cambria Math" w:cs="Cambria Math"/>
          </w:rPr>
          <m:t>L</m:t>
        </m:r>
        <m:r>
          <w:rPr>
            <w:rFonts w:ascii="Cambria Math" w:hAnsi="Cambria Math"/>
          </w:rPr>
          <m:t>)</m:t>
        </m:r>
      </m:oMath>
      <w:r w:rsidRPr="00C7176D">
        <w:t xml:space="preserve"> es el área de la figura resultante y </w:t>
      </w:r>
      <m:oMath>
        <m:r>
          <w:rPr>
            <w:rFonts w:ascii="Cambria Math" w:hAnsi="Cambria Math" w:cs="Cambria Math"/>
          </w:rPr>
          <m:t>L</m:t>
        </m:r>
      </m:oMath>
      <w:r w:rsidRPr="00C7176D">
        <w:t xml:space="preserve"> es el lado de la esquina suprimida; en la segunda</w:t>
      </w:r>
      <w:r w:rsidR="008C4694">
        <w:t xml:space="preserve"> (Figura 2, derecha)</w:t>
      </w:r>
      <w:r w:rsidRPr="00C7176D">
        <w:t xml:space="preserve">, </w:t>
      </w:r>
      <m:oMath>
        <m:r>
          <w:rPr>
            <w:rFonts w:ascii="Cambria Math" w:hAnsi="Cambria Math" w:cs="Cambria Math"/>
          </w:rPr>
          <m:t>A</m:t>
        </m:r>
        <m:r>
          <w:rPr>
            <w:rFonts w:ascii="Cambria Math" w:hAnsi="Cambria Math"/>
          </w:rPr>
          <m:t>(X,</m:t>
        </m:r>
        <m:r>
          <w:rPr>
            <w:rFonts w:ascii="Cambria Math" w:hAnsi="Cambria Math" w:cs="Cambria Math"/>
          </w:rPr>
          <m:t>Y</m:t>
        </m:r>
        <m:r>
          <w:rPr>
            <w:rFonts w:ascii="Cambria Math" w:hAnsi="Cambria Math"/>
          </w:rPr>
          <m:t>)=36-</m:t>
        </m:r>
        <m:sSup>
          <m:sSupPr>
            <m:ctrlPr>
              <w:rPr>
                <w:rFonts w:ascii="Cambria Math" w:hAnsi="Cambria Math" w:cs="Cambria Math"/>
                <w:i/>
              </w:rPr>
            </m:ctrlPr>
          </m:sSupPr>
          <m:e>
            <m:r>
              <w:rPr>
                <w:rFonts w:ascii="Cambria Math" w:hAnsi="Cambria Math" w:cs="Cambria Math"/>
              </w:rPr>
              <m:t>X</m:t>
            </m:r>
            <m:ctrlPr>
              <w:rPr>
                <w:rFonts w:ascii="Cambria Math" w:hAnsi="Cambria Math"/>
                <w:i/>
              </w:rPr>
            </m:ctrlPr>
          </m:e>
          <m:sup>
            <m:r>
              <w:rPr>
                <w:rFonts w:ascii="Cambria Math" w:hAnsi="Cambria Math" w:cs="Cambria Math"/>
              </w:rPr>
              <m:t>2</m:t>
            </m:r>
          </m:sup>
        </m:sSup>
        <m:r>
          <w:rPr>
            <w:rFonts w:ascii="Cambria Math" w:hAnsi="Cambria Math"/>
          </w:rPr>
          <m:t>-</m:t>
        </m:r>
        <m:sSup>
          <m:sSupPr>
            <m:ctrlPr>
              <w:rPr>
                <w:rFonts w:ascii="Cambria Math" w:hAnsi="Cambria Math"/>
                <w:i/>
              </w:rPr>
            </m:ctrlPr>
          </m:sSupPr>
          <m:e>
            <m:r>
              <w:rPr>
                <w:rFonts w:ascii="Cambria Math" w:hAnsi="Cambria Math" w:cs="Cambria Math"/>
              </w:rPr>
              <m:t>Y</m:t>
            </m:r>
          </m:e>
          <m:sup>
            <m:r>
              <w:rPr>
                <w:rFonts w:ascii="Cambria Math" w:hAnsi="Cambria Math"/>
              </w:rPr>
              <m:t>2</m:t>
            </m:r>
          </m:sup>
        </m:sSup>
      </m:oMath>
      <w:r w:rsidRPr="00C7176D">
        <w:t xml:space="preserve">, donde </w:t>
      </w:r>
      <m:oMath>
        <m:r>
          <w:rPr>
            <w:rFonts w:ascii="Cambria Math" w:hAnsi="Cambria Math" w:cs="Cambria Math"/>
          </w:rPr>
          <m:t>A</m:t>
        </m:r>
        <m:r>
          <w:rPr>
            <w:rFonts w:ascii="Cambria Math" w:hAnsi="Cambria Math"/>
          </w:rPr>
          <m:t>(</m:t>
        </m:r>
        <m:r>
          <w:rPr>
            <w:rFonts w:ascii="Cambria Math" w:hAnsi="Cambria Math" w:cs="Cambria Math"/>
          </w:rPr>
          <m:t>X</m:t>
        </m:r>
        <m:r>
          <w:rPr>
            <w:rFonts w:ascii="Cambria Math" w:hAnsi="Cambria Math"/>
          </w:rPr>
          <m:t>,</m:t>
        </m:r>
        <m:r>
          <w:rPr>
            <w:rFonts w:ascii="Cambria Math" w:hAnsi="Cambria Math" w:cs="Cambria Math"/>
          </w:rPr>
          <m:t>Y</m:t>
        </m:r>
        <m:r>
          <w:rPr>
            <w:rFonts w:ascii="Cambria Math" w:hAnsi="Cambria Math"/>
          </w:rPr>
          <m:t>)</m:t>
        </m:r>
      </m:oMath>
      <w:r w:rsidRPr="00C7176D">
        <w:t xml:space="preserve"> es el área de la figura resultante, </w:t>
      </w:r>
      <m:oMath>
        <m:r>
          <w:rPr>
            <w:rFonts w:ascii="Cambria Math" w:hAnsi="Cambria Math" w:cs="Cambria Math"/>
          </w:rPr>
          <m:t>X</m:t>
        </m:r>
      </m:oMath>
      <w:r w:rsidRPr="00C7176D">
        <w:t xml:space="preserve"> es el lado de una de las esquinas suprimidas y </w:t>
      </w:r>
      <m:oMath>
        <m:r>
          <w:rPr>
            <w:rFonts w:ascii="Cambria Math" w:hAnsi="Cambria Math" w:cs="Cambria Math"/>
          </w:rPr>
          <m:t>Y</m:t>
        </m:r>
      </m:oMath>
      <w:r w:rsidRPr="00C7176D">
        <w:t xml:space="preserve"> es el lado de la otra. La entrevista individual tuvo una duración máxima de media hora, aunque hubo estudiantes que la realizaron en meno</w:t>
      </w:r>
      <w:r w:rsidR="006465C4">
        <w:t>s</w:t>
      </w:r>
      <w:r w:rsidRPr="00C7176D">
        <w:t xml:space="preserve"> tiempo.</w:t>
      </w:r>
    </w:p>
    <w:p w14:paraId="4533FDF5" w14:textId="77777777" w:rsidR="008C4694" w:rsidRDefault="008C4694" w:rsidP="008C4694">
      <w:pPr>
        <w:pStyle w:val="JVACMPiedefigura"/>
      </w:pPr>
      <w:r>
        <w:rPr>
          <w:noProof/>
          <w:lang w:val="es-ES" w:eastAsia="es-ES"/>
        </w:rPr>
        <w:drawing>
          <wp:inline distT="0" distB="0" distL="0" distR="0" wp14:anchorId="0CE44FFB" wp14:editId="2DDCF8A5">
            <wp:extent cx="1071038" cy="1080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4.JPG"/>
                    <pic:cNvPicPr/>
                  </pic:nvPicPr>
                  <pic:blipFill>
                    <a:blip r:embed="rId9">
                      <a:extLst>
                        <a:ext uri="{28A0092B-C50C-407E-A947-70E740481C1C}">
                          <a14:useLocalDpi xmlns:a14="http://schemas.microsoft.com/office/drawing/2010/main" val="0"/>
                        </a:ext>
                      </a:extLst>
                    </a:blip>
                    <a:stretch>
                      <a:fillRect/>
                    </a:stretch>
                  </pic:blipFill>
                  <pic:spPr>
                    <a:xfrm>
                      <a:off x="0" y="0"/>
                      <a:ext cx="1071038" cy="1080000"/>
                    </a:xfrm>
                    <a:prstGeom prst="rect">
                      <a:avLst/>
                    </a:prstGeom>
                  </pic:spPr>
                </pic:pic>
              </a:graphicData>
            </a:graphic>
          </wp:inline>
        </w:drawing>
      </w:r>
      <w:r>
        <w:rPr>
          <w:noProof/>
          <w:lang w:val="es-ES" w:eastAsia="es-ES"/>
        </w:rPr>
        <w:drawing>
          <wp:inline distT="0" distB="0" distL="0" distR="0" wp14:anchorId="113BAF15" wp14:editId="39B863A3">
            <wp:extent cx="1071111" cy="10800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5.JPG"/>
                    <pic:cNvPicPr/>
                  </pic:nvPicPr>
                  <pic:blipFill>
                    <a:blip r:embed="rId10">
                      <a:extLst>
                        <a:ext uri="{28A0092B-C50C-407E-A947-70E740481C1C}">
                          <a14:useLocalDpi xmlns:a14="http://schemas.microsoft.com/office/drawing/2010/main" val="0"/>
                        </a:ext>
                      </a:extLst>
                    </a:blip>
                    <a:stretch>
                      <a:fillRect/>
                    </a:stretch>
                  </pic:blipFill>
                  <pic:spPr>
                    <a:xfrm>
                      <a:off x="0" y="0"/>
                      <a:ext cx="1071111" cy="1080000"/>
                    </a:xfrm>
                    <a:prstGeom prst="rect">
                      <a:avLst/>
                    </a:prstGeom>
                  </pic:spPr>
                </pic:pic>
              </a:graphicData>
            </a:graphic>
          </wp:inline>
        </w:drawing>
      </w:r>
    </w:p>
    <w:p w14:paraId="76A273B2" w14:textId="77777777" w:rsidR="008C4694" w:rsidRDefault="008C4694" w:rsidP="008C4694">
      <w:pPr>
        <w:pStyle w:val="JVACMPiedefigura"/>
      </w:pPr>
      <w:r>
        <w:t xml:space="preserve">Figura 2. Tarea </w:t>
      </w:r>
      <w:r w:rsidR="00782DCA">
        <w:t>correspondiente a la segunda sesión</w:t>
      </w:r>
    </w:p>
    <w:p w14:paraId="513D6FBF" w14:textId="77777777" w:rsidR="00276A7D" w:rsidRDefault="006465C4" w:rsidP="00276A7D">
      <w:pPr>
        <w:rPr>
          <w:rFonts w:eastAsiaTheme="minorEastAsia"/>
        </w:rPr>
      </w:pPr>
      <w:r>
        <w:rPr>
          <w:rFonts w:eastAsiaTheme="minorEastAsia"/>
        </w:rPr>
        <w:lastRenderedPageBreak/>
        <w:t>La información con la que</w:t>
      </w:r>
      <w:r w:rsidR="00276A7D">
        <w:rPr>
          <w:rFonts w:eastAsiaTheme="minorEastAsia"/>
        </w:rPr>
        <w:t xml:space="preserve"> contamos </w:t>
      </w:r>
      <w:r>
        <w:rPr>
          <w:rFonts w:eastAsiaTheme="minorEastAsia"/>
        </w:rPr>
        <w:t xml:space="preserve">son </w:t>
      </w:r>
      <w:r w:rsidR="00276A7D">
        <w:rPr>
          <w:rFonts w:eastAsiaTheme="minorEastAsia"/>
        </w:rPr>
        <w:t xml:space="preserve">la grabación y transcripción de las sesiones y el material escrito </w:t>
      </w:r>
      <w:r>
        <w:rPr>
          <w:rFonts w:eastAsiaTheme="minorEastAsia"/>
        </w:rPr>
        <w:t xml:space="preserve">de </w:t>
      </w:r>
      <w:r w:rsidR="00276A7D">
        <w:rPr>
          <w:rFonts w:eastAsiaTheme="minorEastAsia"/>
        </w:rPr>
        <w:t>los estudiantes.</w:t>
      </w:r>
    </w:p>
    <w:p w14:paraId="3CF4C46F" w14:textId="77777777" w:rsidR="00F7538A" w:rsidRDefault="00AC0838" w:rsidP="00F7538A">
      <w:r>
        <w:t>La unidad de análisis del presente trabajo son las respuestas dadas por los estudiantes</w:t>
      </w:r>
      <w:r w:rsidR="006006AE">
        <w:t xml:space="preserve"> a cada pregunta de la tarea en cada sesión</w:t>
      </w:r>
      <w:r>
        <w:t xml:space="preserve">. </w:t>
      </w:r>
      <w:r w:rsidR="00422BD9">
        <w:t xml:space="preserve">Para analizar la estructura establecida por los estudiantes, </w:t>
      </w:r>
      <w:r w:rsidR="00013533">
        <w:t>tenemos</w:t>
      </w:r>
      <w:r w:rsidR="00422BD9">
        <w:t xml:space="preserve"> en cuenta </w:t>
      </w:r>
      <w:r w:rsidR="00F7538A" w:rsidRPr="0028107B">
        <w:t>tres momentos</w:t>
      </w:r>
      <w:r>
        <w:t xml:space="preserve"> de la recogida de datos</w:t>
      </w:r>
      <w:r w:rsidR="00F7538A" w:rsidRPr="0028107B">
        <w:t>: trabajo individual, puesta en común, entrevista.</w:t>
      </w:r>
    </w:p>
    <w:p w14:paraId="1520AC32" w14:textId="77777777" w:rsidR="00552109" w:rsidRDefault="00552109" w:rsidP="00552109">
      <w:pPr>
        <w:pStyle w:val="JVACMNivel1"/>
      </w:pPr>
      <w:r>
        <w:t xml:space="preserve">Análisis de datos y </w:t>
      </w:r>
      <w:r w:rsidR="00FC2096">
        <w:t>RESULTADOS</w:t>
      </w:r>
    </w:p>
    <w:p w14:paraId="217AB3C9" w14:textId="77777777" w:rsidR="00CD2CF8" w:rsidRDefault="008A74FC" w:rsidP="00CD2CF8">
      <w:pPr>
        <w:pStyle w:val="JVACMNormal"/>
      </w:pPr>
      <w:r>
        <w:t>P</w:t>
      </w:r>
      <w:r w:rsidR="00CD2CF8">
        <w:t xml:space="preserve">resentamos </w:t>
      </w:r>
      <w:r>
        <w:t>el análisis de datos y los resultados</w:t>
      </w:r>
      <w:r w:rsidR="00013533">
        <w:t xml:space="preserve"> </w:t>
      </w:r>
      <w:r w:rsidR="003B37E1">
        <w:t xml:space="preserve">en tres partes, según los momentos temporales en los que </w:t>
      </w:r>
      <w:r w:rsidR="00013533">
        <w:t>recogimos</w:t>
      </w:r>
      <w:r w:rsidR="003B37E1">
        <w:t xml:space="preserve"> la información</w:t>
      </w:r>
      <w:r w:rsidR="00AC0838">
        <w:t>: trabajo individual de la sesión grupal, puesta en común de dicha sesión y entrevista.</w:t>
      </w:r>
    </w:p>
    <w:p w14:paraId="7B4FF3A4" w14:textId="77777777" w:rsidR="00E40B58" w:rsidRDefault="008A74FC" w:rsidP="004E1929">
      <w:pPr>
        <w:pStyle w:val="JVACMNormal"/>
      </w:pPr>
      <w:r>
        <w:t xml:space="preserve">En el trabajo </w:t>
      </w:r>
      <w:r w:rsidR="00013533">
        <w:t xml:space="preserve">individual </w:t>
      </w:r>
      <w:r>
        <w:t>en el cuestionario</w:t>
      </w:r>
      <w:r w:rsidR="00AC0838">
        <w:t xml:space="preserve">, </w:t>
      </w:r>
      <w:r w:rsidR="00EA4BF8">
        <w:t>tres</w:t>
      </w:r>
      <w:r w:rsidR="00AC0838">
        <w:t xml:space="preserve"> estudiantes </w:t>
      </w:r>
      <w:r>
        <w:t>establecieron una estructura, aunque incorrecta</w:t>
      </w:r>
      <w:r w:rsidR="00E40B58">
        <w:t xml:space="preserve"> (</w:t>
      </w:r>
      <m:oMath>
        <m:r>
          <w:rPr>
            <w:rFonts w:ascii="Cambria Math" w:hAnsi="Cambria Math"/>
          </w:rPr>
          <m:t>36-L</m:t>
        </m:r>
      </m:oMath>
      <w:r w:rsidR="00997FA8">
        <w:t xml:space="preserve">). </w:t>
      </w:r>
      <w:r w:rsidR="00816517">
        <w:t xml:space="preserve">Los otros tres dieron valores concretos a la variable pero no llegaron a </w:t>
      </w:r>
      <w:r w:rsidR="006006AE">
        <w:t>establecerla</w:t>
      </w:r>
      <w:r w:rsidR="00816517">
        <w:t>.</w:t>
      </w:r>
    </w:p>
    <w:p w14:paraId="4542E1AD" w14:textId="77777777" w:rsidR="00D0159F" w:rsidRDefault="008A74FC" w:rsidP="00D0159F">
      <w:pPr>
        <w:pStyle w:val="JVACMNormal"/>
      </w:pPr>
      <w:r>
        <w:t>En la puesta en común</w:t>
      </w:r>
      <w:r w:rsidR="00D0159F" w:rsidRPr="00D0159F">
        <w:t xml:space="preserve">, </w:t>
      </w:r>
      <w:r w:rsidR="00816517">
        <w:t>cinco</w:t>
      </w:r>
      <w:r w:rsidR="00013533">
        <w:t xml:space="preserve"> </w:t>
      </w:r>
      <w:r w:rsidR="00D0159F" w:rsidRPr="00D0159F">
        <w:t xml:space="preserve">los estudiantes </w:t>
      </w:r>
      <w:r w:rsidR="00FE1ED8">
        <w:t>intervinieron</w:t>
      </w:r>
      <w:r w:rsidR="00D0159F" w:rsidRPr="00D0159F">
        <w:t>. En general, todos establecieron una relación entre las dos variables al decir que necesitaban conocer el lado de la esquina para poder calcular el área de cuadrado y por extensión, el área de la figura resultante. Los investigadores ayudaron a los estudiantes a establecer la estructura de forma simbólica mediante pasos, comprobando al final que todos ellos la entendieron y eran capaces de establecerla. Aunque los seis llegaron a</w:t>
      </w:r>
      <w:r w:rsidR="006006AE">
        <w:t xml:space="preserve"> establecer la estructura</w:t>
      </w:r>
      <w:r w:rsidR="00D0159F" w:rsidRPr="00D0159F">
        <w:t xml:space="preserve">, solamente tres de ellos (E2, E3 y E6) establecieron por sí solos que el área pequeña es </w:t>
      </w:r>
      <m:oMath>
        <m:r>
          <w:rPr>
            <w:rFonts w:ascii="Cambria Math" w:hAnsi="Cambria Math"/>
          </w:rPr>
          <m:t>L</m:t>
        </m:r>
        <m:r>
          <m:rPr>
            <m:sty m:val="p"/>
          </m:rPr>
          <w:rPr>
            <w:rFonts w:ascii="Cambria Math" w:hAnsi="Cambria Math"/>
          </w:rPr>
          <m:t>×</m:t>
        </m:r>
        <m:r>
          <w:rPr>
            <w:rFonts w:ascii="Cambria Math" w:hAnsi="Cambria Math"/>
          </w:rPr>
          <m:t>L</m:t>
        </m:r>
      </m:oMath>
      <w:r w:rsidR="00D0159F" w:rsidRPr="00D0159F">
        <w:t xml:space="preserve"> (aunque en la estructura establecieron </w:t>
      </w:r>
      <m:oMath>
        <m:r>
          <w:rPr>
            <w:rFonts w:ascii="Cambria Math" w:hAnsi="Cambria Math"/>
          </w:rPr>
          <m:t>36-</m:t>
        </m:r>
        <m:r>
          <w:rPr>
            <w:rFonts w:ascii="Cambria Math" w:hAnsi="Cambria Math" w:cs="Cambria Math"/>
          </w:rPr>
          <m:t>L</m:t>
        </m:r>
      </m:oMath>
      <w:r w:rsidR="00D0159F" w:rsidRPr="00D0159F">
        <w:t>).</w:t>
      </w:r>
      <w:r w:rsidR="00816517">
        <w:t xml:space="preserve"> U</w:t>
      </w:r>
      <w:r w:rsidR="00816517" w:rsidRPr="00D0159F">
        <w:t xml:space="preserve">no de los estudiantes </w:t>
      </w:r>
      <w:r w:rsidR="00816517">
        <w:t>usó</w:t>
      </w:r>
      <w:r w:rsidR="00816517" w:rsidRPr="00D0159F">
        <w:t xml:space="preserve"> la expresión “doble L” para representar el área del cuadrado pequeño</w:t>
      </w:r>
      <w:r w:rsidR="00816517">
        <w:t>.</w:t>
      </w:r>
    </w:p>
    <w:p w14:paraId="31D87082" w14:textId="77777777" w:rsidR="002C5352" w:rsidRDefault="00667F11" w:rsidP="002C5352">
      <w:pPr>
        <w:pStyle w:val="JVACMNormal"/>
      </w:pPr>
      <w:r>
        <w:t xml:space="preserve">Como síntesis de los resultados obtenidos durante la entrevista, </w:t>
      </w:r>
      <w:r w:rsidR="001A3CA9">
        <w:t>en la tarea de las 4 esquinas, los seis estudiantes establecieron</w:t>
      </w:r>
      <w:r w:rsidR="00AA04E1">
        <w:t xml:space="preserve"> la estructura</w:t>
      </w:r>
      <w:r w:rsidR="001A3CA9">
        <w:t>: uno mediante el uso de casos particulares, dos de forma incorrecta (</w:t>
      </w:r>
      <m:oMath>
        <m:r>
          <w:rPr>
            <w:rFonts w:ascii="Cambria Math" w:hAnsi="Cambria Math"/>
          </w:rPr>
          <m:t>36-4L</m:t>
        </m:r>
      </m:oMath>
      <w:r w:rsidR="001A3CA9">
        <w:t xml:space="preserve">, </w:t>
      </w:r>
      <m:oMath>
        <m:r>
          <w:rPr>
            <w:rFonts w:ascii="Cambria Math" w:hAnsi="Cambria Math"/>
          </w:rPr>
          <m:t>36-L</m:t>
        </m:r>
      </m:oMath>
      <w:r w:rsidR="001A3CA9">
        <w:t>) y tres de forma correcta (</w:t>
      </w:r>
      <m:oMath>
        <m:r>
          <w:rPr>
            <w:rFonts w:ascii="Cambria Math" w:hAnsi="Cambria Math"/>
          </w:rPr>
          <m:t>36-4</m:t>
        </m:r>
        <m:sSup>
          <m:sSupPr>
            <m:ctrlPr>
              <w:rPr>
                <w:rFonts w:ascii="Cambria Math" w:hAnsi="Cambria Math"/>
                <w:i/>
              </w:rPr>
            </m:ctrlPr>
          </m:sSupPr>
          <m:e>
            <m:r>
              <w:rPr>
                <w:rFonts w:ascii="Cambria Math" w:hAnsi="Cambria Math"/>
              </w:rPr>
              <m:t>L</m:t>
            </m:r>
          </m:e>
          <m:sup>
            <m:r>
              <w:rPr>
                <w:rFonts w:ascii="Cambria Math" w:hAnsi="Cambria Math"/>
              </w:rPr>
              <m:t>2</m:t>
            </m:r>
          </m:sup>
        </m:sSup>
      </m:oMath>
      <w:r w:rsidR="001A3CA9">
        <w:t xml:space="preserve">). Teniendo en cuenta que todas las esquinas son iguales, analizamos si los estudiantes hicieron uso de una sola variable, concluyendo que 5 de ellos lo hicieron. </w:t>
      </w:r>
      <w:r w:rsidR="002C5352">
        <w:t xml:space="preserve">En relación al hecho de usar la misma letra para las cuatro esquinas (pues son iguales las cuatro), cuatro de los cinco estudiantes lo tuvieron en cuenta y lo incluyeron en la estructura que establecieron. La dificultad de poner </w:t>
      </w:r>
      <m:oMath>
        <m:r>
          <w:rPr>
            <w:rFonts w:ascii="Cambria Math" w:hAnsi="Cambria Math"/>
          </w:rPr>
          <m:t>4L</m:t>
        </m:r>
      </m:oMath>
      <w:r w:rsidR="002C5352">
        <w:t xml:space="preserve"> en lugar de </w:t>
      </w:r>
      <m:oMath>
        <m:r>
          <w:rPr>
            <w:rFonts w:ascii="Cambria Math" w:hAnsi="Cambria Math"/>
          </w:rPr>
          <m:t>4</m:t>
        </m:r>
        <m:sSup>
          <m:sSupPr>
            <m:ctrlPr>
              <w:rPr>
                <w:rFonts w:ascii="Cambria Math" w:hAnsi="Cambria Math"/>
                <w:i/>
              </w:rPr>
            </m:ctrlPr>
          </m:sSupPr>
          <m:e>
            <m:r>
              <w:rPr>
                <w:rFonts w:ascii="Cambria Math" w:hAnsi="Cambria Math"/>
              </w:rPr>
              <m:t>L</m:t>
            </m:r>
          </m:e>
          <m:sup>
            <m:r>
              <w:rPr>
                <w:rFonts w:ascii="Cambria Math" w:hAnsi="Cambria Math"/>
              </w:rPr>
              <m:t>2</m:t>
            </m:r>
          </m:sup>
        </m:sSup>
      </m:oMath>
      <w:r w:rsidR="002C5352">
        <w:t xml:space="preserve"> puede provenir del hecho de que identificasen que debían quitarle cuatro veces algo que depende de </w:t>
      </w:r>
      <m:oMath>
        <m:r>
          <w:rPr>
            <w:rFonts w:ascii="Cambria Math" w:hAnsi="Cambria Math"/>
          </w:rPr>
          <m:t>L</m:t>
        </m:r>
      </m:oMath>
      <w:r w:rsidR="002C5352">
        <w:t xml:space="preserve">, pero no diferenciasen que </w:t>
      </w:r>
      <m:oMath>
        <m:r>
          <w:rPr>
            <w:rFonts w:ascii="Cambria Math" w:hAnsi="Cambria Math"/>
          </w:rPr>
          <m:t>L</m:t>
        </m:r>
      </m:oMath>
      <w:r w:rsidR="002C5352">
        <w:t xml:space="preserve"> fuese la longitud del lado o el área de la esquina suprimida.</w:t>
      </w:r>
    </w:p>
    <w:p w14:paraId="5760E9B7" w14:textId="77777777" w:rsidR="002C5352" w:rsidRDefault="001A3CA9" w:rsidP="002C5352">
      <w:pPr>
        <w:pStyle w:val="JVACMNormal"/>
      </w:pPr>
      <w:r>
        <w:t>En la tarea de las 2 esquinas, dos estudiantes respondieron de forma correcta mientras que los restantes establecieron estructuras incorrectas (</w:t>
      </w:r>
      <m:oMath>
        <m:r>
          <w:rPr>
            <w:rFonts w:ascii="Cambria Math" w:hAnsi="Cambria Math"/>
          </w:rPr>
          <m:t>36-X-Y</m:t>
        </m:r>
      </m:oMath>
      <w:r>
        <w:t xml:space="preserve">). </w:t>
      </w:r>
      <w:r w:rsidR="00816517">
        <w:rPr>
          <w:sz w:val="23"/>
          <w:szCs w:val="23"/>
        </w:rPr>
        <w:t xml:space="preserve">Dada la presencia en esta ocasión de dos variables y la existencia de la condición </w:t>
      </w:r>
      <m:oMath>
        <m:r>
          <w:rPr>
            <w:rFonts w:ascii="Cambria Math" w:hAnsi="Cambria Math" w:cs="Cambria Math"/>
            <w:sz w:val="23"/>
            <w:szCs w:val="23"/>
          </w:rPr>
          <m:t>X+Y=6</m:t>
        </m:r>
      </m:oMath>
      <w:r w:rsidR="00AA04E1">
        <w:rPr>
          <w:sz w:val="23"/>
          <w:szCs w:val="23"/>
        </w:rPr>
        <w:t xml:space="preserve"> </w:t>
      </w:r>
      <w:r w:rsidR="00816517">
        <w:rPr>
          <w:sz w:val="23"/>
          <w:szCs w:val="23"/>
        </w:rPr>
        <w:t xml:space="preserve">que liga ambas en caso de rellenar todo el lado, analizamos también la respuesta de los estudiantes con base en este hecho. </w:t>
      </w:r>
      <w:r>
        <w:t xml:space="preserve">En referencia al uso de dos variables diferentes, fueron todos los alumnos los que utilizan dos letras diferentes para notar cada una de las esquinas. </w:t>
      </w:r>
      <w:r w:rsidR="002C5352">
        <w:t xml:space="preserve">Esto evidencia que los estudiantes asociaron que a esquinas diferentes le correspondían letras diferentes. </w:t>
      </w:r>
      <w:r w:rsidR="00B16828">
        <w:t>Cuatro</w:t>
      </w:r>
      <w:r>
        <w:t xml:space="preserve"> de ellos precisaron de ayuda pues sostenían </w:t>
      </w:r>
      <w:r w:rsidR="00B16828">
        <w:t>argumentos como</w:t>
      </w:r>
      <w:r w:rsidR="00B16828" w:rsidRPr="00B16828">
        <w:t xml:space="preserve"> “si no fueran iguales pues a uno le pondría L y a otro pues un número o una letra más grande, multiplicando L por L” </w:t>
      </w:r>
      <w:r w:rsidR="00B16828">
        <w:t>o</w:t>
      </w:r>
      <w:r w:rsidR="00B16828" w:rsidRPr="00B16828">
        <w:t xml:space="preserve"> “las llamaría igual porque al fin y al cabo hago lo mismo, puedes utilizar la misma letra”.</w:t>
      </w:r>
      <w:r w:rsidR="002C5352">
        <w:t xml:space="preserve"> También es interesante notar la agrupación de términos llevada a cabo por E4: en lugar de expresar </w:t>
      </w:r>
      <m:oMath>
        <m:r>
          <w:rPr>
            <w:rFonts w:ascii="Cambria Math" w:hAnsi="Cambria Math"/>
          </w:rPr>
          <m:t>36-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002C5352">
        <w:t>, hizo uso de otras letras para indicar los productos (</w:t>
      </w:r>
      <m:oMath>
        <m:r>
          <w:rPr>
            <w:rFonts w:ascii="Cambria Math" w:hAnsi="Cambria Math"/>
          </w:rPr>
          <m:t>M×M=N</m:t>
        </m:r>
      </m:oMath>
      <w:r w:rsidR="002C5352">
        <w:t xml:space="preserve">, </w:t>
      </w:r>
      <m:oMath>
        <m:r>
          <w:rPr>
            <w:rFonts w:ascii="Cambria Math" w:hAnsi="Cambria Math"/>
          </w:rPr>
          <m:t>L×L=A</m:t>
        </m:r>
      </m:oMath>
      <w:r w:rsidR="002C5352" w:rsidRPr="001C06FF">
        <w:t>), d</w:t>
      </w:r>
      <w:r w:rsidR="002C5352">
        <w:t xml:space="preserve">e forma que la relación final fue </w:t>
      </w:r>
      <m:oMath>
        <m:r>
          <w:rPr>
            <w:rFonts w:ascii="Cambria Math" w:hAnsi="Cambria Math"/>
          </w:rPr>
          <m:t>36-N-A</m:t>
        </m:r>
      </m:oMath>
      <w:r w:rsidR="002C5352">
        <w:t>.</w:t>
      </w:r>
    </w:p>
    <w:p w14:paraId="3BF2FE0D" w14:textId="77777777" w:rsidR="00805087" w:rsidRDefault="00805087" w:rsidP="002C5352">
      <w:pPr>
        <w:pStyle w:val="JVACMNormal"/>
      </w:pPr>
      <w:r>
        <w:t>Atendiendo a los estudiantes, haremos una breve síntesis de la evolución de cada uno de ellos</w:t>
      </w:r>
      <w:r w:rsidR="005C71B9">
        <w:t xml:space="preserve"> (Tabla 1)</w:t>
      </w:r>
      <w:r>
        <w:t>:</w:t>
      </w:r>
    </w:p>
    <w:p w14:paraId="74091A20" w14:textId="77777777" w:rsidR="005C71B9" w:rsidRDefault="005C71B9" w:rsidP="005C71B9">
      <w:pPr>
        <w:pStyle w:val="JVACMEncabezadotabla"/>
      </w:pPr>
      <w:r>
        <w:lastRenderedPageBreak/>
        <w:t xml:space="preserve">Tabla </w:t>
      </w:r>
      <w:r w:rsidR="0010719D">
        <w:fldChar w:fldCharType="begin"/>
      </w:r>
      <w:r>
        <w:instrText xml:space="preserve"> SEQ Tabla \* ARABIC </w:instrText>
      </w:r>
      <w:r w:rsidR="0010719D">
        <w:fldChar w:fldCharType="separate"/>
      </w:r>
      <w:r w:rsidR="005706B5">
        <w:rPr>
          <w:noProof/>
        </w:rPr>
        <w:t>1</w:t>
      </w:r>
      <w:r w:rsidR="0010719D">
        <w:fldChar w:fldCharType="end"/>
      </w:r>
      <w:r>
        <w:t>. Síntesis de los resultados obtenidos por estudiante.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1"/>
        <w:gridCol w:w="1701"/>
        <w:gridCol w:w="1701"/>
        <w:gridCol w:w="1641"/>
        <w:gridCol w:w="1559"/>
        <w:gridCol w:w="425"/>
      </w:tblGrid>
      <w:tr w:rsidR="005C71B9" w:rsidRPr="00E07A8B" w14:paraId="34E89A12" w14:textId="77777777" w:rsidTr="00FF5A34">
        <w:trPr>
          <w:gridAfter w:val="1"/>
          <w:wAfter w:w="425" w:type="dxa"/>
          <w:cantSplit/>
          <w:jc w:val="center"/>
        </w:trPr>
        <w:tc>
          <w:tcPr>
            <w:tcW w:w="1361" w:type="dxa"/>
            <w:tcBorders>
              <w:left w:val="nil"/>
              <w:bottom w:val="nil"/>
              <w:right w:val="nil"/>
            </w:tcBorders>
            <w:vAlign w:val="center"/>
          </w:tcPr>
          <w:p w14:paraId="1C3C42ED" w14:textId="77777777" w:rsidR="005C71B9" w:rsidRPr="00E07A8B" w:rsidRDefault="005C71B9" w:rsidP="00675057">
            <w:pPr>
              <w:pStyle w:val="JVACMTabla"/>
              <w:keepNext/>
            </w:pPr>
          </w:p>
        </w:tc>
        <w:tc>
          <w:tcPr>
            <w:tcW w:w="1701" w:type="dxa"/>
            <w:tcBorders>
              <w:left w:val="nil"/>
              <w:bottom w:val="nil"/>
              <w:right w:val="nil"/>
            </w:tcBorders>
          </w:tcPr>
          <w:p w14:paraId="4EE036F8" w14:textId="77777777" w:rsidR="005C71B9" w:rsidRPr="00E07A8B" w:rsidRDefault="005C71B9" w:rsidP="00675057">
            <w:pPr>
              <w:pStyle w:val="JVACMTabla"/>
              <w:keepNext/>
              <w:jc w:val="center"/>
            </w:pPr>
          </w:p>
        </w:tc>
        <w:tc>
          <w:tcPr>
            <w:tcW w:w="1701" w:type="dxa"/>
            <w:tcBorders>
              <w:left w:val="nil"/>
              <w:bottom w:val="nil"/>
              <w:right w:val="nil"/>
            </w:tcBorders>
            <w:vAlign w:val="center"/>
          </w:tcPr>
          <w:p w14:paraId="0AA99CC4" w14:textId="77777777" w:rsidR="005C71B9" w:rsidRPr="00E07A8B" w:rsidRDefault="005C71B9" w:rsidP="00675057">
            <w:pPr>
              <w:pStyle w:val="JVACMTabla"/>
              <w:keepNext/>
              <w:jc w:val="center"/>
            </w:pPr>
          </w:p>
        </w:tc>
        <w:tc>
          <w:tcPr>
            <w:tcW w:w="3200" w:type="dxa"/>
            <w:gridSpan w:val="2"/>
            <w:tcBorders>
              <w:left w:val="nil"/>
              <w:right w:val="nil"/>
            </w:tcBorders>
            <w:vAlign w:val="center"/>
          </w:tcPr>
          <w:p w14:paraId="27EFC86C" w14:textId="77777777" w:rsidR="005C71B9" w:rsidRPr="00E07A8B" w:rsidRDefault="005C71B9" w:rsidP="00675057">
            <w:pPr>
              <w:pStyle w:val="JVACMTabla"/>
              <w:keepNext/>
              <w:jc w:val="center"/>
            </w:pPr>
            <w:r>
              <w:t>Entrevista</w:t>
            </w:r>
          </w:p>
        </w:tc>
      </w:tr>
      <w:tr w:rsidR="00675057" w:rsidRPr="00E07A8B" w14:paraId="10621172" w14:textId="77777777" w:rsidTr="00FF5A34">
        <w:trPr>
          <w:gridAfter w:val="1"/>
          <w:wAfter w:w="425" w:type="dxa"/>
          <w:cantSplit/>
          <w:jc w:val="center"/>
        </w:trPr>
        <w:tc>
          <w:tcPr>
            <w:tcW w:w="1361" w:type="dxa"/>
            <w:tcBorders>
              <w:top w:val="nil"/>
              <w:left w:val="nil"/>
              <w:bottom w:val="single" w:sz="4" w:space="0" w:color="000000"/>
              <w:right w:val="nil"/>
            </w:tcBorders>
            <w:vAlign w:val="center"/>
          </w:tcPr>
          <w:p w14:paraId="5A6B7F47" w14:textId="77777777" w:rsidR="005C71B9" w:rsidRPr="00E07A8B" w:rsidRDefault="005C71B9" w:rsidP="00675057">
            <w:pPr>
              <w:pStyle w:val="JVACMTabla"/>
              <w:keepNext/>
            </w:pPr>
            <w:r>
              <w:t>Estudiante</w:t>
            </w:r>
          </w:p>
        </w:tc>
        <w:tc>
          <w:tcPr>
            <w:tcW w:w="1701" w:type="dxa"/>
            <w:tcBorders>
              <w:top w:val="nil"/>
              <w:left w:val="nil"/>
              <w:bottom w:val="single" w:sz="4" w:space="0" w:color="000000"/>
              <w:right w:val="nil"/>
            </w:tcBorders>
          </w:tcPr>
          <w:p w14:paraId="68FE9F5B" w14:textId="77777777" w:rsidR="005C71B9" w:rsidRDefault="005C71B9" w:rsidP="00675057">
            <w:pPr>
              <w:pStyle w:val="JVACMTabla"/>
              <w:keepNext/>
              <w:jc w:val="center"/>
            </w:pPr>
            <w:r>
              <w:t>Trabajo</w:t>
            </w:r>
          </w:p>
          <w:p w14:paraId="0B345ABA" w14:textId="77777777" w:rsidR="005C71B9" w:rsidRDefault="005C71B9" w:rsidP="00675057">
            <w:pPr>
              <w:pStyle w:val="JVACMTabla"/>
              <w:keepNext/>
              <w:jc w:val="center"/>
            </w:pPr>
            <w:r>
              <w:t>individual</w:t>
            </w:r>
          </w:p>
        </w:tc>
        <w:tc>
          <w:tcPr>
            <w:tcW w:w="1701" w:type="dxa"/>
            <w:tcBorders>
              <w:top w:val="nil"/>
              <w:left w:val="nil"/>
              <w:bottom w:val="single" w:sz="4" w:space="0" w:color="000000"/>
              <w:right w:val="nil"/>
            </w:tcBorders>
            <w:vAlign w:val="center"/>
          </w:tcPr>
          <w:p w14:paraId="72893DED" w14:textId="77777777" w:rsidR="005C71B9" w:rsidRPr="00E07A8B" w:rsidRDefault="005C71B9" w:rsidP="00675057">
            <w:pPr>
              <w:pStyle w:val="JVACMTabla"/>
              <w:keepNext/>
              <w:jc w:val="center"/>
            </w:pPr>
            <w:r>
              <w:t>Puesta en común</w:t>
            </w:r>
          </w:p>
        </w:tc>
        <w:tc>
          <w:tcPr>
            <w:tcW w:w="1641" w:type="dxa"/>
            <w:tcBorders>
              <w:left w:val="nil"/>
              <w:bottom w:val="single" w:sz="4" w:space="0" w:color="000000"/>
              <w:right w:val="nil"/>
            </w:tcBorders>
            <w:vAlign w:val="center"/>
          </w:tcPr>
          <w:p w14:paraId="16199B52" w14:textId="77777777" w:rsidR="005C71B9" w:rsidRPr="00E07A8B" w:rsidRDefault="005C71B9" w:rsidP="00675057">
            <w:pPr>
              <w:pStyle w:val="JVACMTabla"/>
              <w:keepNext/>
              <w:jc w:val="center"/>
            </w:pPr>
            <w:r>
              <w:t>Tarea 2 esquinas</w:t>
            </w:r>
          </w:p>
        </w:tc>
        <w:tc>
          <w:tcPr>
            <w:tcW w:w="1559" w:type="dxa"/>
            <w:tcBorders>
              <w:left w:val="nil"/>
              <w:bottom w:val="single" w:sz="4" w:space="0" w:color="000000"/>
              <w:right w:val="nil"/>
            </w:tcBorders>
            <w:vAlign w:val="center"/>
          </w:tcPr>
          <w:p w14:paraId="6F6853C1" w14:textId="77777777" w:rsidR="005C71B9" w:rsidRPr="00E07A8B" w:rsidRDefault="005C71B9" w:rsidP="00675057">
            <w:pPr>
              <w:pStyle w:val="JVACMTabla"/>
              <w:keepNext/>
              <w:jc w:val="center"/>
            </w:pPr>
            <w:r>
              <w:t>Tarea 4 esquinas</w:t>
            </w:r>
          </w:p>
        </w:tc>
      </w:tr>
      <w:tr w:rsidR="00675057" w:rsidRPr="00E07A8B" w14:paraId="39137649" w14:textId="77777777" w:rsidTr="00675057">
        <w:trPr>
          <w:cantSplit/>
          <w:jc w:val="center"/>
        </w:trPr>
        <w:tc>
          <w:tcPr>
            <w:tcW w:w="1361" w:type="dxa"/>
            <w:tcBorders>
              <w:left w:val="nil"/>
              <w:bottom w:val="nil"/>
              <w:right w:val="nil"/>
            </w:tcBorders>
            <w:vAlign w:val="center"/>
          </w:tcPr>
          <w:p w14:paraId="1D43FF7C" w14:textId="77777777" w:rsidR="00675057" w:rsidRPr="00E07A8B" w:rsidRDefault="00675057" w:rsidP="00675057">
            <w:pPr>
              <w:pStyle w:val="JVACMTabla"/>
              <w:keepNext/>
            </w:pPr>
            <w:r>
              <w:t>E1</w:t>
            </w:r>
          </w:p>
        </w:tc>
        <w:tc>
          <w:tcPr>
            <w:tcW w:w="1701" w:type="dxa"/>
            <w:tcBorders>
              <w:left w:val="nil"/>
              <w:bottom w:val="nil"/>
              <w:right w:val="nil"/>
            </w:tcBorders>
          </w:tcPr>
          <w:p w14:paraId="54ACECF2" w14:textId="77777777" w:rsidR="00675057" w:rsidRDefault="00675057" w:rsidP="00675057">
            <w:pPr>
              <w:pStyle w:val="JVACMTabla"/>
              <w:keepNext/>
              <w:jc w:val="center"/>
            </w:pPr>
            <w:r>
              <w:t>No establece estructura</w:t>
            </w:r>
          </w:p>
        </w:tc>
        <w:tc>
          <w:tcPr>
            <w:tcW w:w="1701" w:type="dxa"/>
            <w:tcBorders>
              <w:left w:val="nil"/>
              <w:bottom w:val="nil"/>
              <w:right w:val="nil"/>
            </w:tcBorders>
            <w:vAlign w:val="center"/>
          </w:tcPr>
          <w:p w14:paraId="090AE2E6" w14:textId="77777777" w:rsidR="00675057" w:rsidRPr="00E07A8B" w:rsidRDefault="00675057" w:rsidP="00675057">
            <w:pPr>
              <w:pStyle w:val="JVACMTabla"/>
              <w:keepNext/>
              <w:jc w:val="center"/>
            </w:pPr>
            <w:r>
              <w:t>No hay información</w:t>
            </w:r>
          </w:p>
        </w:tc>
        <w:tc>
          <w:tcPr>
            <w:tcW w:w="1641" w:type="dxa"/>
            <w:tcBorders>
              <w:left w:val="nil"/>
              <w:bottom w:val="nil"/>
              <w:right w:val="nil"/>
            </w:tcBorders>
            <w:vAlign w:val="center"/>
          </w:tcPr>
          <w:p w14:paraId="01AF4303" w14:textId="77777777" w:rsidR="00675057" w:rsidRPr="00E07A8B" w:rsidRDefault="00675057" w:rsidP="00675057">
            <w:pPr>
              <w:pStyle w:val="JVACMTabla"/>
              <w:keepNext/>
              <w:jc w:val="center"/>
            </w:pPr>
            <w:r>
              <w:t>No establece estructura</w:t>
            </w:r>
          </w:p>
        </w:tc>
        <w:tc>
          <w:tcPr>
            <w:tcW w:w="1984" w:type="dxa"/>
            <w:gridSpan w:val="2"/>
            <w:tcBorders>
              <w:left w:val="nil"/>
              <w:bottom w:val="nil"/>
              <w:right w:val="nil"/>
            </w:tcBorders>
          </w:tcPr>
          <w:p w14:paraId="3BAA7912" w14:textId="77777777" w:rsidR="00675057" w:rsidRPr="00675057" w:rsidRDefault="00675057" w:rsidP="00675057">
            <w:pPr>
              <w:pStyle w:val="JVACMTabla"/>
              <w:keepNext/>
              <w:jc w:val="center"/>
              <w:rPr>
                <w:szCs w:val="24"/>
              </w:rPr>
            </w:pPr>
            <m:oMathPara>
              <m:oMath>
                <m:r>
                  <w:rPr>
                    <w:rFonts w:ascii="Cambria Math" w:hAnsi="Cambria Math" w:cs="Times New Roman"/>
                    <w:szCs w:val="24"/>
                  </w:rPr>
                  <m:t xml:space="preserve">36-X=32 </m:t>
                </m:r>
              </m:oMath>
            </m:oMathPara>
          </w:p>
          <w:p w14:paraId="15F37D1D" w14:textId="77777777" w:rsidR="00675057" w:rsidRPr="00E07A8B" w:rsidRDefault="00675057" w:rsidP="00675057">
            <w:pPr>
              <w:pStyle w:val="JVACMTabla"/>
              <w:keepNext/>
              <w:jc w:val="center"/>
            </w:pPr>
            <m:oMathPara>
              <m:oMath>
                <m:r>
                  <w:rPr>
                    <w:rFonts w:ascii="Cambria Math" w:hAnsi="Cambria Math" w:cs="Times New Roman"/>
                    <w:szCs w:val="24"/>
                  </w:rPr>
                  <m:t>36-Y=30</m:t>
                </m:r>
              </m:oMath>
            </m:oMathPara>
          </w:p>
        </w:tc>
      </w:tr>
      <w:tr w:rsidR="00675057" w:rsidRPr="00E07A8B" w14:paraId="68BBA82A" w14:textId="77777777" w:rsidTr="00675057">
        <w:trPr>
          <w:cantSplit/>
          <w:jc w:val="center"/>
        </w:trPr>
        <w:tc>
          <w:tcPr>
            <w:tcW w:w="1361" w:type="dxa"/>
            <w:tcBorders>
              <w:top w:val="nil"/>
              <w:left w:val="nil"/>
              <w:bottom w:val="nil"/>
              <w:right w:val="nil"/>
            </w:tcBorders>
            <w:vAlign w:val="center"/>
          </w:tcPr>
          <w:p w14:paraId="3AADA390" w14:textId="77777777" w:rsidR="00675057" w:rsidRDefault="00675057" w:rsidP="00675057">
            <w:pPr>
              <w:pStyle w:val="JVACMTabla"/>
              <w:keepNext/>
            </w:pPr>
            <w:r>
              <w:t>E2</w:t>
            </w:r>
          </w:p>
        </w:tc>
        <w:tc>
          <w:tcPr>
            <w:tcW w:w="1701" w:type="dxa"/>
            <w:tcBorders>
              <w:top w:val="nil"/>
              <w:left w:val="nil"/>
              <w:bottom w:val="nil"/>
              <w:right w:val="nil"/>
            </w:tcBorders>
          </w:tcPr>
          <w:p w14:paraId="3268AB5F" w14:textId="77777777" w:rsidR="00675057" w:rsidRDefault="00675057" w:rsidP="00675057">
            <w:pPr>
              <w:pStyle w:val="JVACMTabla"/>
              <w:keepNext/>
              <w:jc w:val="center"/>
            </w:pPr>
            <m:oMathPara>
              <m:oMath>
                <m:r>
                  <w:rPr>
                    <w:rFonts w:ascii="Cambria Math" w:hAnsi="Cambria Math"/>
                  </w:rPr>
                  <m:t>36-L</m:t>
                </m:r>
              </m:oMath>
            </m:oMathPara>
          </w:p>
        </w:tc>
        <w:tc>
          <w:tcPr>
            <w:tcW w:w="1701" w:type="dxa"/>
            <w:tcBorders>
              <w:top w:val="nil"/>
              <w:left w:val="nil"/>
              <w:bottom w:val="nil"/>
              <w:right w:val="nil"/>
            </w:tcBorders>
            <w:vAlign w:val="center"/>
          </w:tcPr>
          <w:p w14:paraId="7483301A" w14:textId="77777777" w:rsidR="00675057" w:rsidRDefault="00675057" w:rsidP="00675057">
            <w:pPr>
              <w:pStyle w:val="JVACMTabla"/>
              <w:keepNext/>
              <w:jc w:val="center"/>
            </w:pPr>
            <m:oMathPara>
              <m:oMath>
                <m:r>
                  <w:rPr>
                    <w:rFonts w:ascii="Cambria Math" w:hAnsi="Cambria Math"/>
                  </w:rPr>
                  <m:t>36-L</m:t>
                </m:r>
              </m:oMath>
            </m:oMathPara>
          </w:p>
        </w:tc>
        <w:tc>
          <w:tcPr>
            <w:tcW w:w="1641" w:type="dxa"/>
            <w:tcBorders>
              <w:top w:val="nil"/>
              <w:left w:val="nil"/>
              <w:bottom w:val="nil"/>
              <w:right w:val="nil"/>
            </w:tcBorders>
          </w:tcPr>
          <w:p w14:paraId="67D9586B" w14:textId="77777777" w:rsidR="00675057" w:rsidRDefault="00675057" w:rsidP="00675057">
            <w:pPr>
              <w:pStyle w:val="JVACMTabla"/>
              <w:keepNext/>
              <w:jc w:val="center"/>
            </w:pPr>
            <m:oMathPara>
              <m:oMath>
                <m:r>
                  <w:rPr>
                    <w:rFonts w:ascii="Cambria Math" w:hAnsi="Cambria Math"/>
                  </w:rPr>
                  <m:t>36-4</m:t>
                </m:r>
                <m:sSup>
                  <m:sSupPr>
                    <m:ctrlPr>
                      <w:rPr>
                        <w:rFonts w:ascii="Cambria Math" w:hAnsi="Cambria Math"/>
                        <w:i/>
                      </w:rPr>
                    </m:ctrlPr>
                  </m:sSupPr>
                  <m:e>
                    <m:r>
                      <w:rPr>
                        <w:rFonts w:ascii="Cambria Math" w:hAnsi="Cambria Math"/>
                      </w:rPr>
                      <m:t>L</m:t>
                    </m:r>
                  </m:e>
                  <m:sup>
                    <m:r>
                      <w:rPr>
                        <w:rFonts w:ascii="Cambria Math" w:hAnsi="Cambria Math"/>
                      </w:rPr>
                      <m:t>2</m:t>
                    </m:r>
                  </m:sup>
                </m:sSup>
              </m:oMath>
            </m:oMathPara>
          </w:p>
        </w:tc>
        <w:tc>
          <w:tcPr>
            <w:tcW w:w="1984" w:type="dxa"/>
            <w:gridSpan w:val="2"/>
            <w:tcBorders>
              <w:top w:val="nil"/>
              <w:left w:val="nil"/>
              <w:bottom w:val="nil"/>
              <w:right w:val="nil"/>
            </w:tcBorders>
          </w:tcPr>
          <w:p w14:paraId="1821EE32" w14:textId="77777777" w:rsidR="00675057" w:rsidRDefault="00675057" w:rsidP="00675057">
            <w:pPr>
              <w:pStyle w:val="JVACMTabla"/>
              <w:keepNext/>
              <w:jc w:val="center"/>
            </w:pPr>
            <m:oMathPara>
              <m:oMath>
                <m:r>
                  <w:rPr>
                    <w:rFonts w:ascii="Cambria Math" w:hAnsi="Cambria Math"/>
                  </w:rPr>
                  <m:t>36-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r w:rsidR="00675057" w:rsidRPr="00E07A8B" w14:paraId="4294C4B9" w14:textId="77777777" w:rsidTr="00675057">
        <w:trPr>
          <w:cantSplit/>
          <w:jc w:val="center"/>
        </w:trPr>
        <w:tc>
          <w:tcPr>
            <w:tcW w:w="1361" w:type="dxa"/>
            <w:tcBorders>
              <w:top w:val="nil"/>
              <w:left w:val="nil"/>
              <w:bottom w:val="nil"/>
              <w:right w:val="nil"/>
            </w:tcBorders>
            <w:vAlign w:val="center"/>
          </w:tcPr>
          <w:p w14:paraId="022F2F59" w14:textId="77777777" w:rsidR="00675057" w:rsidRDefault="00675057" w:rsidP="00675057">
            <w:pPr>
              <w:pStyle w:val="JVACMTabla"/>
              <w:keepNext/>
            </w:pPr>
            <w:r>
              <w:t>E3</w:t>
            </w:r>
          </w:p>
        </w:tc>
        <w:tc>
          <w:tcPr>
            <w:tcW w:w="1701" w:type="dxa"/>
            <w:tcBorders>
              <w:top w:val="nil"/>
              <w:left w:val="nil"/>
              <w:bottom w:val="nil"/>
              <w:right w:val="nil"/>
            </w:tcBorders>
          </w:tcPr>
          <w:p w14:paraId="673825DF" w14:textId="77777777" w:rsidR="00675057" w:rsidRDefault="00675057" w:rsidP="00675057">
            <w:pPr>
              <w:pStyle w:val="JVACMTabla"/>
              <w:keepNext/>
              <w:jc w:val="center"/>
            </w:pPr>
            <w:r>
              <w:t>No establece estructura</w:t>
            </w:r>
          </w:p>
        </w:tc>
        <w:tc>
          <w:tcPr>
            <w:tcW w:w="1701" w:type="dxa"/>
            <w:tcBorders>
              <w:top w:val="nil"/>
              <w:left w:val="nil"/>
              <w:bottom w:val="nil"/>
              <w:right w:val="nil"/>
            </w:tcBorders>
            <w:vAlign w:val="center"/>
          </w:tcPr>
          <w:p w14:paraId="7011D339" w14:textId="77777777" w:rsidR="00675057" w:rsidRDefault="00675057" w:rsidP="00675057">
            <w:pPr>
              <w:pStyle w:val="JVACMTabla"/>
              <w:keepNext/>
              <w:jc w:val="center"/>
            </w:pPr>
            <w:r>
              <w:t>No hay información</w:t>
            </w:r>
          </w:p>
        </w:tc>
        <w:tc>
          <w:tcPr>
            <w:tcW w:w="1641" w:type="dxa"/>
            <w:tcBorders>
              <w:top w:val="nil"/>
              <w:left w:val="nil"/>
              <w:bottom w:val="nil"/>
              <w:right w:val="nil"/>
            </w:tcBorders>
          </w:tcPr>
          <w:p w14:paraId="76E1222C" w14:textId="77777777" w:rsidR="00675057" w:rsidRDefault="00675057" w:rsidP="00675057">
            <w:pPr>
              <w:pStyle w:val="JVACMTabla"/>
              <w:keepNext/>
              <w:jc w:val="center"/>
            </w:pPr>
            <m:oMathPara>
              <m:oMath>
                <m:r>
                  <w:rPr>
                    <w:rFonts w:ascii="Cambria Math" w:hAnsi="Cambria Math"/>
                  </w:rPr>
                  <m:t>36-4</m:t>
                </m:r>
                <m:sSup>
                  <m:sSupPr>
                    <m:ctrlPr>
                      <w:rPr>
                        <w:rFonts w:ascii="Cambria Math" w:hAnsi="Cambria Math"/>
                        <w:i/>
                      </w:rPr>
                    </m:ctrlPr>
                  </m:sSupPr>
                  <m:e>
                    <m:r>
                      <w:rPr>
                        <w:rFonts w:ascii="Cambria Math" w:hAnsi="Cambria Math"/>
                      </w:rPr>
                      <m:t>L</m:t>
                    </m:r>
                  </m:e>
                  <m:sup>
                    <m:r>
                      <w:rPr>
                        <w:rFonts w:ascii="Cambria Math" w:hAnsi="Cambria Math"/>
                      </w:rPr>
                      <m:t>2</m:t>
                    </m:r>
                  </m:sup>
                </m:sSup>
              </m:oMath>
            </m:oMathPara>
          </w:p>
        </w:tc>
        <w:tc>
          <w:tcPr>
            <w:tcW w:w="1984" w:type="dxa"/>
            <w:gridSpan w:val="2"/>
            <w:tcBorders>
              <w:top w:val="nil"/>
              <w:left w:val="nil"/>
              <w:bottom w:val="nil"/>
              <w:right w:val="nil"/>
            </w:tcBorders>
          </w:tcPr>
          <w:p w14:paraId="35E8E48D" w14:textId="77777777" w:rsidR="00675057" w:rsidRDefault="00013533" w:rsidP="00675057">
            <w:pPr>
              <w:pStyle w:val="JVACMTabla"/>
              <w:keepNext/>
              <w:jc w:val="center"/>
            </w:pPr>
            <m:oMathPara>
              <m:oMath>
                <m:r>
                  <w:rPr>
                    <w:rFonts w:ascii="Cambria Math" w:hAnsi="Cambria Math"/>
                  </w:rPr>
                  <m:t>36-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r w:rsidR="00675057" w:rsidRPr="00E07A8B" w14:paraId="0EB8AB7F" w14:textId="77777777" w:rsidTr="00675057">
        <w:trPr>
          <w:cantSplit/>
          <w:jc w:val="center"/>
        </w:trPr>
        <w:tc>
          <w:tcPr>
            <w:tcW w:w="1361" w:type="dxa"/>
            <w:tcBorders>
              <w:top w:val="nil"/>
              <w:left w:val="nil"/>
              <w:bottom w:val="nil"/>
              <w:right w:val="nil"/>
            </w:tcBorders>
            <w:vAlign w:val="center"/>
          </w:tcPr>
          <w:p w14:paraId="604BBC54" w14:textId="77777777" w:rsidR="00675057" w:rsidRDefault="00675057" w:rsidP="00675057">
            <w:pPr>
              <w:pStyle w:val="JVACMTabla"/>
              <w:keepNext/>
            </w:pPr>
            <w:r>
              <w:t>E4</w:t>
            </w:r>
          </w:p>
        </w:tc>
        <w:tc>
          <w:tcPr>
            <w:tcW w:w="1701" w:type="dxa"/>
            <w:tcBorders>
              <w:top w:val="nil"/>
              <w:left w:val="nil"/>
              <w:bottom w:val="nil"/>
              <w:right w:val="nil"/>
            </w:tcBorders>
          </w:tcPr>
          <w:p w14:paraId="5484DB86" w14:textId="77777777" w:rsidR="00675057" w:rsidRDefault="00675057" w:rsidP="00675057">
            <w:pPr>
              <w:pStyle w:val="JVACMTabla"/>
              <w:keepNext/>
              <w:jc w:val="center"/>
            </w:pPr>
            <w:r>
              <w:t>No establece estructura</w:t>
            </w:r>
          </w:p>
        </w:tc>
        <w:tc>
          <w:tcPr>
            <w:tcW w:w="1701" w:type="dxa"/>
            <w:tcBorders>
              <w:top w:val="nil"/>
              <w:left w:val="nil"/>
              <w:bottom w:val="nil"/>
              <w:right w:val="nil"/>
            </w:tcBorders>
            <w:vAlign w:val="center"/>
          </w:tcPr>
          <w:p w14:paraId="07E68AEF" w14:textId="77777777" w:rsidR="00675057" w:rsidRDefault="00675057" w:rsidP="00675057">
            <w:pPr>
              <w:pStyle w:val="JVACMTabla"/>
              <w:keepNext/>
              <w:jc w:val="center"/>
            </w:pPr>
            <w:r>
              <w:t>No hay información</w:t>
            </w:r>
          </w:p>
        </w:tc>
        <w:tc>
          <w:tcPr>
            <w:tcW w:w="1641" w:type="dxa"/>
            <w:tcBorders>
              <w:top w:val="nil"/>
              <w:left w:val="nil"/>
              <w:bottom w:val="nil"/>
              <w:right w:val="nil"/>
            </w:tcBorders>
          </w:tcPr>
          <w:p w14:paraId="326CB1D7" w14:textId="77777777" w:rsidR="00675057" w:rsidRDefault="00675057" w:rsidP="00675057">
            <w:pPr>
              <w:pStyle w:val="JVACMTabla"/>
              <w:keepNext/>
              <w:jc w:val="center"/>
            </w:pPr>
            <m:oMathPara>
              <m:oMath>
                <m:r>
                  <w:rPr>
                    <w:rFonts w:ascii="Cambria Math" w:hAnsi="Cambria Math"/>
                  </w:rPr>
                  <m:t>36-L</m:t>
                </m:r>
              </m:oMath>
            </m:oMathPara>
          </w:p>
        </w:tc>
        <w:tc>
          <w:tcPr>
            <w:tcW w:w="1984" w:type="dxa"/>
            <w:gridSpan w:val="2"/>
            <w:tcBorders>
              <w:top w:val="nil"/>
              <w:left w:val="nil"/>
              <w:bottom w:val="nil"/>
              <w:right w:val="nil"/>
            </w:tcBorders>
          </w:tcPr>
          <w:p w14:paraId="0EEF55BB" w14:textId="77777777" w:rsidR="00675057" w:rsidRDefault="00013533" w:rsidP="00675057">
            <w:pPr>
              <w:pStyle w:val="JVACMTabla"/>
              <w:keepNext/>
              <w:jc w:val="center"/>
            </w:pPr>
            <m:oMathPara>
              <m:oMath>
                <m:r>
                  <w:rPr>
                    <w:rFonts w:ascii="Cambria Math" w:hAnsi="Cambria Math"/>
                  </w:rPr>
                  <m:t>36-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r w:rsidR="00675057" w:rsidRPr="00E07A8B" w14:paraId="1C5A6F97" w14:textId="77777777" w:rsidTr="00675057">
        <w:trPr>
          <w:cantSplit/>
          <w:jc w:val="center"/>
        </w:trPr>
        <w:tc>
          <w:tcPr>
            <w:tcW w:w="1361" w:type="dxa"/>
            <w:tcBorders>
              <w:top w:val="nil"/>
              <w:left w:val="nil"/>
              <w:bottom w:val="nil"/>
              <w:right w:val="nil"/>
            </w:tcBorders>
            <w:vAlign w:val="center"/>
          </w:tcPr>
          <w:p w14:paraId="5D97E254" w14:textId="77777777" w:rsidR="00675057" w:rsidRDefault="00675057" w:rsidP="00675057">
            <w:pPr>
              <w:pStyle w:val="JVACMTabla"/>
              <w:keepNext/>
            </w:pPr>
            <w:r>
              <w:t>E5</w:t>
            </w:r>
          </w:p>
        </w:tc>
        <w:tc>
          <w:tcPr>
            <w:tcW w:w="1701" w:type="dxa"/>
            <w:tcBorders>
              <w:top w:val="nil"/>
              <w:left w:val="nil"/>
              <w:bottom w:val="nil"/>
              <w:right w:val="nil"/>
            </w:tcBorders>
          </w:tcPr>
          <w:p w14:paraId="26D29D63" w14:textId="77777777" w:rsidR="00675057" w:rsidRDefault="00675057" w:rsidP="00675057">
            <w:pPr>
              <w:pStyle w:val="JVACMTabla"/>
              <w:keepNext/>
              <w:jc w:val="center"/>
            </w:pPr>
            <m:oMathPara>
              <m:oMath>
                <m:r>
                  <w:rPr>
                    <w:rFonts w:ascii="Cambria Math" w:hAnsi="Cambria Math"/>
                  </w:rPr>
                  <m:t>36-L</m:t>
                </m:r>
              </m:oMath>
            </m:oMathPara>
          </w:p>
        </w:tc>
        <w:tc>
          <w:tcPr>
            <w:tcW w:w="1701" w:type="dxa"/>
            <w:tcBorders>
              <w:top w:val="nil"/>
              <w:left w:val="nil"/>
              <w:bottom w:val="nil"/>
              <w:right w:val="nil"/>
            </w:tcBorders>
          </w:tcPr>
          <w:p w14:paraId="78ECB5E1" w14:textId="77777777" w:rsidR="00675057" w:rsidRDefault="00675057" w:rsidP="00675057">
            <w:pPr>
              <w:pStyle w:val="JVACMTabla"/>
              <w:keepNext/>
              <w:jc w:val="center"/>
            </w:pPr>
            <m:oMathPara>
              <m:oMath>
                <m:r>
                  <w:rPr>
                    <w:rFonts w:ascii="Cambria Math" w:hAnsi="Cambria Math"/>
                  </w:rPr>
                  <m:t>36-L</m:t>
                </m:r>
              </m:oMath>
            </m:oMathPara>
          </w:p>
        </w:tc>
        <w:tc>
          <w:tcPr>
            <w:tcW w:w="1641" w:type="dxa"/>
            <w:tcBorders>
              <w:top w:val="nil"/>
              <w:left w:val="nil"/>
              <w:bottom w:val="nil"/>
              <w:right w:val="nil"/>
            </w:tcBorders>
          </w:tcPr>
          <w:p w14:paraId="2C0A6D8E" w14:textId="77777777" w:rsidR="00675057" w:rsidRDefault="00675057" w:rsidP="00675057">
            <w:pPr>
              <w:pStyle w:val="JVACMTabla"/>
              <w:keepNext/>
              <w:jc w:val="center"/>
            </w:pPr>
            <m:oMathPara>
              <m:oMath>
                <m:r>
                  <w:rPr>
                    <w:rFonts w:ascii="Cambria Math" w:hAnsi="Cambria Math"/>
                  </w:rPr>
                  <m:t>36-4L</m:t>
                </m:r>
              </m:oMath>
            </m:oMathPara>
          </w:p>
        </w:tc>
        <w:tc>
          <w:tcPr>
            <w:tcW w:w="1984" w:type="dxa"/>
            <w:gridSpan w:val="2"/>
            <w:tcBorders>
              <w:top w:val="nil"/>
              <w:left w:val="nil"/>
              <w:bottom w:val="nil"/>
              <w:right w:val="nil"/>
            </w:tcBorders>
          </w:tcPr>
          <w:p w14:paraId="27199AF5" w14:textId="77777777" w:rsidR="00675057" w:rsidRDefault="00675057" w:rsidP="00675057">
            <w:pPr>
              <w:pStyle w:val="JVACMTabla"/>
              <w:keepNext/>
              <w:jc w:val="center"/>
            </w:pPr>
            <m:oMathPara>
              <m:oMath>
                <m:r>
                  <w:rPr>
                    <w:rFonts w:ascii="Cambria Math" w:hAnsi="Cambria Math"/>
                  </w:rPr>
                  <m:t>36-X-Y</m:t>
                </m:r>
              </m:oMath>
            </m:oMathPara>
          </w:p>
        </w:tc>
      </w:tr>
      <w:tr w:rsidR="00675057" w:rsidRPr="00E07A8B" w14:paraId="055C67A6" w14:textId="77777777" w:rsidTr="00675057">
        <w:trPr>
          <w:cantSplit/>
          <w:jc w:val="center"/>
        </w:trPr>
        <w:tc>
          <w:tcPr>
            <w:tcW w:w="1361" w:type="dxa"/>
            <w:tcBorders>
              <w:top w:val="nil"/>
              <w:left w:val="nil"/>
              <w:right w:val="nil"/>
            </w:tcBorders>
            <w:vAlign w:val="center"/>
          </w:tcPr>
          <w:p w14:paraId="5477AB60" w14:textId="77777777" w:rsidR="00675057" w:rsidRPr="00E07A8B" w:rsidRDefault="00675057" w:rsidP="00675057">
            <w:pPr>
              <w:pStyle w:val="JVACMTabla"/>
              <w:keepNext/>
            </w:pPr>
            <w:r>
              <w:t>E6</w:t>
            </w:r>
          </w:p>
        </w:tc>
        <w:tc>
          <w:tcPr>
            <w:tcW w:w="1701" w:type="dxa"/>
            <w:tcBorders>
              <w:top w:val="nil"/>
              <w:left w:val="nil"/>
              <w:right w:val="nil"/>
            </w:tcBorders>
          </w:tcPr>
          <w:p w14:paraId="0DF67292" w14:textId="77777777" w:rsidR="00675057" w:rsidRDefault="00675057" w:rsidP="00675057">
            <w:pPr>
              <w:pStyle w:val="JVACMTabla"/>
              <w:keepNext/>
              <w:jc w:val="center"/>
            </w:pPr>
            <m:oMathPara>
              <m:oMath>
                <m:r>
                  <w:rPr>
                    <w:rFonts w:ascii="Cambria Math" w:hAnsi="Cambria Math"/>
                  </w:rPr>
                  <m:t>36-L</m:t>
                </m:r>
              </m:oMath>
            </m:oMathPara>
          </w:p>
        </w:tc>
        <w:tc>
          <w:tcPr>
            <w:tcW w:w="1701" w:type="dxa"/>
            <w:tcBorders>
              <w:top w:val="nil"/>
              <w:left w:val="nil"/>
              <w:right w:val="nil"/>
            </w:tcBorders>
          </w:tcPr>
          <w:p w14:paraId="429605B5" w14:textId="77777777" w:rsidR="00675057" w:rsidRPr="00E07A8B" w:rsidRDefault="00675057" w:rsidP="00675057">
            <w:pPr>
              <w:pStyle w:val="JVACMTabla"/>
              <w:keepNext/>
              <w:jc w:val="center"/>
            </w:pPr>
            <m:oMathPara>
              <m:oMath>
                <m:r>
                  <w:rPr>
                    <w:rFonts w:ascii="Cambria Math" w:hAnsi="Cambria Math"/>
                  </w:rPr>
                  <m:t>36-L</m:t>
                </m:r>
              </m:oMath>
            </m:oMathPara>
          </w:p>
        </w:tc>
        <w:tc>
          <w:tcPr>
            <w:tcW w:w="1641" w:type="dxa"/>
            <w:tcBorders>
              <w:top w:val="nil"/>
              <w:left w:val="nil"/>
              <w:right w:val="nil"/>
            </w:tcBorders>
          </w:tcPr>
          <w:p w14:paraId="1065D337" w14:textId="77777777" w:rsidR="00675057" w:rsidRPr="00E07A8B" w:rsidRDefault="00675057" w:rsidP="00675057">
            <w:pPr>
              <w:pStyle w:val="JVACMTabla"/>
              <w:keepNext/>
              <w:jc w:val="center"/>
            </w:pPr>
            <m:oMathPara>
              <m:oMath>
                <m:r>
                  <w:rPr>
                    <w:rFonts w:ascii="Cambria Math" w:hAnsi="Cambria Math"/>
                  </w:rPr>
                  <m:t>36-4</m:t>
                </m:r>
                <m:sSup>
                  <m:sSupPr>
                    <m:ctrlPr>
                      <w:rPr>
                        <w:rFonts w:ascii="Cambria Math" w:hAnsi="Cambria Math"/>
                        <w:i/>
                      </w:rPr>
                    </m:ctrlPr>
                  </m:sSupPr>
                  <m:e>
                    <m:r>
                      <w:rPr>
                        <w:rFonts w:ascii="Cambria Math" w:hAnsi="Cambria Math"/>
                      </w:rPr>
                      <m:t>L</m:t>
                    </m:r>
                  </m:e>
                  <m:sup>
                    <m:r>
                      <w:rPr>
                        <w:rFonts w:ascii="Cambria Math" w:hAnsi="Cambria Math"/>
                      </w:rPr>
                      <m:t>2</m:t>
                    </m:r>
                  </m:sup>
                </m:sSup>
              </m:oMath>
            </m:oMathPara>
          </w:p>
        </w:tc>
        <w:tc>
          <w:tcPr>
            <w:tcW w:w="1984" w:type="dxa"/>
            <w:gridSpan w:val="2"/>
            <w:tcBorders>
              <w:top w:val="nil"/>
              <w:left w:val="nil"/>
              <w:right w:val="nil"/>
            </w:tcBorders>
          </w:tcPr>
          <w:p w14:paraId="2D648C05" w14:textId="77777777" w:rsidR="00675057" w:rsidRPr="00E07A8B" w:rsidRDefault="00013533" w:rsidP="00675057">
            <w:pPr>
              <w:pStyle w:val="JVACMTabla"/>
              <w:keepNext/>
              <w:jc w:val="center"/>
            </w:pPr>
            <m:oMathPara>
              <m:oMath>
                <m:r>
                  <w:rPr>
                    <w:rFonts w:ascii="Cambria Math" w:hAnsi="Cambria Math"/>
                  </w:rPr>
                  <m:t>36-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r>
    </w:tbl>
    <w:p w14:paraId="4500F7E3" w14:textId="77777777" w:rsidR="005C71B9" w:rsidRDefault="005C71B9" w:rsidP="002C5352">
      <w:pPr>
        <w:pStyle w:val="JVACMNormal"/>
      </w:pPr>
      <w:r>
        <w:t>Vemos así que E2</w:t>
      </w:r>
      <w:r w:rsidR="00FF5A34">
        <w:t>, E3</w:t>
      </w:r>
      <w:r>
        <w:t xml:space="preserve"> y E6 establecen de forma correcta las estructuras de las tareas de la entrevista, por lo que los estudiantes evoluciona</w:t>
      </w:r>
      <w:bookmarkStart w:id="0" w:name="_GoBack"/>
      <w:bookmarkEnd w:id="0"/>
      <w:r>
        <w:t>n con respecto a la primera sesión.</w:t>
      </w:r>
      <w:r w:rsidR="00FF5A34">
        <w:t xml:space="preserve"> Sin embargo, E5 no consigue establecer correctamente la estructura y E4 establece bien la relativa a la tarea de las 4 esquinas.</w:t>
      </w:r>
    </w:p>
    <w:p w14:paraId="51329C3A" w14:textId="77777777" w:rsidR="00552109" w:rsidRDefault="00552109" w:rsidP="00552109">
      <w:pPr>
        <w:pStyle w:val="JVACMNivel1"/>
      </w:pPr>
      <w:r>
        <w:t>Conclusiones</w:t>
      </w:r>
    </w:p>
    <w:p w14:paraId="1DA031F7" w14:textId="77777777" w:rsidR="00935C1B" w:rsidRDefault="00935C1B" w:rsidP="00935C1B">
      <w:pPr>
        <w:pStyle w:val="JVACMNormal"/>
      </w:pPr>
      <w:r>
        <w:t>La principal contribución del presente estudio estriba en la introducción de una tarea que implica variable continua y una función cuadrática en un contexto geométrico. Ello ha permitido evidenciar las capacidades de los estudiantes de generalizar en contextos funcionales diferentes a los usuales en la literatura, que suelen contemplar variable discreta y funciones lineales.</w:t>
      </w:r>
    </w:p>
    <w:p w14:paraId="25A9A2DB" w14:textId="77777777" w:rsidR="002C5352" w:rsidRDefault="002C5352" w:rsidP="002C5352">
      <w:pPr>
        <w:pStyle w:val="JVACMNormal"/>
      </w:pPr>
      <w:r>
        <w:t>Los estudiantes, que no habían recibido instrucción previa en el uso de las letras, establec</w:t>
      </w:r>
      <w:r w:rsidR="00C80E95">
        <w:t>i</w:t>
      </w:r>
      <w:r>
        <w:t>er</w:t>
      </w:r>
      <w:r w:rsidR="00C80E95">
        <w:t>on</w:t>
      </w:r>
      <m:oMath>
        <m:r>
          <w:rPr>
            <w:rFonts w:ascii="Cambria Math" w:hAnsi="Cambria Math"/>
          </w:rPr>
          <m:t>L×L</m:t>
        </m:r>
      </m:oMath>
      <w:r>
        <w:t xml:space="preserve"> como área de la esquina eliminada, hecho que consideramos un logro importante por la generalización conseguida y la identificación de la estructura (equivalente a </w:t>
      </w:r>
      <m:oMath>
        <m:sSup>
          <m:sSupPr>
            <m:ctrlPr>
              <w:rPr>
                <w:rFonts w:ascii="Cambria Math" w:hAnsi="Cambria Math"/>
                <w:i/>
              </w:rPr>
            </m:ctrlPr>
          </m:sSupPr>
          <m:e>
            <m:r>
              <w:rPr>
                <w:rFonts w:ascii="Cambria Math" w:hAnsi="Cambria Math"/>
              </w:rPr>
              <m:t>L</m:t>
            </m:r>
          </m:e>
          <m:sup>
            <m:r>
              <w:rPr>
                <w:rFonts w:ascii="Cambria Math" w:hAnsi="Cambria Math"/>
              </w:rPr>
              <m:t>2</m:t>
            </m:r>
          </m:sup>
        </m:sSup>
      </m:oMath>
      <w:r>
        <w:t>). Sin embargo, cuando restaron esta cantidad a 36 (área del cuadrado original), no fueron capaces de agrupar como potencia cuadrada. Algunos estudiantes mencionaron la potencia, aunque no hicieron uso de ella de forma correcta. Ello puede deberse al hecho de que, si bien conocían la potencia aplicada a una situación con números, aritmética, no les era conocida en una situación con letras, algebraica (siendo el uso el mismo en ambas situaciones, pueda ser que los estudiantes no lo identifiquen como tal y consideren que el uso de la potencia es diferente con letras y con números). Puede deberse también al hecho de no haber adquirido bien los conocimientos previos relativos a la potencia.</w:t>
      </w:r>
    </w:p>
    <w:p w14:paraId="77D96207" w14:textId="77777777" w:rsidR="00935C1B" w:rsidRDefault="00935C1B" w:rsidP="00935C1B">
      <w:pPr>
        <w:pStyle w:val="JVACMNormal"/>
      </w:pPr>
      <w:r>
        <w:t>Evidenciamos que los estudiantes tienen capacidad para representar de forma verbal y simbólica. No rechazan la notación simbólica, pero cometen errores, por lo que no creemos que la dificultad provenga de la función cuadrática, sino por agrupación de términos o uso de la notación simbólica.</w:t>
      </w:r>
      <w:r w:rsidR="00153252">
        <w:t xml:space="preserve"> Concordamos con Pinto y Cañadas (2018) en que los estudiantes fueron capaces de generalizar y usar para ello estructuras de varias formas. </w:t>
      </w:r>
    </w:p>
    <w:p w14:paraId="6992A8C4" w14:textId="4E30DD5A" w:rsidR="00153252" w:rsidRDefault="00153252" w:rsidP="00935C1B">
      <w:pPr>
        <w:pStyle w:val="JVACMNormal"/>
      </w:pPr>
      <w:r>
        <w:t>Torres</w:t>
      </w:r>
      <w:r w:rsidR="00B03FE2">
        <w:t xml:space="preserve"> et al.</w:t>
      </w:r>
      <w:r>
        <w:t xml:space="preserve"> (2019) exponen la dificultad que presentaron los estudiantes de su estudio al establecer estructuras cuando estas implican una combinación de operaciones. En su caso, dichas estructuras son aditivas y multiplicativas. Si bien </w:t>
      </w:r>
      <w:r w:rsidR="00C80E95">
        <w:t>la</w:t>
      </w:r>
      <w:r w:rsidR="00AA04E1">
        <w:t xml:space="preserve"> </w:t>
      </w:r>
      <w:r>
        <w:t xml:space="preserve">estructura </w:t>
      </w:r>
      <w:r w:rsidR="00C80E95">
        <w:t xml:space="preserve">aquí </w:t>
      </w:r>
      <w:r>
        <w:t>es diferente</w:t>
      </w:r>
      <w:r w:rsidR="00C80E95">
        <w:t>,</w:t>
      </w:r>
      <w:r>
        <w:t xml:space="preserve"> por ser combinación de potencia y diferencia, coincidimos con los autores en su conclusión de la dificultad de los estudiantes asociada a la combinación de estructuras. </w:t>
      </w:r>
    </w:p>
    <w:p w14:paraId="3A615BB8" w14:textId="2E4D3924" w:rsidR="00935C1B" w:rsidRDefault="00C80E95" w:rsidP="00935C1B">
      <w:pPr>
        <w:pStyle w:val="JVACMNormal"/>
      </w:pPr>
      <w:r>
        <w:t>Destacamos</w:t>
      </w:r>
      <w:r w:rsidR="00935C1B">
        <w:t xml:space="preserve"> el papel </w:t>
      </w:r>
      <w:r>
        <w:t>de</w:t>
      </w:r>
      <w:r w:rsidR="00935C1B">
        <w:t xml:space="preserve">los investigadores </w:t>
      </w:r>
      <w:r>
        <w:t xml:space="preserve">en su interacción con </w:t>
      </w:r>
      <w:r w:rsidR="00935C1B">
        <w:t>los estudiantes durante las sesiones. Dichos estímulos ayudaron en varias ocasiones a los estudiantes a la consecución de las tareas, de forma similar a lo expuesto por Ureña</w:t>
      </w:r>
      <w:r w:rsidR="00E82D3C">
        <w:t>, Ramírez y Molina</w:t>
      </w:r>
      <w:r w:rsidR="00935C1B">
        <w:t xml:space="preserve"> (2019), donde los </w:t>
      </w:r>
      <w:r w:rsidR="00935C1B">
        <w:lastRenderedPageBreak/>
        <w:t>investigadores evidencia</w:t>
      </w:r>
      <w:r>
        <w:t>ro</w:t>
      </w:r>
      <w:r w:rsidR="00935C1B">
        <w:t xml:space="preserve">n que los estímulos influyeron mucho en las respuestas de los </w:t>
      </w:r>
      <w:r>
        <w:t>estudiantes</w:t>
      </w:r>
      <w:r w:rsidR="00935C1B">
        <w:t>. La reformulación de las preguntas, la verbalización de las reflexiones de los estudiantes o la repetición de las preguntas son algunos de los estímulos que se llevaron a cabo en las sesiones</w:t>
      </w:r>
      <w:r>
        <w:t>. D</w:t>
      </w:r>
      <w:r w:rsidR="00935C1B">
        <w:t>e acuerdo con Hidalgo</w:t>
      </w:r>
      <w:r>
        <w:t>-Moncada</w:t>
      </w:r>
      <w:r w:rsidR="00935C1B">
        <w:t xml:space="preserve"> y Cañadas (2020), permitieron a los estudiantes en diversas ocasiones cambiar la estrategia en la que se aproximaban a la tarea o comprender lo que se les estaba pidiendo en la misma.</w:t>
      </w:r>
      <w:r w:rsidR="00662A1A">
        <w:t xml:space="preserve"> El conocimiento de los estímulos que permiten avanzar a los estudiantes en el reconocimiento de estructuras y su representación simbólica es de interés para el posterior diseño de investigaciones docentes.</w:t>
      </w:r>
    </w:p>
    <w:p w14:paraId="440866A1" w14:textId="77777777" w:rsidR="00C058E4" w:rsidRDefault="00C058E4" w:rsidP="00C058E4">
      <w:pPr>
        <w:pStyle w:val="JVACMNivel1"/>
      </w:pPr>
      <w:r>
        <w:t>agradecimientos</w:t>
      </w:r>
    </w:p>
    <w:p w14:paraId="1155FE97" w14:textId="77777777" w:rsidR="00C058E4" w:rsidRPr="00C058E4" w:rsidRDefault="00C058E4" w:rsidP="00C058E4">
      <w:pPr>
        <w:pStyle w:val="JVACMNormal"/>
      </w:pPr>
      <w:r w:rsidRPr="00C058E4">
        <w:t>El presente trabajo de investigación se ha realizado dentro del proyecto de investigación del Plan Nacional I+D con referencia EDU2016-75771-P, financiado por el Ministerio de Economía y Competitividad de España; y en el seno del grupo de investigación FQM-193: “Didáctica de la Matemática. Pensamiento Numérico” (FQM-193) de la Universidad de Granada, perteneciente al Plan Andaluz de Investigación, Desarrollo e Innovación de la Junta de Andalucía.</w:t>
      </w:r>
    </w:p>
    <w:p w14:paraId="2B14A100" w14:textId="77777777" w:rsidR="00552109" w:rsidRPr="003948BF" w:rsidRDefault="00552109" w:rsidP="00552109">
      <w:pPr>
        <w:pStyle w:val="JVACMNivel1"/>
      </w:pPr>
      <w:r>
        <w:t>Referencias</w:t>
      </w:r>
    </w:p>
    <w:p w14:paraId="5171550A" w14:textId="77777777" w:rsidR="00626E00" w:rsidRPr="00626E00" w:rsidRDefault="00626E00" w:rsidP="001F0528">
      <w:pPr>
        <w:pStyle w:val="JVACMReferencias"/>
      </w:pPr>
      <w:r w:rsidRPr="002C5352">
        <w:t xml:space="preserve">Asencio, M. J., Romero, J. A. y de Vicente, E. (2003). </w:t>
      </w:r>
      <w:r w:rsidRPr="002C5352">
        <w:rPr>
          <w:i/>
          <w:iCs/>
        </w:rPr>
        <w:t>Estadística</w:t>
      </w:r>
      <w:r w:rsidRPr="002C5352">
        <w:t>. Madrid, España: McGraw-Hill Interamericana de España S.L.</w:t>
      </w:r>
    </w:p>
    <w:p w14:paraId="03D84AE3" w14:textId="77777777" w:rsidR="001F0528" w:rsidRPr="002A7449" w:rsidRDefault="001F0528" w:rsidP="001F0528">
      <w:pPr>
        <w:pStyle w:val="JVACMReferencias"/>
      </w:pPr>
      <w:r w:rsidRPr="002A7449">
        <w:t xml:space="preserve">Benavides, M., Maz, A., Castro, E. y Blanco, R. (2004). La educación de niños con talento en Iberoamérica. </w:t>
      </w:r>
      <w:r w:rsidRPr="002A7449">
        <w:rPr>
          <w:i/>
        </w:rPr>
        <w:t>Santiago de Chile: Oficina Regional de Educación de la Unesco para América Latina y el Caribe</w:t>
      </w:r>
      <w:r w:rsidRPr="002A7449">
        <w:t>.</w:t>
      </w:r>
    </w:p>
    <w:p w14:paraId="1BBD894F" w14:textId="2643BDA7" w:rsidR="001F0528" w:rsidRPr="002A7449" w:rsidRDefault="001F0528" w:rsidP="001F0528">
      <w:pPr>
        <w:pStyle w:val="JVACMReferencias"/>
        <w:rPr>
          <w:lang w:val="es-ES"/>
        </w:rPr>
      </w:pPr>
      <w:r w:rsidRPr="002A7449">
        <w:t xml:space="preserve">Blanton, M. y Kaput, J. (2004). </w:t>
      </w:r>
      <w:r w:rsidRPr="002A7449">
        <w:rPr>
          <w:lang w:val="en-US"/>
        </w:rPr>
        <w:t xml:space="preserve">Elementary grades students’ capacity for functional thinking. En M. Johnsen y A. Berit (Eds.), </w:t>
      </w:r>
      <w:r w:rsidRPr="002A7449">
        <w:rPr>
          <w:i/>
          <w:iCs/>
          <w:lang w:val="en-US"/>
        </w:rPr>
        <w:t xml:space="preserve">Proceedings of the 28th International Group of the Psicology of Mathematics Education </w:t>
      </w:r>
      <w:r w:rsidRPr="002A7449">
        <w:rPr>
          <w:lang w:val="en-US"/>
        </w:rPr>
        <w:t xml:space="preserve">(Vol. 2, pp. 135-142). </w:t>
      </w:r>
      <w:r w:rsidRPr="002A7449">
        <w:rPr>
          <w:lang w:val="es-ES"/>
        </w:rPr>
        <w:t>Bergen, Noruega: Bergen University</w:t>
      </w:r>
      <w:r w:rsidR="00E82D3C">
        <w:rPr>
          <w:lang w:val="es-ES"/>
        </w:rPr>
        <w:t xml:space="preserve"> </w:t>
      </w:r>
      <w:r w:rsidRPr="002A7449">
        <w:rPr>
          <w:lang w:val="es-ES"/>
        </w:rPr>
        <w:t>College.</w:t>
      </w:r>
    </w:p>
    <w:p w14:paraId="514960EF" w14:textId="77777777" w:rsidR="002A7449" w:rsidRPr="002A7449" w:rsidRDefault="002A7449" w:rsidP="001F0528">
      <w:pPr>
        <w:pStyle w:val="JVACMReferencias"/>
        <w:rPr>
          <w:lang w:val="es-ES"/>
        </w:rPr>
      </w:pPr>
      <w:r w:rsidRPr="002A7449">
        <w:t xml:space="preserve">Brizuela, B. y Blanton, M. (2014). El desarrollo del pensamiento algebraico en niños de escolaridad primaria. </w:t>
      </w:r>
      <w:r w:rsidRPr="002A7449">
        <w:rPr>
          <w:i/>
          <w:iCs/>
        </w:rPr>
        <w:t xml:space="preserve">Revista de Psicología – Segunda épica (UNLP), 14, </w:t>
      </w:r>
      <w:r w:rsidRPr="002A7449">
        <w:t>37-57.</w:t>
      </w:r>
    </w:p>
    <w:p w14:paraId="07188460" w14:textId="77777777" w:rsidR="001F0528" w:rsidRPr="002A7449" w:rsidRDefault="001F0528" w:rsidP="001F0528">
      <w:pPr>
        <w:pStyle w:val="JVACMReferencias"/>
        <w:rPr>
          <w:shd w:val="clear" w:color="auto" w:fill="FFFFFF"/>
        </w:rPr>
      </w:pPr>
      <w:r w:rsidRPr="002A7449">
        <w:rPr>
          <w:shd w:val="clear" w:color="auto" w:fill="FFFFFF"/>
        </w:rPr>
        <w:t>Cañadas, M. C., Castro, E. y Castro, E. (2008). Patrones, generalización y estrategias inductivas de estudiantes de 3º y 4º de Educación Secundaria Obligatoria en el problema de las baldosas.</w:t>
      </w:r>
      <w:r w:rsidRPr="002A7449">
        <w:rPr>
          <w:i/>
          <w:shd w:val="clear" w:color="auto" w:fill="FFFFFF"/>
        </w:rPr>
        <w:t xml:space="preserve"> PNA, 2</w:t>
      </w:r>
      <w:r w:rsidRPr="002A7449">
        <w:rPr>
          <w:shd w:val="clear" w:color="auto" w:fill="FFFFFF"/>
        </w:rPr>
        <w:t>(3), 137-151.</w:t>
      </w:r>
    </w:p>
    <w:p w14:paraId="529AF84B" w14:textId="77777777" w:rsidR="001F0528" w:rsidRPr="002A7449" w:rsidRDefault="001F0528" w:rsidP="001F0528">
      <w:pPr>
        <w:pStyle w:val="JVACMReferencias"/>
      </w:pPr>
      <w:r w:rsidRPr="002A7449">
        <w:rPr>
          <w:shd w:val="clear" w:color="auto" w:fill="FFFFFF"/>
        </w:rPr>
        <w:t>Cañadas, M. C. y Fuentes, S. (2015). Pensamiento funcional de estudian</w:t>
      </w:r>
      <w:r w:rsidR="00FF0DA9">
        <w:rPr>
          <w:shd w:val="clear" w:color="auto" w:fill="FFFFFF"/>
        </w:rPr>
        <w:t>t</w:t>
      </w:r>
      <w:r w:rsidRPr="002A7449">
        <w:rPr>
          <w:shd w:val="clear" w:color="auto" w:fill="FFFFFF"/>
        </w:rPr>
        <w:t xml:space="preserve">es de primero de educación primaria: un estudio exploratorio. En C. Fernández, M. Molina y N. Planas (Eds.), </w:t>
      </w:r>
      <w:r w:rsidRPr="002A7449">
        <w:rPr>
          <w:i/>
          <w:shd w:val="clear" w:color="auto" w:fill="FFFFFF"/>
        </w:rPr>
        <w:t>Investigación en Educación Matemática XIX</w:t>
      </w:r>
      <w:r w:rsidRPr="002A7449">
        <w:rPr>
          <w:shd w:val="clear" w:color="auto" w:fill="FFFFFF"/>
        </w:rPr>
        <w:t xml:space="preserve"> (pp. 211-220). Alicante, España: SEIEM.</w:t>
      </w:r>
    </w:p>
    <w:p w14:paraId="1E342F89" w14:textId="77777777" w:rsidR="001F0528" w:rsidRPr="002A7449" w:rsidRDefault="001F0528" w:rsidP="001F0528">
      <w:pPr>
        <w:pStyle w:val="JVACMReferencias"/>
      </w:pPr>
      <w:r w:rsidRPr="002A7449">
        <w:t xml:space="preserve">Cañadas, M. C. y Molina, M. (2016). Una aproximación al marco conceptual y principales antecedentes del pensamiento funcional en las primeras edades. En E. Castro, E. Castro, J. L. Lupiáñez, J. F. Ruiz y M. Torralbo (Eds.), </w:t>
      </w:r>
      <w:r w:rsidRPr="002A7449">
        <w:rPr>
          <w:i/>
        </w:rPr>
        <w:t>Investigación en Educación Matemática. Homenaje a Luis Rico</w:t>
      </w:r>
      <w:r w:rsidRPr="002A7449">
        <w:t xml:space="preserve"> (pp.209-218). Granada, España: Comares.</w:t>
      </w:r>
    </w:p>
    <w:p w14:paraId="53106FE3" w14:textId="77777777" w:rsidR="001F0528" w:rsidRPr="002A7449" w:rsidRDefault="001F0528" w:rsidP="001F0528">
      <w:pPr>
        <w:pStyle w:val="JVACMReferencias"/>
        <w:rPr>
          <w:lang w:val="en-US"/>
        </w:rPr>
      </w:pPr>
      <w:r w:rsidRPr="002A7449">
        <w:t xml:space="preserve">Hidalgo-Moncada, D. y Cañadas, M. C. (2020). Intervenciones en el trabajo con una tarea de generalización que involucra las formas directa e inversa de una función en sexto de primaria. </w:t>
      </w:r>
      <w:r w:rsidRPr="002A7449">
        <w:rPr>
          <w:i/>
          <w:lang w:val="en-US"/>
        </w:rPr>
        <w:t>PNA, 14</w:t>
      </w:r>
      <w:r w:rsidRPr="002A7449">
        <w:rPr>
          <w:lang w:val="en-US"/>
        </w:rPr>
        <w:t>(3), 204-225.</w:t>
      </w:r>
    </w:p>
    <w:p w14:paraId="38A13E7E" w14:textId="77777777" w:rsidR="00212844" w:rsidRPr="002A7449" w:rsidRDefault="00212844" w:rsidP="001F0528">
      <w:pPr>
        <w:pStyle w:val="JVACMReferencias"/>
        <w:rPr>
          <w:lang w:val="en-US"/>
        </w:rPr>
      </w:pPr>
      <w:r w:rsidRPr="002A7449">
        <w:rPr>
          <w:lang w:val="en-US"/>
        </w:rPr>
        <w:t xml:space="preserve">Mason, J., Stephens, M. y Watson, A. (2009). Appreciating mathematical structure for all. </w:t>
      </w:r>
      <w:r w:rsidRPr="002A7449">
        <w:rPr>
          <w:i/>
          <w:iCs/>
          <w:lang w:val="en-US"/>
        </w:rPr>
        <w:t>Mathematics Education Research Journal, 21</w:t>
      </w:r>
      <w:r w:rsidRPr="002A7449">
        <w:rPr>
          <w:lang w:val="en-US"/>
        </w:rPr>
        <w:t>(2), 10-32.</w:t>
      </w:r>
    </w:p>
    <w:p w14:paraId="1CE73840" w14:textId="77777777" w:rsidR="001F0528" w:rsidRPr="002A7449" w:rsidRDefault="001F0528" w:rsidP="001F0528">
      <w:pPr>
        <w:pStyle w:val="JVACMReferencias"/>
      </w:pPr>
      <w:r w:rsidRPr="002A7449">
        <w:rPr>
          <w:shd w:val="clear" w:color="auto" w:fill="FFFFFF"/>
          <w:lang w:val="en-US"/>
        </w:rPr>
        <w:t xml:space="preserve">Merino, E., Cañadas, M. C. y Molina, M. (2013). </w:t>
      </w:r>
      <w:r w:rsidRPr="002A7449">
        <w:rPr>
          <w:shd w:val="clear" w:color="auto" w:fill="FFFFFF"/>
        </w:rPr>
        <w:t>Uso de representaciones y patrones por alumnos de quinto de educación primaria en una tarea de generalización. </w:t>
      </w:r>
      <w:r w:rsidRPr="002A7449">
        <w:rPr>
          <w:i/>
          <w:iCs/>
          <w:shd w:val="clear" w:color="auto" w:fill="FFFFFF"/>
        </w:rPr>
        <w:t>Edma 0-6: Educación Matemática en la Infancia</w:t>
      </w:r>
      <w:r w:rsidRPr="002A7449">
        <w:rPr>
          <w:shd w:val="clear" w:color="auto" w:fill="FFFFFF"/>
        </w:rPr>
        <w:t>, </w:t>
      </w:r>
      <w:r w:rsidRPr="002A7449">
        <w:rPr>
          <w:i/>
          <w:iCs/>
          <w:shd w:val="clear" w:color="auto" w:fill="FFFFFF"/>
        </w:rPr>
        <w:t>2</w:t>
      </w:r>
      <w:r w:rsidRPr="002A7449">
        <w:rPr>
          <w:shd w:val="clear" w:color="auto" w:fill="FFFFFF"/>
        </w:rPr>
        <w:t>(1), 24-40.</w:t>
      </w:r>
    </w:p>
    <w:p w14:paraId="6D65A5DF" w14:textId="77777777" w:rsidR="001F0528" w:rsidRPr="002A7449" w:rsidRDefault="001F0528" w:rsidP="001F0528">
      <w:pPr>
        <w:pStyle w:val="JVACMReferencias"/>
      </w:pPr>
      <w:r w:rsidRPr="002A7449">
        <w:t xml:space="preserve">Ministerio de Educación y Ciencia (2014). Real Decreto 126/2014 de 28 de febrero, por el que se establece el currículo básico de la Educación Primaria. </w:t>
      </w:r>
      <w:r w:rsidRPr="002A7449">
        <w:rPr>
          <w:i/>
        </w:rPr>
        <w:t>BOE, 52,</w:t>
      </w:r>
      <w:r w:rsidRPr="002A7449">
        <w:t xml:space="preserve"> 19.349-19.420).</w:t>
      </w:r>
    </w:p>
    <w:p w14:paraId="6F9945CF" w14:textId="77777777" w:rsidR="002A7449" w:rsidRPr="002A7449" w:rsidRDefault="002A7449" w:rsidP="001F0528">
      <w:pPr>
        <w:pStyle w:val="JVACMReferencias"/>
      </w:pPr>
      <w:r w:rsidRPr="002A7449">
        <w:lastRenderedPageBreak/>
        <w:t xml:space="preserve">Molina, M. (2005). La integración del pensamiento algebraico en Educación Primaria. En M. Camacho, P. Flores y M. P. Bolea (Eds.), </w:t>
      </w:r>
      <w:r w:rsidRPr="002A7449">
        <w:rPr>
          <w:i/>
          <w:iCs/>
        </w:rPr>
        <w:t xml:space="preserve">Investigación en Educación Matemática XI </w:t>
      </w:r>
      <w:r w:rsidRPr="002A7449">
        <w:t>(pp. 53-69). San Cristóbal de la Laguna, España: SEIEM.</w:t>
      </w:r>
    </w:p>
    <w:p w14:paraId="66180252" w14:textId="77777777" w:rsidR="00212844" w:rsidRPr="002A7449" w:rsidRDefault="00212844" w:rsidP="001F0528">
      <w:pPr>
        <w:pStyle w:val="JVACMReferencias"/>
        <w:rPr>
          <w:lang w:val="es-ES"/>
        </w:rPr>
      </w:pPr>
      <w:r w:rsidRPr="002A7449">
        <w:t xml:space="preserve">Molina, M. y Cañadas, M. C. (2018). La noción de estructura en el early algebra. En P. Flores, J. L. Lupiáñez e I. Segovia (Eds.), </w:t>
      </w:r>
      <w:r w:rsidRPr="002A7449">
        <w:rPr>
          <w:i/>
          <w:iCs/>
        </w:rPr>
        <w:t xml:space="preserve">Enseñar matemáticas. Homenaje a los profesores Francisco Fernández y Francisco Ruiz </w:t>
      </w:r>
      <w:r w:rsidRPr="002A7449">
        <w:t xml:space="preserve">(pp. 129-141). </w:t>
      </w:r>
      <w:r w:rsidRPr="002A7449">
        <w:rPr>
          <w:lang w:val="es-ES"/>
        </w:rPr>
        <w:t>Granada, España: Atrio.</w:t>
      </w:r>
    </w:p>
    <w:p w14:paraId="421DE1D3" w14:textId="24969789" w:rsidR="00212844" w:rsidRPr="002A7449" w:rsidRDefault="00212844" w:rsidP="001F0528">
      <w:pPr>
        <w:pStyle w:val="JVACMReferencias"/>
      </w:pPr>
      <w:r w:rsidRPr="002A7449">
        <w:rPr>
          <w:lang w:val="es-ES"/>
        </w:rPr>
        <w:t xml:space="preserve">Pinto, E. y Cañadas, M. C. (2018). </w:t>
      </w:r>
      <w:r w:rsidRPr="00E82D3C">
        <w:rPr>
          <w:lang w:val="en-US"/>
        </w:rPr>
        <w:t>Generalization in fifthgraders</w:t>
      </w:r>
      <w:r w:rsidR="00E82D3C" w:rsidRPr="00E82D3C">
        <w:rPr>
          <w:lang w:val="en-US"/>
        </w:rPr>
        <w:t xml:space="preserve"> </w:t>
      </w:r>
      <w:r w:rsidRPr="00E82D3C">
        <w:rPr>
          <w:lang w:val="en-US"/>
        </w:rPr>
        <w:t>within a functional</w:t>
      </w:r>
      <w:r w:rsidR="00E82D3C" w:rsidRPr="00E82D3C">
        <w:rPr>
          <w:lang w:val="en-US"/>
        </w:rPr>
        <w:t xml:space="preserve"> </w:t>
      </w:r>
      <w:r w:rsidRPr="00E82D3C">
        <w:rPr>
          <w:lang w:val="en-US"/>
        </w:rPr>
        <w:t xml:space="preserve">approach. </w:t>
      </w:r>
      <w:r w:rsidRPr="002A7449">
        <w:rPr>
          <w:i/>
          <w:iCs/>
        </w:rPr>
        <w:t>PNA. Revista de Investigación en Didáctica de la Matemática</w:t>
      </w:r>
      <w:r w:rsidRPr="002A7449">
        <w:t xml:space="preserve">, </w:t>
      </w:r>
      <w:r w:rsidRPr="002A7449">
        <w:rPr>
          <w:i/>
          <w:iCs/>
        </w:rPr>
        <w:t>12</w:t>
      </w:r>
      <w:r w:rsidRPr="002A7449">
        <w:t>(3), 173-184.</w:t>
      </w:r>
    </w:p>
    <w:p w14:paraId="0F6D33EC" w14:textId="77777777" w:rsidR="00212844" w:rsidRPr="002A7449" w:rsidRDefault="00212844" w:rsidP="001F0528">
      <w:pPr>
        <w:pStyle w:val="JVACMReferencias"/>
        <w:rPr>
          <w:rFonts w:cs="Times New Roman"/>
          <w:lang w:val="es-ES"/>
        </w:rPr>
      </w:pPr>
      <w:r w:rsidRPr="002A7449">
        <w:t xml:space="preserve">Torres, M. D., Cañadas, M. C. y Moreno, A. (2019). Estructuras y representaciones de alumnos de 2º de primaria en una aproximación funcional del pensamiento algebraico. En J. M. Marbán, M. Arce, A. Maroto, J. M. Muñoz-Escolano y A. Alsina (Eds.), </w:t>
      </w:r>
      <w:r w:rsidRPr="002A7449">
        <w:rPr>
          <w:i/>
          <w:iCs/>
        </w:rPr>
        <w:t xml:space="preserve">Investigación en Educación Matemática XXIII </w:t>
      </w:r>
      <w:r w:rsidRPr="002A7449">
        <w:t>(pp. 573-582). Valladolid, España: SEIEM.</w:t>
      </w:r>
    </w:p>
    <w:p w14:paraId="6B6D9729" w14:textId="77777777" w:rsidR="000B7892" w:rsidRPr="002A7449" w:rsidRDefault="001F0528" w:rsidP="00876269">
      <w:pPr>
        <w:pStyle w:val="JVACMReferencias"/>
      </w:pPr>
      <w:r w:rsidRPr="002A7449">
        <w:t xml:space="preserve">Ureña, J., Ramírez, R. y Molina, M. (2019). </w:t>
      </w:r>
      <w:r w:rsidRPr="002A7449">
        <w:rPr>
          <w:lang w:val="en-US"/>
        </w:rPr>
        <w:t xml:space="preserve">Representations of the generalization of a functional relationship and the relation with interviewer’s mediation. </w:t>
      </w:r>
      <w:r w:rsidRPr="002A7449">
        <w:rPr>
          <w:i/>
          <w:lang w:val="es-ES"/>
        </w:rPr>
        <w:t>Infancia y Aprendizaje, 42</w:t>
      </w:r>
      <w:r w:rsidRPr="002A7449">
        <w:rPr>
          <w:lang w:val="es-ES"/>
        </w:rPr>
        <w:t>(3), 570-614.</w:t>
      </w:r>
    </w:p>
    <w:sectPr w:rsidR="000B7892" w:rsidRPr="002A7449" w:rsidSect="00633346">
      <w:headerReference w:type="even" r:id="rId11"/>
      <w:headerReference w:type="default" r:id="rId12"/>
      <w:footerReference w:type="even" r:id="rId13"/>
      <w:footerReference w:type="default" r:id="rId14"/>
      <w:footerReference w:type="first" r:id="rId15"/>
      <w:type w:val="oddPage"/>
      <w:pgSz w:w="11900" w:h="16840"/>
      <w:pgMar w:top="1418" w:right="1134" w:bottom="1418" w:left="1134" w:header="709" w:footer="73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914F" w16cex:dateUtc="2020-10-28T23:53:00Z"/>
  <w16cex:commentExtensible w16cex:durableId="23449126" w16cex:dateUtc="2020-10-28T23:53:00Z"/>
  <w16cex:commentExtensible w16cex:durableId="234491F5" w16cex:dateUtc="2020-10-28T23:57:00Z"/>
  <w16cex:commentExtensible w16cex:durableId="23317A6C" w16cex:dateUtc="2020-10-14T11:23:00Z"/>
  <w16cex:commentExtensible w16cex:durableId="2344927D" w16cex:dateUtc="2020-10-28T23:59:00Z"/>
  <w16cex:commentExtensible w16cex:durableId="23449285" w16cex:dateUtc="2020-10-28T23:59:00Z"/>
  <w16cex:commentExtensible w16cex:durableId="234492CA" w16cex:dateUtc="2020-10-29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17129E" w16cid:durableId="2344914F"/>
  <w16cid:commentId w16cid:paraId="4E7423A4" w16cid:durableId="23449126"/>
  <w16cid:commentId w16cid:paraId="42506DA3" w16cid:durableId="234491F5"/>
  <w16cid:commentId w16cid:paraId="6F7E1C13" w16cid:durableId="23317A6C"/>
  <w16cid:commentId w16cid:paraId="7A0072DA" w16cid:durableId="2344927D"/>
  <w16cid:commentId w16cid:paraId="099DCB15" w16cid:durableId="23449285"/>
  <w16cid:commentId w16cid:paraId="7C35E3B4" w16cid:durableId="234492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4F2CB" w14:textId="77777777" w:rsidR="003F73B2" w:rsidRDefault="003F73B2">
      <w:r>
        <w:separator/>
      </w:r>
    </w:p>
  </w:endnote>
  <w:endnote w:type="continuationSeparator" w:id="0">
    <w:p w14:paraId="717A817E" w14:textId="77777777" w:rsidR="003F73B2" w:rsidRDefault="003F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41160406"/>
      <w:docPartObj>
        <w:docPartGallery w:val="Page Numbers (Bottom of Page)"/>
        <w:docPartUnique/>
      </w:docPartObj>
    </w:sdtPr>
    <w:sdtEndPr>
      <w:rPr>
        <w:rStyle w:val="Nmerodepgina"/>
      </w:rPr>
    </w:sdtEndPr>
    <w:sdtContent>
      <w:p w14:paraId="2600B5BD" w14:textId="77777777" w:rsidR="008F6435" w:rsidRDefault="0010719D" w:rsidP="007634AD">
        <w:pPr>
          <w:pStyle w:val="Piedepgina"/>
          <w:framePr w:wrap="notBeside" w:vAnchor="page" w:hAnchor="margin" w:y="15707"/>
          <w:jc w:val="left"/>
          <w:rPr>
            <w:rStyle w:val="Nmerodepgina"/>
          </w:rPr>
        </w:pPr>
        <w:r>
          <w:rPr>
            <w:rStyle w:val="Nmerodepgina"/>
          </w:rPr>
          <w:fldChar w:fldCharType="begin"/>
        </w:r>
        <w:r w:rsidR="008F6435">
          <w:rPr>
            <w:rStyle w:val="Nmerodepgina"/>
          </w:rPr>
          <w:instrText xml:space="preserve"> PAGE </w:instrText>
        </w:r>
        <w:r>
          <w:rPr>
            <w:rStyle w:val="Nmerodepgina"/>
          </w:rPr>
          <w:fldChar w:fldCharType="separate"/>
        </w:r>
        <w:r w:rsidR="00C57FCE">
          <w:rPr>
            <w:rStyle w:val="Nmerodepgina"/>
            <w:noProof/>
          </w:rPr>
          <w:t>8</w:t>
        </w:r>
        <w:r>
          <w:rPr>
            <w:rStyle w:val="Nmerodepgina"/>
          </w:rPr>
          <w:fldChar w:fldCharType="end"/>
        </w:r>
      </w:p>
    </w:sdtContent>
  </w:sdt>
  <w:p w14:paraId="0448CEEF" w14:textId="77777777" w:rsidR="002876F2" w:rsidRDefault="002876F2" w:rsidP="008F6435">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68601459"/>
      <w:docPartObj>
        <w:docPartGallery w:val="Page Numbers (Bottom of Page)"/>
        <w:docPartUnique/>
      </w:docPartObj>
    </w:sdtPr>
    <w:sdtEndPr>
      <w:rPr>
        <w:rStyle w:val="Nmerodepgina"/>
      </w:rPr>
    </w:sdtEndPr>
    <w:sdtContent>
      <w:p w14:paraId="7CB5C2FB" w14:textId="77777777" w:rsidR="008F6435" w:rsidRDefault="0010719D" w:rsidP="007634AD">
        <w:pPr>
          <w:pStyle w:val="Piedepgina"/>
          <w:framePr w:wrap="notBeside" w:vAnchor="page" w:hAnchor="margin" w:xAlign="right" w:y="15707"/>
          <w:jc w:val="right"/>
          <w:rPr>
            <w:rStyle w:val="Nmerodepgina"/>
          </w:rPr>
        </w:pPr>
        <w:r>
          <w:rPr>
            <w:rStyle w:val="Nmerodepgina"/>
          </w:rPr>
          <w:fldChar w:fldCharType="begin"/>
        </w:r>
        <w:r w:rsidR="008F6435">
          <w:rPr>
            <w:rStyle w:val="Nmerodepgina"/>
          </w:rPr>
          <w:instrText xml:space="preserve"> PAGE </w:instrText>
        </w:r>
        <w:r>
          <w:rPr>
            <w:rStyle w:val="Nmerodepgina"/>
          </w:rPr>
          <w:fldChar w:fldCharType="separate"/>
        </w:r>
        <w:r w:rsidR="00C57FCE">
          <w:rPr>
            <w:rStyle w:val="Nmerodepgina"/>
            <w:noProof/>
          </w:rPr>
          <w:t>7</w:t>
        </w:r>
        <w:r>
          <w:rPr>
            <w:rStyle w:val="Nmerodepgina"/>
          </w:rPr>
          <w:fldChar w:fldCharType="end"/>
        </w:r>
      </w:p>
    </w:sdtContent>
  </w:sdt>
  <w:p w14:paraId="64060C72" w14:textId="77777777" w:rsidR="00385AB6" w:rsidRPr="00385AB6" w:rsidRDefault="00385AB6" w:rsidP="008F6435">
    <w:pPr>
      <w:ind w:firstLine="360"/>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C70" w14:textId="77777777" w:rsidR="00385AB6" w:rsidRPr="00E2497D" w:rsidRDefault="00385AB6" w:rsidP="008F6435">
    <w:pPr>
      <w:pStyle w:val="JVACMPiedepgina"/>
    </w:pPr>
  </w:p>
  <w:p w14:paraId="03EAB4D3" w14:textId="77777777" w:rsidR="003C76A2" w:rsidRPr="008F6435" w:rsidRDefault="00F7538A" w:rsidP="008F6435">
    <w:pPr>
      <w:pStyle w:val="JVACMPiedepgina"/>
    </w:pPr>
    <w:r>
      <w:t>Damián, A. Cañadas, M. C.</w:t>
    </w:r>
    <w:r w:rsidR="004073C3" w:rsidRPr="008F6435">
      <w:t>,</w:t>
    </w:r>
    <w:r>
      <w:t xml:space="preserve"> Ramírez, R. </w:t>
    </w:r>
    <w:r w:rsidR="00FC52EB" w:rsidRPr="008F6435">
      <w:t>(</w:t>
    </w:r>
    <w:r w:rsidR="00DA6653" w:rsidRPr="008F6435">
      <w:t>2020</w:t>
    </w:r>
    <w:r w:rsidR="003C76A2" w:rsidRPr="008F6435">
      <w:t xml:space="preserve">). </w:t>
    </w:r>
    <w:r w:rsidR="005478D1">
      <w:t xml:space="preserve">Pensamiento funcional con variables continuas en </w:t>
    </w:r>
    <w:r w:rsidR="001C06FF">
      <w:t>estudiante</w:t>
    </w:r>
    <w:r w:rsidR="005478D1">
      <w:t>s de educación primaria en un programa de enriquecimiento curricular</w:t>
    </w:r>
    <w:r w:rsidR="003C76A2" w:rsidRPr="008F6435">
      <w:t xml:space="preserve">. En </w:t>
    </w:r>
    <w:r w:rsidR="00B14451">
      <w:t xml:space="preserve">A. </w:t>
    </w:r>
    <w:r w:rsidR="003C76A2" w:rsidRPr="008F6435">
      <w:t>Editor1,</w:t>
    </w:r>
    <w:r w:rsidR="00B14451">
      <w:t xml:space="preserve"> B.</w:t>
    </w:r>
    <w:r w:rsidR="003C76A2" w:rsidRPr="008F6435">
      <w:t xml:space="preserve"> Editor2 y</w:t>
    </w:r>
    <w:r w:rsidR="00B14451">
      <w:t xml:space="preserve"> C.</w:t>
    </w:r>
    <w:r w:rsidR="003C76A2" w:rsidRPr="008F6435">
      <w:t xml:space="preserve"> Editor3 (Eds.), </w:t>
    </w:r>
    <w:r w:rsidR="00ED2A48" w:rsidRPr="00B14451">
      <w:rPr>
        <w:i/>
        <w:iCs/>
      </w:rPr>
      <w:t xml:space="preserve">Actas de las Jornadas </w:t>
    </w:r>
    <w:r w:rsidR="00266A0E">
      <w:rPr>
        <w:i/>
        <w:iCs/>
      </w:rPr>
      <w:t xml:space="preserve">Internacionales de Investigación y Práctica Docente en </w:t>
    </w:r>
    <w:r w:rsidR="00ED2A48" w:rsidRPr="00B14451">
      <w:rPr>
        <w:i/>
        <w:iCs/>
      </w:rPr>
      <w:t>Alta Capacidad Matemática</w:t>
    </w:r>
    <w:r w:rsidR="003C76A2" w:rsidRPr="008F6435">
      <w:t xml:space="preserve"> (pp. inicial-final). </w:t>
    </w:r>
    <w:r w:rsidR="00ED2A48" w:rsidRPr="008F6435">
      <w:t>Logroño</w:t>
    </w:r>
    <w:r w:rsidR="003C76A2" w:rsidRPr="008F6435">
      <w:t xml:space="preserve">: </w:t>
    </w:r>
    <w:r w:rsidR="00ED2A48" w:rsidRPr="008F6435">
      <w:t>Universidad de La Rioja</w:t>
    </w:r>
    <w:r w:rsidR="00385AB6" w:rsidRPr="008F643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15FB" w14:textId="77777777" w:rsidR="003F73B2" w:rsidRDefault="003F73B2">
      <w:r>
        <w:separator/>
      </w:r>
    </w:p>
  </w:footnote>
  <w:footnote w:type="continuationSeparator" w:id="0">
    <w:p w14:paraId="5FAA8EE3" w14:textId="77777777" w:rsidR="003F73B2" w:rsidRDefault="003F7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EDBD" w14:textId="77777777" w:rsidR="003C76A2" w:rsidRPr="004849F0" w:rsidRDefault="00F7538A" w:rsidP="008F6435">
    <w:pPr>
      <w:pStyle w:val="JVACMEncabezado"/>
    </w:pPr>
    <w:r>
      <w:rPr>
        <w:rStyle w:val="Nmerodepgina"/>
      </w:rPr>
      <w:t>Damián, A., Cañadas, M. C., Ramírez,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23AF" w14:textId="77777777" w:rsidR="003C76A2" w:rsidRPr="007634AD" w:rsidRDefault="00F7538A" w:rsidP="007634AD">
    <w:pPr>
      <w:pStyle w:val="Encabezado"/>
      <w:jc w:val="right"/>
    </w:pPr>
    <w:r>
      <w:rPr>
        <w:rStyle w:val="Nmerodepgina"/>
        <w:rFonts w:cs="Arial"/>
        <w:sz w:val="20"/>
      </w:rPr>
      <w:t>Pensamiento funcional con variables continuas en enriquecimiento curricular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08D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9050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8A12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C9EC7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A046A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124D7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DA69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6032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4A18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A8D8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BEFB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31A2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A2779F"/>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0540D4"/>
    <w:multiLevelType w:val="hybridMultilevel"/>
    <w:tmpl w:val="D3284120"/>
    <w:lvl w:ilvl="0" w:tplc="F9BADA1C">
      <w:numFmt w:val="bullet"/>
      <w:lvlText w:val=""/>
      <w:lvlJc w:val="left"/>
      <w:pPr>
        <w:ind w:left="72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515583E"/>
    <w:multiLevelType w:val="hybridMultilevel"/>
    <w:tmpl w:val="7C9E29AE"/>
    <w:lvl w:ilvl="0" w:tplc="6B1ECE22">
      <w:start w:val="1"/>
      <w:numFmt w:val="bullet"/>
      <w:pStyle w:val="JVACMVieta"/>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04D0537"/>
    <w:multiLevelType w:val="hybridMultilevel"/>
    <w:tmpl w:val="1998233A"/>
    <w:lvl w:ilvl="0" w:tplc="815C041A">
      <w:start w:val="1"/>
      <w:numFmt w:val="decimal"/>
      <w:lvlText w:val="%1."/>
      <w:lvlJc w:val="left"/>
      <w:pPr>
        <w:ind w:left="1762" w:hanging="700"/>
      </w:pPr>
      <w:rPr>
        <w:rFonts w:hint="default"/>
      </w:rPr>
    </w:lvl>
    <w:lvl w:ilvl="1" w:tplc="040A0019" w:tentative="1">
      <w:start w:val="1"/>
      <w:numFmt w:val="lowerLetter"/>
      <w:lvlText w:val="%2."/>
      <w:lvlJc w:val="left"/>
      <w:pPr>
        <w:ind w:left="2142" w:hanging="360"/>
      </w:pPr>
    </w:lvl>
    <w:lvl w:ilvl="2" w:tplc="040A001B" w:tentative="1">
      <w:start w:val="1"/>
      <w:numFmt w:val="lowerRoman"/>
      <w:lvlText w:val="%3."/>
      <w:lvlJc w:val="right"/>
      <w:pPr>
        <w:ind w:left="2862" w:hanging="180"/>
      </w:pPr>
    </w:lvl>
    <w:lvl w:ilvl="3" w:tplc="040A000F" w:tentative="1">
      <w:start w:val="1"/>
      <w:numFmt w:val="decimal"/>
      <w:lvlText w:val="%4."/>
      <w:lvlJc w:val="left"/>
      <w:pPr>
        <w:ind w:left="3582" w:hanging="360"/>
      </w:pPr>
    </w:lvl>
    <w:lvl w:ilvl="4" w:tplc="040A0019" w:tentative="1">
      <w:start w:val="1"/>
      <w:numFmt w:val="lowerLetter"/>
      <w:lvlText w:val="%5."/>
      <w:lvlJc w:val="left"/>
      <w:pPr>
        <w:ind w:left="4302" w:hanging="360"/>
      </w:pPr>
    </w:lvl>
    <w:lvl w:ilvl="5" w:tplc="040A001B" w:tentative="1">
      <w:start w:val="1"/>
      <w:numFmt w:val="lowerRoman"/>
      <w:lvlText w:val="%6."/>
      <w:lvlJc w:val="right"/>
      <w:pPr>
        <w:ind w:left="5022" w:hanging="180"/>
      </w:pPr>
    </w:lvl>
    <w:lvl w:ilvl="6" w:tplc="040A000F" w:tentative="1">
      <w:start w:val="1"/>
      <w:numFmt w:val="decimal"/>
      <w:lvlText w:val="%7."/>
      <w:lvlJc w:val="left"/>
      <w:pPr>
        <w:ind w:left="5742" w:hanging="360"/>
      </w:pPr>
    </w:lvl>
    <w:lvl w:ilvl="7" w:tplc="040A0019" w:tentative="1">
      <w:start w:val="1"/>
      <w:numFmt w:val="lowerLetter"/>
      <w:lvlText w:val="%8."/>
      <w:lvlJc w:val="left"/>
      <w:pPr>
        <w:ind w:left="6462" w:hanging="360"/>
      </w:pPr>
    </w:lvl>
    <w:lvl w:ilvl="8" w:tplc="040A001B" w:tentative="1">
      <w:start w:val="1"/>
      <w:numFmt w:val="lowerRoman"/>
      <w:lvlText w:val="%9."/>
      <w:lvlJc w:val="right"/>
      <w:pPr>
        <w:ind w:left="7182" w:hanging="180"/>
      </w:pPr>
    </w:lvl>
  </w:abstractNum>
  <w:abstractNum w:abstractNumId="16" w15:restartNumberingAfterBreak="0">
    <w:nsid w:val="4A277C3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5803D3"/>
    <w:multiLevelType w:val="hybridMultilevel"/>
    <w:tmpl w:val="B4F6D1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C30C53"/>
    <w:multiLevelType w:val="multilevel"/>
    <w:tmpl w:val="FCF60768"/>
    <w:lvl w:ilvl="0">
      <w:start w:val="1"/>
      <w:numFmt w:val="decimal"/>
      <w:lvlText w:val="%1."/>
      <w:lvlJc w:val="left"/>
      <w:pPr>
        <w:ind w:left="1762" w:hanging="70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9" w15:restartNumberingAfterBreak="0">
    <w:nsid w:val="6F916288"/>
    <w:multiLevelType w:val="hybridMultilevel"/>
    <w:tmpl w:val="9B22F17A"/>
    <w:lvl w:ilvl="0" w:tplc="6B9E185C">
      <w:start w:val="1"/>
      <w:numFmt w:val="decimal"/>
      <w:pStyle w:val="JVACMDilogonumerado"/>
      <w:lvlText w:val="%1."/>
      <w:lvlJc w:val="left"/>
      <w:pPr>
        <w:ind w:left="1762" w:hanging="700"/>
      </w:pPr>
      <w:rPr>
        <w:rFonts w:hint="default"/>
      </w:rPr>
    </w:lvl>
    <w:lvl w:ilvl="1" w:tplc="040A0019" w:tentative="1">
      <w:start w:val="1"/>
      <w:numFmt w:val="lowerLetter"/>
      <w:lvlText w:val="%2."/>
      <w:lvlJc w:val="left"/>
      <w:pPr>
        <w:ind w:left="2142" w:hanging="360"/>
      </w:pPr>
    </w:lvl>
    <w:lvl w:ilvl="2" w:tplc="040A001B" w:tentative="1">
      <w:start w:val="1"/>
      <w:numFmt w:val="lowerRoman"/>
      <w:lvlText w:val="%3."/>
      <w:lvlJc w:val="right"/>
      <w:pPr>
        <w:ind w:left="2862" w:hanging="180"/>
      </w:pPr>
    </w:lvl>
    <w:lvl w:ilvl="3" w:tplc="040A000F" w:tentative="1">
      <w:start w:val="1"/>
      <w:numFmt w:val="decimal"/>
      <w:lvlText w:val="%4."/>
      <w:lvlJc w:val="left"/>
      <w:pPr>
        <w:ind w:left="3582" w:hanging="360"/>
      </w:pPr>
    </w:lvl>
    <w:lvl w:ilvl="4" w:tplc="040A0019" w:tentative="1">
      <w:start w:val="1"/>
      <w:numFmt w:val="lowerLetter"/>
      <w:lvlText w:val="%5."/>
      <w:lvlJc w:val="left"/>
      <w:pPr>
        <w:ind w:left="4302" w:hanging="360"/>
      </w:pPr>
    </w:lvl>
    <w:lvl w:ilvl="5" w:tplc="040A001B" w:tentative="1">
      <w:start w:val="1"/>
      <w:numFmt w:val="lowerRoman"/>
      <w:lvlText w:val="%6."/>
      <w:lvlJc w:val="right"/>
      <w:pPr>
        <w:ind w:left="5022" w:hanging="180"/>
      </w:pPr>
    </w:lvl>
    <w:lvl w:ilvl="6" w:tplc="040A000F" w:tentative="1">
      <w:start w:val="1"/>
      <w:numFmt w:val="decimal"/>
      <w:lvlText w:val="%7."/>
      <w:lvlJc w:val="left"/>
      <w:pPr>
        <w:ind w:left="5742" w:hanging="360"/>
      </w:pPr>
    </w:lvl>
    <w:lvl w:ilvl="7" w:tplc="040A0019" w:tentative="1">
      <w:start w:val="1"/>
      <w:numFmt w:val="lowerLetter"/>
      <w:lvlText w:val="%8."/>
      <w:lvlJc w:val="left"/>
      <w:pPr>
        <w:ind w:left="6462" w:hanging="360"/>
      </w:pPr>
    </w:lvl>
    <w:lvl w:ilvl="8" w:tplc="040A001B" w:tentative="1">
      <w:start w:val="1"/>
      <w:numFmt w:val="lowerRoman"/>
      <w:lvlText w:val="%9."/>
      <w:lvlJc w:val="right"/>
      <w:pPr>
        <w:ind w:left="7182" w:hanging="180"/>
      </w:pPr>
    </w:lvl>
  </w:abstractNum>
  <w:abstractNum w:abstractNumId="20" w15:restartNumberingAfterBreak="0">
    <w:nsid w:val="7CA35349"/>
    <w:multiLevelType w:val="multilevel"/>
    <w:tmpl w:val="040A0023"/>
    <w:lvl w:ilvl="0">
      <w:start w:val="1"/>
      <w:numFmt w:val="upperRoman"/>
      <w:pStyle w:val="Ttulo1"/>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3"/>
  </w:num>
  <w:num w:numId="3">
    <w:abstractNumId w:val="15"/>
  </w:num>
  <w:num w:numId="4">
    <w:abstractNumId w:val="12"/>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7"/>
  </w:num>
  <w:num w:numId="16">
    <w:abstractNumId w:val="11"/>
  </w:num>
  <w:num w:numId="17">
    <w:abstractNumId w:val="16"/>
  </w:num>
  <w:num w:numId="18">
    <w:abstractNumId w:val="20"/>
  </w:num>
  <w:num w:numId="19">
    <w:abstractNumId w:val="1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C4F"/>
    <w:rsid w:val="00007360"/>
    <w:rsid w:val="00012F45"/>
    <w:rsid w:val="00013533"/>
    <w:rsid w:val="00026B13"/>
    <w:rsid w:val="00036359"/>
    <w:rsid w:val="00037A69"/>
    <w:rsid w:val="00044D30"/>
    <w:rsid w:val="00047CFA"/>
    <w:rsid w:val="00071C26"/>
    <w:rsid w:val="00083C44"/>
    <w:rsid w:val="000912C1"/>
    <w:rsid w:val="000A15F1"/>
    <w:rsid w:val="000B0CD7"/>
    <w:rsid w:val="000B1B31"/>
    <w:rsid w:val="000B37DE"/>
    <w:rsid w:val="000B7892"/>
    <w:rsid w:val="000C3F3A"/>
    <w:rsid w:val="000C688A"/>
    <w:rsid w:val="000E1BB7"/>
    <w:rsid w:val="000E30E7"/>
    <w:rsid w:val="000E54EB"/>
    <w:rsid w:val="000E55AB"/>
    <w:rsid w:val="00103244"/>
    <w:rsid w:val="0010719D"/>
    <w:rsid w:val="0011318C"/>
    <w:rsid w:val="00115EB2"/>
    <w:rsid w:val="001269DC"/>
    <w:rsid w:val="00133F8A"/>
    <w:rsid w:val="00135F8C"/>
    <w:rsid w:val="001432F6"/>
    <w:rsid w:val="001450CE"/>
    <w:rsid w:val="00153252"/>
    <w:rsid w:val="001627B7"/>
    <w:rsid w:val="00175714"/>
    <w:rsid w:val="0018206C"/>
    <w:rsid w:val="00182E5D"/>
    <w:rsid w:val="00195B9F"/>
    <w:rsid w:val="001A3CA9"/>
    <w:rsid w:val="001A737E"/>
    <w:rsid w:val="001A7AE2"/>
    <w:rsid w:val="001B36A6"/>
    <w:rsid w:val="001B54F2"/>
    <w:rsid w:val="001C06FF"/>
    <w:rsid w:val="001F0528"/>
    <w:rsid w:val="001F5921"/>
    <w:rsid w:val="002127C8"/>
    <w:rsid w:val="00212844"/>
    <w:rsid w:val="00224608"/>
    <w:rsid w:val="00226AE9"/>
    <w:rsid w:val="00234B63"/>
    <w:rsid w:val="00256291"/>
    <w:rsid w:val="00266A0E"/>
    <w:rsid w:val="00276A7D"/>
    <w:rsid w:val="002863DA"/>
    <w:rsid w:val="002876F2"/>
    <w:rsid w:val="00291302"/>
    <w:rsid w:val="002934DA"/>
    <w:rsid w:val="002958F7"/>
    <w:rsid w:val="002A18E7"/>
    <w:rsid w:val="002A4300"/>
    <w:rsid w:val="002A7449"/>
    <w:rsid w:val="002C32B9"/>
    <w:rsid w:val="002C4B80"/>
    <w:rsid w:val="002C5352"/>
    <w:rsid w:val="002D6E64"/>
    <w:rsid w:val="002E2447"/>
    <w:rsid w:val="002F3B72"/>
    <w:rsid w:val="002F4B57"/>
    <w:rsid w:val="00315D8E"/>
    <w:rsid w:val="0031682A"/>
    <w:rsid w:val="003424A6"/>
    <w:rsid w:val="00343B31"/>
    <w:rsid w:val="003562F1"/>
    <w:rsid w:val="00381192"/>
    <w:rsid w:val="00385AB6"/>
    <w:rsid w:val="003864A0"/>
    <w:rsid w:val="00393C49"/>
    <w:rsid w:val="0039668F"/>
    <w:rsid w:val="00396AB0"/>
    <w:rsid w:val="003A1804"/>
    <w:rsid w:val="003A6E19"/>
    <w:rsid w:val="003B37E1"/>
    <w:rsid w:val="003C76A2"/>
    <w:rsid w:val="003D45E5"/>
    <w:rsid w:val="003F1CC0"/>
    <w:rsid w:val="003F4C6F"/>
    <w:rsid w:val="003F73B2"/>
    <w:rsid w:val="004006A3"/>
    <w:rsid w:val="004073C3"/>
    <w:rsid w:val="004165D9"/>
    <w:rsid w:val="00422BD9"/>
    <w:rsid w:val="00431E25"/>
    <w:rsid w:val="00432904"/>
    <w:rsid w:val="0043515B"/>
    <w:rsid w:val="00443732"/>
    <w:rsid w:val="00450EC2"/>
    <w:rsid w:val="004518E1"/>
    <w:rsid w:val="0046016B"/>
    <w:rsid w:val="00467600"/>
    <w:rsid w:val="00476E88"/>
    <w:rsid w:val="004805C3"/>
    <w:rsid w:val="004849F0"/>
    <w:rsid w:val="00484FD7"/>
    <w:rsid w:val="004A485D"/>
    <w:rsid w:val="004A6A65"/>
    <w:rsid w:val="004B3847"/>
    <w:rsid w:val="004D6F1C"/>
    <w:rsid w:val="004D7272"/>
    <w:rsid w:val="004E1929"/>
    <w:rsid w:val="004E5E4B"/>
    <w:rsid w:val="00505233"/>
    <w:rsid w:val="00517A41"/>
    <w:rsid w:val="005218E0"/>
    <w:rsid w:val="00523E3A"/>
    <w:rsid w:val="00531FB9"/>
    <w:rsid w:val="0053232E"/>
    <w:rsid w:val="0053424A"/>
    <w:rsid w:val="0053503E"/>
    <w:rsid w:val="005411C9"/>
    <w:rsid w:val="005478D1"/>
    <w:rsid w:val="00552109"/>
    <w:rsid w:val="005631C1"/>
    <w:rsid w:val="00564296"/>
    <w:rsid w:val="005706B5"/>
    <w:rsid w:val="00582134"/>
    <w:rsid w:val="005825B8"/>
    <w:rsid w:val="005837C1"/>
    <w:rsid w:val="005923FE"/>
    <w:rsid w:val="00594501"/>
    <w:rsid w:val="00595578"/>
    <w:rsid w:val="005A481D"/>
    <w:rsid w:val="005B0865"/>
    <w:rsid w:val="005B2FB2"/>
    <w:rsid w:val="005B3DD9"/>
    <w:rsid w:val="005C6798"/>
    <w:rsid w:val="005C6972"/>
    <w:rsid w:val="005C71B9"/>
    <w:rsid w:val="005D5A04"/>
    <w:rsid w:val="005E0368"/>
    <w:rsid w:val="005F4062"/>
    <w:rsid w:val="005F52D3"/>
    <w:rsid w:val="005F554C"/>
    <w:rsid w:val="006006AE"/>
    <w:rsid w:val="00601B04"/>
    <w:rsid w:val="00603984"/>
    <w:rsid w:val="00603A14"/>
    <w:rsid w:val="00605A37"/>
    <w:rsid w:val="00605FD3"/>
    <w:rsid w:val="00606B2D"/>
    <w:rsid w:val="00614F89"/>
    <w:rsid w:val="0061703C"/>
    <w:rsid w:val="00626E00"/>
    <w:rsid w:val="00627A13"/>
    <w:rsid w:val="00630C04"/>
    <w:rsid w:val="00633346"/>
    <w:rsid w:val="0064213D"/>
    <w:rsid w:val="0064420B"/>
    <w:rsid w:val="006465C4"/>
    <w:rsid w:val="006473A9"/>
    <w:rsid w:val="006555E3"/>
    <w:rsid w:val="00662A1A"/>
    <w:rsid w:val="00667F11"/>
    <w:rsid w:val="00670438"/>
    <w:rsid w:val="0067377C"/>
    <w:rsid w:val="00673DA4"/>
    <w:rsid w:val="00675057"/>
    <w:rsid w:val="0068325C"/>
    <w:rsid w:val="00696FF4"/>
    <w:rsid w:val="006A7F1C"/>
    <w:rsid w:val="006B0C32"/>
    <w:rsid w:val="006B151A"/>
    <w:rsid w:val="006C0D03"/>
    <w:rsid w:val="006C1C76"/>
    <w:rsid w:val="006C43A3"/>
    <w:rsid w:val="006C6A7D"/>
    <w:rsid w:val="006C76AE"/>
    <w:rsid w:val="006F1D2A"/>
    <w:rsid w:val="006F293B"/>
    <w:rsid w:val="007140B7"/>
    <w:rsid w:val="00732CAD"/>
    <w:rsid w:val="00746A03"/>
    <w:rsid w:val="00746F3A"/>
    <w:rsid w:val="00747B9E"/>
    <w:rsid w:val="00747FF8"/>
    <w:rsid w:val="00751597"/>
    <w:rsid w:val="007634AD"/>
    <w:rsid w:val="0076460B"/>
    <w:rsid w:val="00764FE9"/>
    <w:rsid w:val="00771CCE"/>
    <w:rsid w:val="00782DCA"/>
    <w:rsid w:val="007963A2"/>
    <w:rsid w:val="007A1D4C"/>
    <w:rsid w:val="007A6316"/>
    <w:rsid w:val="007B0FF4"/>
    <w:rsid w:val="007B1C53"/>
    <w:rsid w:val="007C1213"/>
    <w:rsid w:val="007C6ED6"/>
    <w:rsid w:val="007D2A70"/>
    <w:rsid w:val="007D34AB"/>
    <w:rsid w:val="007D7470"/>
    <w:rsid w:val="007E1CC2"/>
    <w:rsid w:val="007E4329"/>
    <w:rsid w:val="007E5940"/>
    <w:rsid w:val="00805087"/>
    <w:rsid w:val="00814FB4"/>
    <w:rsid w:val="00816517"/>
    <w:rsid w:val="00855D89"/>
    <w:rsid w:val="00860953"/>
    <w:rsid w:val="00865870"/>
    <w:rsid w:val="008664E0"/>
    <w:rsid w:val="00871CFD"/>
    <w:rsid w:val="00876269"/>
    <w:rsid w:val="008836E6"/>
    <w:rsid w:val="008949E9"/>
    <w:rsid w:val="008A1675"/>
    <w:rsid w:val="008A74FC"/>
    <w:rsid w:val="008C1DE3"/>
    <w:rsid w:val="008C2756"/>
    <w:rsid w:val="008C4694"/>
    <w:rsid w:val="008D5051"/>
    <w:rsid w:val="008F059B"/>
    <w:rsid w:val="008F160A"/>
    <w:rsid w:val="008F6435"/>
    <w:rsid w:val="008F6552"/>
    <w:rsid w:val="00904E47"/>
    <w:rsid w:val="009052AB"/>
    <w:rsid w:val="00911F58"/>
    <w:rsid w:val="0091524C"/>
    <w:rsid w:val="00925E1B"/>
    <w:rsid w:val="00935C1B"/>
    <w:rsid w:val="009420BD"/>
    <w:rsid w:val="0094288D"/>
    <w:rsid w:val="00944EF2"/>
    <w:rsid w:val="009835C4"/>
    <w:rsid w:val="00993EBB"/>
    <w:rsid w:val="00997FA8"/>
    <w:rsid w:val="009A074C"/>
    <w:rsid w:val="009A61DB"/>
    <w:rsid w:val="009A7001"/>
    <w:rsid w:val="009B1B44"/>
    <w:rsid w:val="009B32F0"/>
    <w:rsid w:val="009C4413"/>
    <w:rsid w:val="009C6ED6"/>
    <w:rsid w:val="009E71F8"/>
    <w:rsid w:val="00A0687E"/>
    <w:rsid w:val="00A07B95"/>
    <w:rsid w:val="00A11678"/>
    <w:rsid w:val="00A32308"/>
    <w:rsid w:val="00A339B9"/>
    <w:rsid w:val="00A348BD"/>
    <w:rsid w:val="00A35B97"/>
    <w:rsid w:val="00A35F64"/>
    <w:rsid w:val="00A50B9A"/>
    <w:rsid w:val="00A53577"/>
    <w:rsid w:val="00A64451"/>
    <w:rsid w:val="00A65743"/>
    <w:rsid w:val="00A66283"/>
    <w:rsid w:val="00A73F62"/>
    <w:rsid w:val="00A80943"/>
    <w:rsid w:val="00A8145C"/>
    <w:rsid w:val="00A872CB"/>
    <w:rsid w:val="00AA04E1"/>
    <w:rsid w:val="00AA22B2"/>
    <w:rsid w:val="00AC0838"/>
    <w:rsid w:val="00AF0AA2"/>
    <w:rsid w:val="00B03FE2"/>
    <w:rsid w:val="00B12626"/>
    <w:rsid w:val="00B14451"/>
    <w:rsid w:val="00B15339"/>
    <w:rsid w:val="00B16828"/>
    <w:rsid w:val="00B5674D"/>
    <w:rsid w:val="00B57B2F"/>
    <w:rsid w:val="00B7159C"/>
    <w:rsid w:val="00B83EB3"/>
    <w:rsid w:val="00B93581"/>
    <w:rsid w:val="00B957D3"/>
    <w:rsid w:val="00BA01B6"/>
    <w:rsid w:val="00BB0DEF"/>
    <w:rsid w:val="00BB1DBA"/>
    <w:rsid w:val="00BC1F65"/>
    <w:rsid w:val="00BC58CD"/>
    <w:rsid w:val="00BD7015"/>
    <w:rsid w:val="00BF6A71"/>
    <w:rsid w:val="00C058E4"/>
    <w:rsid w:val="00C15668"/>
    <w:rsid w:val="00C40CB2"/>
    <w:rsid w:val="00C46883"/>
    <w:rsid w:val="00C52178"/>
    <w:rsid w:val="00C55E73"/>
    <w:rsid w:val="00C56CDA"/>
    <w:rsid w:val="00C57FCE"/>
    <w:rsid w:val="00C706B6"/>
    <w:rsid w:val="00C74346"/>
    <w:rsid w:val="00C7594A"/>
    <w:rsid w:val="00C75C7E"/>
    <w:rsid w:val="00C76D87"/>
    <w:rsid w:val="00C80E95"/>
    <w:rsid w:val="00C84E8F"/>
    <w:rsid w:val="00C87F45"/>
    <w:rsid w:val="00C93A91"/>
    <w:rsid w:val="00CA6A22"/>
    <w:rsid w:val="00CB3460"/>
    <w:rsid w:val="00CC4094"/>
    <w:rsid w:val="00CC44F9"/>
    <w:rsid w:val="00CD015B"/>
    <w:rsid w:val="00CD2CF8"/>
    <w:rsid w:val="00CD3A04"/>
    <w:rsid w:val="00CD3D1A"/>
    <w:rsid w:val="00CE627D"/>
    <w:rsid w:val="00CE71B1"/>
    <w:rsid w:val="00D0159F"/>
    <w:rsid w:val="00D01B04"/>
    <w:rsid w:val="00D06699"/>
    <w:rsid w:val="00D16EBE"/>
    <w:rsid w:val="00D26C4B"/>
    <w:rsid w:val="00D3022F"/>
    <w:rsid w:val="00D453E8"/>
    <w:rsid w:val="00D54A56"/>
    <w:rsid w:val="00D57CE5"/>
    <w:rsid w:val="00D72220"/>
    <w:rsid w:val="00D724D2"/>
    <w:rsid w:val="00D75E47"/>
    <w:rsid w:val="00D7683F"/>
    <w:rsid w:val="00D91354"/>
    <w:rsid w:val="00D9164B"/>
    <w:rsid w:val="00D9566D"/>
    <w:rsid w:val="00DA5C4F"/>
    <w:rsid w:val="00DA6653"/>
    <w:rsid w:val="00DB66F9"/>
    <w:rsid w:val="00DC4398"/>
    <w:rsid w:val="00DC63B0"/>
    <w:rsid w:val="00DD648E"/>
    <w:rsid w:val="00DE15C8"/>
    <w:rsid w:val="00DE4763"/>
    <w:rsid w:val="00DE7A94"/>
    <w:rsid w:val="00DF405D"/>
    <w:rsid w:val="00DF663C"/>
    <w:rsid w:val="00E065EB"/>
    <w:rsid w:val="00E12AC4"/>
    <w:rsid w:val="00E234C6"/>
    <w:rsid w:val="00E2497D"/>
    <w:rsid w:val="00E40B58"/>
    <w:rsid w:val="00E42608"/>
    <w:rsid w:val="00E46D6D"/>
    <w:rsid w:val="00E50612"/>
    <w:rsid w:val="00E51588"/>
    <w:rsid w:val="00E6361D"/>
    <w:rsid w:val="00E74C0D"/>
    <w:rsid w:val="00E762CF"/>
    <w:rsid w:val="00E82D3C"/>
    <w:rsid w:val="00E82D77"/>
    <w:rsid w:val="00E85D7B"/>
    <w:rsid w:val="00E92075"/>
    <w:rsid w:val="00E95E6D"/>
    <w:rsid w:val="00EA4BF8"/>
    <w:rsid w:val="00EB38EE"/>
    <w:rsid w:val="00EB3D22"/>
    <w:rsid w:val="00EB3FC9"/>
    <w:rsid w:val="00EC24F7"/>
    <w:rsid w:val="00ED2A48"/>
    <w:rsid w:val="00ED7096"/>
    <w:rsid w:val="00ED7760"/>
    <w:rsid w:val="00EE3F54"/>
    <w:rsid w:val="00EE435A"/>
    <w:rsid w:val="00EF42F3"/>
    <w:rsid w:val="00EF6F58"/>
    <w:rsid w:val="00F0372D"/>
    <w:rsid w:val="00F06A9C"/>
    <w:rsid w:val="00F07D75"/>
    <w:rsid w:val="00F10DBC"/>
    <w:rsid w:val="00F21558"/>
    <w:rsid w:val="00F22E29"/>
    <w:rsid w:val="00F23310"/>
    <w:rsid w:val="00F43546"/>
    <w:rsid w:val="00F47D0B"/>
    <w:rsid w:val="00F7538A"/>
    <w:rsid w:val="00F90497"/>
    <w:rsid w:val="00FA1623"/>
    <w:rsid w:val="00FB2DA7"/>
    <w:rsid w:val="00FC2096"/>
    <w:rsid w:val="00FC52EB"/>
    <w:rsid w:val="00FC6667"/>
    <w:rsid w:val="00FD62A3"/>
    <w:rsid w:val="00FE197E"/>
    <w:rsid w:val="00FE1ED8"/>
    <w:rsid w:val="00FE22D4"/>
    <w:rsid w:val="00FE7C9A"/>
    <w:rsid w:val="00FF0DA9"/>
    <w:rsid w:val="00FF1CBE"/>
    <w:rsid w:val="00FF3986"/>
    <w:rsid w:val="00FF5A34"/>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1360B"/>
  <w15:docId w15:val="{AAF5A6CE-5F57-44BB-8410-7906714B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B9F"/>
    <w:pPr>
      <w:adjustRightInd w:val="0"/>
      <w:snapToGrid w:val="0"/>
      <w:spacing w:before="120" w:after="120" w:line="264" w:lineRule="auto"/>
      <w:jc w:val="both"/>
    </w:pPr>
    <w:rPr>
      <w:rFonts w:ascii="Arial" w:hAnsi="Arial"/>
      <w:sz w:val="22"/>
      <w:szCs w:val="24"/>
      <w:lang w:val="es-ES_tradnl" w:eastAsia="en-US"/>
    </w:rPr>
  </w:style>
  <w:style w:type="paragraph" w:styleId="Ttulo1">
    <w:name w:val="heading 1"/>
    <w:basedOn w:val="Normal"/>
    <w:next w:val="Normal"/>
    <w:link w:val="Ttulo1Car"/>
    <w:qFormat/>
    <w:rsid w:val="00F16D08"/>
    <w:pPr>
      <w:keepNext/>
      <w:numPr>
        <w:numId w:val="18"/>
      </w:numPr>
      <w:spacing w:before="240" w:after="60"/>
      <w:outlineLvl w:val="0"/>
    </w:pPr>
    <w:rPr>
      <w:rFonts w:ascii="Calibri" w:eastAsia="Times New Roman" w:hAnsi="Calibri"/>
      <w:b/>
      <w:bCs/>
      <w:kern w:val="32"/>
      <w:sz w:val="32"/>
      <w:szCs w:val="32"/>
    </w:rPr>
  </w:style>
  <w:style w:type="paragraph" w:styleId="Ttulo3">
    <w:name w:val="heading 3"/>
    <w:basedOn w:val="Normal"/>
    <w:next w:val="Normal"/>
    <w:link w:val="Ttulo3Car"/>
    <w:unhideWhenUsed/>
    <w:qFormat/>
    <w:rsid w:val="00C52178"/>
    <w:pPr>
      <w:keepNext/>
      <w:keepLines/>
      <w:spacing w:before="180"/>
      <w:outlineLvl w:val="2"/>
    </w:pPr>
    <w:rPr>
      <w:rFonts w:ascii="Times New Roman" w:eastAsiaTheme="majorEastAsia" w:hAnsi="Times New Roman"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VACMNormal">
    <w:name w:val="JVACM Normal"/>
    <w:basedOn w:val="Normal"/>
    <w:link w:val="JVACMNormalCar"/>
    <w:qFormat/>
    <w:rsid w:val="00D01B04"/>
    <w:rPr>
      <w:rFonts w:cs="Arial"/>
      <w:szCs w:val="22"/>
    </w:rPr>
  </w:style>
  <w:style w:type="paragraph" w:customStyle="1" w:styleId="JVACMTtulo">
    <w:name w:val="JVACM Título"/>
    <w:basedOn w:val="JVACMNormal"/>
    <w:next w:val="JVACMAutor"/>
    <w:qFormat/>
    <w:rsid w:val="001450CE"/>
    <w:pPr>
      <w:pageBreakBefore/>
      <w:jc w:val="center"/>
    </w:pPr>
    <w:rPr>
      <w:b/>
      <w:caps/>
      <w:sz w:val="32"/>
    </w:rPr>
  </w:style>
  <w:style w:type="paragraph" w:customStyle="1" w:styleId="JVACMResumen">
    <w:name w:val="JVACM Resumen"/>
    <w:basedOn w:val="JVACMNormal"/>
    <w:next w:val="JVACMNormal"/>
    <w:qFormat/>
    <w:rsid w:val="008A296D"/>
    <w:rPr>
      <w:i/>
    </w:rPr>
  </w:style>
  <w:style w:type="paragraph" w:customStyle="1" w:styleId="JVACMTtuloIngls">
    <w:name w:val="JVACM Título Inglés"/>
    <w:basedOn w:val="JVACMNormal"/>
    <w:next w:val="JVACMNormal"/>
    <w:qFormat/>
    <w:rsid w:val="00F041CD"/>
    <w:pPr>
      <w:keepNext/>
      <w:spacing w:before="240" w:after="240"/>
      <w:jc w:val="center"/>
    </w:pPr>
    <w:rPr>
      <w:b/>
      <w:sz w:val="28"/>
      <w:lang w:val="en-GB"/>
    </w:rPr>
  </w:style>
  <w:style w:type="paragraph" w:customStyle="1" w:styleId="JVACMNivel1">
    <w:name w:val="JVACM Nivel 1"/>
    <w:basedOn w:val="JVACMNormal"/>
    <w:next w:val="JVACMNormal"/>
    <w:qFormat/>
    <w:rsid w:val="00B83EB3"/>
    <w:pPr>
      <w:keepNext/>
      <w:spacing w:before="240"/>
      <w:jc w:val="left"/>
    </w:pPr>
    <w:rPr>
      <w:b/>
      <w:caps/>
    </w:rPr>
  </w:style>
  <w:style w:type="paragraph" w:customStyle="1" w:styleId="JVACMNivel2">
    <w:name w:val="JVACM Nivel 2"/>
    <w:basedOn w:val="JVACMNormal"/>
    <w:next w:val="JVACMNormal"/>
    <w:qFormat/>
    <w:rsid w:val="00B83EB3"/>
    <w:pPr>
      <w:keepNext/>
      <w:spacing w:before="180"/>
      <w:jc w:val="left"/>
    </w:pPr>
    <w:rPr>
      <w:b/>
    </w:rPr>
  </w:style>
  <w:style w:type="paragraph" w:styleId="Encabezado">
    <w:name w:val="header"/>
    <w:basedOn w:val="Normal"/>
    <w:link w:val="EncabezadoCar"/>
    <w:rsid w:val="008F6435"/>
    <w:pPr>
      <w:tabs>
        <w:tab w:val="center" w:pos="4252"/>
        <w:tab w:val="right" w:pos="8504"/>
      </w:tabs>
      <w:spacing w:before="0" w:after="0" w:line="240" w:lineRule="auto"/>
    </w:pPr>
  </w:style>
  <w:style w:type="character" w:customStyle="1" w:styleId="Ttulo3Car">
    <w:name w:val="Título 3 Car"/>
    <w:basedOn w:val="Fuentedeprrafopredeter"/>
    <w:link w:val="Ttulo3"/>
    <w:rsid w:val="00C52178"/>
    <w:rPr>
      <w:rFonts w:ascii="Times New Roman" w:eastAsiaTheme="majorEastAsia" w:hAnsi="Times New Roman" w:cstheme="majorBidi"/>
      <w:i/>
      <w:sz w:val="24"/>
      <w:szCs w:val="24"/>
      <w:lang w:val="es-ES_tradnl" w:eastAsia="en-US"/>
    </w:rPr>
  </w:style>
  <w:style w:type="paragraph" w:customStyle="1" w:styleId="JVACMNivel3">
    <w:name w:val="JVACM Nivel 3"/>
    <w:basedOn w:val="Ttulo3"/>
    <w:next w:val="JVACMNormal"/>
    <w:link w:val="JVACMNivel3Car"/>
    <w:qFormat/>
    <w:rsid w:val="008F6435"/>
    <w:pPr>
      <w:keepLines w:val="0"/>
    </w:pPr>
    <w:rPr>
      <w:rFonts w:ascii="Arial" w:hAnsi="Arial" w:cs="Arial"/>
      <w:iCs/>
    </w:rPr>
  </w:style>
  <w:style w:type="paragraph" w:customStyle="1" w:styleId="JVACMNotaapie">
    <w:name w:val="JVACM Nota a pie"/>
    <w:basedOn w:val="JVACMNormal"/>
    <w:next w:val="JVACMNormal"/>
    <w:qFormat/>
    <w:rsid w:val="00746F3A"/>
    <w:pPr>
      <w:spacing w:before="0" w:after="0" w:line="240" w:lineRule="auto"/>
      <w:ind w:left="142" w:hanging="142"/>
    </w:pPr>
    <w:rPr>
      <w:sz w:val="20"/>
    </w:rPr>
  </w:style>
  <w:style w:type="paragraph" w:styleId="Textonotapie">
    <w:name w:val="footnote text"/>
    <w:basedOn w:val="Normal"/>
    <w:link w:val="TextonotapieCar"/>
    <w:rsid w:val="008F04E7"/>
  </w:style>
  <w:style w:type="character" w:customStyle="1" w:styleId="TextonotapieCar">
    <w:name w:val="Texto nota pie Car"/>
    <w:link w:val="Textonotapie"/>
    <w:rsid w:val="008F04E7"/>
    <w:rPr>
      <w:sz w:val="24"/>
      <w:szCs w:val="24"/>
      <w:lang w:eastAsia="en-US"/>
    </w:rPr>
  </w:style>
  <w:style w:type="character" w:styleId="Refdenotaalpie">
    <w:name w:val="footnote reference"/>
    <w:rsid w:val="008F04E7"/>
    <w:rPr>
      <w:vertAlign w:val="superscript"/>
    </w:rPr>
  </w:style>
  <w:style w:type="character" w:customStyle="1" w:styleId="JVACMNivel3Car">
    <w:name w:val="JVACM Nivel 3 Car"/>
    <w:basedOn w:val="Ttulo3Car"/>
    <w:link w:val="JVACMNivel3"/>
    <w:rsid w:val="008F6435"/>
    <w:rPr>
      <w:rFonts w:ascii="Arial" w:eastAsiaTheme="majorEastAsia" w:hAnsi="Arial" w:cs="Arial"/>
      <w:i/>
      <w:iCs/>
      <w:sz w:val="22"/>
      <w:szCs w:val="24"/>
      <w:lang w:val="es-ES_tradnl" w:eastAsia="en-US"/>
    </w:rPr>
  </w:style>
  <w:style w:type="character" w:customStyle="1" w:styleId="EncabezadoCar">
    <w:name w:val="Encabezado Car"/>
    <w:basedOn w:val="Fuentedeprrafopredeter"/>
    <w:link w:val="Encabezado"/>
    <w:rsid w:val="008F6435"/>
    <w:rPr>
      <w:rFonts w:ascii="Arial" w:hAnsi="Arial"/>
      <w:sz w:val="22"/>
      <w:szCs w:val="24"/>
      <w:lang w:val="es-ES_tradnl" w:eastAsia="en-US"/>
    </w:rPr>
  </w:style>
  <w:style w:type="paragraph" w:styleId="Piedepgina">
    <w:name w:val="footer"/>
    <w:basedOn w:val="Normal"/>
    <w:link w:val="PiedepginaCar"/>
    <w:uiPriority w:val="99"/>
    <w:rsid w:val="008F643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F6435"/>
    <w:rPr>
      <w:rFonts w:ascii="Arial" w:hAnsi="Arial"/>
      <w:sz w:val="22"/>
      <w:szCs w:val="24"/>
      <w:lang w:val="es-ES_tradnl" w:eastAsia="en-US"/>
    </w:rPr>
  </w:style>
  <w:style w:type="character" w:customStyle="1" w:styleId="Ttulo1Car">
    <w:name w:val="Título 1 Car"/>
    <w:link w:val="Ttulo1"/>
    <w:rsid w:val="00F16D08"/>
    <w:rPr>
      <w:rFonts w:ascii="Calibri" w:eastAsia="Times New Roman" w:hAnsi="Calibri" w:cs="Times New Roman"/>
      <w:b/>
      <w:bCs/>
      <w:kern w:val="32"/>
      <w:sz w:val="32"/>
      <w:szCs w:val="32"/>
      <w:lang w:eastAsia="en-US"/>
    </w:rPr>
  </w:style>
  <w:style w:type="paragraph" w:customStyle="1" w:styleId="JVACMVieta">
    <w:name w:val="JVACM Viñeta"/>
    <w:basedOn w:val="JVACMNormal"/>
    <w:link w:val="JVACMVietaCar"/>
    <w:qFormat/>
    <w:rsid w:val="00595578"/>
    <w:pPr>
      <w:numPr>
        <w:numId w:val="19"/>
      </w:numPr>
    </w:pPr>
  </w:style>
  <w:style w:type="paragraph" w:customStyle="1" w:styleId="JVACMCita">
    <w:name w:val="JVACM Cita"/>
    <w:basedOn w:val="JVACMNormal"/>
    <w:next w:val="JVACMNormal"/>
    <w:rsid w:val="00DC4398"/>
    <w:pPr>
      <w:spacing w:before="0" w:after="0"/>
      <w:ind w:left="567" w:right="284"/>
    </w:pPr>
    <w:rPr>
      <w:sz w:val="21"/>
      <w:szCs w:val="21"/>
    </w:rPr>
  </w:style>
  <w:style w:type="paragraph" w:customStyle="1" w:styleId="JVACMReferencias">
    <w:name w:val="JVACM Referencias"/>
    <w:basedOn w:val="JVACMNormal"/>
    <w:qFormat/>
    <w:rsid w:val="00E42608"/>
    <w:pPr>
      <w:spacing w:before="0" w:after="0"/>
      <w:ind w:left="284" w:hanging="284"/>
    </w:pPr>
  </w:style>
  <w:style w:type="paragraph" w:customStyle="1" w:styleId="JVACMPiedefigura">
    <w:name w:val="JVACM Pie de figura"/>
    <w:basedOn w:val="JVACMNormal"/>
    <w:next w:val="JVACMNormal"/>
    <w:qFormat/>
    <w:rsid w:val="00571BA6"/>
    <w:pPr>
      <w:jc w:val="center"/>
    </w:pPr>
  </w:style>
  <w:style w:type="paragraph" w:customStyle="1" w:styleId="JVACMTabla">
    <w:name w:val="JVACM Tabla"/>
    <w:basedOn w:val="JVACMNormal"/>
    <w:qFormat/>
    <w:rsid w:val="00771CCE"/>
    <w:pPr>
      <w:spacing w:before="0" w:after="0"/>
    </w:pPr>
  </w:style>
  <w:style w:type="paragraph" w:customStyle="1" w:styleId="JVACMEncabezadotabla">
    <w:name w:val="JVACM Encabezado tabla"/>
    <w:basedOn w:val="JVACMNormal"/>
    <w:next w:val="JVACMNormal"/>
    <w:qFormat/>
    <w:rsid w:val="006918C6"/>
    <w:pPr>
      <w:keepNext/>
      <w:jc w:val="center"/>
    </w:pPr>
  </w:style>
  <w:style w:type="paragraph" w:customStyle="1" w:styleId="JVACMDilogonumerado">
    <w:name w:val="JVACM Diálogo numerado"/>
    <w:basedOn w:val="JVACMNormal"/>
    <w:qFormat/>
    <w:rsid w:val="006F1D2A"/>
    <w:pPr>
      <w:numPr>
        <w:numId w:val="21"/>
      </w:numPr>
      <w:tabs>
        <w:tab w:val="left" w:pos="993"/>
        <w:tab w:val="left" w:pos="1418"/>
      </w:tabs>
      <w:spacing w:before="0" w:after="0"/>
      <w:ind w:left="1406" w:hanging="839"/>
    </w:pPr>
  </w:style>
  <w:style w:type="paragraph" w:customStyle="1" w:styleId="JVACMDilogo">
    <w:name w:val="JVACM Diálogo"/>
    <w:basedOn w:val="Normal"/>
    <w:qFormat/>
    <w:rsid w:val="006F1D2A"/>
    <w:pPr>
      <w:tabs>
        <w:tab w:val="left" w:pos="1134"/>
      </w:tabs>
      <w:spacing w:before="0" w:after="0"/>
      <w:ind w:left="1134" w:hanging="567"/>
    </w:pPr>
    <w:rPr>
      <w:rFonts w:cs="Arial"/>
    </w:rPr>
  </w:style>
  <w:style w:type="character" w:styleId="Nmerodepgina">
    <w:name w:val="page number"/>
    <w:basedOn w:val="Fuentedeprrafopredeter"/>
    <w:rsid w:val="006C6042"/>
  </w:style>
  <w:style w:type="paragraph" w:customStyle="1" w:styleId="JVACMPiedepgina">
    <w:name w:val="JVACM Pie de página"/>
    <w:basedOn w:val="Normal"/>
    <w:qFormat/>
    <w:rsid w:val="008F6435"/>
    <w:rPr>
      <w:rFonts w:cs="Arial"/>
      <w:sz w:val="18"/>
      <w:szCs w:val="22"/>
    </w:rPr>
  </w:style>
  <w:style w:type="paragraph" w:customStyle="1" w:styleId="JVACMAutor">
    <w:name w:val="JVACM Autor"/>
    <w:basedOn w:val="JVACMNormal"/>
    <w:qFormat/>
    <w:rsid w:val="000A15F1"/>
    <w:pPr>
      <w:jc w:val="center"/>
    </w:pPr>
  </w:style>
  <w:style w:type="character" w:customStyle="1" w:styleId="JVACMVietaCar">
    <w:name w:val="JVACM Viñeta Car"/>
    <w:link w:val="JVACMVieta"/>
    <w:rsid w:val="00595578"/>
    <w:rPr>
      <w:rFonts w:ascii="Arial" w:hAnsi="Arial" w:cs="Arial"/>
      <w:sz w:val="22"/>
      <w:szCs w:val="22"/>
      <w:lang w:val="es-ES_tradnl" w:eastAsia="en-US"/>
    </w:rPr>
  </w:style>
  <w:style w:type="paragraph" w:customStyle="1" w:styleId="JVACMEncabezado">
    <w:name w:val="JVACM Encabezado"/>
    <w:basedOn w:val="JVACMNormal"/>
    <w:link w:val="JVACMEncabezadoCar"/>
    <w:qFormat/>
    <w:rsid w:val="008F6435"/>
    <w:pPr>
      <w:jc w:val="left"/>
    </w:pPr>
    <w:rPr>
      <w:sz w:val="20"/>
      <w:szCs w:val="20"/>
    </w:rPr>
  </w:style>
  <w:style w:type="character" w:customStyle="1" w:styleId="JVACMNormalCar">
    <w:name w:val="JVACM Normal Car"/>
    <w:link w:val="JVACMNormal"/>
    <w:rsid w:val="00D01B04"/>
    <w:rPr>
      <w:rFonts w:ascii="Arial" w:hAnsi="Arial" w:cs="Arial"/>
      <w:sz w:val="22"/>
      <w:szCs w:val="22"/>
      <w:lang w:val="es-ES_tradnl" w:eastAsia="en-US"/>
    </w:rPr>
  </w:style>
  <w:style w:type="character" w:customStyle="1" w:styleId="JVACMEncabezadoCar">
    <w:name w:val="JVACM Encabezado Car"/>
    <w:basedOn w:val="JVACMNormalCar"/>
    <w:link w:val="JVACMEncabezado"/>
    <w:rsid w:val="008F6435"/>
    <w:rPr>
      <w:rFonts w:ascii="Arial" w:hAnsi="Arial" w:cs="Arial"/>
      <w:sz w:val="22"/>
      <w:szCs w:val="22"/>
      <w:lang w:val="es-ES_tradnl" w:eastAsia="en-US"/>
    </w:rPr>
  </w:style>
  <w:style w:type="paragraph" w:customStyle="1" w:styleId="JVACMNumerado">
    <w:name w:val="JVACM Numerado"/>
    <w:basedOn w:val="JVACMDilogonumerado"/>
    <w:qFormat/>
    <w:rsid w:val="00601B04"/>
    <w:pPr>
      <w:spacing w:before="120"/>
    </w:pPr>
  </w:style>
  <w:style w:type="paragraph" w:styleId="Textodeglobo">
    <w:name w:val="Balloon Text"/>
    <w:basedOn w:val="Normal"/>
    <w:link w:val="TextodegloboCar"/>
    <w:rsid w:val="005631C1"/>
    <w:pPr>
      <w:spacing w:before="0" w:after="0" w:line="240" w:lineRule="auto"/>
    </w:pPr>
    <w:rPr>
      <w:rFonts w:ascii="Times New Roman" w:hAnsi="Times New Roman"/>
      <w:sz w:val="18"/>
      <w:szCs w:val="18"/>
    </w:rPr>
  </w:style>
  <w:style w:type="character" w:customStyle="1" w:styleId="TextodegloboCar">
    <w:name w:val="Texto de globo Car"/>
    <w:basedOn w:val="Fuentedeprrafopredeter"/>
    <w:link w:val="Textodeglobo"/>
    <w:rsid w:val="005631C1"/>
    <w:rPr>
      <w:rFonts w:ascii="Times New Roman" w:hAnsi="Times New Roman"/>
      <w:sz w:val="18"/>
      <w:szCs w:val="18"/>
      <w:lang w:val="es-ES_tradnl" w:eastAsia="en-US"/>
    </w:rPr>
  </w:style>
  <w:style w:type="character" w:styleId="Hipervnculo">
    <w:name w:val="Hyperlink"/>
    <w:basedOn w:val="Fuentedeprrafopredeter"/>
    <w:unhideWhenUsed/>
    <w:rsid w:val="009835C4"/>
    <w:rPr>
      <w:color w:val="0563C1" w:themeColor="hyperlink"/>
      <w:u w:val="single"/>
    </w:rPr>
  </w:style>
  <w:style w:type="character" w:customStyle="1" w:styleId="Mencinsinresolver1">
    <w:name w:val="Mención sin resolver1"/>
    <w:basedOn w:val="Fuentedeprrafopredeter"/>
    <w:uiPriority w:val="99"/>
    <w:semiHidden/>
    <w:unhideWhenUsed/>
    <w:rsid w:val="009835C4"/>
    <w:rPr>
      <w:color w:val="605E5C"/>
      <w:shd w:val="clear" w:color="auto" w:fill="E1DFDD"/>
    </w:rPr>
  </w:style>
  <w:style w:type="character" w:styleId="Textodelmarcadordeposicin">
    <w:name w:val="Placeholder Text"/>
    <w:basedOn w:val="Fuentedeprrafopredeter"/>
    <w:semiHidden/>
    <w:rsid w:val="00E40B58"/>
    <w:rPr>
      <w:color w:val="808080"/>
    </w:rPr>
  </w:style>
  <w:style w:type="paragraph" w:styleId="Textocomentario">
    <w:name w:val="annotation text"/>
    <w:basedOn w:val="Normal"/>
    <w:link w:val="TextocomentarioCar"/>
    <w:uiPriority w:val="99"/>
    <w:unhideWhenUsed/>
    <w:rsid w:val="001F0528"/>
    <w:pPr>
      <w:adjustRightInd/>
      <w:snapToGrid/>
      <w:spacing w:before="0" w:after="160" w:line="240" w:lineRule="auto"/>
    </w:pPr>
    <w:rPr>
      <w:rFonts w:ascii="Times New Roman" w:eastAsiaTheme="minorHAnsi" w:hAnsi="Times New Roman" w:cstheme="minorBidi"/>
      <w:sz w:val="20"/>
      <w:szCs w:val="20"/>
      <w:lang w:val="es-ES"/>
    </w:rPr>
  </w:style>
  <w:style w:type="character" w:customStyle="1" w:styleId="TextocomentarioCar">
    <w:name w:val="Texto comentario Car"/>
    <w:basedOn w:val="Fuentedeprrafopredeter"/>
    <w:link w:val="Textocomentario"/>
    <w:uiPriority w:val="99"/>
    <w:rsid w:val="001F0528"/>
    <w:rPr>
      <w:rFonts w:ascii="Times New Roman" w:eastAsiaTheme="minorHAnsi" w:hAnsi="Times New Roman" w:cstheme="minorBidi"/>
      <w:lang w:eastAsia="en-US"/>
    </w:rPr>
  </w:style>
  <w:style w:type="character" w:styleId="Refdecomentario">
    <w:name w:val="annotation reference"/>
    <w:basedOn w:val="Fuentedeprrafopredeter"/>
    <w:semiHidden/>
    <w:unhideWhenUsed/>
    <w:rsid w:val="00876269"/>
    <w:rPr>
      <w:sz w:val="16"/>
      <w:szCs w:val="16"/>
    </w:rPr>
  </w:style>
  <w:style w:type="paragraph" w:styleId="Asuntodelcomentario">
    <w:name w:val="annotation subject"/>
    <w:basedOn w:val="Textocomentario"/>
    <w:next w:val="Textocomentario"/>
    <w:link w:val="AsuntodelcomentarioCar"/>
    <w:semiHidden/>
    <w:unhideWhenUsed/>
    <w:rsid w:val="00876269"/>
    <w:pPr>
      <w:adjustRightInd w:val="0"/>
      <w:snapToGrid w:val="0"/>
      <w:spacing w:before="120" w:after="120"/>
    </w:pPr>
    <w:rPr>
      <w:rFonts w:ascii="Arial" w:eastAsia="Cambria" w:hAnsi="Arial" w:cs="Times New Roman"/>
      <w:b/>
      <w:bCs/>
      <w:lang w:val="es-ES_tradnl"/>
    </w:rPr>
  </w:style>
  <w:style w:type="character" w:customStyle="1" w:styleId="AsuntodelcomentarioCar">
    <w:name w:val="Asunto del comentario Car"/>
    <w:basedOn w:val="TextocomentarioCar"/>
    <w:link w:val="Asuntodelcomentario"/>
    <w:semiHidden/>
    <w:rsid w:val="00876269"/>
    <w:rPr>
      <w:rFonts w:ascii="Arial" w:eastAsiaTheme="minorHAnsi" w:hAnsi="Arial" w:cstheme="minorBidi"/>
      <w:b/>
      <w:bCs/>
      <w:lang w:val="es-ES_tradnl" w:eastAsia="en-US"/>
    </w:rPr>
  </w:style>
  <w:style w:type="paragraph" w:styleId="Revisin">
    <w:name w:val="Revision"/>
    <w:hidden/>
    <w:semiHidden/>
    <w:rsid w:val="006B151A"/>
    <w:rPr>
      <w:rFonts w:ascii="Arial" w:hAnsi="Arial"/>
      <w:sz w:val="22"/>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2082946019">
      <w:bodyDiv w:val="1"/>
      <w:marLeft w:val="0"/>
      <w:marRight w:val="0"/>
      <w:marTop w:val="0"/>
      <w:marBottom w:val="0"/>
      <w:divBdr>
        <w:top w:val="none" w:sz="0" w:space="0" w:color="auto"/>
        <w:left w:val="none" w:sz="0" w:space="0" w:color="auto"/>
        <w:bottom w:val="none" w:sz="0" w:space="0" w:color="auto"/>
        <w:right w:val="none" w:sz="0" w:space="0" w:color="auto"/>
      </w:divBdr>
      <w:divsChild>
        <w:div w:id="166169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A21A-6C30-4C78-B89C-A1A16FE9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3783</Words>
  <Characters>20809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Plantilla actas JVACM20</vt:lpstr>
    </vt:vector>
  </TitlesOfParts>
  <Manager/>
  <Company/>
  <LinksUpToDate>false</LinksUpToDate>
  <CharactersWithSpaces>24543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actas JVACM20</dc:title>
  <dc:subject/>
  <dc:creator>JVACM20 AG</dc:creator>
  <cp:keywords/>
  <dc:description/>
  <cp:lastModifiedBy>Alba Damián Gómez</cp:lastModifiedBy>
  <cp:revision>12</cp:revision>
  <cp:lastPrinted>2020-10-29T12:03:00Z</cp:lastPrinted>
  <dcterms:created xsi:type="dcterms:W3CDTF">2020-10-28T23:47:00Z</dcterms:created>
  <dcterms:modified xsi:type="dcterms:W3CDTF">2020-10-30T17:43:00Z</dcterms:modified>
  <cp:category/>
</cp:coreProperties>
</file>