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CF" w:rsidRPr="00700E15" w:rsidRDefault="008A38CF" w:rsidP="008A38CF">
      <w:pPr>
        <w:pStyle w:val="Ttulo"/>
        <w:jc w:val="center"/>
        <w:rPr>
          <w:rFonts w:ascii="Times New Roman" w:hAnsi="Times New Roman" w:cs="Times New Roman"/>
          <w:b/>
          <w:sz w:val="28"/>
          <w:szCs w:val="28"/>
        </w:rPr>
      </w:pPr>
      <w:bookmarkStart w:id="0" w:name="_Toc517327316"/>
      <w:bookmarkStart w:id="1" w:name="_GoBack"/>
      <w:r>
        <w:rPr>
          <w:rFonts w:ascii="Times New Roman" w:hAnsi="Times New Roman" w:cs="Times New Roman"/>
          <w:b/>
          <w:sz w:val="28"/>
          <w:szCs w:val="28"/>
        </w:rPr>
        <w:t xml:space="preserve">A </w:t>
      </w:r>
      <w:r w:rsidR="006057CF">
        <w:rPr>
          <w:rFonts w:ascii="Times New Roman" w:hAnsi="Times New Roman" w:cs="Times New Roman"/>
          <w:b/>
          <w:sz w:val="28"/>
          <w:szCs w:val="28"/>
        </w:rPr>
        <w:t xml:space="preserve">paradigm </w:t>
      </w:r>
      <w:r>
        <w:rPr>
          <w:rFonts w:ascii="Times New Roman" w:hAnsi="Times New Roman" w:cs="Times New Roman"/>
          <w:b/>
          <w:sz w:val="28"/>
          <w:szCs w:val="28"/>
        </w:rPr>
        <w:t>s</w:t>
      </w:r>
      <w:r w:rsidRPr="00700E15">
        <w:rPr>
          <w:rFonts w:ascii="Times New Roman" w:hAnsi="Times New Roman" w:cs="Times New Roman"/>
          <w:b/>
          <w:sz w:val="28"/>
          <w:szCs w:val="28"/>
        </w:rPr>
        <w:t>hift in the governance of sustainable development: Citizens’ empowerment</w:t>
      </w:r>
    </w:p>
    <w:bookmarkEnd w:id="1"/>
    <w:p w:rsidR="008A38CF" w:rsidRPr="00700E15" w:rsidRDefault="008A38CF" w:rsidP="008A38CF">
      <w:pPr>
        <w:rPr>
          <w:rFonts w:ascii="Times New Roman" w:hAnsi="Times New Roman" w:cs="Times New Roman"/>
          <w:sz w:val="24"/>
          <w:szCs w:val="24"/>
        </w:rPr>
      </w:pPr>
    </w:p>
    <w:p w:rsidR="008A38CF" w:rsidRPr="00700E15" w:rsidRDefault="008A38CF" w:rsidP="008A38CF">
      <w:pPr>
        <w:spacing w:line="240" w:lineRule="auto"/>
        <w:jc w:val="center"/>
        <w:rPr>
          <w:rFonts w:ascii="Times New Roman" w:hAnsi="Times New Roman" w:cs="Times New Roman"/>
          <w:b/>
          <w:sz w:val="24"/>
          <w:szCs w:val="24"/>
        </w:rPr>
      </w:pPr>
      <w:r w:rsidRPr="00700E15">
        <w:rPr>
          <w:rFonts w:ascii="Times New Roman" w:hAnsi="Times New Roman" w:cs="Times New Roman"/>
          <w:b/>
          <w:color w:val="auto"/>
          <w:sz w:val="24"/>
          <w:szCs w:val="24"/>
        </w:rPr>
        <w:t>By</w:t>
      </w:r>
      <w:r w:rsidRPr="00700E15">
        <w:rPr>
          <w:rFonts w:ascii="Times New Roman" w:hAnsi="Times New Roman" w:cs="Times New Roman"/>
          <w:b/>
          <w:color w:val="auto"/>
          <w:sz w:val="24"/>
          <w:szCs w:val="24"/>
        </w:rPr>
        <w:br/>
      </w:r>
      <w:r w:rsidRPr="00700E15">
        <w:rPr>
          <w:rFonts w:ascii="Times New Roman" w:hAnsi="Times New Roman" w:cs="Times New Roman"/>
          <w:b/>
          <w:sz w:val="24"/>
          <w:szCs w:val="24"/>
        </w:rPr>
        <w:t>Rafael Leal-Arcas</w:t>
      </w:r>
      <w:r w:rsidRPr="00700E15">
        <w:rPr>
          <w:rFonts w:ascii="Times New Roman" w:hAnsi="Times New Roman" w:cs="Times New Roman"/>
          <w:b/>
          <w:sz w:val="24"/>
          <w:szCs w:val="24"/>
        </w:rPr>
        <w:footnoteReference w:customMarkFollows="1" w:id="1"/>
        <w:sym w:font="Symbol" w:char="F02A"/>
      </w:r>
    </w:p>
    <w:p w:rsidR="008A38CF" w:rsidRPr="00700E15" w:rsidRDefault="008A38CF" w:rsidP="008A38CF">
      <w:pPr>
        <w:rPr>
          <w:rFonts w:ascii="Times New Roman" w:hAnsi="Times New Roman" w:cs="Times New Roman"/>
          <w:sz w:val="24"/>
          <w:szCs w:val="24"/>
        </w:rPr>
      </w:pPr>
    </w:p>
    <w:p w:rsidR="008A38CF" w:rsidRPr="004B0BC7" w:rsidRDefault="008A38CF" w:rsidP="008A38CF">
      <w:pPr>
        <w:pStyle w:val="Ttulo1"/>
        <w:numPr>
          <w:ilvl w:val="0"/>
          <w:numId w:val="6"/>
        </w:numPr>
        <w:rPr>
          <w:rFonts w:ascii="Times New Roman" w:hAnsi="Times New Roman" w:cs="Times New Roman"/>
          <w:b/>
          <w:color w:val="auto"/>
          <w:sz w:val="24"/>
          <w:szCs w:val="24"/>
        </w:rPr>
      </w:pPr>
      <w:r w:rsidRPr="004B0BC7">
        <w:rPr>
          <w:rFonts w:ascii="Times New Roman" w:hAnsi="Times New Roman" w:cs="Times New Roman"/>
          <w:b/>
          <w:color w:val="auto"/>
          <w:sz w:val="24"/>
          <w:szCs w:val="24"/>
        </w:rPr>
        <w:t>Introduction</w:t>
      </w:r>
    </w:p>
    <w:p w:rsidR="008A38CF" w:rsidRPr="00700E15" w:rsidRDefault="008A38CF" w:rsidP="008A38CF">
      <w:pPr>
        <w:jc w:val="both"/>
        <w:rPr>
          <w:rFonts w:ascii="Times New Roman" w:hAnsi="Times New Roman" w:cs="Times New Roman"/>
          <w:sz w:val="24"/>
          <w:szCs w:val="24"/>
        </w:rPr>
      </w:pPr>
      <w:r w:rsidRPr="00700E15">
        <w:rPr>
          <w:rFonts w:ascii="Times New Roman" w:eastAsia="Times New Roman" w:hAnsi="Times New Roman" w:cs="Times New Roman"/>
          <w:sz w:val="24"/>
          <w:szCs w:val="24"/>
        </w:rPr>
        <w:t>This chapter examines a novel approach to sustainable development by focusing on the potential role of citizens in international trade, climate change mitigation, and sustainable energy. This chapter argues that this novel approach is crucial to reach sustainability.</w:t>
      </w:r>
      <w:r w:rsidRPr="00700E15">
        <w:rPr>
          <w:rStyle w:val="Refdenotaalpie"/>
          <w:rFonts w:ascii="Times New Roman" w:eastAsia="Times New Roman" w:hAnsi="Times New Roman" w:cs="Times New Roman"/>
          <w:sz w:val="24"/>
          <w:szCs w:val="24"/>
        </w:rPr>
        <w:footnoteReference w:id="2"/>
      </w:r>
      <w:r w:rsidRPr="00700E15">
        <w:rPr>
          <w:rFonts w:ascii="Times New Roman" w:eastAsia="Times New Roman" w:hAnsi="Times New Roman" w:cs="Times New Roman"/>
          <w:sz w:val="24"/>
          <w:szCs w:val="24"/>
        </w:rPr>
        <w:t xml:space="preserve"> </w:t>
      </w:r>
      <w:r w:rsidRPr="00700E15">
        <w:rPr>
          <w:rFonts w:ascii="Times New Roman" w:hAnsi="Times New Roman" w:cs="Times New Roman"/>
          <w:sz w:val="24"/>
          <w:szCs w:val="24"/>
        </w:rPr>
        <w:t>This chapter aims to explain the paradigm shift in the governance of sustainable development: the 20</w:t>
      </w:r>
      <w:r w:rsidRPr="00700E15">
        <w:rPr>
          <w:rFonts w:ascii="Times New Roman" w:hAnsi="Times New Roman" w:cs="Times New Roman"/>
          <w:sz w:val="24"/>
          <w:szCs w:val="24"/>
          <w:vertAlign w:val="superscript"/>
        </w:rPr>
        <w:t>th</w:t>
      </w:r>
      <w:r w:rsidRPr="00700E15">
        <w:rPr>
          <w:rFonts w:ascii="Times New Roman" w:hAnsi="Times New Roman" w:cs="Times New Roman"/>
          <w:sz w:val="24"/>
          <w:szCs w:val="24"/>
        </w:rPr>
        <w:t xml:space="preserve"> century was characterized by a top-down approach to the governance of climate action (</w:t>
      </w:r>
      <w:proofErr w:type="spellStart"/>
      <w:proofErr w:type="gramStart"/>
      <w:r w:rsidRPr="00700E15">
        <w:rPr>
          <w:rFonts w:ascii="Times New Roman" w:hAnsi="Times New Roman" w:cs="Times New Roman"/>
          <w:sz w:val="24"/>
          <w:szCs w:val="24"/>
        </w:rPr>
        <w:t>eg</w:t>
      </w:r>
      <w:proofErr w:type="spellEnd"/>
      <w:r w:rsidRPr="00700E15">
        <w:rPr>
          <w:rFonts w:ascii="Times New Roman" w:hAnsi="Times New Roman" w:cs="Times New Roman"/>
          <w:sz w:val="24"/>
          <w:szCs w:val="24"/>
        </w:rPr>
        <w:t>.,</w:t>
      </w:r>
      <w:proofErr w:type="gramEnd"/>
      <w:r w:rsidRPr="00700E15">
        <w:rPr>
          <w:rFonts w:ascii="Times New Roman" w:hAnsi="Times New Roman" w:cs="Times New Roman"/>
          <w:sz w:val="24"/>
          <w:szCs w:val="24"/>
        </w:rPr>
        <w:t xml:space="preserve"> the Kyoto Protocol), energy (</w:t>
      </w:r>
      <w:proofErr w:type="spellStart"/>
      <w:r w:rsidRPr="00700E15">
        <w:rPr>
          <w:rFonts w:ascii="Times New Roman" w:hAnsi="Times New Roman" w:cs="Times New Roman"/>
          <w:sz w:val="24"/>
          <w:szCs w:val="24"/>
        </w:rPr>
        <w:t>eg</w:t>
      </w:r>
      <w:proofErr w:type="spellEnd"/>
      <w:r w:rsidRPr="00700E15">
        <w:rPr>
          <w:rFonts w:ascii="Times New Roman" w:hAnsi="Times New Roman" w:cs="Times New Roman"/>
          <w:sz w:val="24"/>
          <w:szCs w:val="24"/>
        </w:rPr>
        <w:t>., inter-governmental energy agreements), and international trade (</w:t>
      </w:r>
      <w:proofErr w:type="spellStart"/>
      <w:r w:rsidRPr="00700E15">
        <w:rPr>
          <w:rFonts w:ascii="Times New Roman" w:hAnsi="Times New Roman" w:cs="Times New Roman"/>
          <w:sz w:val="24"/>
          <w:szCs w:val="24"/>
        </w:rPr>
        <w:t>eg</w:t>
      </w:r>
      <w:proofErr w:type="spellEnd"/>
      <w:r w:rsidRPr="00700E15">
        <w:rPr>
          <w:rFonts w:ascii="Times New Roman" w:hAnsi="Times New Roman" w:cs="Times New Roman"/>
          <w:sz w:val="24"/>
          <w:szCs w:val="24"/>
        </w:rPr>
        <w:t xml:space="preserve">., inter-governmental trade agreements). </w:t>
      </w:r>
    </w:p>
    <w:p w:rsidR="008A38CF" w:rsidRPr="00700E15" w:rsidRDefault="008A38CF" w:rsidP="008A38CF">
      <w:pPr>
        <w:jc w:val="both"/>
        <w:rPr>
          <w:rFonts w:ascii="Times New Roman" w:hAnsi="Times New Roman" w:cs="Times New Roman"/>
          <w:sz w:val="24"/>
          <w:szCs w:val="24"/>
        </w:rPr>
      </w:pPr>
      <w:r w:rsidRPr="00700E15">
        <w:rPr>
          <w:rFonts w:ascii="Times New Roman" w:hAnsi="Times New Roman" w:cs="Times New Roman"/>
          <w:sz w:val="24"/>
          <w:szCs w:val="24"/>
        </w:rPr>
        <w:t>The 21</w:t>
      </w:r>
      <w:r w:rsidRPr="00700E15">
        <w:rPr>
          <w:rFonts w:ascii="Times New Roman" w:hAnsi="Times New Roman" w:cs="Times New Roman"/>
          <w:sz w:val="24"/>
          <w:szCs w:val="24"/>
          <w:vertAlign w:val="superscript"/>
        </w:rPr>
        <w:t>st</w:t>
      </w:r>
      <w:r w:rsidRPr="00700E15">
        <w:rPr>
          <w:rFonts w:ascii="Times New Roman" w:hAnsi="Times New Roman" w:cs="Times New Roman"/>
          <w:sz w:val="24"/>
          <w:szCs w:val="24"/>
        </w:rPr>
        <w:t xml:space="preserve"> century, however, offers a bottom-up approach, marking one of the mega-trends of the 21</w:t>
      </w:r>
      <w:r w:rsidRPr="00700E15">
        <w:rPr>
          <w:rFonts w:ascii="Times New Roman" w:hAnsi="Times New Roman" w:cs="Times New Roman"/>
          <w:sz w:val="24"/>
          <w:szCs w:val="24"/>
          <w:vertAlign w:val="superscript"/>
        </w:rPr>
        <w:t>st</w:t>
      </w:r>
      <w:r w:rsidRPr="00700E15">
        <w:rPr>
          <w:rFonts w:ascii="Times New Roman" w:hAnsi="Times New Roman" w:cs="Times New Roman"/>
          <w:sz w:val="24"/>
          <w:szCs w:val="24"/>
        </w:rPr>
        <w:t xml:space="preserve"> century: in climate action, the implementation of the Paris Agreement on Climate Change is done from the bottom up via citizens, NGOs, mayors, governors, businesses, or smart cities;</w:t>
      </w:r>
      <w:r w:rsidRPr="00700E15">
        <w:rPr>
          <w:rStyle w:val="Refdenotaalpie"/>
          <w:rFonts w:ascii="Times New Roman" w:hAnsi="Times New Roman" w:cs="Times New Roman"/>
          <w:sz w:val="24"/>
          <w:szCs w:val="24"/>
        </w:rPr>
        <w:footnoteReference w:id="3"/>
      </w:r>
      <w:r w:rsidRPr="00700E15">
        <w:rPr>
          <w:rFonts w:ascii="Times New Roman" w:hAnsi="Times New Roman" w:cs="Times New Roman"/>
          <w:sz w:val="24"/>
          <w:szCs w:val="24"/>
        </w:rPr>
        <w:t xml:space="preserve"> in energy governance, we are observing energy democratization by decentralizing the governance of energy security and creating new energy actors, namely prosumers</w:t>
      </w:r>
      <w:r w:rsidRPr="00700E15">
        <w:rPr>
          <w:rStyle w:val="Refdenotaalpie"/>
          <w:rFonts w:ascii="Times New Roman" w:hAnsi="Times New Roman" w:cs="Times New Roman"/>
          <w:sz w:val="24"/>
          <w:szCs w:val="24"/>
        </w:rPr>
        <w:footnoteReference w:id="4"/>
      </w:r>
      <w:r w:rsidRPr="00700E15">
        <w:rPr>
          <w:rFonts w:ascii="Times New Roman" w:hAnsi="Times New Roman" w:cs="Times New Roman"/>
          <w:sz w:val="24"/>
          <w:szCs w:val="24"/>
        </w:rPr>
        <w:t xml:space="preserve"> and renewable energy cooperatives. </w:t>
      </w:r>
    </w:p>
    <w:p w:rsidR="008A38CF" w:rsidRPr="00700E15" w:rsidRDefault="008A38CF" w:rsidP="008A38CF">
      <w:pPr>
        <w:spacing w:line="240" w:lineRule="auto"/>
        <w:jc w:val="both"/>
        <w:rPr>
          <w:rFonts w:ascii="Times New Roman" w:hAnsi="Times New Roman" w:cs="Times New Roman"/>
          <w:sz w:val="24"/>
          <w:szCs w:val="24"/>
        </w:rPr>
      </w:pPr>
      <w:r w:rsidRPr="00700E15">
        <w:rPr>
          <w:rFonts w:ascii="Times New Roman" w:hAnsi="Times New Roman" w:cs="Times New Roman"/>
          <w:sz w:val="24"/>
          <w:szCs w:val="24"/>
        </w:rPr>
        <w:t>How about the governance of international trade? How can it be governed from the bottom up so that there is an open trading system in political, legal, and economic terms? How can we have greater involvement of civil society? How can we empower citizens in trade diplomacy? Traditionally, trade policy has been conducted by trade diplomats. Should we not listen to citizens’ concerns and those of small and medium enterprises?</w:t>
      </w:r>
    </w:p>
    <w:p w:rsidR="008A38CF" w:rsidRPr="00700E15" w:rsidRDefault="008A38CF" w:rsidP="008A38CF">
      <w:pPr>
        <w:spacing w:line="240" w:lineRule="auto"/>
        <w:jc w:val="both"/>
        <w:rPr>
          <w:rFonts w:ascii="Times New Roman" w:hAnsi="Times New Roman" w:cs="Times New Roman"/>
          <w:color w:val="auto"/>
          <w:sz w:val="24"/>
          <w:szCs w:val="24"/>
        </w:rPr>
      </w:pPr>
      <w:r w:rsidRPr="00700E15">
        <w:rPr>
          <w:rFonts w:ascii="Times New Roman" w:hAnsi="Times New Roman" w:cs="Times New Roman"/>
          <w:color w:val="auto"/>
          <w:sz w:val="24"/>
          <w:szCs w:val="24"/>
        </w:rPr>
        <w:lastRenderedPageBreak/>
        <w:t>Moreover, politicians suffer from short-termism for obvious electoral reasons. This phenomenon, however, is not the case of entrepreneurs, who have proven time and time again that they have a long-term approach to their vision and actions. We argue that this approach will expedite the necessary change to mitigate climate change and enhance international trade.</w:t>
      </w:r>
    </w:p>
    <w:p w:rsidR="008A38CF" w:rsidRPr="00DC6FFC" w:rsidRDefault="008A38CF" w:rsidP="008A38CF">
      <w:pPr>
        <w:pStyle w:val="Ttulo1"/>
        <w:numPr>
          <w:ilvl w:val="0"/>
          <w:numId w:val="6"/>
        </w:numPr>
        <w:spacing w:line="240" w:lineRule="auto"/>
        <w:rPr>
          <w:rFonts w:ascii="Times New Roman" w:hAnsi="Times New Roman" w:cs="Times New Roman"/>
          <w:b/>
          <w:color w:val="auto"/>
          <w:sz w:val="24"/>
          <w:szCs w:val="24"/>
        </w:rPr>
      </w:pPr>
      <w:r w:rsidRPr="00DC6FFC">
        <w:rPr>
          <w:rFonts w:ascii="Times New Roman" w:hAnsi="Times New Roman" w:cs="Times New Roman"/>
          <w:b/>
          <w:color w:val="auto"/>
          <w:sz w:val="24"/>
          <w:szCs w:val="24"/>
        </w:rPr>
        <w:t>A paradigm shift in the governance of sustainable development: Citizens’ empowerment</w:t>
      </w:r>
      <w:bookmarkEnd w:id="0"/>
    </w:p>
    <w:p w:rsidR="008A38CF" w:rsidRPr="00DC6FFC" w:rsidRDefault="008A38CF" w:rsidP="008A38CF">
      <w:pPr>
        <w:pStyle w:val="Ttulo2"/>
        <w:numPr>
          <w:ilvl w:val="0"/>
          <w:numId w:val="2"/>
        </w:numPr>
        <w:spacing w:line="240" w:lineRule="auto"/>
        <w:rPr>
          <w:rFonts w:ascii="Times New Roman" w:hAnsi="Times New Roman" w:cs="Times New Roman"/>
          <w:b/>
          <w:color w:val="auto"/>
          <w:sz w:val="24"/>
          <w:szCs w:val="24"/>
        </w:rPr>
      </w:pPr>
      <w:bookmarkStart w:id="2" w:name="_Toc517327317"/>
      <w:r w:rsidRPr="00DC6FFC">
        <w:rPr>
          <w:rFonts w:ascii="Times New Roman" w:hAnsi="Times New Roman" w:cs="Times New Roman"/>
          <w:b/>
          <w:color w:val="auto"/>
          <w:sz w:val="24"/>
          <w:szCs w:val="24"/>
        </w:rPr>
        <w:t>From top-down to bottom-up governance</w:t>
      </w:r>
      <w:bookmarkEnd w:id="2"/>
    </w:p>
    <w:p w:rsidR="008A38CF" w:rsidRDefault="008A38CF" w:rsidP="008A38CF">
      <w:pPr>
        <w:spacing w:line="240" w:lineRule="auto"/>
        <w:jc w:val="both"/>
        <w:rPr>
          <w:rFonts w:ascii="Times New Roman" w:hAnsi="Times New Roman" w:cs="Times New Roman"/>
          <w:sz w:val="24"/>
          <w:szCs w:val="24"/>
          <w:lang w:val="de-CH"/>
        </w:rPr>
      </w:pPr>
      <w:r w:rsidRPr="005056E8">
        <w:rPr>
          <w:rFonts w:ascii="Times New Roman" w:hAnsi="Times New Roman" w:cs="Times New Roman"/>
          <w:sz w:val="24"/>
          <w:szCs w:val="24"/>
          <w:lang w:val="de-CH"/>
        </w:rPr>
        <w:t>Multilateralism does not seem to be doing well these days.</w:t>
      </w:r>
      <w:r>
        <w:rPr>
          <w:rStyle w:val="Refdenotaalpie"/>
          <w:rFonts w:ascii="Times New Roman" w:hAnsi="Times New Roman" w:cs="Times New Roman"/>
          <w:sz w:val="24"/>
          <w:szCs w:val="24"/>
          <w:lang w:val="de-CH"/>
        </w:rPr>
        <w:footnoteReference w:id="5"/>
      </w:r>
      <w:r w:rsidRPr="005056E8">
        <w:rPr>
          <w:rFonts w:ascii="Times New Roman" w:hAnsi="Times New Roman" w:cs="Times New Roman"/>
          <w:sz w:val="24"/>
          <w:szCs w:val="24"/>
          <w:lang w:val="de-CH"/>
        </w:rPr>
        <w:t xml:space="preserve"> </w:t>
      </w:r>
      <w:r>
        <w:rPr>
          <w:rFonts w:ascii="Times New Roman" w:hAnsi="Times New Roman" w:cs="Times New Roman"/>
          <w:sz w:val="24"/>
          <w:szCs w:val="24"/>
          <w:lang w:val="de-CH"/>
        </w:rPr>
        <w:t xml:space="preserve">Arguably, sometimes one needs unilateralism to improve multilateralism. </w:t>
      </w:r>
      <w:r w:rsidRPr="005056E8">
        <w:rPr>
          <w:rFonts w:ascii="Times New Roman" w:hAnsi="Times New Roman" w:cs="Times New Roman"/>
          <w:sz w:val="24"/>
          <w:szCs w:val="24"/>
          <w:lang w:val="de-CH"/>
        </w:rPr>
        <w:t xml:space="preserve">The US intends to withdraw from the Paris Agreement on Climate Change and President Trump questions the validity of the US contribution to the UN; </w:t>
      </w:r>
      <w:r>
        <w:rPr>
          <w:rFonts w:ascii="Times New Roman" w:hAnsi="Times New Roman" w:cs="Times New Roman"/>
          <w:sz w:val="24"/>
          <w:szCs w:val="24"/>
          <w:lang w:val="de-CH"/>
        </w:rPr>
        <w:t>m</w:t>
      </w:r>
      <w:r w:rsidRPr="005056E8">
        <w:rPr>
          <w:rFonts w:ascii="Times New Roman" w:hAnsi="Times New Roman" w:cs="Times New Roman"/>
          <w:sz w:val="24"/>
          <w:szCs w:val="24"/>
          <w:lang w:val="de-CH"/>
        </w:rPr>
        <w:t>ultilateral trade negotiations a</w:t>
      </w:r>
      <w:r>
        <w:rPr>
          <w:rFonts w:ascii="Times New Roman" w:hAnsi="Times New Roman" w:cs="Times New Roman"/>
          <w:sz w:val="24"/>
          <w:szCs w:val="24"/>
          <w:lang w:val="de-CH"/>
        </w:rPr>
        <w:t xml:space="preserve">t the </w:t>
      </w:r>
      <w:r w:rsidRPr="005056E8">
        <w:rPr>
          <w:rFonts w:ascii="Times New Roman" w:hAnsi="Times New Roman" w:cs="Times New Roman"/>
          <w:sz w:val="24"/>
          <w:szCs w:val="24"/>
          <w:lang w:val="de-CH"/>
        </w:rPr>
        <w:t xml:space="preserve">WTO seem to go nowhere and the WTO’s dispute settlement system </w:t>
      </w:r>
      <w:r w:rsidRPr="00852AED">
        <w:rPr>
          <w:rFonts w:ascii="Times New Roman" w:hAnsi="Times New Roman" w:cs="Times New Roman"/>
          <w:sz w:val="24"/>
          <w:szCs w:val="24"/>
          <w:lang w:val="de-CH"/>
        </w:rPr>
        <w:t>is stagnated.</w:t>
      </w:r>
      <w:r w:rsidRPr="00852AED">
        <w:rPr>
          <w:rStyle w:val="Refdenotaalpie"/>
          <w:rFonts w:ascii="Times New Roman" w:hAnsi="Times New Roman" w:cs="Times New Roman"/>
          <w:sz w:val="24"/>
          <w:szCs w:val="24"/>
          <w:lang w:val="de-CH"/>
        </w:rPr>
        <w:footnoteReference w:id="6"/>
      </w:r>
      <w:r w:rsidRPr="00852AED">
        <w:rPr>
          <w:rFonts w:ascii="Times New Roman" w:hAnsi="Times New Roman" w:cs="Times New Roman"/>
          <w:sz w:val="24"/>
          <w:szCs w:val="24"/>
          <w:lang w:val="de-CH"/>
        </w:rPr>
        <w:t xml:space="preserve"> </w:t>
      </w:r>
      <w:r>
        <w:rPr>
          <w:rFonts w:ascii="Times New Roman" w:hAnsi="Times New Roman" w:cs="Times New Roman"/>
          <w:sz w:val="24"/>
          <w:szCs w:val="24"/>
          <w:lang w:val="de-CH"/>
        </w:rPr>
        <w:t xml:space="preserve">It seems as if the WTO has not been up to par with economic change. </w:t>
      </w:r>
      <w:r w:rsidRPr="00852AED">
        <w:rPr>
          <w:rFonts w:ascii="Times New Roman" w:hAnsi="Times New Roman" w:cs="Times New Roman"/>
          <w:sz w:val="24"/>
          <w:szCs w:val="24"/>
          <w:lang w:val="de-CH"/>
        </w:rPr>
        <w:t>State-centricity</w:t>
      </w:r>
      <w:r>
        <w:rPr>
          <w:rFonts w:ascii="Times New Roman" w:hAnsi="Times New Roman" w:cs="Times New Roman"/>
          <w:sz w:val="24"/>
          <w:szCs w:val="24"/>
          <w:lang w:val="de-CH"/>
        </w:rPr>
        <w:t xml:space="preserve"> seems to be making people unhappy. There seems to be a fundamental lack of trust in current goverance structures. </w:t>
      </w:r>
    </w:p>
    <w:p w:rsidR="008A38CF" w:rsidRDefault="008A38CF" w:rsidP="008A38CF">
      <w:pPr>
        <w:spacing w:line="240" w:lineRule="auto"/>
        <w:jc w:val="both"/>
        <w:rPr>
          <w:rFonts w:ascii="Times New Roman" w:hAnsi="Times New Roman" w:cs="Times New Roman"/>
          <w:sz w:val="24"/>
          <w:szCs w:val="24"/>
          <w:lang w:val="de-CH"/>
        </w:rPr>
      </w:pPr>
      <w:r>
        <w:rPr>
          <w:rFonts w:ascii="Times New Roman" w:hAnsi="Times New Roman" w:cs="Times New Roman"/>
          <w:sz w:val="24"/>
          <w:szCs w:val="24"/>
          <w:lang w:val="de-CH"/>
        </w:rPr>
        <w:t>All o</w:t>
      </w:r>
      <w:r w:rsidRPr="006921A1">
        <w:rPr>
          <w:rFonts w:ascii="Times New Roman" w:hAnsi="Times New Roman" w:cs="Times New Roman"/>
          <w:sz w:val="24"/>
          <w:szCs w:val="24"/>
          <w:lang w:val="de-CH"/>
        </w:rPr>
        <w:t>f this puts into question the hegemonic stability theory</w:t>
      </w:r>
      <w:r>
        <w:rPr>
          <w:rFonts w:ascii="Times New Roman" w:hAnsi="Times New Roman" w:cs="Times New Roman"/>
          <w:sz w:val="24"/>
          <w:szCs w:val="24"/>
          <w:lang w:val="de-CH"/>
        </w:rPr>
        <w:t xml:space="preserve"> that</w:t>
      </w:r>
      <w:r w:rsidRPr="006921A1">
        <w:rPr>
          <w:rFonts w:ascii="Times New Roman" w:hAnsi="Times New Roman" w:cs="Times New Roman"/>
          <w:sz w:val="24"/>
          <w:szCs w:val="24"/>
          <w:lang w:val="de-CH"/>
        </w:rPr>
        <w:t xml:space="preserve"> </w:t>
      </w:r>
      <w:r>
        <w:rPr>
          <w:rFonts w:ascii="Times New Roman" w:hAnsi="Times New Roman" w:cs="Times New Roman"/>
          <w:sz w:val="24"/>
          <w:szCs w:val="24"/>
          <w:lang w:val="de-CH"/>
        </w:rPr>
        <w:t xml:space="preserve">predicates that </w:t>
      </w:r>
      <w:r w:rsidRPr="006921A1">
        <w:rPr>
          <w:rFonts w:ascii="Times New Roman" w:hAnsi="Times New Roman" w:cs="Times New Roman"/>
          <w:sz w:val="24"/>
          <w:szCs w:val="24"/>
          <w:lang w:val="de-CH"/>
        </w:rPr>
        <w:t>the international sy</w:t>
      </w:r>
      <w:r>
        <w:rPr>
          <w:rFonts w:ascii="Times New Roman" w:hAnsi="Times New Roman" w:cs="Times New Roman"/>
          <w:sz w:val="24"/>
          <w:szCs w:val="24"/>
          <w:lang w:val="de-CH"/>
        </w:rPr>
        <w:t>s</w:t>
      </w:r>
      <w:r w:rsidRPr="006921A1">
        <w:rPr>
          <w:rFonts w:ascii="Times New Roman" w:hAnsi="Times New Roman" w:cs="Times New Roman"/>
          <w:sz w:val="24"/>
          <w:szCs w:val="24"/>
          <w:lang w:val="de-CH"/>
        </w:rPr>
        <w:t xml:space="preserve">tem is most likely to be stable when a single state is the dominant power in the world. </w:t>
      </w:r>
      <w:r>
        <w:rPr>
          <w:rFonts w:ascii="Times New Roman" w:hAnsi="Times New Roman" w:cs="Times New Roman"/>
          <w:sz w:val="24"/>
          <w:szCs w:val="24"/>
          <w:lang w:val="de-CH"/>
        </w:rPr>
        <w:t>Based on the view that one should never waste a crisis to reach reform, w</w:t>
      </w:r>
      <w:r w:rsidRPr="006921A1">
        <w:rPr>
          <w:rFonts w:ascii="Times New Roman" w:hAnsi="Times New Roman" w:cs="Times New Roman"/>
          <w:sz w:val="24"/>
          <w:szCs w:val="24"/>
          <w:lang w:val="de-CH"/>
        </w:rPr>
        <w:t>ould</w:t>
      </w:r>
      <w:r w:rsidRPr="005056E8">
        <w:rPr>
          <w:rFonts w:ascii="Times New Roman" w:hAnsi="Times New Roman" w:cs="Times New Roman"/>
          <w:sz w:val="24"/>
          <w:szCs w:val="24"/>
          <w:lang w:val="de-CH"/>
        </w:rPr>
        <w:t xml:space="preserve"> it be the right time to think of alternative ways of governance? </w:t>
      </w:r>
      <w:r>
        <w:rPr>
          <w:rFonts w:ascii="Times New Roman" w:hAnsi="Times New Roman" w:cs="Times New Roman"/>
          <w:sz w:val="24"/>
          <w:szCs w:val="24"/>
          <w:lang w:val="de-CH"/>
        </w:rPr>
        <w:t xml:space="preserve">It is often the case that what citizens think is overlooked by policymakers. </w:t>
      </w:r>
      <w:r w:rsidRPr="005056E8">
        <w:rPr>
          <w:rFonts w:ascii="Times New Roman" w:hAnsi="Times New Roman" w:cs="Times New Roman"/>
          <w:sz w:val="24"/>
          <w:szCs w:val="24"/>
          <w:lang w:val="de-CH"/>
        </w:rPr>
        <w:t xml:space="preserve">Would greater involvement of citizens make a difference </w:t>
      </w:r>
      <w:r>
        <w:rPr>
          <w:rFonts w:ascii="Times New Roman" w:hAnsi="Times New Roman" w:cs="Times New Roman"/>
          <w:sz w:val="24"/>
          <w:szCs w:val="24"/>
          <w:lang w:val="de-CH"/>
        </w:rPr>
        <w:t>for</w:t>
      </w:r>
      <w:r w:rsidRPr="005056E8">
        <w:rPr>
          <w:rFonts w:ascii="Times New Roman" w:hAnsi="Times New Roman" w:cs="Times New Roman"/>
          <w:sz w:val="24"/>
          <w:szCs w:val="24"/>
          <w:lang w:val="de-CH"/>
        </w:rPr>
        <w:t xml:space="preserve"> </w:t>
      </w:r>
      <w:r>
        <w:rPr>
          <w:rFonts w:ascii="Times New Roman" w:hAnsi="Times New Roman" w:cs="Times New Roman"/>
          <w:sz w:val="24"/>
          <w:szCs w:val="24"/>
          <w:lang w:val="de-CH"/>
        </w:rPr>
        <w:t xml:space="preserve">a </w:t>
      </w:r>
      <w:r w:rsidRPr="005056E8">
        <w:rPr>
          <w:rFonts w:ascii="Times New Roman" w:hAnsi="Times New Roman" w:cs="Times New Roman"/>
          <w:sz w:val="24"/>
          <w:szCs w:val="24"/>
          <w:lang w:val="de-CH"/>
        </w:rPr>
        <w:t>better and more effective global economic governance?</w:t>
      </w:r>
      <w:r>
        <w:rPr>
          <w:rFonts w:ascii="Times New Roman" w:hAnsi="Times New Roman" w:cs="Times New Roman"/>
          <w:sz w:val="24"/>
          <w:szCs w:val="24"/>
          <w:lang w:val="de-CH"/>
        </w:rPr>
        <w:t xml:space="preserve"> Big crises can lead to big reforms and positive developments.</w:t>
      </w:r>
    </w:p>
    <w:p w:rsidR="008A38CF" w:rsidRPr="00DC6FFC" w:rsidRDefault="008A38CF" w:rsidP="008A38CF">
      <w:pPr>
        <w:spacing w:line="240" w:lineRule="auto"/>
        <w:jc w:val="both"/>
        <w:rPr>
          <w:rFonts w:ascii="Times New Roman" w:hAnsi="Times New Roman" w:cs="Times New Roman"/>
          <w:sz w:val="24"/>
          <w:szCs w:val="24"/>
        </w:rPr>
      </w:pPr>
      <w:r w:rsidRPr="00DC6FFC">
        <w:rPr>
          <w:rFonts w:ascii="Times New Roman" w:hAnsi="Times New Roman" w:cs="Times New Roman"/>
          <w:sz w:val="24"/>
          <w:szCs w:val="24"/>
        </w:rPr>
        <w:t xml:space="preserve">A top-down guidance to sustainable development will come from inter-governmental decisions (i.e., high level of abstraction), whereas a bottom-up </w:t>
      </w:r>
      <w:r>
        <w:rPr>
          <w:rFonts w:ascii="Times New Roman" w:hAnsi="Times New Roman" w:cs="Times New Roman"/>
          <w:sz w:val="24"/>
          <w:szCs w:val="24"/>
        </w:rPr>
        <w:t>approach</w:t>
      </w:r>
      <w:r w:rsidRPr="00DC6FFC">
        <w:rPr>
          <w:rFonts w:ascii="Times New Roman" w:hAnsi="Times New Roman" w:cs="Times New Roman"/>
          <w:sz w:val="24"/>
          <w:szCs w:val="24"/>
        </w:rPr>
        <w:t xml:space="preserve"> means that action/implementation will happen from consumers'/citizens' participation (i.e., low level of abstraction).</w:t>
      </w:r>
      <w:r>
        <w:rPr>
          <w:rStyle w:val="Refdenotaalpie"/>
          <w:rFonts w:ascii="Times New Roman" w:hAnsi="Times New Roman" w:cs="Times New Roman"/>
          <w:sz w:val="24"/>
          <w:szCs w:val="24"/>
        </w:rPr>
        <w:footnoteReference w:id="7"/>
      </w:r>
      <w:r w:rsidRPr="00DC6FFC">
        <w:rPr>
          <w:rFonts w:ascii="Times New Roman" w:hAnsi="Times New Roman" w:cs="Times New Roman"/>
          <w:sz w:val="24"/>
          <w:szCs w:val="24"/>
        </w:rPr>
        <w:t xml:space="preserve"> National governments are essential, but are no longer the only key actors. </w:t>
      </w:r>
      <w:r w:rsidRPr="00487F9E">
        <w:rPr>
          <w:rFonts w:ascii="Times New Roman" w:hAnsi="Times New Roman" w:cs="Times New Roman"/>
          <w:sz w:val="24"/>
          <w:szCs w:val="24"/>
        </w:rPr>
        <w:t xml:space="preserve">This raises the question whether cities can make effective change if national governments </w:t>
      </w:r>
      <w:r>
        <w:rPr>
          <w:rFonts w:ascii="Times New Roman" w:hAnsi="Times New Roman" w:cs="Times New Roman"/>
          <w:sz w:val="24"/>
          <w:szCs w:val="24"/>
        </w:rPr>
        <w:t>do not deliver</w:t>
      </w:r>
      <w:r w:rsidRPr="00487F9E">
        <w:rPr>
          <w:rFonts w:ascii="Times New Roman" w:hAnsi="Times New Roman" w:cs="Times New Roman"/>
          <w:sz w:val="24"/>
          <w:szCs w:val="24"/>
        </w:rPr>
        <w:t xml:space="preserve">. </w:t>
      </w:r>
      <w:r>
        <w:rPr>
          <w:rFonts w:ascii="Times New Roman" w:hAnsi="Times New Roman" w:cs="Times New Roman"/>
          <w:sz w:val="24"/>
          <w:szCs w:val="24"/>
        </w:rPr>
        <w:t xml:space="preserve">At what point should businesses have to step up if politicians fall short? </w:t>
      </w:r>
      <w:r w:rsidRPr="00DC6FFC">
        <w:rPr>
          <w:rFonts w:ascii="Times New Roman" w:hAnsi="Times New Roman" w:cs="Times New Roman"/>
          <w:sz w:val="24"/>
          <w:szCs w:val="24"/>
        </w:rPr>
        <w:t>Businesses have taken on a leadership role in climate change mitigation and cities around the world are demonstrating innovative strategies for advancing solutions to climate change.</w:t>
      </w:r>
      <w:r>
        <w:rPr>
          <w:rFonts w:ascii="Times New Roman" w:hAnsi="Times New Roman" w:cs="Times New Roman"/>
          <w:sz w:val="24"/>
          <w:szCs w:val="24"/>
        </w:rPr>
        <w:t xml:space="preserve"> Via this bottom-up approach to governance, citizens can ask states for reform.</w:t>
      </w:r>
    </w:p>
    <w:p w:rsidR="008A38CF" w:rsidRPr="00DF59F8" w:rsidRDefault="008A38CF" w:rsidP="008A38CF">
      <w:pPr>
        <w:spacing w:line="240" w:lineRule="auto"/>
        <w:jc w:val="both"/>
        <w:rPr>
          <w:rFonts w:ascii="Times New Roman" w:hAnsi="Times New Roman" w:cs="Times New Roman"/>
          <w:sz w:val="24"/>
          <w:szCs w:val="24"/>
          <w:lang w:val="en-GB"/>
        </w:rPr>
      </w:pPr>
      <w:r w:rsidRPr="005056E8">
        <w:rPr>
          <w:rFonts w:ascii="Times New Roman" w:hAnsi="Times New Roman" w:cs="Times New Roman"/>
          <w:sz w:val="24"/>
          <w:szCs w:val="24"/>
          <w:lang w:val="de-CH"/>
        </w:rPr>
        <w:t xml:space="preserve">In the case of international trade, during the WTO Ministerial Conference in Seattle in 1999 there were large crowds of people angrily demonstrating on the streets, asking trade technocrats to be transparent and share the outcome of multilateral trade negotiations that were happening behind closed doors. </w:t>
      </w:r>
      <w:r>
        <w:rPr>
          <w:rFonts w:ascii="Times New Roman" w:hAnsi="Times New Roman" w:cs="Times New Roman"/>
          <w:sz w:val="24"/>
          <w:szCs w:val="24"/>
          <w:lang w:val="de-CH"/>
        </w:rPr>
        <w:t xml:space="preserve">Those were the days when multilateral trade was sexy. </w:t>
      </w:r>
      <w:r w:rsidRPr="005056E8">
        <w:rPr>
          <w:rFonts w:ascii="Times New Roman" w:hAnsi="Times New Roman" w:cs="Times New Roman"/>
          <w:sz w:val="24"/>
          <w:szCs w:val="24"/>
          <w:lang w:val="de-CH"/>
        </w:rPr>
        <w:t xml:space="preserve">More recently, with </w:t>
      </w:r>
      <w:r w:rsidRPr="005056E8">
        <w:rPr>
          <w:rFonts w:ascii="Times New Roman" w:hAnsi="Times New Roman" w:cs="Times New Roman"/>
          <w:sz w:val="24"/>
          <w:szCs w:val="24"/>
          <w:lang w:val="de-CH"/>
        </w:rPr>
        <w:lastRenderedPageBreak/>
        <w:t xml:space="preserve">the rise of mega-regional trade agreements </w:t>
      </w:r>
      <w:r>
        <w:rPr>
          <w:rFonts w:ascii="Times New Roman" w:hAnsi="Times New Roman" w:cs="Times New Roman"/>
          <w:sz w:val="24"/>
          <w:szCs w:val="24"/>
          <w:lang w:val="de-CH"/>
        </w:rPr>
        <w:t>(as examples of plurilateralism, which seems to be the way forward in international trade)</w:t>
      </w:r>
      <w:r>
        <w:rPr>
          <w:rStyle w:val="Refdenotaalpie"/>
          <w:rFonts w:ascii="Times New Roman" w:hAnsi="Times New Roman" w:cs="Times New Roman"/>
          <w:sz w:val="24"/>
          <w:szCs w:val="24"/>
          <w:lang w:val="de-CH"/>
        </w:rPr>
        <w:footnoteReference w:id="8"/>
      </w:r>
      <w:r>
        <w:rPr>
          <w:rFonts w:ascii="Times New Roman" w:hAnsi="Times New Roman" w:cs="Times New Roman"/>
          <w:sz w:val="24"/>
          <w:szCs w:val="24"/>
          <w:lang w:val="de-CH"/>
        </w:rPr>
        <w:t xml:space="preserve"> </w:t>
      </w:r>
      <w:r w:rsidRPr="005056E8">
        <w:rPr>
          <w:rFonts w:ascii="Times New Roman" w:hAnsi="Times New Roman" w:cs="Times New Roman"/>
          <w:sz w:val="24"/>
          <w:szCs w:val="24"/>
          <w:lang w:val="de-CH"/>
        </w:rPr>
        <w:t xml:space="preserve">such as the </w:t>
      </w:r>
      <w:r>
        <w:rPr>
          <w:rFonts w:ascii="Times New Roman" w:hAnsi="Times New Roman" w:cs="Times New Roman"/>
          <w:sz w:val="24"/>
          <w:szCs w:val="24"/>
          <w:lang w:val="de-CH"/>
        </w:rPr>
        <w:t xml:space="preserve">Comprehensive and Progressive Agreement for </w:t>
      </w:r>
      <w:r w:rsidRPr="005056E8">
        <w:rPr>
          <w:rFonts w:ascii="Times New Roman" w:hAnsi="Times New Roman" w:cs="Times New Roman"/>
          <w:sz w:val="24"/>
          <w:szCs w:val="24"/>
          <w:lang w:val="de-CH"/>
        </w:rPr>
        <w:t>Trans-Pacific Partnership</w:t>
      </w:r>
      <w:r>
        <w:rPr>
          <w:rFonts w:ascii="Times New Roman" w:hAnsi="Times New Roman" w:cs="Times New Roman"/>
          <w:sz w:val="24"/>
          <w:szCs w:val="24"/>
          <w:lang w:val="de-CH"/>
        </w:rPr>
        <w:t xml:space="preserve"> (CPTPP)</w:t>
      </w:r>
      <w:r w:rsidRPr="005056E8">
        <w:rPr>
          <w:rFonts w:ascii="Times New Roman" w:hAnsi="Times New Roman" w:cs="Times New Roman"/>
          <w:sz w:val="24"/>
          <w:szCs w:val="24"/>
          <w:lang w:val="de-CH"/>
        </w:rPr>
        <w:t>,</w:t>
      </w:r>
      <w:r>
        <w:rPr>
          <w:rStyle w:val="Refdenotaalpie"/>
          <w:rFonts w:ascii="Times New Roman" w:hAnsi="Times New Roman" w:cs="Times New Roman"/>
          <w:sz w:val="24"/>
          <w:szCs w:val="24"/>
          <w:lang w:val="de-CH"/>
        </w:rPr>
        <w:footnoteReference w:id="9"/>
      </w:r>
      <w:r w:rsidRPr="005056E8">
        <w:rPr>
          <w:rFonts w:ascii="Times New Roman" w:hAnsi="Times New Roman" w:cs="Times New Roman"/>
          <w:sz w:val="24"/>
          <w:szCs w:val="24"/>
          <w:lang w:val="de-CH"/>
        </w:rPr>
        <w:t xml:space="preserve"> there have been large demonstrations on the streets of the US, UK,</w:t>
      </w:r>
      <w:r>
        <w:rPr>
          <w:rStyle w:val="Refdenotaalpie"/>
          <w:rFonts w:ascii="Times New Roman" w:hAnsi="Times New Roman" w:cs="Times New Roman"/>
          <w:sz w:val="24"/>
          <w:szCs w:val="24"/>
          <w:lang w:val="de-CH"/>
        </w:rPr>
        <w:footnoteReference w:id="10"/>
      </w:r>
      <w:r w:rsidRPr="005056E8">
        <w:rPr>
          <w:rFonts w:ascii="Times New Roman" w:hAnsi="Times New Roman" w:cs="Times New Roman"/>
          <w:sz w:val="24"/>
          <w:szCs w:val="24"/>
          <w:lang w:val="de-CH"/>
        </w:rPr>
        <w:t xml:space="preserve"> Germany, and Austria against the Trans-Pacific Partnership (in the case of the US) and the Trans-Atlantic Trade and Investment Partnership </w:t>
      </w:r>
      <w:r>
        <w:rPr>
          <w:rFonts w:ascii="Times New Roman" w:hAnsi="Times New Roman" w:cs="Times New Roman"/>
          <w:sz w:val="24"/>
          <w:szCs w:val="24"/>
          <w:lang w:val="de-CH"/>
        </w:rPr>
        <w:t xml:space="preserve">[TTIP] </w:t>
      </w:r>
      <w:r w:rsidRPr="005056E8">
        <w:rPr>
          <w:rFonts w:ascii="Times New Roman" w:hAnsi="Times New Roman" w:cs="Times New Roman"/>
          <w:sz w:val="24"/>
          <w:szCs w:val="24"/>
          <w:lang w:val="de-CH"/>
        </w:rPr>
        <w:t>(in the case of the other countries). All of this shows an increasing interest among citizens in international trade negotiations, who are concerned that the outcome of such negotiations may affect their daily life negatively</w:t>
      </w:r>
      <w:r>
        <w:rPr>
          <w:rFonts w:ascii="Times New Roman" w:hAnsi="Times New Roman" w:cs="Times New Roman"/>
          <w:sz w:val="24"/>
          <w:szCs w:val="24"/>
          <w:lang w:val="de-CH"/>
        </w:rPr>
        <w:t xml:space="preserve"> as a result of </w:t>
      </w:r>
      <w:r w:rsidRPr="0038744A">
        <w:rPr>
          <w:rFonts w:ascii="Times New Roman" w:hAnsi="Times New Roman" w:cs="Times New Roman"/>
          <w:sz w:val="24"/>
          <w:szCs w:val="24"/>
          <w:lang w:val="de-CH"/>
        </w:rPr>
        <w:t>“</w:t>
      </w:r>
      <w:r>
        <w:rPr>
          <w:rFonts w:ascii="Times New Roman" w:hAnsi="Times New Roman" w:cs="Times New Roman"/>
          <w:sz w:val="24"/>
          <w:szCs w:val="24"/>
          <w:lang w:val="de-CH"/>
        </w:rPr>
        <w:t>openness to investment from other members, the protection of patents, and environmental safeguards</w:t>
      </w:r>
      <w:r w:rsidRPr="005056E8">
        <w:rPr>
          <w:rFonts w:ascii="Times New Roman" w:hAnsi="Times New Roman" w:cs="Times New Roman"/>
          <w:sz w:val="24"/>
          <w:szCs w:val="24"/>
          <w:lang w:val="de-CH"/>
        </w:rPr>
        <w:t>.</w:t>
      </w:r>
      <w:r w:rsidRPr="0038744A">
        <w:rPr>
          <w:rFonts w:ascii="Times New Roman" w:hAnsi="Times New Roman" w:cs="Times New Roman"/>
          <w:sz w:val="24"/>
          <w:szCs w:val="24"/>
          <w:lang w:val="de-CH"/>
        </w:rPr>
        <w:t>”</w:t>
      </w:r>
      <w:r>
        <w:rPr>
          <w:rStyle w:val="Refdenotaalpie"/>
          <w:rFonts w:ascii="Times New Roman" w:hAnsi="Times New Roman" w:cs="Times New Roman"/>
          <w:sz w:val="24"/>
          <w:szCs w:val="24"/>
          <w:lang w:val="de-CH"/>
        </w:rPr>
        <w:footnoteReference w:id="11"/>
      </w:r>
      <w:r>
        <w:rPr>
          <w:rFonts w:ascii="Times New Roman" w:hAnsi="Times New Roman" w:cs="Times New Roman"/>
          <w:sz w:val="24"/>
          <w:szCs w:val="24"/>
          <w:lang w:val="de-CH"/>
        </w:rPr>
        <w:t xml:space="preserve"> </w:t>
      </w:r>
      <w:r w:rsidRPr="00965A3C">
        <w:rPr>
          <w:rFonts w:ascii="Times New Roman" w:hAnsi="Times New Roman" w:cs="Times New Roman"/>
          <w:sz w:val="24"/>
          <w:szCs w:val="24"/>
        </w:rPr>
        <w:t>So in addition to the top-down process to trade governance, we propose a bottom-up process, with greater citizen participation.</w:t>
      </w:r>
    </w:p>
    <w:p w:rsidR="008A38CF" w:rsidRDefault="008A38CF" w:rsidP="008A38CF">
      <w:pPr>
        <w:spacing w:line="240" w:lineRule="auto"/>
        <w:jc w:val="both"/>
        <w:rPr>
          <w:rFonts w:ascii="Times New Roman" w:hAnsi="Times New Roman" w:cs="Times New Roman"/>
          <w:sz w:val="24"/>
          <w:szCs w:val="24"/>
          <w:lang w:val="de-CH"/>
        </w:rPr>
      </w:pPr>
      <w:r>
        <w:rPr>
          <w:rFonts w:ascii="Times New Roman" w:hAnsi="Times New Roman" w:cs="Times New Roman"/>
          <w:sz w:val="24"/>
          <w:szCs w:val="24"/>
          <w:lang w:val="de-CH"/>
        </w:rPr>
        <w:t>Softer, informal tools of goverance, rather than treaties, seem to be central to the current crisis/ transformation of multilateral governance. In the field of energy governance, regulatory alignment, technology alignment, and buidling common institutions might all help enhance sustainable energy. New actors are emerging. One of them is the citizens.</w:t>
      </w:r>
    </w:p>
    <w:p w:rsidR="008A38CF" w:rsidRPr="00DC6FFC" w:rsidRDefault="008A38CF" w:rsidP="008A38CF">
      <w:pPr>
        <w:pStyle w:val="Ttulo2"/>
        <w:numPr>
          <w:ilvl w:val="0"/>
          <w:numId w:val="2"/>
        </w:numPr>
        <w:spacing w:line="240" w:lineRule="auto"/>
        <w:rPr>
          <w:rFonts w:ascii="Times New Roman" w:hAnsi="Times New Roman" w:cs="Times New Roman"/>
          <w:b/>
          <w:color w:val="auto"/>
          <w:sz w:val="24"/>
          <w:szCs w:val="24"/>
        </w:rPr>
      </w:pPr>
      <w:bookmarkStart w:id="3" w:name="_Toc517327318"/>
      <w:r w:rsidRPr="00DC6FFC">
        <w:rPr>
          <w:rFonts w:ascii="Times New Roman" w:hAnsi="Times New Roman" w:cs="Times New Roman"/>
          <w:b/>
          <w:color w:val="auto"/>
          <w:sz w:val="24"/>
          <w:szCs w:val="24"/>
        </w:rPr>
        <w:t>New concept: Empowering citizens</w:t>
      </w:r>
      <w:bookmarkEnd w:id="3"/>
    </w:p>
    <w:p w:rsidR="008A38CF" w:rsidRDefault="008A38CF" w:rsidP="008A38CF">
      <w:pPr>
        <w:spacing w:line="240" w:lineRule="auto"/>
        <w:jc w:val="both"/>
        <w:rPr>
          <w:rFonts w:ascii="Times New Roman" w:hAnsi="Times New Roman" w:cs="Times New Roman"/>
          <w:sz w:val="24"/>
          <w:szCs w:val="24"/>
        </w:rPr>
      </w:pPr>
      <w:r w:rsidRPr="00DC6FFC">
        <w:rPr>
          <w:rFonts w:ascii="Times New Roman" w:hAnsi="Times New Roman" w:cs="Times New Roman"/>
          <w:sz w:val="24"/>
          <w:szCs w:val="24"/>
        </w:rPr>
        <w:t xml:space="preserve">Empowering citizens has </w:t>
      </w:r>
      <w:r w:rsidRPr="00973977">
        <w:rPr>
          <w:rFonts w:ascii="Times New Roman" w:hAnsi="Times New Roman" w:cs="Times New Roman"/>
          <w:sz w:val="24"/>
          <w:szCs w:val="24"/>
        </w:rPr>
        <w:t>implications for societal change as it provides a human element to governance.</w:t>
      </w:r>
      <w:r w:rsidRPr="00973977">
        <w:rPr>
          <w:rStyle w:val="Refdenotaalpie"/>
          <w:rFonts w:ascii="Times New Roman" w:hAnsi="Times New Roman" w:cs="Times New Roman"/>
          <w:sz w:val="24"/>
          <w:szCs w:val="24"/>
        </w:rPr>
        <w:footnoteReference w:id="12"/>
      </w:r>
      <w:r w:rsidRPr="00973977">
        <w:rPr>
          <w:rFonts w:ascii="Times New Roman" w:hAnsi="Times New Roman" w:cs="Times New Roman"/>
          <w:sz w:val="24"/>
          <w:szCs w:val="24"/>
        </w:rPr>
        <w:t xml:space="preserve"> </w:t>
      </w:r>
      <w:r w:rsidRPr="002631A6">
        <w:rPr>
          <w:rFonts w:ascii="Times New Roman" w:hAnsi="Times New Roman" w:cs="Times New Roman"/>
          <w:sz w:val="24"/>
          <w:szCs w:val="24"/>
        </w:rPr>
        <w:t>More direct participation by citizens is increasingly necessary to reach good governance.</w:t>
      </w:r>
      <w:r>
        <w:rPr>
          <w:rFonts w:ascii="Times New Roman" w:hAnsi="Times New Roman" w:cs="Times New Roman"/>
          <w:sz w:val="24"/>
          <w:szCs w:val="24"/>
        </w:rPr>
        <w:t xml:space="preserve"> In the field of energy governance, o</w:t>
      </w:r>
      <w:r w:rsidRPr="00973977">
        <w:rPr>
          <w:rFonts w:ascii="Times New Roman" w:hAnsi="Times New Roman" w:cs="Times New Roman"/>
          <w:sz w:val="24"/>
          <w:szCs w:val="24"/>
        </w:rPr>
        <w:t xml:space="preserve">ne of the aims of this chapter is to explore how to effectively place citizens at the center of the transformation of the grid by allowing greater citizen participation and access to information. </w:t>
      </w:r>
      <w:r w:rsidRPr="00481327">
        <w:rPr>
          <w:rFonts w:ascii="Times New Roman" w:hAnsi="Times New Roman" w:cs="Times New Roman"/>
          <w:sz w:val="24"/>
          <w:szCs w:val="24"/>
        </w:rPr>
        <w:t>Citizen participation will bring stability, facilitate citizens’ wellbeing, provide better access to energy</w:t>
      </w:r>
      <w:r>
        <w:rPr>
          <w:rFonts w:ascii="Times New Roman" w:hAnsi="Times New Roman" w:cs="Times New Roman"/>
          <w:sz w:val="24"/>
          <w:szCs w:val="24"/>
        </w:rPr>
        <w:t>,</w:t>
      </w:r>
      <w:r w:rsidRPr="00481327">
        <w:rPr>
          <w:rFonts w:ascii="Times New Roman" w:hAnsi="Times New Roman" w:cs="Times New Roman"/>
          <w:sz w:val="24"/>
          <w:szCs w:val="24"/>
        </w:rPr>
        <w:t xml:space="preserve"> </w:t>
      </w:r>
      <w:r>
        <w:rPr>
          <w:rFonts w:ascii="Times New Roman" w:hAnsi="Times New Roman" w:cs="Times New Roman"/>
          <w:sz w:val="24"/>
          <w:szCs w:val="24"/>
        </w:rPr>
        <w:t>it will put pressure on companies to do the right thing,</w:t>
      </w:r>
      <w:r>
        <w:rPr>
          <w:rStyle w:val="Refdenotaalpie"/>
          <w:rFonts w:ascii="Times New Roman" w:hAnsi="Times New Roman" w:cs="Times New Roman"/>
          <w:sz w:val="24"/>
          <w:szCs w:val="24"/>
        </w:rPr>
        <w:footnoteReference w:id="13"/>
      </w:r>
      <w:r>
        <w:rPr>
          <w:rFonts w:ascii="Times New Roman" w:hAnsi="Times New Roman" w:cs="Times New Roman"/>
          <w:sz w:val="24"/>
          <w:szCs w:val="24"/>
        </w:rPr>
        <w:t xml:space="preserve"> </w:t>
      </w:r>
      <w:r w:rsidRPr="00F65F09">
        <w:rPr>
          <w:rFonts w:ascii="Times New Roman" w:hAnsi="Times New Roman" w:cs="Times New Roman"/>
          <w:sz w:val="24"/>
          <w:szCs w:val="24"/>
        </w:rPr>
        <w:t xml:space="preserve">and </w:t>
      </w:r>
      <w:r>
        <w:rPr>
          <w:rFonts w:ascii="Times New Roman" w:hAnsi="Times New Roman" w:cs="Times New Roman"/>
          <w:sz w:val="24"/>
          <w:szCs w:val="24"/>
        </w:rPr>
        <w:t xml:space="preserve">provide </w:t>
      </w:r>
      <w:r w:rsidRPr="00481327">
        <w:rPr>
          <w:rFonts w:ascii="Times New Roman" w:hAnsi="Times New Roman" w:cs="Times New Roman"/>
          <w:sz w:val="24"/>
          <w:szCs w:val="24"/>
        </w:rPr>
        <w:t>better management of climate change and environmental issues.</w:t>
      </w:r>
      <w:r>
        <w:rPr>
          <w:rFonts w:ascii="Times New Roman" w:hAnsi="Times New Roman" w:cs="Times New Roman"/>
          <w:sz w:val="24"/>
          <w:szCs w:val="24"/>
        </w:rPr>
        <w:t xml:space="preserve"> </w:t>
      </w:r>
      <w:r w:rsidRPr="00973977">
        <w:rPr>
          <w:rFonts w:ascii="Times New Roman" w:hAnsi="Times New Roman" w:cs="Times New Roman"/>
          <w:sz w:val="24"/>
          <w:szCs w:val="24"/>
        </w:rPr>
        <w:t>By doing so, we are moving away from energy poverty towards a transition to energy democracy,</w:t>
      </w:r>
      <w:r w:rsidRPr="00973977">
        <w:rPr>
          <w:rStyle w:val="Refdenotaalpie"/>
          <w:rFonts w:ascii="Times New Roman" w:hAnsi="Times New Roman" w:cs="Times New Roman"/>
          <w:sz w:val="24"/>
          <w:szCs w:val="24"/>
        </w:rPr>
        <w:footnoteReference w:id="14"/>
      </w:r>
      <w:r w:rsidRPr="00973977">
        <w:rPr>
          <w:rFonts w:ascii="Times New Roman" w:hAnsi="Times New Roman" w:cs="Times New Roman"/>
          <w:sz w:val="24"/>
          <w:szCs w:val="24"/>
        </w:rPr>
        <w:t xml:space="preserve"> </w:t>
      </w:r>
      <w:r w:rsidRPr="00973977">
        <w:rPr>
          <w:rFonts w:ascii="Times New Roman" w:hAnsi="Times New Roman" w:cs="Times New Roman"/>
          <w:sz w:val="24"/>
          <w:szCs w:val="24"/>
        </w:rPr>
        <w:lastRenderedPageBreak/>
        <w:t>energy citizenship,</w:t>
      </w:r>
      <w:r w:rsidRPr="00973977">
        <w:rPr>
          <w:rStyle w:val="Refdenotaalpie"/>
          <w:rFonts w:ascii="Times New Roman" w:hAnsi="Times New Roman" w:cs="Times New Roman"/>
          <w:sz w:val="24"/>
          <w:szCs w:val="24"/>
        </w:rPr>
        <w:footnoteReference w:id="15"/>
      </w:r>
      <w:r w:rsidRPr="00973977">
        <w:rPr>
          <w:rFonts w:ascii="Times New Roman" w:hAnsi="Times New Roman" w:cs="Times New Roman"/>
          <w:sz w:val="24"/>
          <w:szCs w:val="24"/>
        </w:rPr>
        <w:t xml:space="preserve"> decentralized energy,</w:t>
      </w:r>
      <w:r w:rsidRPr="00973977">
        <w:rPr>
          <w:rStyle w:val="Refdenotaalpie"/>
          <w:rFonts w:ascii="Times New Roman" w:hAnsi="Times New Roman" w:cs="Times New Roman"/>
          <w:sz w:val="24"/>
          <w:szCs w:val="24"/>
        </w:rPr>
        <w:footnoteReference w:id="16"/>
      </w:r>
      <w:r w:rsidRPr="00973977">
        <w:rPr>
          <w:rFonts w:ascii="Times New Roman" w:hAnsi="Times New Roman" w:cs="Times New Roman"/>
          <w:sz w:val="24"/>
          <w:szCs w:val="24"/>
        </w:rPr>
        <w:t xml:space="preserve"> energy enhancement,</w:t>
      </w:r>
      <w:r w:rsidRPr="00973977">
        <w:rPr>
          <w:rStyle w:val="Refdenotaalpie"/>
          <w:rFonts w:ascii="Times New Roman" w:hAnsi="Times New Roman" w:cs="Times New Roman"/>
          <w:sz w:val="24"/>
          <w:szCs w:val="24"/>
        </w:rPr>
        <w:footnoteReference w:id="17"/>
      </w:r>
      <w:r w:rsidRPr="00973977">
        <w:rPr>
          <w:rFonts w:ascii="Times New Roman" w:hAnsi="Times New Roman" w:cs="Times New Roman"/>
          <w:sz w:val="24"/>
          <w:szCs w:val="24"/>
        </w:rPr>
        <w:t xml:space="preserve"> more effective climate change mitigation and greater presence of citizens in trade policy/diplomacy. </w:t>
      </w:r>
    </w:p>
    <w:p w:rsidR="008A38CF" w:rsidRPr="00594E46" w:rsidRDefault="008A38CF" w:rsidP="008A38CF">
      <w:pPr>
        <w:spacing w:line="240" w:lineRule="auto"/>
        <w:jc w:val="both"/>
        <w:rPr>
          <w:rFonts w:ascii="Times New Roman" w:hAnsi="Times New Roman" w:cs="Times New Roman"/>
          <w:sz w:val="24"/>
          <w:szCs w:val="24"/>
        </w:rPr>
      </w:pPr>
      <w:r>
        <w:rPr>
          <w:rFonts w:ascii="Times New Roman" w:hAnsi="Times New Roman" w:cs="Times New Roman"/>
          <w:sz w:val="24"/>
          <w:szCs w:val="24"/>
        </w:rPr>
        <w:t>Since more prosumers are entering the market, a</w:t>
      </w:r>
      <w:r w:rsidRPr="00973977">
        <w:rPr>
          <w:rFonts w:ascii="Times New Roman" w:hAnsi="Times New Roman" w:cs="Times New Roman"/>
          <w:sz w:val="24"/>
          <w:szCs w:val="24"/>
        </w:rPr>
        <w:t>ll of this, in turn, will lead to the creation of scalable micro-grids for prosumers</w:t>
      </w:r>
      <w:r>
        <w:rPr>
          <w:rStyle w:val="Refdenotaalpie"/>
          <w:rFonts w:ascii="Times New Roman" w:hAnsi="Times New Roman" w:cs="Times New Roman"/>
          <w:sz w:val="24"/>
          <w:szCs w:val="24"/>
        </w:rPr>
        <w:footnoteReference w:id="18"/>
      </w:r>
      <w:r w:rsidRPr="00973977">
        <w:rPr>
          <w:rFonts w:ascii="Times New Roman" w:hAnsi="Times New Roman" w:cs="Times New Roman"/>
          <w:sz w:val="24"/>
          <w:szCs w:val="24"/>
        </w:rPr>
        <w:t xml:space="preserve"> and utility companies, new policies and regulatory frameworks for smart grids, as well as a better grid management. </w:t>
      </w:r>
      <w:r>
        <w:rPr>
          <w:rFonts w:ascii="Times New Roman" w:hAnsi="Times New Roman" w:cs="Times New Roman"/>
          <w:sz w:val="24"/>
          <w:szCs w:val="24"/>
        </w:rPr>
        <w:t xml:space="preserve">It will also </w:t>
      </w:r>
      <w:r w:rsidRPr="00697B8E">
        <w:rPr>
          <w:rFonts w:ascii="Times New Roman" w:hAnsi="Times New Roman" w:cs="Times New Roman"/>
          <w:sz w:val="24"/>
          <w:szCs w:val="24"/>
        </w:rPr>
        <w:t xml:space="preserve">encourage </w:t>
      </w:r>
      <w:r>
        <w:rPr>
          <w:rFonts w:ascii="Times New Roman" w:hAnsi="Times New Roman" w:cs="Times New Roman"/>
          <w:sz w:val="24"/>
          <w:szCs w:val="24"/>
        </w:rPr>
        <w:t>prosumers</w:t>
      </w:r>
      <w:r w:rsidRPr="00697B8E">
        <w:rPr>
          <w:rFonts w:ascii="Times New Roman" w:hAnsi="Times New Roman" w:cs="Times New Roman"/>
          <w:sz w:val="24"/>
          <w:szCs w:val="24"/>
        </w:rPr>
        <w:t xml:space="preserve"> towards </w:t>
      </w:r>
      <w:r>
        <w:rPr>
          <w:rFonts w:ascii="Times New Roman" w:hAnsi="Times New Roman" w:cs="Times New Roman"/>
          <w:sz w:val="24"/>
          <w:szCs w:val="24"/>
        </w:rPr>
        <w:t>a more energy-efficient behavio</w:t>
      </w:r>
      <w:r w:rsidRPr="00697B8E">
        <w:rPr>
          <w:rFonts w:ascii="Times New Roman" w:hAnsi="Times New Roman" w:cs="Times New Roman"/>
          <w:sz w:val="24"/>
          <w:szCs w:val="24"/>
        </w:rPr>
        <w:t>r.</w:t>
      </w:r>
      <w:r>
        <w:rPr>
          <w:rFonts w:ascii="Times New Roman" w:hAnsi="Times New Roman" w:cs="Times New Roman"/>
          <w:sz w:val="24"/>
          <w:szCs w:val="24"/>
        </w:rPr>
        <w:t xml:space="preserve"> Further, it will </w:t>
      </w:r>
      <w:r w:rsidRPr="00B77B1A">
        <w:rPr>
          <w:rFonts w:ascii="Times New Roman" w:hAnsi="Times New Roman" w:cs="Times New Roman"/>
          <w:sz w:val="24"/>
          <w:szCs w:val="24"/>
        </w:rPr>
        <w:t>c</w:t>
      </w:r>
      <w:r>
        <w:rPr>
          <w:rFonts w:ascii="Times New Roman" w:hAnsi="Times New Roman" w:cs="Times New Roman"/>
          <w:sz w:val="24"/>
          <w:szCs w:val="24"/>
        </w:rPr>
        <w:t>hange</w:t>
      </w:r>
      <w:r w:rsidRPr="00B77B1A">
        <w:rPr>
          <w:rFonts w:ascii="Times New Roman" w:hAnsi="Times New Roman" w:cs="Times New Roman"/>
          <w:sz w:val="24"/>
          <w:szCs w:val="24"/>
        </w:rPr>
        <w:t xml:space="preserve"> citizens</w:t>
      </w:r>
      <w:r>
        <w:rPr>
          <w:rFonts w:ascii="Times New Roman" w:hAnsi="Times New Roman" w:cs="Times New Roman"/>
          <w:sz w:val="24"/>
          <w:szCs w:val="24"/>
        </w:rPr>
        <w:t>’ attitudes</w:t>
      </w:r>
      <w:r w:rsidRPr="00B77B1A">
        <w:rPr>
          <w:rFonts w:ascii="Times New Roman" w:hAnsi="Times New Roman" w:cs="Times New Roman"/>
          <w:sz w:val="24"/>
          <w:szCs w:val="24"/>
        </w:rPr>
        <w:t xml:space="preserve"> from being passive to active consumers by presenting a variety of local engagement opportunities</w:t>
      </w:r>
      <w:r>
        <w:rPr>
          <w:rFonts w:ascii="Times New Roman" w:hAnsi="Times New Roman" w:cs="Times New Roman"/>
          <w:sz w:val="24"/>
          <w:szCs w:val="24"/>
        </w:rPr>
        <w:t xml:space="preserve">. </w:t>
      </w:r>
      <w:r w:rsidRPr="00983F98">
        <w:rPr>
          <w:rFonts w:ascii="Times New Roman" w:hAnsi="Times New Roman" w:cs="Times New Roman"/>
          <w:sz w:val="24"/>
          <w:szCs w:val="24"/>
        </w:rPr>
        <w:t xml:space="preserve">Local renewable energy communities are at the grassroots of the movement to change </w:t>
      </w:r>
      <w:r>
        <w:rPr>
          <w:rFonts w:ascii="Times New Roman" w:hAnsi="Times New Roman" w:cs="Times New Roman"/>
          <w:sz w:val="24"/>
          <w:szCs w:val="24"/>
        </w:rPr>
        <w:t>the current</w:t>
      </w:r>
      <w:r w:rsidRPr="00983F98">
        <w:rPr>
          <w:rFonts w:ascii="Times New Roman" w:hAnsi="Times New Roman" w:cs="Times New Roman"/>
          <w:sz w:val="24"/>
          <w:szCs w:val="24"/>
        </w:rPr>
        <w:t xml:space="preserve"> energy</w:t>
      </w:r>
      <w:r>
        <w:rPr>
          <w:rFonts w:ascii="Times New Roman" w:hAnsi="Times New Roman" w:cs="Times New Roman"/>
          <w:sz w:val="24"/>
          <w:szCs w:val="24"/>
        </w:rPr>
        <w:t>-security</w:t>
      </w:r>
      <w:r w:rsidRPr="00983F98">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Pr="00973977">
        <w:rPr>
          <w:rFonts w:ascii="Times New Roman" w:hAnsi="Times New Roman" w:cs="Times New Roman"/>
          <w:sz w:val="24"/>
          <w:szCs w:val="24"/>
        </w:rPr>
        <w:t>For instance, how can legal technical barriers to energy technology be reduced or eliminated for smart grids to take off in different jurisdictions?</w:t>
      </w:r>
      <w:r>
        <w:rPr>
          <w:rStyle w:val="Refdenotaalpie"/>
          <w:rFonts w:ascii="Times New Roman" w:hAnsi="Times New Roman" w:cs="Times New Roman"/>
          <w:sz w:val="24"/>
          <w:szCs w:val="24"/>
        </w:rPr>
        <w:footnoteReference w:id="19"/>
      </w:r>
      <w:r w:rsidRPr="00973977">
        <w:rPr>
          <w:rFonts w:ascii="Times New Roman" w:hAnsi="Times New Roman" w:cs="Times New Roman"/>
          <w:sz w:val="24"/>
          <w:szCs w:val="24"/>
        </w:rPr>
        <w:t xml:space="preserve"> How could the legal environment be developed to benefit technology</w:t>
      </w:r>
      <w:r>
        <w:rPr>
          <w:rFonts w:ascii="Times New Roman" w:hAnsi="Times New Roman" w:cs="Times New Roman"/>
          <w:sz w:val="24"/>
          <w:szCs w:val="24"/>
        </w:rPr>
        <w:t xml:space="preserve"> and create, say, a single smart grid in supranational structures like that of the EU</w:t>
      </w:r>
      <w:r w:rsidRPr="00973977">
        <w:rPr>
          <w:rFonts w:ascii="Times New Roman" w:hAnsi="Times New Roman" w:cs="Times New Roman"/>
          <w:sz w:val="24"/>
          <w:szCs w:val="24"/>
        </w:rPr>
        <w:t>?</w:t>
      </w:r>
      <w:r>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Such a system would make energy security </w:t>
      </w:r>
      <w:r w:rsidRPr="00594E46">
        <w:rPr>
          <w:rFonts w:ascii="Times New Roman" w:hAnsi="Times New Roman" w:cs="Times New Roman"/>
          <w:sz w:val="24"/>
          <w:szCs w:val="24"/>
        </w:rPr>
        <w:t>cheaper.</w:t>
      </w:r>
    </w:p>
    <w:p w:rsidR="008A38CF" w:rsidRPr="00594E46" w:rsidRDefault="008A38CF" w:rsidP="008A38CF">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594E46">
        <w:rPr>
          <w:rFonts w:ascii="Times New Roman" w:hAnsi="Times New Roman" w:cs="Times New Roman"/>
          <w:sz w:val="24"/>
          <w:szCs w:val="24"/>
        </w:rPr>
        <w:t xml:space="preserve">he use of behavioral economics in public policy has been increasingly on the agenda. </w:t>
      </w:r>
      <w:r>
        <w:rPr>
          <w:rFonts w:ascii="Times New Roman" w:hAnsi="Times New Roman" w:cs="Times New Roman"/>
          <w:sz w:val="24"/>
          <w:szCs w:val="24"/>
        </w:rPr>
        <w:t>I</w:t>
      </w:r>
      <w:r w:rsidRPr="00594E46">
        <w:rPr>
          <w:rFonts w:ascii="Times New Roman" w:hAnsi="Times New Roman" w:cs="Times New Roman"/>
          <w:sz w:val="24"/>
          <w:szCs w:val="24"/>
        </w:rPr>
        <w:t xml:space="preserve">n energy policy, </w:t>
      </w:r>
      <w:r>
        <w:rPr>
          <w:rFonts w:ascii="Times New Roman" w:hAnsi="Times New Roman" w:cs="Times New Roman"/>
          <w:sz w:val="24"/>
          <w:szCs w:val="24"/>
        </w:rPr>
        <w:t>“</w:t>
      </w:r>
      <w:r w:rsidRPr="00594E46">
        <w:rPr>
          <w:rFonts w:ascii="Times New Roman" w:hAnsi="Times New Roman" w:cs="Times New Roman"/>
          <w:sz w:val="24"/>
          <w:szCs w:val="24"/>
        </w:rPr>
        <w:t>it has become clear that efforts t</w:t>
      </w:r>
      <w:r>
        <w:rPr>
          <w:rFonts w:ascii="Times New Roman" w:hAnsi="Times New Roman" w:cs="Times New Roman"/>
          <w:sz w:val="24"/>
          <w:szCs w:val="24"/>
        </w:rPr>
        <w:t>o steer people towards “better”</w:t>
      </w:r>
      <w:r w:rsidRPr="00594E46">
        <w:rPr>
          <w:rFonts w:ascii="Times New Roman" w:hAnsi="Times New Roman" w:cs="Times New Roman"/>
          <w:sz w:val="24"/>
          <w:szCs w:val="24"/>
        </w:rPr>
        <w:t xml:space="preserve">—that is, more energy efficient—choices and </w:t>
      </w:r>
      <w:proofErr w:type="spellStart"/>
      <w:r w:rsidRPr="00594E46">
        <w:rPr>
          <w:rFonts w:ascii="Times New Roman" w:hAnsi="Times New Roman" w:cs="Times New Roman"/>
          <w:sz w:val="24"/>
          <w:szCs w:val="24"/>
        </w:rPr>
        <w:t>behavio</w:t>
      </w:r>
      <w:r>
        <w:rPr>
          <w:rFonts w:ascii="Times New Roman" w:hAnsi="Times New Roman" w:cs="Times New Roman"/>
          <w:sz w:val="24"/>
          <w:szCs w:val="24"/>
        </w:rPr>
        <w:t>u</w:t>
      </w:r>
      <w:r w:rsidRPr="00594E46">
        <w:rPr>
          <w:rFonts w:ascii="Times New Roman" w:hAnsi="Times New Roman" w:cs="Times New Roman"/>
          <w:sz w:val="24"/>
          <w:szCs w:val="24"/>
        </w:rPr>
        <w:t>rs</w:t>
      </w:r>
      <w:proofErr w:type="spellEnd"/>
      <w:r w:rsidRPr="00594E46">
        <w:rPr>
          <w:rFonts w:ascii="Times New Roman" w:hAnsi="Times New Roman" w:cs="Times New Roman"/>
          <w:sz w:val="24"/>
          <w:szCs w:val="24"/>
        </w:rPr>
        <w:t xml:space="preserve"> are much needed.</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As suggested by Lucia </w:t>
      </w:r>
      <w:proofErr w:type="spellStart"/>
      <w:r>
        <w:rPr>
          <w:rFonts w:ascii="Times New Roman" w:hAnsi="Times New Roman" w:cs="Times New Roman"/>
          <w:sz w:val="24"/>
          <w:szCs w:val="24"/>
        </w:rPr>
        <w:t>Reisch</w:t>
      </w:r>
      <w:proofErr w:type="spellEnd"/>
      <w:r>
        <w:rPr>
          <w:rFonts w:ascii="Times New Roman" w:hAnsi="Times New Roman" w:cs="Times New Roman"/>
          <w:sz w:val="24"/>
          <w:szCs w:val="24"/>
        </w:rPr>
        <w:t xml:space="preserve">, there is increasing </w:t>
      </w:r>
      <w:r w:rsidRPr="00594E46">
        <w:rPr>
          <w:rFonts w:ascii="Times New Roman" w:hAnsi="Times New Roman" w:cs="Times New Roman"/>
          <w:sz w:val="24"/>
          <w:szCs w:val="24"/>
        </w:rPr>
        <w:t>evidence that the right in</w:t>
      </w:r>
      <w:r>
        <w:rPr>
          <w:rFonts w:ascii="Times New Roman" w:hAnsi="Times New Roman" w:cs="Times New Roman"/>
          <w:sz w:val="24"/>
          <w:szCs w:val="24"/>
        </w:rPr>
        <w:t>centives do spur behavio</w:t>
      </w:r>
      <w:r w:rsidRPr="00594E46">
        <w:rPr>
          <w:rFonts w:ascii="Times New Roman" w:hAnsi="Times New Roman" w:cs="Times New Roman"/>
          <w:sz w:val="24"/>
          <w:szCs w:val="24"/>
        </w:rPr>
        <w:t>ral change.</w:t>
      </w:r>
      <w:r>
        <w:rPr>
          <w:rStyle w:val="Refdenotaalpie"/>
          <w:rFonts w:ascii="Times New Roman" w:hAnsi="Times New Roman" w:cs="Times New Roman"/>
          <w:sz w:val="24"/>
          <w:szCs w:val="24"/>
        </w:rPr>
        <w:footnoteReference w:id="22"/>
      </w:r>
      <w:r>
        <w:rPr>
          <w:rFonts w:ascii="Times New Roman" w:hAnsi="Times New Roman" w:cs="Times New Roman"/>
          <w:sz w:val="24"/>
          <w:szCs w:val="24"/>
        </w:rPr>
        <w:t xml:space="preserve"> This has certainly been the case in Nordic countries, where the so-called Nordic model has failed in top-down policies (such as the creation of common defense policy, a single currency), but has been very successful in the design of bottom-up approaches to policies with the right incentives and market integration.</w:t>
      </w:r>
      <w:r>
        <w:rPr>
          <w:rStyle w:val="Refdenotaalpie"/>
          <w:rFonts w:ascii="Times New Roman" w:hAnsi="Times New Roman" w:cs="Times New Roman"/>
          <w:sz w:val="24"/>
          <w:szCs w:val="24"/>
        </w:rPr>
        <w:footnoteReference w:id="23"/>
      </w:r>
    </w:p>
    <w:p w:rsidR="008A38CF" w:rsidRPr="00DC6FFC" w:rsidRDefault="008A38CF" w:rsidP="008A38CF">
      <w:pPr>
        <w:pStyle w:val="Prrafodelista"/>
        <w:ind w:left="0"/>
        <w:jc w:val="both"/>
      </w:pPr>
      <w:r w:rsidRPr="00594E46">
        <w:t xml:space="preserve">This shift in the governance of sustainable development implies putting citizens at the center of this process. The phenomenon of what we describe as a ‘bottom-up approach’ in the </w:t>
      </w:r>
      <w:r w:rsidRPr="00594E46">
        <w:rPr>
          <w:i/>
        </w:rPr>
        <w:lastRenderedPageBreak/>
        <w:t>democratic</w:t>
      </w:r>
      <w:r w:rsidRPr="00594E46">
        <w:rPr>
          <w:rStyle w:val="Refdenotaalpie"/>
          <w:rFonts w:eastAsia="Calibri"/>
        </w:rPr>
        <w:footnoteReference w:id="24"/>
      </w:r>
      <w:r w:rsidRPr="00594E46">
        <w:t xml:space="preserve"> (in the true sense of the term, namely that</w:t>
      </w:r>
      <w:r w:rsidRPr="00DC6FFC">
        <w:t xml:space="preserve"> power remains with the citizens) implementation of climate change mitigation plans—a creation of the Paris Agreement, which has become the locomotive of climate action—is one of the mega-trends of the 21</w:t>
      </w:r>
      <w:r w:rsidRPr="00DC6FFC">
        <w:rPr>
          <w:vertAlign w:val="superscript"/>
        </w:rPr>
        <w:t>st</w:t>
      </w:r>
      <w:r w:rsidRPr="00DC6FFC">
        <w:t xml:space="preserve"> century.</w:t>
      </w:r>
      <w:r>
        <w:rPr>
          <w:rStyle w:val="Refdenotaalpie"/>
          <w:rFonts w:eastAsia="Calibri"/>
        </w:rPr>
        <w:footnoteReference w:id="25"/>
      </w:r>
      <w:r w:rsidRPr="00DC6FFC">
        <w:t xml:space="preserve"> Since</w:t>
      </w:r>
      <w:r w:rsidRPr="008F2283">
        <w:t xml:space="preserve"> </w:t>
      </w:r>
      <w:r>
        <w:t>the majority of the world population lives in cities</w:t>
      </w:r>
      <w:r>
        <w:rPr>
          <w:rStyle w:val="Refdenotaalpie"/>
          <w:rFonts w:eastAsia="Calibri"/>
        </w:rPr>
        <w:footnoteReference w:id="26"/>
      </w:r>
      <w:r>
        <w:t xml:space="preserve"> (and this trend is on the rise),</w:t>
      </w:r>
      <w:r>
        <w:rPr>
          <w:rStyle w:val="Refdenotaalpie"/>
          <w:rFonts w:eastAsia="Calibri"/>
        </w:rPr>
        <w:footnoteReference w:id="27"/>
      </w:r>
      <w:r>
        <w:t xml:space="preserve"> since 50% of global waste is produced in cities,</w:t>
      </w:r>
      <w:r>
        <w:rPr>
          <w:rStyle w:val="Refdenotaalpie"/>
          <w:rFonts w:eastAsia="Calibri"/>
        </w:rPr>
        <w:footnoteReference w:id="28"/>
      </w:r>
      <w:r>
        <w:t xml:space="preserve"> since</w:t>
      </w:r>
      <w:r w:rsidRPr="00DC6FFC">
        <w:t xml:space="preserve"> 80% of global economic activity takes place in cities</w:t>
      </w:r>
      <w:r>
        <w:t>,</w:t>
      </w:r>
      <w:r w:rsidRPr="00DC6FFC">
        <w:rPr>
          <w:rStyle w:val="Refdenotaalpie"/>
          <w:rFonts w:eastAsia="Calibri"/>
        </w:rPr>
        <w:footnoteReference w:id="29"/>
      </w:r>
      <w:r w:rsidRPr="00DC6FFC">
        <w:t xml:space="preserve"> and since </w:t>
      </w:r>
      <w:r>
        <w:t xml:space="preserve">between 60% and </w:t>
      </w:r>
      <w:r w:rsidRPr="00DC6FFC">
        <w:t>80% of GHG emissions comes from cities,</w:t>
      </w:r>
      <w:r w:rsidRPr="00DC6FFC">
        <w:rPr>
          <w:rStyle w:val="Refdenotaalpie"/>
          <w:rFonts w:eastAsia="Calibri"/>
        </w:rPr>
        <w:footnoteReference w:id="30"/>
      </w:r>
      <w:r w:rsidRPr="00DC6FFC">
        <w:t xml:space="preserve"> this new mega-trend of climate action </w:t>
      </w:r>
      <w:r>
        <w:t xml:space="preserve">at the city </w:t>
      </w:r>
      <w:r w:rsidRPr="00DC6FFC">
        <w:t>level</w:t>
      </w:r>
      <w:r>
        <w:t xml:space="preserve"> with a much greater participation of citizens is very promising.</w:t>
      </w:r>
      <w:r>
        <w:rPr>
          <w:rStyle w:val="Refdenotaalpie"/>
          <w:rFonts w:eastAsia="Calibri"/>
        </w:rPr>
        <w:footnoteReference w:id="31"/>
      </w:r>
    </w:p>
    <w:p w:rsidR="008A38CF" w:rsidRPr="00DC6FFC" w:rsidRDefault="008A38CF" w:rsidP="008A38CF">
      <w:pPr>
        <w:pStyle w:val="Prrafodelista"/>
        <w:ind w:left="0"/>
        <w:jc w:val="both"/>
      </w:pPr>
    </w:p>
    <w:p w:rsidR="008A38CF" w:rsidRPr="00D740DB" w:rsidRDefault="008A38CF" w:rsidP="008A38CF">
      <w:pPr>
        <w:pStyle w:val="Prrafodelista"/>
        <w:ind w:left="0"/>
        <w:contextualSpacing/>
        <w:jc w:val="both"/>
      </w:pPr>
      <w:r w:rsidRPr="00DC6FFC">
        <w:t xml:space="preserve">So why should cities </w:t>
      </w:r>
      <w:r>
        <w:t xml:space="preserve">(and therefore citizens) </w:t>
      </w:r>
      <w:r w:rsidRPr="00DC6FFC">
        <w:t xml:space="preserve">take climate action? </w:t>
      </w:r>
      <w:r>
        <w:t>B</w:t>
      </w:r>
      <w:r w:rsidRPr="006C6A75">
        <w:t>ecause today the majority of the world’s population lives</w:t>
      </w:r>
      <w:r>
        <w:t xml:space="preserve"> in cities,</w:t>
      </w:r>
      <w:r>
        <w:rPr>
          <w:rStyle w:val="Refdenotaalpie"/>
          <w:rFonts w:eastAsia="Calibri"/>
        </w:rPr>
        <w:footnoteReference w:id="32"/>
      </w:r>
      <w:r>
        <w:t xml:space="preserve"> </w:t>
      </w:r>
      <w:r w:rsidRPr="006C6A75">
        <w:t>and this trend to urban migration is on the rise;</w:t>
      </w:r>
      <w:r>
        <w:rPr>
          <w:rStyle w:val="Refdenotaalpie"/>
          <w:rFonts w:eastAsia="Calibri"/>
        </w:rPr>
        <w:footnoteReference w:id="33"/>
      </w:r>
      <w:r>
        <w:t xml:space="preserve"> b</w:t>
      </w:r>
      <w:r w:rsidRPr="00DC6FFC">
        <w:t xml:space="preserve">ecause </w:t>
      </w:r>
      <w:r>
        <w:t>cities</w:t>
      </w:r>
      <w:r w:rsidRPr="00DC6FFC">
        <w:t xml:space="preserve"> are the main polluters and the main implementers of legislation</w:t>
      </w:r>
      <w:r>
        <w:t>;</w:t>
      </w:r>
      <w:r>
        <w:rPr>
          <w:rStyle w:val="Refdenotaalpie"/>
          <w:rFonts w:eastAsia="Calibri"/>
        </w:rPr>
        <w:footnoteReference w:id="34"/>
      </w:r>
      <w:r w:rsidRPr="00DC6FFC">
        <w:t xml:space="preserve"> and because mayors of cities are pragmatic with global issues such as climate change, poverty or terrorism.</w:t>
      </w:r>
      <w:r>
        <w:rPr>
          <w:rStyle w:val="Refdenotaalpie"/>
          <w:rFonts w:eastAsia="Calibri"/>
        </w:rPr>
        <w:footnoteReference w:id="35"/>
      </w:r>
      <w:r w:rsidRPr="00DC6FFC">
        <w:t xml:space="preserve"> Also because such issues are too big for nation-states and because cities arguably offer better governance on these matters. Moreover, mayors tend to come from the cities they govern and therefore have a </w:t>
      </w:r>
      <w:r w:rsidRPr="00D740DB">
        <w:t>much higher level of trust than politicians at the national level.</w:t>
      </w:r>
    </w:p>
    <w:p w:rsidR="008A38CF" w:rsidRPr="00D740DB" w:rsidRDefault="008A38CF" w:rsidP="008A38CF">
      <w:pPr>
        <w:pStyle w:val="Prrafodelista"/>
        <w:ind w:left="0"/>
        <w:contextualSpacing/>
        <w:jc w:val="both"/>
      </w:pPr>
    </w:p>
    <w:p w:rsidR="008A38CF" w:rsidRDefault="008A38CF" w:rsidP="008A38CF">
      <w:pPr>
        <w:spacing w:line="240" w:lineRule="auto"/>
        <w:contextualSpacing/>
        <w:jc w:val="both"/>
        <w:rPr>
          <w:rFonts w:ascii="Times New Roman" w:hAnsi="Times New Roman" w:cs="Times New Roman"/>
          <w:sz w:val="24"/>
          <w:szCs w:val="24"/>
        </w:rPr>
      </w:pPr>
      <w:r w:rsidRPr="00B40840">
        <w:rPr>
          <w:rFonts w:ascii="Times New Roman" w:hAnsi="Times New Roman" w:cs="Times New Roman"/>
          <w:sz w:val="24"/>
          <w:szCs w:val="24"/>
        </w:rPr>
        <w:t>What should be the role of citizens in the shift towards a circular economy (i.e., recycling and reusing products)</w:t>
      </w:r>
      <w:r>
        <w:rPr>
          <w:rFonts w:ascii="Times New Roman" w:hAnsi="Times New Roman" w:cs="Times New Roman"/>
          <w:sz w:val="24"/>
          <w:szCs w:val="24"/>
        </w:rPr>
        <w:t xml:space="preserve"> and in trade diplomacy</w:t>
      </w:r>
      <w:r w:rsidRPr="00B40840">
        <w:rPr>
          <w:rFonts w:ascii="Times New Roman" w:hAnsi="Times New Roman" w:cs="Times New Roman"/>
          <w:sz w:val="24"/>
          <w:szCs w:val="24"/>
        </w:rPr>
        <w:t xml:space="preserve">? What should be the role of the emerging </w:t>
      </w:r>
      <w:r w:rsidRPr="00B40840">
        <w:rPr>
          <w:rFonts w:ascii="Times New Roman" w:hAnsi="Times New Roman" w:cs="Times New Roman"/>
          <w:sz w:val="24"/>
          <w:szCs w:val="24"/>
        </w:rPr>
        <w:lastRenderedPageBreak/>
        <w:t>environmental goods and services sector?</w:t>
      </w:r>
      <w:r>
        <w:rPr>
          <w:rFonts w:ascii="Times New Roman" w:hAnsi="Times New Roman" w:cs="Times New Roman"/>
          <w:sz w:val="24"/>
          <w:szCs w:val="24"/>
        </w:rPr>
        <w:t xml:space="preserve"> In the specific case of international trade, one could imagine as citizens’ empowerment the involvement of civil society, as stakeholders of trade agreements, in committees on trade and environment via their participation during the negotiation process of future trade agreements. Moreover, with the rise of e-commerce, one could think of the increasing participation of micro, </w:t>
      </w:r>
      <w:r w:rsidRPr="00DF1F99">
        <w:rPr>
          <w:rFonts w:ascii="Times New Roman" w:hAnsi="Times New Roman" w:cs="Times New Roman"/>
          <w:sz w:val="24"/>
          <w:szCs w:val="24"/>
        </w:rPr>
        <w:t xml:space="preserve">small and medium enterprises via apps on their </w:t>
      </w:r>
      <w:r>
        <w:rPr>
          <w:rFonts w:ascii="Times New Roman" w:hAnsi="Times New Roman" w:cs="Times New Roman"/>
          <w:sz w:val="24"/>
          <w:szCs w:val="24"/>
        </w:rPr>
        <w:t>smart</w:t>
      </w:r>
      <w:r w:rsidRPr="00DF1F99">
        <w:rPr>
          <w:rFonts w:ascii="Times New Roman" w:hAnsi="Times New Roman" w:cs="Times New Roman"/>
          <w:sz w:val="24"/>
          <w:szCs w:val="24"/>
        </w:rPr>
        <w:t>phones.</w:t>
      </w:r>
      <w:r>
        <w:rPr>
          <w:rFonts w:ascii="Times New Roman" w:hAnsi="Times New Roman" w:cs="Times New Roman"/>
          <w:sz w:val="24"/>
          <w:szCs w:val="24"/>
        </w:rPr>
        <w:t xml:space="preserve"> How can trade policy have more contact with private companies that are involved in international trade? Regarding the process of negotiation of trade agreements, potential areas for improvement and participation at the grassroots level are transparency,</w:t>
      </w:r>
      <w:r>
        <w:rPr>
          <w:rStyle w:val="Refdenotaalpie"/>
          <w:rFonts w:ascii="Times New Roman" w:hAnsi="Times New Roman" w:cs="Times New Roman"/>
          <w:sz w:val="24"/>
          <w:szCs w:val="24"/>
        </w:rPr>
        <w:footnoteReference w:id="36"/>
      </w:r>
      <w:r>
        <w:rPr>
          <w:rFonts w:ascii="Times New Roman" w:hAnsi="Times New Roman" w:cs="Times New Roman"/>
          <w:sz w:val="24"/>
          <w:szCs w:val="24"/>
        </w:rPr>
        <w:t xml:space="preserve"> NGO involvement,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implementation of trade agreements, information asymmetry, and due process, among others. </w:t>
      </w:r>
    </w:p>
    <w:p w:rsidR="008A38CF" w:rsidRDefault="008A38CF" w:rsidP="008A38CF">
      <w:pPr>
        <w:pStyle w:val="Ttulo3"/>
      </w:pPr>
      <w:bookmarkStart w:id="4" w:name="_Toc517327319"/>
      <w:proofErr w:type="gramStart"/>
      <w:r>
        <w:t>b.1</w:t>
      </w:r>
      <w:proofErr w:type="gramEnd"/>
      <w:r>
        <w:t>. Energy transition: The role of citizens</w:t>
      </w:r>
      <w:bookmarkEnd w:id="4"/>
    </w:p>
    <w:p w:rsidR="008A38CF" w:rsidRPr="00E66B67" w:rsidRDefault="008A38CF" w:rsidP="008A38CF">
      <w:pPr>
        <w:spacing w:line="240" w:lineRule="auto"/>
        <w:contextualSpacing/>
        <w:jc w:val="both"/>
        <w:rPr>
          <w:rFonts w:ascii="Times New Roman" w:hAnsi="Times New Roman" w:cs="Times New Roman"/>
          <w:sz w:val="24"/>
          <w:szCs w:val="24"/>
          <w:lang w:val="en-GB"/>
        </w:rPr>
      </w:pPr>
      <w:r w:rsidRPr="00E66B67">
        <w:rPr>
          <w:rFonts w:ascii="Times New Roman" w:hAnsi="Times New Roman" w:cs="Times New Roman"/>
          <w:sz w:val="24"/>
          <w:szCs w:val="24"/>
          <w:lang w:val="en-GB"/>
        </w:rPr>
        <w:t>The energy transition, which is happening at a slow pace, is an opportunity to protect the planet, as is also to create jobs and provide economic growth. The long-term goal in the energy field is 100% energy use from wind, solar, and hydropower. Since the energy sector and the economy go hand in hand, the future of the energy transition and the future of countries’ economies will inevitable go hand in hand. There are several factors to take into account in the energy transition: circularity/cradle-to-grave principle (recycling over and over again), consumer’s engagement, decarbonisation, long-term thinking, minimizing social impact on consumers, multilevel governance (at local, regional, national, supranational, international level), simplicity, speed (namely making sure that the energy transition happens within a reasonable timeframe), affordability, and transparency with data.</w:t>
      </w:r>
    </w:p>
    <w:p w:rsidR="008A38CF" w:rsidRDefault="008A38CF" w:rsidP="008A38CF">
      <w:pPr>
        <w:spacing w:line="240" w:lineRule="auto"/>
        <w:contextualSpacing/>
        <w:jc w:val="both"/>
        <w:rPr>
          <w:lang w:val="en-GB"/>
        </w:rPr>
      </w:pPr>
    </w:p>
    <w:p w:rsidR="008A38CF" w:rsidRPr="00E66B67" w:rsidRDefault="008A38CF" w:rsidP="008A38CF">
      <w:pPr>
        <w:spacing w:line="240" w:lineRule="auto"/>
        <w:contextualSpacing/>
        <w:jc w:val="both"/>
        <w:rPr>
          <w:rFonts w:ascii="Times New Roman" w:hAnsi="Times New Roman" w:cs="Times New Roman"/>
          <w:sz w:val="24"/>
          <w:szCs w:val="24"/>
          <w:lang w:val="en-GB"/>
        </w:rPr>
      </w:pPr>
      <w:r w:rsidRPr="00E66B67">
        <w:rPr>
          <w:rFonts w:ascii="Times New Roman" w:hAnsi="Times New Roman" w:cs="Times New Roman"/>
          <w:sz w:val="24"/>
          <w:szCs w:val="24"/>
          <w:lang w:val="en-GB"/>
        </w:rPr>
        <w:t xml:space="preserve">Moreover, one can think of five ‘D’s when </w:t>
      </w:r>
      <w:proofErr w:type="spellStart"/>
      <w:r w:rsidRPr="00E66B67">
        <w:rPr>
          <w:rFonts w:ascii="Times New Roman" w:hAnsi="Times New Roman" w:cs="Times New Roman"/>
          <w:sz w:val="24"/>
          <w:szCs w:val="24"/>
          <w:lang w:val="en-GB"/>
        </w:rPr>
        <w:t>analyzing</w:t>
      </w:r>
      <w:proofErr w:type="spellEnd"/>
      <w:r w:rsidRPr="00E66B67">
        <w:rPr>
          <w:rFonts w:ascii="Times New Roman" w:hAnsi="Times New Roman" w:cs="Times New Roman"/>
          <w:sz w:val="24"/>
          <w:szCs w:val="24"/>
          <w:lang w:val="en-GB"/>
        </w:rPr>
        <w:t xml:space="preserve"> what is shaping the economy and the energy transition:</w:t>
      </w:r>
    </w:p>
    <w:p w:rsidR="008A38CF" w:rsidRDefault="008A38CF" w:rsidP="008A38CF">
      <w:pPr>
        <w:pStyle w:val="Prrafodelista"/>
        <w:numPr>
          <w:ilvl w:val="0"/>
          <w:numId w:val="3"/>
        </w:numPr>
        <w:contextualSpacing/>
        <w:jc w:val="both"/>
        <w:rPr>
          <w:lang w:val="en-GB"/>
        </w:rPr>
      </w:pPr>
      <w:r>
        <w:rPr>
          <w:lang w:val="en-GB"/>
        </w:rPr>
        <w:t>Democratization;</w:t>
      </w:r>
    </w:p>
    <w:p w:rsidR="008A38CF" w:rsidRDefault="008A38CF" w:rsidP="008A38CF">
      <w:pPr>
        <w:pStyle w:val="Prrafodelista"/>
        <w:numPr>
          <w:ilvl w:val="0"/>
          <w:numId w:val="3"/>
        </w:numPr>
        <w:contextualSpacing/>
        <w:jc w:val="both"/>
        <w:rPr>
          <w:lang w:val="en-GB"/>
        </w:rPr>
      </w:pPr>
      <w:r>
        <w:rPr>
          <w:lang w:val="en-GB"/>
        </w:rPr>
        <w:t>Digitalization;</w:t>
      </w:r>
    </w:p>
    <w:p w:rsidR="008A38CF" w:rsidRDefault="008A38CF" w:rsidP="008A38CF">
      <w:pPr>
        <w:pStyle w:val="Prrafodelista"/>
        <w:numPr>
          <w:ilvl w:val="0"/>
          <w:numId w:val="3"/>
        </w:numPr>
        <w:contextualSpacing/>
        <w:jc w:val="both"/>
        <w:rPr>
          <w:lang w:val="en-GB"/>
        </w:rPr>
      </w:pPr>
      <w:proofErr w:type="spellStart"/>
      <w:r>
        <w:rPr>
          <w:lang w:val="en-GB"/>
        </w:rPr>
        <w:t>Decarbonization</w:t>
      </w:r>
      <w:proofErr w:type="spellEnd"/>
      <w:r>
        <w:rPr>
          <w:lang w:val="en-GB"/>
        </w:rPr>
        <w:t>;</w:t>
      </w:r>
    </w:p>
    <w:p w:rsidR="008A38CF" w:rsidRDefault="008A38CF" w:rsidP="008A38CF">
      <w:pPr>
        <w:pStyle w:val="Prrafodelista"/>
        <w:numPr>
          <w:ilvl w:val="0"/>
          <w:numId w:val="3"/>
        </w:numPr>
        <w:contextualSpacing/>
        <w:jc w:val="both"/>
        <w:rPr>
          <w:lang w:val="en-GB"/>
        </w:rPr>
      </w:pPr>
      <w:r>
        <w:rPr>
          <w:lang w:val="en-GB"/>
        </w:rPr>
        <w:t>Decentralization; and</w:t>
      </w:r>
    </w:p>
    <w:p w:rsidR="008A38CF" w:rsidRDefault="008A38CF" w:rsidP="008A38CF">
      <w:pPr>
        <w:pStyle w:val="Prrafodelista"/>
        <w:numPr>
          <w:ilvl w:val="0"/>
          <w:numId w:val="3"/>
        </w:numPr>
        <w:contextualSpacing/>
        <w:jc w:val="both"/>
        <w:rPr>
          <w:lang w:val="en-GB"/>
        </w:rPr>
      </w:pPr>
      <w:r>
        <w:rPr>
          <w:lang w:val="en-GB"/>
        </w:rPr>
        <w:t xml:space="preserve">De-regulation. </w:t>
      </w:r>
    </w:p>
    <w:p w:rsidR="008A38CF" w:rsidRDefault="008A38CF" w:rsidP="008A38CF">
      <w:pPr>
        <w:spacing w:line="240" w:lineRule="auto"/>
        <w:contextualSpacing/>
        <w:jc w:val="both"/>
        <w:rPr>
          <w:lang w:val="en-GB"/>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But what are the main drivers of the energy transition in the energy market? Several factors seem to come to place: access to information, communication, energy decentralization which, as a result, brings energy democratization</w:t>
      </w:r>
      <w:r w:rsidRPr="00E66B67">
        <w:rPr>
          <w:rStyle w:val="Refdenotaalpie"/>
          <w:rFonts w:ascii="Times New Roman" w:hAnsi="Times New Roman" w:cs="Times New Roman"/>
          <w:sz w:val="24"/>
          <w:szCs w:val="24"/>
        </w:rPr>
        <w:footnoteReference w:id="37"/>
      </w:r>
      <w:r w:rsidRPr="00E66B67">
        <w:rPr>
          <w:rFonts w:ascii="Times New Roman" w:hAnsi="Times New Roman" w:cs="Times New Roman"/>
          <w:sz w:val="24"/>
          <w:szCs w:val="24"/>
        </w:rPr>
        <w:t xml:space="preserve"> via a multilevel governance system, citizens’ empowerment</w:t>
      </w:r>
      <w:r w:rsidRPr="00E66B67">
        <w:rPr>
          <w:rStyle w:val="Refdenotaalpie"/>
          <w:rFonts w:ascii="Times New Roman" w:hAnsi="Times New Roman" w:cs="Times New Roman"/>
          <w:sz w:val="24"/>
          <w:szCs w:val="24"/>
        </w:rPr>
        <w:footnoteReference w:id="38"/>
      </w:r>
      <w:r w:rsidRPr="00E66B67">
        <w:rPr>
          <w:rFonts w:ascii="Times New Roman" w:hAnsi="Times New Roman" w:cs="Times New Roman"/>
          <w:sz w:val="24"/>
          <w:szCs w:val="24"/>
        </w:rPr>
        <w:t xml:space="preserve"> aiming at a state of autarky (in as much as this is possible) in a customer-centered system that enables them to exploit market opportunities, new business models, innovation, stronger and smarter grids, better and smarter regulation aiming at reducing or </w:t>
      </w:r>
      <w:r w:rsidRPr="00E66B67">
        <w:rPr>
          <w:rFonts w:ascii="Times New Roman" w:hAnsi="Times New Roman" w:cs="Times New Roman"/>
          <w:sz w:val="24"/>
          <w:szCs w:val="24"/>
        </w:rPr>
        <w:lastRenderedPageBreak/>
        <w:t>eliminating technical barriers,</w:t>
      </w:r>
      <w:r w:rsidRPr="00E66B67">
        <w:rPr>
          <w:rStyle w:val="Refdenotaalpie"/>
          <w:rFonts w:ascii="Times New Roman" w:hAnsi="Times New Roman" w:cs="Times New Roman"/>
          <w:sz w:val="24"/>
          <w:szCs w:val="24"/>
        </w:rPr>
        <w:footnoteReference w:id="39"/>
      </w:r>
      <w:r w:rsidRPr="00E66B67">
        <w:rPr>
          <w:rFonts w:ascii="Times New Roman" w:hAnsi="Times New Roman" w:cs="Times New Roman"/>
          <w:sz w:val="24"/>
          <w:szCs w:val="24"/>
        </w:rPr>
        <w:t xml:space="preserve"> and electrification because it drives the deployment of renewable energy.</w:t>
      </w:r>
    </w:p>
    <w:p w:rsidR="008A38CF" w:rsidRPr="00E66B67" w:rsidRDefault="008A38CF" w:rsidP="008A38CF">
      <w:pPr>
        <w:spacing w:line="240" w:lineRule="auto"/>
        <w:contextualSpacing/>
        <w:jc w:val="both"/>
        <w:rPr>
          <w:rFonts w:ascii="Times New Roman" w:hAnsi="Times New Roman" w:cs="Times New Roman"/>
          <w:sz w:val="24"/>
          <w:szCs w:val="24"/>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What is the role of the market in securing a successful energy transition? It is, among other things, to set price signals, to provide regulatory adjustments to new situations, to influence the drivers that will make the energy transition a reality, to provide a level playing field, to act as an enabler for business models, to drive competition, to provide further economic liberalization, to drive consumer behavior (and vice versa, i.e., consumer behavior will drive the market), and to enable innovation.</w:t>
      </w:r>
    </w:p>
    <w:p w:rsidR="008A38CF" w:rsidRPr="00E66B67" w:rsidRDefault="008A38CF" w:rsidP="008A38CF">
      <w:pPr>
        <w:spacing w:line="240" w:lineRule="auto"/>
        <w:contextualSpacing/>
        <w:jc w:val="both"/>
        <w:rPr>
          <w:rFonts w:ascii="Times New Roman" w:hAnsi="Times New Roman" w:cs="Times New Roman"/>
          <w:sz w:val="24"/>
          <w:szCs w:val="24"/>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The implementation of the energy transition will inevitably vary from country to country, based on access to technology and economic conditions.</w:t>
      </w:r>
      <w:r w:rsidRPr="00E66B67">
        <w:rPr>
          <w:rStyle w:val="Refdenotaalpie"/>
          <w:rFonts w:ascii="Times New Roman" w:hAnsi="Times New Roman" w:cs="Times New Roman"/>
          <w:sz w:val="24"/>
          <w:szCs w:val="24"/>
        </w:rPr>
        <w:footnoteReference w:id="40"/>
      </w:r>
      <w:r w:rsidRPr="00E66B67">
        <w:rPr>
          <w:rFonts w:ascii="Times New Roman" w:hAnsi="Times New Roman" w:cs="Times New Roman"/>
          <w:sz w:val="24"/>
          <w:szCs w:val="24"/>
        </w:rPr>
        <w:t xml:space="preserve"> It will require the convergence of centralized with decentralized energy systems. For instance, in the case of the EU, it will require solar and wind energy integration for the implementation of the energy transition. Greater flexibility will be necessary for cross-border energy trade and for local/regional smart grids.</w:t>
      </w:r>
    </w:p>
    <w:p w:rsidR="008A38CF" w:rsidRPr="00E66B67" w:rsidRDefault="008A38CF" w:rsidP="008A38CF">
      <w:pPr>
        <w:spacing w:line="240" w:lineRule="auto"/>
        <w:contextualSpacing/>
        <w:jc w:val="both"/>
        <w:rPr>
          <w:rFonts w:ascii="Times New Roman" w:hAnsi="Times New Roman" w:cs="Times New Roman"/>
          <w:sz w:val="24"/>
          <w:szCs w:val="24"/>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The energy mix is changing to low carbon and is getting cheaper. Moreover, in addition to the power sector, heating, cooling, and transport are sectors where fossil fuels need to be gradually replaced with renewables. Sector coupling may be a way to make this possible within the energy sector and between the energy sector and other sectors.</w:t>
      </w:r>
      <w:r w:rsidRPr="00E66B67">
        <w:rPr>
          <w:rStyle w:val="Refdenotaalpie"/>
          <w:rFonts w:ascii="Times New Roman" w:hAnsi="Times New Roman" w:cs="Times New Roman"/>
          <w:sz w:val="24"/>
          <w:szCs w:val="24"/>
        </w:rPr>
        <w:footnoteReference w:id="41"/>
      </w:r>
      <w:r w:rsidRPr="00E66B67">
        <w:rPr>
          <w:rFonts w:ascii="Times New Roman" w:hAnsi="Times New Roman" w:cs="Times New Roman"/>
          <w:sz w:val="24"/>
          <w:szCs w:val="24"/>
        </w:rPr>
        <w:t xml:space="preserve"> In addition, reducing energy demand may not be an option in the future, given our life style in the West, which is increasingly replicated in the rest of the world. Instead, what is needed is a smart policy design for energy demand, which needs to be complemented with technological and institutional improvements on the supply side. If we succeed at a more efficient and sustainable energy system, energy imports and energy dependency will gradually fall, costs will be cut and GHG emissions reduced. One can also provide incentives for CO2 emissions reduction.</w:t>
      </w:r>
      <w:r w:rsidRPr="00E66B67">
        <w:rPr>
          <w:rStyle w:val="Refdenotaalpie"/>
          <w:rFonts w:ascii="Times New Roman" w:hAnsi="Times New Roman" w:cs="Times New Roman"/>
          <w:sz w:val="24"/>
          <w:szCs w:val="24"/>
        </w:rPr>
        <w:footnoteReference w:id="42"/>
      </w:r>
    </w:p>
    <w:p w:rsidR="008A38CF" w:rsidRPr="00E66B67" w:rsidRDefault="008A38CF" w:rsidP="008A38CF">
      <w:pPr>
        <w:spacing w:line="240" w:lineRule="auto"/>
        <w:contextualSpacing/>
        <w:jc w:val="both"/>
        <w:rPr>
          <w:rFonts w:ascii="Times New Roman" w:hAnsi="Times New Roman" w:cs="Times New Roman"/>
          <w:sz w:val="24"/>
          <w:szCs w:val="24"/>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How can we get there? By empowering citizens in access to energy.</w:t>
      </w:r>
      <w:r w:rsidRPr="00E66B67">
        <w:rPr>
          <w:rStyle w:val="Refdenotaalpie"/>
          <w:rFonts w:ascii="Times New Roman" w:hAnsi="Times New Roman" w:cs="Times New Roman"/>
          <w:sz w:val="24"/>
          <w:szCs w:val="24"/>
        </w:rPr>
        <w:footnoteReference w:id="43"/>
      </w:r>
      <w:r w:rsidRPr="00E66B67">
        <w:rPr>
          <w:rFonts w:ascii="Times New Roman" w:hAnsi="Times New Roman" w:cs="Times New Roman"/>
          <w:sz w:val="24"/>
          <w:szCs w:val="24"/>
        </w:rPr>
        <w:t xml:space="preserve"> Gordon Walker has identified four types of community-owned means of renewable-energy production in the UK: 1) cooperatives, 2) community charities, 3) development trusts, and 4) renewable-energy projects with shares owned by a local community organization.</w:t>
      </w:r>
      <w:r w:rsidRPr="00E66B67">
        <w:rPr>
          <w:rStyle w:val="Refdenotaalpie"/>
          <w:rFonts w:ascii="Times New Roman" w:hAnsi="Times New Roman" w:cs="Times New Roman"/>
          <w:sz w:val="24"/>
          <w:szCs w:val="24"/>
        </w:rPr>
        <w:footnoteReference w:id="44"/>
      </w:r>
      <w:r w:rsidRPr="00E66B67">
        <w:rPr>
          <w:rFonts w:ascii="Times New Roman" w:hAnsi="Times New Roman" w:cs="Times New Roman"/>
          <w:sz w:val="24"/>
          <w:szCs w:val="24"/>
        </w:rPr>
        <w:t xml:space="preserve"> In addition, there are examples of </w:t>
      </w:r>
      <w:r w:rsidRPr="00E66B67">
        <w:rPr>
          <w:rFonts w:ascii="Times New Roman" w:hAnsi="Times New Roman" w:cs="Times New Roman"/>
          <w:sz w:val="24"/>
          <w:szCs w:val="24"/>
        </w:rPr>
        <w:lastRenderedPageBreak/>
        <w:t>cooperative models for wind turbine companies in several EU countries (namely Austria, Germany, Denmark, The Netherlands), which are illustrations of innovative models of citizens’ participation and community involvement in energy production.</w:t>
      </w:r>
      <w:r w:rsidRPr="00E66B67">
        <w:rPr>
          <w:rStyle w:val="Refdenotaalpie"/>
          <w:rFonts w:ascii="Times New Roman" w:hAnsi="Times New Roman" w:cs="Times New Roman"/>
          <w:sz w:val="24"/>
          <w:szCs w:val="24"/>
        </w:rPr>
        <w:footnoteReference w:id="45"/>
      </w:r>
      <w:r w:rsidRPr="00E66B67">
        <w:rPr>
          <w:rFonts w:ascii="Times New Roman" w:hAnsi="Times New Roman" w:cs="Times New Roman"/>
          <w:sz w:val="24"/>
          <w:szCs w:val="24"/>
        </w:rPr>
        <w:t xml:space="preserve"> What citizens want from the grid is security of supply, lower bills, protecting the environment, and smartness.</w:t>
      </w:r>
    </w:p>
    <w:p w:rsidR="008A38CF" w:rsidRPr="00E66B67" w:rsidRDefault="008A38CF" w:rsidP="008A38CF">
      <w:pPr>
        <w:spacing w:line="240" w:lineRule="auto"/>
        <w:contextualSpacing/>
        <w:jc w:val="both"/>
        <w:rPr>
          <w:rFonts w:ascii="Times New Roman" w:hAnsi="Times New Roman" w:cs="Times New Roman"/>
          <w:sz w:val="24"/>
          <w:szCs w:val="24"/>
        </w:rPr>
      </w:pPr>
    </w:p>
    <w:p w:rsidR="008A38CF" w:rsidRPr="00E66B67" w:rsidRDefault="008A38CF" w:rsidP="008A38CF">
      <w:pPr>
        <w:spacing w:line="240" w:lineRule="auto"/>
        <w:contextualSpacing/>
        <w:jc w:val="both"/>
        <w:rPr>
          <w:rFonts w:ascii="Times New Roman" w:hAnsi="Times New Roman" w:cs="Times New Roman"/>
          <w:sz w:val="24"/>
          <w:szCs w:val="24"/>
        </w:rPr>
      </w:pPr>
      <w:r w:rsidRPr="00E66B67">
        <w:rPr>
          <w:rFonts w:ascii="Times New Roman" w:hAnsi="Times New Roman" w:cs="Times New Roman"/>
          <w:sz w:val="24"/>
          <w:szCs w:val="24"/>
        </w:rPr>
        <w:t>Moving forward, several key challenges seem to emerge:</w:t>
      </w:r>
    </w:p>
    <w:p w:rsidR="008A38CF" w:rsidRPr="00E66B67" w:rsidRDefault="008A38CF" w:rsidP="008A38CF">
      <w:pPr>
        <w:pStyle w:val="Prrafodelista"/>
        <w:numPr>
          <w:ilvl w:val="0"/>
          <w:numId w:val="4"/>
        </w:numPr>
        <w:contextualSpacing/>
        <w:jc w:val="both"/>
      </w:pPr>
      <w:r w:rsidRPr="00E66B67">
        <w:t>A modern and clean energy economy: The energy transition trend has been from a centralized system in the past to a current decentralized sytem and smart technologies, to a future smart, data-centric system and electrification of tansport. This will happen with innovation and if the appropriate investment will take place to empower prosumers and renewable energy cooperatives and to manage data;</w:t>
      </w:r>
    </w:p>
    <w:p w:rsidR="008A38CF" w:rsidRPr="00E66B67" w:rsidRDefault="008A38CF" w:rsidP="008A38CF">
      <w:pPr>
        <w:pStyle w:val="Prrafodelista"/>
        <w:numPr>
          <w:ilvl w:val="0"/>
          <w:numId w:val="4"/>
        </w:numPr>
        <w:contextualSpacing/>
        <w:jc w:val="both"/>
      </w:pPr>
      <w:r w:rsidRPr="00E66B67">
        <w:t>A fair energy system with access to energy for all: No one and no country should be left behind. In other words, the energy transition must be designed in a fair manner;</w:t>
      </w:r>
    </w:p>
    <w:p w:rsidR="008A38CF" w:rsidRDefault="008A38CF" w:rsidP="008A38CF">
      <w:pPr>
        <w:pStyle w:val="Prrafodelista"/>
        <w:numPr>
          <w:ilvl w:val="0"/>
          <w:numId w:val="4"/>
        </w:numPr>
        <w:contextualSpacing/>
        <w:jc w:val="both"/>
      </w:pPr>
      <w:r>
        <w:t>The enhancement of existing regional cooperation at all levels of governance: The current normative complexity would need further cooperation between various parties involved in the energy-transition process and at all levels, whether it is the EU, national level, regulators, distributors, stakeholders, or transmission system operators (TSOs)</w:t>
      </w:r>
      <w:r>
        <w:rPr>
          <w:rStyle w:val="Refdenotaalpie"/>
          <w:rFonts w:eastAsia="Calibri"/>
        </w:rPr>
        <w:footnoteReference w:id="46"/>
      </w:r>
      <w:r>
        <w:t>;</w:t>
      </w:r>
    </w:p>
    <w:p w:rsidR="008A38CF" w:rsidRDefault="008A38CF" w:rsidP="008A38CF">
      <w:pPr>
        <w:pStyle w:val="Prrafodelista"/>
        <w:numPr>
          <w:ilvl w:val="0"/>
          <w:numId w:val="4"/>
        </w:numPr>
        <w:contextualSpacing/>
        <w:jc w:val="both"/>
      </w:pPr>
      <w:r>
        <w:t>Digitalization: Cyber security in energy will inevitably have cascading effects in other sectors such as finance and transport;</w:t>
      </w:r>
      <w:r>
        <w:rPr>
          <w:rStyle w:val="Refdenotaalpie"/>
          <w:rFonts w:eastAsia="Calibri"/>
        </w:rPr>
        <w:footnoteReference w:id="47"/>
      </w:r>
      <w:r>
        <w:t xml:space="preserve"> and</w:t>
      </w:r>
    </w:p>
    <w:p w:rsidR="008A38CF" w:rsidRDefault="008A38CF" w:rsidP="008A38CF">
      <w:pPr>
        <w:pStyle w:val="Prrafodelista"/>
        <w:numPr>
          <w:ilvl w:val="0"/>
          <w:numId w:val="4"/>
        </w:numPr>
        <w:contextualSpacing/>
        <w:jc w:val="both"/>
      </w:pPr>
      <w:r>
        <w:t>A global level playing field: The Paris Cimate Agreeement is a case in point. The objectives of the Paris Agreement would need to be in alignment with the objectives of future legislation on clean energy. But what about international trade and investment?</w:t>
      </w:r>
      <w:r>
        <w:rPr>
          <w:rStyle w:val="Refdenotaalpie"/>
          <w:rFonts w:eastAsia="Calibri"/>
        </w:rPr>
        <w:footnoteReference w:id="48"/>
      </w:r>
      <w:r>
        <w:t xml:space="preserve"> How can the objectives of the Paris Agreement be aligned with those of future trade agreements?</w:t>
      </w:r>
    </w:p>
    <w:p w:rsidR="008A38CF" w:rsidRDefault="008A38CF" w:rsidP="008A38CF">
      <w:pPr>
        <w:pStyle w:val="Ttulo3"/>
      </w:pPr>
      <w:bookmarkStart w:id="5" w:name="_Toc517327320"/>
      <w:proofErr w:type="gramStart"/>
      <w:r>
        <w:t>b.2</w:t>
      </w:r>
      <w:proofErr w:type="gramEnd"/>
      <w:r>
        <w:t>. Climate action</w:t>
      </w:r>
      <w:bookmarkEnd w:id="5"/>
    </w:p>
    <w:p w:rsidR="008A38CF" w:rsidRDefault="008A38CF" w:rsidP="008A38CF">
      <w:pPr>
        <w:jc w:val="both"/>
        <w:rPr>
          <w:rFonts w:ascii="Times New Roman" w:hAnsi="Times New Roman" w:cs="Times New Roman"/>
          <w:sz w:val="24"/>
          <w:szCs w:val="24"/>
          <w:lang w:val="en-GB"/>
        </w:rPr>
      </w:pPr>
      <w:r>
        <w:rPr>
          <w:rFonts w:ascii="Times New Roman" w:hAnsi="Times New Roman" w:cs="Times New Roman"/>
          <w:sz w:val="24"/>
          <w:szCs w:val="24"/>
          <w:lang w:val="en-GB"/>
        </w:rPr>
        <w:t>International cooperation is crucial for climate change mitigation. A promising way forward is bringing together environmental NGOs and businesses for greater and close cooperation on issues of climate action.</w:t>
      </w:r>
      <w:r>
        <w:rPr>
          <w:rStyle w:val="Refdenotaalpie"/>
          <w:rFonts w:ascii="Times New Roman" w:hAnsi="Times New Roman" w:cs="Times New Roman"/>
          <w:sz w:val="24"/>
          <w:szCs w:val="24"/>
          <w:lang w:val="en-GB"/>
        </w:rPr>
        <w:footnoteReference w:id="49"/>
      </w:r>
      <w:r>
        <w:rPr>
          <w:rFonts w:ascii="Times New Roman" w:hAnsi="Times New Roman" w:cs="Times New Roman"/>
          <w:sz w:val="24"/>
          <w:szCs w:val="24"/>
          <w:lang w:val="en-GB"/>
        </w:rPr>
        <w:t xml:space="preserve"> A case in point that became a surprising fact is the very well organized social movement in the US to implement the Paris Climate Agreement as soon as President Trump announced his intention to withdraw from that Agreement. Cities, states and businesses gathered together for climate action. Outside the main conference building of the 2017 UN </w:t>
      </w:r>
      <w:r>
        <w:rPr>
          <w:rFonts w:ascii="Times New Roman" w:hAnsi="Times New Roman" w:cs="Times New Roman"/>
          <w:sz w:val="24"/>
          <w:szCs w:val="24"/>
          <w:lang w:val="en-GB"/>
        </w:rPr>
        <w:lastRenderedPageBreak/>
        <w:t>climate summit, a coalition of people gathered under the heading ‘We are still in.’</w:t>
      </w:r>
      <w:r>
        <w:rPr>
          <w:rStyle w:val="Refdenotaalpie"/>
          <w:rFonts w:ascii="Times New Roman" w:hAnsi="Times New Roman" w:cs="Times New Roman"/>
          <w:sz w:val="24"/>
          <w:szCs w:val="24"/>
          <w:lang w:val="en-GB"/>
        </w:rPr>
        <w:footnoteReference w:id="50"/>
      </w:r>
      <w:r>
        <w:rPr>
          <w:rFonts w:ascii="Times New Roman" w:hAnsi="Times New Roman" w:cs="Times New Roman"/>
          <w:sz w:val="24"/>
          <w:szCs w:val="24"/>
          <w:lang w:val="en-GB"/>
        </w:rPr>
        <w:t xml:space="preserve"> Equally, joint actions between countries could have a ‘trickle-down effect’ from governments to citizens and businesses for the promotion of business opportunities in clean energy, especially for small and medium enterprises (SMEs), the facilitation of trade and investment in environmentally friendly goods and services such as energy efficient goods and services, and cooperation on trade-related aspects of climate change mitigation.</w:t>
      </w:r>
      <w:r>
        <w:rPr>
          <w:rStyle w:val="Refdenotaalpie"/>
          <w:rFonts w:ascii="Times New Roman" w:hAnsi="Times New Roman" w:cs="Times New Roman"/>
          <w:sz w:val="24"/>
          <w:szCs w:val="24"/>
          <w:lang w:val="en-GB"/>
        </w:rPr>
        <w:footnoteReference w:id="51"/>
      </w:r>
    </w:p>
    <w:p w:rsidR="008A38CF" w:rsidRDefault="008A38CF" w:rsidP="008A38CF">
      <w:pPr>
        <w:pStyle w:val="Ttulo3"/>
      </w:pPr>
      <w:bookmarkStart w:id="6" w:name="_Toc517327321"/>
      <w:proofErr w:type="gramStart"/>
      <w:r>
        <w:t>b.3</w:t>
      </w:r>
      <w:proofErr w:type="gramEnd"/>
      <w:r>
        <w:t>. International trade</w:t>
      </w:r>
      <w:bookmarkEnd w:id="6"/>
    </w:p>
    <w:p w:rsidR="008A38CF" w:rsidRPr="00E66B67" w:rsidRDefault="008A38CF" w:rsidP="008A38CF">
      <w:pPr>
        <w:jc w:val="both"/>
        <w:rPr>
          <w:rFonts w:ascii="Times New Roman" w:hAnsi="Times New Roman" w:cs="Times New Roman"/>
          <w:lang w:val="en-GB"/>
        </w:rPr>
      </w:pPr>
      <w:r w:rsidRPr="00E66B67">
        <w:rPr>
          <w:rFonts w:ascii="Times New Roman" w:hAnsi="Times New Roman" w:cs="Times New Roman"/>
          <w:lang w:val="en-GB"/>
        </w:rPr>
        <w:t>Citizens’ empowerment is a relatively new concept in global governance. In December 2017, the EU Commission announced the creation of a new advisory group on EU trade agreements.</w:t>
      </w:r>
      <w:r w:rsidRPr="00E66B67">
        <w:rPr>
          <w:rStyle w:val="Refdenotaalpie"/>
          <w:rFonts w:ascii="Times New Roman" w:hAnsi="Times New Roman" w:cs="Times New Roman"/>
          <w:lang w:val="en-GB"/>
        </w:rPr>
        <w:footnoteReference w:id="52"/>
      </w:r>
      <w:r w:rsidRPr="00E66B67">
        <w:rPr>
          <w:rFonts w:ascii="Times New Roman" w:hAnsi="Times New Roman" w:cs="Times New Roman"/>
          <w:lang w:val="en-GB"/>
        </w:rPr>
        <w:t xml:space="preserve"> The aim of the group is to increase transparency and inclusiveness in EU trade policy. The EU Commission is committed to this cause.</w:t>
      </w:r>
      <w:r w:rsidRPr="00E66B67">
        <w:rPr>
          <w:rStyle w:val="Refdenotaalpie"/>
          <w:rFonts w:ascii="Times New Roman" w:hAnsi="Times New Roman" w:cs="Times New Roman"/>
          <w:lang w:val="en-GB"/>
        </w:rPr>
        <w:footnoteReference w:id="53"/>
      </w:r>
      <w:r w:rsidRPr="00E66B67">
        <w:rPr>
          <w:rFonts w:ascii="Times New Roman" w:hAnsi="Times New Roman" w:cs="Times New Roman"/>
          <w:lang w:val="en-GB"/>
        </w:rPr>
        <w:t xml:space="preserve"> The perspective of this wide group of stakeholders</w:t>
      </w:r>
      <w:r w:rsidRPr="00E66B67">
        <w:rPr>
          <w:rStyle w:val="Refdenotaalpie"/>
          <w:rFonts w:ascii="Times New Roman" w:hAnsi="Times New Roman" w:cs="Times New Roman"/>
          <w:lang w:val="en-GB"/>
        </w:rPr>
        <w:footnoteReference w:id="54"/>
      </w:r>
      <w:r w:rsidRPr="00E66B67">
        <w:rPr>
          <w:rFonts w:ascii="Times New Roman" w:hAnsi="Times New Roman" w:cs="Times New Roman"/>
          <w:lang w:val="en-GB"/>
        </w:rPr>
        <w:t xml:space="preserve"> (</w:t>
      </w:r>
      <w:r w:rsidRPr="00E66B67">
        <w:rPr>
          <w:rFonts w:ascii="Times New Roman" w:hAnsi="Times New Roman" w:cs="Times New Roman"/>
        </w:rPr>
        <w:t>consumer groups, trade unions, and other non-governmental organizations)</w:t>
      </w:r>
      <w:r w:rsidRPr="00E66B67">
        <w:rPr>
          <w:rFonts w:ascii="Times New Roman" w:hAnsi="Times New Roman" w:cs="Times New Roman"/>
          <w:lang w:val="en-GB"/>
        </w:rPr>
        <w:t xml:space="preserve"> on EU trade policy will certainly help towards better trade policymaking in the future. The EU Commission has also acknowledged elsewhere EU citizens’ expectation that EU trade agreements should support sustainable-development objectives such as climate action.</w:t>
      </w:r>
      <w:r w:rsidRPr="00E66B67">
        <w:rPr>
          <w:rStyle w:val="Refdenotaalpie"/>
          <w:rFonts w:ascii="Times New Roman" w:hAnsi="Times New Roman" w:cs="Times New Roman"/>
          <w:lang w:val="en-GB"/>
        </w:rPr>
        <w:footnoteReference w:id="55"/>
      </w:r>
    </w:p>
    <w:p w:rsidR="008A38CF" w:rsidRPr="00E66B67" w:rsidRDefault="008A38CF" w:rsidP="008A38CF">
      <w:pPr>
        <w:jc w:val="both"/>
        <w:rPr>
          <w:rFonts w:ascii="Times New Roman" w:hAnsi="Times New Roman" w:cs="Times New Roman"/>
          <w:lang w:val="en-GB"/>
        </w:rPr>
      </w:pPr>
      <w:r w:rsidRPr="00E66B67">
        <w:rPr>
          <w:rFonts w:ascii="Times New Roman" w:hAnsi="Times New Roman" w:cs="Times New Roman"/>
          <w:lang w:val="en-GB"/>
        </w:rPr>
        <w:t>The role of citizens and micro, small and medium-sized enterprises (MSMEs) in international trade governance is another example of a bottom-up approach to sustainable development governance that would shift the current paradigm. A report authored by the WTO Secretariat states how the current trade governance system can support MSMEs in their participation in the international trading system:</w:t>
      </w:r>
    </w:p>
    <w:p w:rsidR="008A38CF" w:rsidRDefault="008A38CF" w:rsidP="008A38CF">
      <w:pPr>
        <w:pStyle w:val="Prrafodelista"/>
        <w:numPr>
          <w:ilvl w:val="0"/>
          <w:numId w:val="5"/>
        </w:numPr>
        <w:jc w:val="both"/>
        <w:rPr>
          <w:lang w:val="en-GB"/>
        </w:rPr>
      </w:pPr>
      <w:r>
        <w:rPr>
          <w:lang w:val="en-GB"/>
        </w:rPr>
        <w:t>By helping them meet sustainability standards and conforming with other international regulations to take advantage of the opportunities resulting from global supply chains;</w:t>
      </w:r>
    </w:p>
    <w:p w:rsidR="008A38CF" w:rsidRDefault="008A38CF" w:rsidP="008A38CF">
      <w:pPr>
        <w:pStyle w:val="Prrafodelista"/>
        <w:numPr>
          <w:ilvl w:val="0"/>
          <w:numId w:val="5"/>
        </w:numPr>
        <w:jc w:val="both"/>
        <w:rPr>
          <w:lang w:val="en-GB"/>
        </w:rPr>
      </w:pPr>
      <w:r>
        <w:rPr>
          <w:lang w:val="en-GB"/>
        </w:rPr>
        <w:t>By ensuring that MSMEs can trade their goods and services in a timely and competitive manner, which will result in greater consumer confidence; and</w:t>
      </w:r>
    </w:p>
    <w:p w:rsidR="008A38CF" w:rsidRDefault="008A38CF" w:rsidP="008A38CF">
      <w:pPr>
        <w:pStyle w:val="Prrafodelista"/>
        <w:numPr>
          <w:ilvl w:val="0"/>
          <w:numId w:val="5"/>
        </w:numPr>
        <w:jc w:val="both"/>
        <w:rPr>
          <w:lang w:val="en-GB"/>
        </w:rPr>
      </w:pPr>
      <w:r>
        <w:rPr>
          <w:lang w:val="en-GB"/>
        </w:rPr>
        <w:lastRenderedPageBreak/>
        <w:t>By making sure that trade finance is available. Doing so will contribute to gender equality, increasing economic growth, fostering innovation, and increasing participation in international trade.</w:t>
      </w:r>
      <w:r>
        <w:rPr>
          <w:rStyle w:val="Refdenotaalpie"/>
          <w:rFonts w:eastAsia="Calibri"/>
          <w:lang w:val="en-GB"/>
        </w:rPr>
        <w:footnoteReference w:id="56"/>
      </w:r>
    </w:p>
    <w:p w:rsidR="008A38CF" w:rsidRDefault="008A38CF" w:rsidP="008A38CF">
      <w:pPr>
        <w:jc w:val="both"/>
        <w:rPr>
          <w:lang w:val="en-GB"/>
        </w:rPr>
      </w:pPr>
    </w:p>
    <w:p w:rsidR="008A38CF" w:rsidRPr="00E66B67" w:rsidRDefault="008A38CF" w:rsidP="008A38CF">
      <w:pPr>
        <w:jc w:val="both"/>
        <w:rPr>
          <w:rFonts w:ascii="Times New Roman" w:hAnsi="Times New Roman" w:cs="Times New Roman"/>
          <w:lang w:val="en-GB"/>
        </w:rPr>
      </w:pPr>
      <w:r w:rsidRPr="00E66B67">
        <w:rPr>
          <w:rFonts w:ascii="Times New Roman" w:hAnsi="Times New Roman" w:cs="Times New Roman"/>
          <w:lang w:val="en-GB"/>
        </w:rPr>
        <w:t xml:space="preserve">Trading is not possible without trust. Trust is based on incentives. Citizens need to have the necessary framework that enables them the required trust to believe in a trading system where they can be participants. For instance, green consumer </w:t>
      </w:r>
      <w:proofErr w:type="spellStart"/>
      <w:r w:rsidRPr="00E66B67">
        <w:rPr>
          <w:rFonts w:ascii="Times New Roman" w:hAnsi="Times New Roman" w:cs="Times New Roman"/>
          <w:lang w:val="en-GB"/>
        </w:rPr>
        <w:t>behavior</w:t>
      </w:r>
      <w:proofErr w:type="spellEnd"/>
      <w:r w:rsidRPr="00E66B67">
        <w:rPr>
          <w:rFonts w:ascii="Times New Roman" w:hAnsi="Times New Roman" w:cs="Times New Roman"/>
          <w:lang w:val="en-GB"/>
        </w:rPr>
        <w:t xml:space="preserve"> in trade (such as gradually getting rid of using fossil fuels) will help towards the mitigation of climate change. The more harmonized the market, greater economic incentives will derive from it. A key ingredient to improving trade (in energy) is better and more efficient connection between markets.</w:t>
      </w:r>
    </w:p>
    <w:p w:rsidR="008A38CF" w:rsidRDefault="008A38CF" w:rsidP="008A38CF">
      <w:pPr>
        <w:pStyle w:val="Ttulo1"/>
        <w:numPr>
          <w:ilvl w:val="0"/>
          <w:numId w:val="6"/>
        </w:numPr>
        <w:spacing w:line="240" w:lineRule="auto"/>
        <w:rPr>
          <w:rFonts w:ascii="Times New Roman" w:hAnsi="Times New Roman" w:cs="Times New Roman"/>
          <w:b/>
          <w:color w:val="auto"/>
          <w:sz w:val="24"/>
          <w:szCs w:val="24"/>
        </w:rPr>
      </w:pPr>
      <w:bookmarkStart w:id="7" w:name="_Toc517327322"/>
      <w:r w:rsidRPr="009A517B">
        <w:rPr>
          <w:rFonts w:ascii="Times New Roman" w:hAnsi="Times New Roman" w:cs="Times New Roman"/>
          <w:b/>
          <w:color w:val="auto"/>
          <w:sz w:val="24"/>
          <w:szCs w:val="24"/>
        </w:rPr>
        <w:t>Conclusion</w:t>
      </w:r>
      <w:bookmarkEnd w:id="7"/>
    </w:p>
    <w:p w:rsidR="008A38CF" w:rsidRDefault="008A38CF" w:rsidP="008A38CF">
      <w:pPr>
        <w:jc w:val="both"/>
        <w:rPr>
          <w:rFonts w:ascii="Times New Roman" w:hAnsi="Times New Roman" w:cs="Times New Roman"/>
          <w:sz w:val="24"/>
          <w:szCs w:val="24"/>
        </w:rPr>
      </w:pPr>
      <w:r w:rsidRPr="00D766B2">
        <w:rPr>
          <w:rFonts w:ascii="Times New Roman" w:hAnsi="Times New Roman" w:cs="Times New Roman"/>
          <w:sz w:val="24"/>
          <w:szCs w:val="24"/>
        </w:rPr>
        <w:t>No</w:t>
      </w:r>
      <w:r>
        <w:rPr>
          <w:rFonts w:ascii="Times New Roman" w:hAnsi="Times New Roman" w:cs="Times New Roman"/>
          <w:sz w:val="24"/>
          <w:szCs w:val="24"/>
        </w:rPr>
        <w:t xml:space="preserve"> solution t</w:t>
      </w:r>
      <w:r w:rsidRPr="00D766B2">
        <w:rPr>
          <w:rFonts w:ascii="Times New Roman" w:hAnsi="Times New Roman" w:cs="Times New Roman"/>
          <w:sz w:val="24"/>
          <w:szCs w:val="24"/>
        </w:rPr>
        <w:t>o the above</w:t>
      </w:r>
      <w:r>
        <w:rPr>
          <w:rFonts w:ascii="Times New Roman" w:hAnsi="Times New Roman" w:cs="Times New Roman"/>
          <w:sz w:val="24"/>
          <w:szCs w:val="24"/>
        </w:rPr>
        <w:t xml:space="preserve"> big challenges is possible without cooperation with governments, companies, researchers (whose role is to provide good information to create good policy), and social mobilization. </w:t>
      </w:r>
      <w:r w:rsidRPr="00DB5574">
        <w:rPr>
          <w:rFonts w:ascii="Times New Roman" w:hAnsi="Times New Roman" w:cs="Times New Roman"/>
          <w:sz w:val="24"/>
          <w:szCs w:val="24"/>
        </w:rPr>
        <w:t>Business may have a role to play</w:t>
      </w:r>
      <w:r>
        <w:rPr>
          <w:rFonts w:ascii="Times New Roman" w:hAnsi="Times New Roman" w:cs="Times New Roman"/>
          <w:sz w:val="24"/>
          <w:szCs w:val="24"/>
        </w:rPr>
        <w:t xml:space="preserve"> when politicians fall short and help decarbonize the economy at large. While elected politicians may be too shy to risk failure</w:t>
      </w:r>
      <w:r w:rsidRPr="00955CB0">
        <w:rPr>
          <w:rFonts w:ascii="Times New Roman" w:hAnsi="Times New Roman" w:cs="Times New Roman"/>
          <w:sz w:val="24"/>
          <w:szCs w:val="24"/>
        </w:rPr>
        <w:t xml:space="preserve"> </w:t>
      </w:r>
      <w:r>
        <w:rPr>
          <w:rFonts w:ascii="Times New Roman" w:hAnsi="Times New Roman" w:cs="Times New Roman"/>
          <w:sz w:val="24"/>
          <w:szCs w:val="24"/>
        </w:rPr>
        <w:t xml:space="preserve">and seem to suffer from short-termism, entrepreneurs seem to be </w:t>
      </w:r>
      <w:proofErr w:type="spellStart"/>
      <w:r>
        <w:rPr>
          <w:rFonts w:ascii="Times New Roman" w:hAnsi="Times New Roman" w:cs="Times New Roman"/>
          <w:sz w:val="24"/>
          <w:szCs w:val="24"/>
        </w:rPr>
        <w:t>riskophiles</w:t>
      </w:r>
      <w:proofErr w:type="spellEnd"/>
      <w:r w:rsidRPr="00F841A9">
        <w:rPr>
          <w:rFonts w:ascii="Times New Roman" w:hAnsi="Times New Roman" w:cs="Times New Roman"/>
          <w:sz w:val="24"/>
          <w:szCs w:val="24"/>
        </w:rPr>
        <w:t xml:space="preserve"> </w:t>
      </w:r>
      <w:r>
        <w:rPr>
          <w:rFonts w:ascii="Times New Roman" w:hAnsi="Times New Roman" w:cs="Times New Roman"/>
          <w:sz w:val="24"/>
          <w:szCs w:val="24"/>
        </w:rPr>
        <w:t>and persistent, with a long-term commitment, especially multibillionaire entrepreneurs—think for instance of Elon Musk’s companies Space X and Tesla—thanks to whom change may come (sooner than later). Technology seems to be the resource to success. To that, one should add the optimism of Steven Pinker that things will only get better in the future because people generally think reasonably and logically</w:t>
      </w:r>
      <w:r>
        <w:rPr>
          <w:rStyle w:val="Refdenotaalpie"/>
          <w:rFonts w:ascii="Times New Roman" w:hAnsi="Times New Roman" w:cs="Times New Roman"/>
          <w:sz w:val="24"/>
          <w:szCs w:val="24"/>
        </w:rPr>
        <w:footnoteReference w:id="57"/>
      </w:r>
      <w:r w:rsidRPr="001F5D2B">
        <w:rPr>
          <w:rFonts w:ascii="Times New Roman" w:hAnsi="Times New Roman" w:cs="Times New Roman"/>
          <w:sz w:val="24"/>
          <w:szCs w:val="24"/>
        </w:rPr>
        <w:t xml:space="preserve"> </w:t>
      </w:r>
      <w:r>
        <w:rPr>
          <w:rFonts w:ascii="Times New Roman" w:hAnsi="Times New Roman" w:cs="Times New Roman"/>
          <w:sz w:val="24"/>
          <w:szCs w:val="24"/>
        </w:rPr>
        <w:t>and that the geopolitics of clean energy may make the world more peaceful and stable.</w:t>
      </w:r>
    </w:p>
    <w:p w:rsidR="008A38CF" w:rsidRDefault="008A38CF" w:rsidP="008A38CF">
      <w:pPr>
        <w:jc w:val="both"/>
        <w:rPr>
          <w:rFonts w:ascii="Times New Roman" w:hAnsi="Times New Roman" w:cs="Times New Roman"/>
          <w:sz w:val="24"/>
          <w:szCs w:val="24"/>
        </w:rPr>
      </w:pPr>
      <w:r>
        <w:rPr>
          <w:rFonts w:ascii="Times New Roman" w:hAnsi="Times New Roman" w:cs="Times New Roman"/>
          <w:sz w:val="24"/>
          <w:szCs w:val="24"/>
        </w:rPr>
        <w:t>Regarding the energy transition, as the world reduces its oil dependence, the winners in this race will be those that will be able to produce and export green technology and rely on clean energy, whereas the losers will be those that will continue to depend mainly on fossil fuels. Two ingredients may help move forward the energy transition: international collaboration and energy decentralization. Potential international collaboration can be achieved in the field of technology, for which international trade will certainly play a major role. I</w:t>
      </w:r>
      <w:r>
        <w:rPr>
          <w:rFonts w:asciiTheme="majorBidi" w:hAnsiTheme="majorBidi" w:cstheme="majorBidi"/>
          <w:color w:val="000000" w:themeColor="text1"/>
          <w:sz w:val="24"/>
          <w:szCs w:val="24"/>
        </w:rPr>
        <w:t>nitiatives such as “Breakthrough Energy Coalition”</w:t>
      </w:r>
      <w:r>
        <w:rPr>
          <w:rStyle w:val="Refdenotaalpie"/>
          <w:rFonts w:asciiTheme="majorBidi" w:hAnsiTheme="majorBidi" w:cstheme="majorBidi"/>
          <w:color w:val="000000" w:themeColor="text1"/>
          <w:sz w:val="24"/>
          <w:szCs w:val="24"/>
        </w:rPr>
        <w:footnoteReference w:id="58"/>
      </w:r>
      <w:r>
        <w:rPr>
          <w:rFonts w:asciiTheme="majorBidi" w:hAnsiTheme="majorBidi" w:cstheme="majorBidi"/>
          <w:color w:val="000000" w:themeColor="text1"/>
          <w:sz w:val="24"/>
          <w:szCs w:val="24"/>
        </w:rPr>
        <w:t xml:space="preserve"> of visionary billionaires determined to provide energy that is reliable, affordable and carbon-less are an excellent way forward. Another initiative called Mission Innovation</w:t>
      </w:r>
      <w:r>
        <w:rPr>
          <w:rStyle w:val="Refdenotaalpie"/>
          <w:rFonts w:asciiTheme="majorBidi" w:hAnsiTheme="majorBidi" w:cstheme="majorBidi"/>
          <w:color w:val="000000" w:themeColor="text1"/>
          <w:sz w:val="24"/>
          <w:szCs w:val="24"/>
        </w:rPr>
        <w:footnoteReference w:id="59"/>
      </w:r>
      <w:r>
        <w:rPr>
          <w:rFonts w:asciiTheme="majorBidi" w:hAnsiTheme="majorBidi" w:cstheme="majorBidi"/>
          <w:color w:val="000000" w:themeColor="text1"/>
          <w:sz w:val="24"/>
          <w:szCs w:val="24"/>
        </w:rPr>
        <w:t xml:space="preserve"> brings together a group of 22 countries and the EU</w:t>
      </w:r>
      <w:r>
        <w:rPr>
          <w:rStyle w:val="Refdenotaalpie"/>
          <w:rFonts w:asciiTheme="majorBidi" w:hAnsiTheme="majorBidi" w:cstheme="majorBidi"/>
          <w:color w:val="000000" w:themeColor="text1"/>
          <w:sz w:val="24"/>
          <w:szCs w:val="24"/>
        </w:rPr>
        <w:footnoteReference w:id="60"/>
      </w:r>
      <w:r>
        <w:rPr>
          <w:rFonts w:asciiTheme="majorBidi" w:hAnsiTheme="majorBidi" w:cstheme="majorBidi"/>
          <w:color w:val="000000" w:themeColor="text1"/>
          <w:sz w:val="24"/>
          <w:szCs w:val="24"/>
        </w:rPr>
        <w:t xml:space="preserve"> that aim to reinvigorate and accelerate clean energy innovation throughout the world to make clean energy affordable for </w:t>
      </w:r>
      <w:r w:rsidRPr="00940BE9">
        <w:rPr>
          <w:rFonts w:asciiTheme="majorBidi" w:hAnsiTheme="majorBidi" w:cstheme="majorBidi"/>
          <w:color w:val="000000" w:themeColor="text1"/>
          <w:sz w:val="24"/>
          <w:szCs w:val="24"/>
        </w:rPr>
        <w:t xml:space="preserve">all. </w:t>
      </w:r>
      <w:r w:rsidRPr="00940BE9">
        <w:rPr>
          <w:rFonts w:ascii="Times New Roman" w:hAnsi="Times New Roman" w:cs="Times New Roman"/>
          <w:sz w:val="24"/>
          <w:szCs w:val="24"/>
        </w:rPr>
        <w:t>As for energy decentralization, the emergence</w:t>
      </w:r>
      <w:r>
        <w:rPr>
          <w:rFonts w:ascii="Times New Roman" w:hAnsi="Times New Roman" w:cs="Times New Roman"/>
          <w:sz w:val="24"/>
          <w:szCs w:val="24"/>
        </w:rPr>
        <w:t xml:space="preserve"> of micro-/</w:t>
      </w:r>
      <w:proofErr w:type="spellStart"/>
      <w:r>
        <w:rPr>
          <w:rFonts w:ascii="Times New Roman" w:hAnsi="Times New Roman" w:cs="Times New Roman"/>
          <w:sz w:val="24"/>
          <w:szCs w:val="24"/>
        </w:rPr>
        <w:t>minigrids</w:t>
      </w:r>
      <w:proofErr w:type="spellEnd"/>
      <w:r>
        <w:rPr>
          <w:rFonts w:ascii="Times New Roman" w:hAnsi="Times New Roman" w:cs="Times New Roman"/>
          <w:sz w:val="24"/>
          <w:szCs w:val="24"/>
        </w:rPr>
        <w:t xml:space="preserve"> dealing with locally produced wind and solar energy, as well as electric-vehicle batteries is the way forward. All of this will not only help to have better access to energy, but it will also decentralize economies.</w:t>
      </w:r>
    </w:p>
    <w:p w:rsidR="008A38CF" w:rsidRPr="00F65F09" w:rsidRDefault="008A38CF" w:rsidP="008A38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it comes to the fight against climate change, winning slowly is the same as losing the fight.  However, when opportunity meets willingness, action takes place. Change in behavior by citizens (and businesses) is key, since policy targets come from governments, but policy implementation will be done by citizens. Change in behavior implies enabling people the choices of change. There is evidence that young people want to consume in a sustainable manner, which is a positive change and will make the future brighter. Equally, as pointed out by David </w:t>
      </w:r>
      <w:proofErr w:type="spellStart"/>
      <w:r>
        <w:rPr>
          <w:rFonts w:ascii="Times New Roman" w:hAnsi="Times New Roman" w:cs="Times New Roman"/>
          <w:sz w:val="24"/>
          <w:szCs w:val="24"/>
        </w:rPr>
        <w:t>Korten</w:t>
      </w:r>
      <w:proofErr w:type="spellEnd"/>
      <w:r>
        <w:rPr>
          <w:rFonts w:ascii="Times New Roman" w:hAnsi="Times New Roman" w:cs="Times New Roman"/>
          <w:sz w:val="24"/>
          <w:szCs w:val="24"/>
        </w:rPr>
        <w:t>, changing the story will change the future.</w:t>
      </w:r>
      <w:r>
        <w:rPr>
          <w:rStyle w:val="Refdenotaalpie"/>
          <w:rFonts w:ascii="Times New Roman" w:hAnsi="Times New Roman" w:cs="Times New Roman"/>
          <w:sz w:val="24"/>
          <w:szCs w:val="24"/>
        </w:rPr>
        <w:footnoteReference w:id="61"/>
      </w:r>
      <w:r>
        <w:rPr>
          <w:rFonts w:ascii="Times New Roman" w:hAnsi="Times New Roman" w:cs="Times New Roman"/>
          <w:sz w:val="24"/>
          <w:szCs w:val="24"/>
        </w:rPr>
        <w:t xml:space="preserve"> So citizens need to have a voice to change the story of their future.</w:t>
      </w:r>
      <w:r w:rsidRPr="003E241D">
        <w:rPr>
          <w:rFonts w:ascii="Times New Roman" w:hAnsi="Times New Roman" w:cs="Times New Roman"/>
          <w:sz w:val="24"/>
          <w:szCs w:val="24"/>
        </w:rPr>
        <w:t xml:space="preserve"> </w:t>
      </w:r>
      <w:r>
        <w:rPr>
          <w:rFonts w:ascii="Times New Roman" w:hAnsi="Times New Roman" w:cs="Times New Roman"/>
          <w:sz w:val="24"/>
          <w:szCs w:val="24"/>
        </w:rPr>
        <w:t>Being pragmatic and practical at city/company level will help.</w:t>
      </w:r>
    </w:p>
    <w:p w:rsidR="008A38CF" w:rsidRDefault="008A38CF" w:rsidP="008A38CF">
      <w:pPr>
        <w:jc w:val="both"/>
        <w:rPr>
          <w:rFonts w:ascii="Times New Roman" w:hAnsi="Times New Roman" w:cs="Times New Roman"/>
          <w:sz w:val="24"/>
          <w:szCs w:val="24"/>
        </w:rPr>
      </w:pPr>
      <w:r>
        <w:rPr>
          <w:rFonts w:ascii="Times New Roman" w:hAnsi="Times New Roman" w:cs="Times New Roman"/>
          <w:sz w:val="24"/>
          <w:szCs w:val="24"/>
        </w:rPr>
        <w:t>Lastly, two counter-intuitive trade-related points deserve to be mentioned. First</w:t>
      </w:r>
      <w:r w:rsidRPr="00F65F09">
        <w:rPr>
          <w:rFonts w:ascii="Times New Roman" w:hAnsi="Times New Roman" w:cs="Times New Roman"/>
          <w:sz w:val="24"/>
          <w:szCs w:val="24"/>
        </w:rPr>
        <w:t xml:space="preserve">, </w:t>
      </w:r>
      <w:r>
        <w:rPr>
          <w:rFonts w:ascii="Times New Roman" w:hAnsi="Times New Roman" w:cs="Times New Roman"/>
          <w:sz w:val="24"/>
          <w:szCs w:val="24"/>
        </w:rPr>
        <w:t>t</w:t>
      </w:r>
      <w:r w:rsidRPr="00755A2F">
        <w:rPr>
          <w:rFonts w:ascii="Times New Roman" w:hAnsi="Times New Roman" w:cs="Times New Roman"/>
          <w:sz w:val="24"/>
          <w:szCs w:val="24"/>
        </w:rPr>
        <w:t>h</w:t>
      </w:r>
      <w:r>
        <w:rPr>
          <w:rFonts w:ascii="Times New Roman" w:hAnsi="Times New Roman" w:cs="Times New Roman"/>
          <w:sz w:val="24"/>
          <w:szCs w:val="24"/>
        </w:rPr>
        <w:t xml:space="preserve">at trade agreements may be more effective legal instruments than environmental agreements for environmental-protection purposes </w:t>
      </w:r>
      <w:r w:rsidRPr="00755A2F">
        <w:rPr>
          <w:rFonts w:ascii="Times New Roman" w:hAnsi="Times New Roman" w:cs="Times New Roman"/>
          <w:sz w:val="24"/>
          <w:szCs w:val="24"/>
        </w:rPr>
        <w:t>is both counter-intuitive and surprising.</w:t>
      </w:r>
      <w:r>
        <w:rPr>
          <w:rFonts w:ascii="Times New Roman" w:hAnsi="Times New Roman" w:cs="Times New Roman"/>
          <w:sz w:val="24"/>
          <w:szCs w:val="24"/>
        </w:rPr>
        <w:t xml:space="preserve"> Just as the huge improvement in quality of life after World War II was largely due to the expansion of world trade by lowering technical barriers, one can use the international trading system (whether regionally, bilaterally, </w:t>
      </w:r>
      <w:proofErr w:type="spellStart"/>
      <w:r>
        <w:rPr>
          <w:rFonts w:ascii="Times New Roman" w:hAnsi="Times New Roman" w:cs="Times New Roman"/>
          <w:sz w:val="24"/>
          <w:szCs w:val="24"/>
        </w:rPr>
        <w:t>plurilaterally</w:t>
      </w:r>
      <w:proofErr w:type="spellEnd"/>
      <w:r>
        <w:rPr>
          <w:rFonts w:ascii="Times New Roman" w:hAnsi="Times New Roman" w:cs="Times New Roman"/>
          <w:sz w:val="24"/>
          <w:szCs w:val="24"/>
        </w:rPr>
        <w:t xml:space="preserve">, multilaterally or in any other form) to help mitigate climate change and enhance sustainable energy. If multilateralism is currently in crisis, </w:t>
      </w:r>
      <w:proofErr w:type="spellStart"/>
      <w:r>
        <w:rPr>
          <w:rFonts w:ascii="Times New Roman" w:hAnsi="Times New Roman" w:cs="Times New Roman"/>
          <w:sz w:val="24"/>
          <w:szCs w:val="24"/>
        </w:rPr>
        <w:t>plurilateralism</w:t>
      </w:r>
      <w:proofErr w:type="spellEnd"/>
      <w:r>
        <w:rPr>
          <w:rFonts w:ascii="Times New Roman" w:hAnsi="Times New Roman" w:cs="Times New Roman"/>
          <w:sz w:val="24"/>
          <w:szCs w:val="24"/>
        </w:rPr>
        <w:t xml:space="preserve"> might be an effective platform to work on the links between trade and climate action. How? By making sure that major GHG emitters conclude mega-FTAs between major economies that liberalize green goods and services.</w:t>
      </w:r>
    </w:p>
    <w:p w:rsidR="008A38CF" w:rsidRDefault="008A38CF" w:rsidP="008A38CF">
      <w:pPr>
        <w:jc w:val="both"/>
        <w:rPr>
          <w:rFonts w:ascii="Times New Roman" w:hAnsi="Times New Roman" w:cs="Times New Roman"/>
          <w:sz w:val="24"/>
          <w:szCs w:val="24"/>
        </w:rPr>
      </w:pPr>
      <w:r>
        <w:rPr>
          <w:rFonts w:ascii="Times New Roman" w:hAnsi="Times New Roman" w:cs="Times New Roman"/>
          <w:sz w:val="24"/>
          <w:szCs w:val="24"/>
        </w:rPr>
        <w:t>Second, on the trade-climate change nexus, whether clean-energy technology eventually triggers a healthy competition or geopolitical friction will depend on international trade. If the Trump administration ends up creating a trade war, there will be less trade, therefore, less international shipping for the transnational movement of (clean) goods, therefore fewer emissions of GHGs, which is good for climate change. In conclusion, a trade war would be beneficial for climate change.</w:t>
      </w:r>
    </w:p>
    <w:p w:rsidR="008A38CF" w:rsidRPr="00F65F09" w:rsidRDefault="008A38CF" w:rsidP="008A38CF">
      <w:pPr>
        <w:jc w:val="both"/>
        <w:rPr>
          <w:rFonts w:ascii="Times New Roman" w:hAnsi="Times New Roman" w:cs="Times New Roman"/>
          <w:sz w:val="24"/>
          <w:szCs w:val="24"/>
        </w:rPr>
      </w:pPr>
      <w:r>
        <w:rPr>
          <w:rFonts w:ascii="Times New Roman" w:hAnsi="Times New Roman" w:cs="Times New Roman"/>
          <w:sz w:val="24"/>
          <w:szCs w:val="24"/>
        </w:rPr>
        <w:t xml:space="preserve">All of this would need to be implemented in terms of bottom-up governance. Recent examples of citizens’ discontent in EU governance show the apathy among voters for supranational parliamentary elections, whose participation has decreased in each and every election since the first in 1979. Instead, there is an increasing interest in national/sub-national parliamentary politics, as exemplified by Brexit and the Catalonian independent movement, which are closer to the citizens than </w:t>
      </w:r>
      <w:proofErr w:type="spellStart"/>
      <w:r>
        <w:rPr>
          <w:rFonts w:ascii="Times New Roman" w:hAnsi="Times New Roman" w:cs="Times New Roman"/>
          <w:sz w:val="24"/>
          <w:szCs w:val="24"/>
        </w:rPr>
        <w:t>metanational</w:t>
      </w:r>
      <w:proofErr w:type="spellEnd"/>
      <w:r>
        <w:rPr>
          <w:rFonts w:ascii="Times New Roman" w:hAnsi="Times New Roman" w:cs="Times New Roman"/>
          <w:sz w:val="24"/>
          <w:szCs w:val="24"/>
        </w:rPr>
        <w:t>/supranational/international entities. Greater use of social media (Twitter, Facebook, videos on YouTube) could be a very effective means to educate youth—which is the segment of society that makes most use of it—on the links between trade and climate change, raise awareness, and involve them in parliamentary elections.</w:t>
      </w:r>
    </w:p>
    <w:p w:rsidR="001C3B8B" w:rsidRDefault="003952C0"/>
    <w:sectPr w:rsidR="001C3B8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C0" w:rsidRDefault="003952C0" w:rsidP="008A38CF">
      <w:pPr>
        <w:spacing w:after="0" w:line="240" w:lineRule="auto"/>
      </w:pPr>
      <w:r>
        <w:separator/>
      </w:r>
    </w:p>
  </w:endnote>
  <w:endnote w:type="continuationSeparator" w:id="0">
    <w:p w:rsidR="003952C0" w:rsidRDefault="003952C0" w:rsidP="008A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24986"/>
      <w:docPartObj>
        <w:docPartGallery w:val="Page Numbers (Bottom of Page)"/>
        <w:docPartUnique/>
      </w:docPartObj>
    </w:sdtPr>
    <w:sdtEndPr>
      <w:rPr>
        <w:noProof/>
      </w:rPr>
    </w:sdtEndPr>
    <w:sdtContent>
      <w:p w:rsidR="00E66B67" w:rsidRDefault="00E66B67">
        <w:pPr>
          <w:pStyle w:val="Piedepgina"/>
          <w:jc w:val="right"/>
        </w:pPr>
        <w:r>
          <w:fldChar w:fldCharType="begin"/>
        </w:r>
        <w:r>
          <w:instrText xml:space="preserve"> PAGE   \* MERGEFORMAT </w:instrText>
        </w:r>
        <w:r>
          <w:fldChar w:fldCharType="separate"/>
        </w:r>
        <w:r w:rsidR="006057CF">
          <w:rPr>
            <w:noProof/>
          </w:rPr>
          <w:t>1</w:t>
        </w:r>
        <w:r>
          <w:rPr>
            <w:noProof/>
          </w:rPr>
          <w:fldChar w:fldCharType="end"/>
        </w:r>
      </w:p>
    </w:sdtContent>
  </w:sdt>
  <w:p w:rsidR="00E66B67" w:rsidRDefault="00E66B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C0" w:rsidRDefault="003952C0" w:rsidP="008A38CF">
      <w:pPr>
        <w:spacing w:after="0" w:line="240" w:lineRule="auto"/>
      </w:pPr>
      <w:r>
        <w:separator/>
      </w:r>
    </w:p>
  </w:footnote>
  <w:footnote w:type="continuationSeparator" w:id="0">
    <w:p w:rsidR="003952C0" w:rsidRDefault="003952C0" w:rsidP="008A38CF">
      <w:pPr>
        <w:spacing w:after="0" w:line="240" w:lineRule="auto"/>
      </w:pPr>
      <w:r>
        <w:continuationSeparator/>
      </w:r>
    </w:p>
  </w:footnote>
  <w:footnote w:id="1">
    <w:p w:rsidR="008A38CF" w:rsidRPr="00E66B67" w:rsidRDefault="008A38CF" w:rsidP="008A38CF">
      <w:pPr>
        <w:pStyle w:val="FootNote"/>
        <w:tabs>
          <w:tab w:val="clear" w:pos="480"/>
          <w:tab w:val="clear" w:pos="640"/>
          <w:tab w:val="left" w:pos="0"/>
        </w:tabs>
        <w:spacing w:line="240" w:lineRule="auto"/>
        <w:rPr>
          <w:sz w:val="20"/>
        </w:rPr>
      </w:pPr>
      <w:r w:rsidRPr="00E66B67">
        <w:rPr>
          <w:sz w:val="20"/>
        </w:rPr>
        <w:t>* Jean Monnet Chaired Professor</w:t>
      </w:r>
      <w:r w:rsidRPr="00E66B67">
        <w:rPr>
          <w:sz w:val="20"/>
          <w:lang w:eastAsia="de-CH"/>
        </w:rPr>
        <w:t xml:space="preserve"> of EU International Economic Law, Queen Mary University of London (Centre for Commercial Law Studies)</w:t>
      </w:r>
      <w:r w:rsidR="00255242" w:rsidRPr="00E66B67">
        <w:rPr>
          <w:sz w:val="20"/>
          <w:lang w:eastAsia="de-CH"/>
        </w:rPr>
        <w:t>.</w:t>
      </w:r>
      <w:r w:rsidRPr="00E66B67">
        <w:rPr>
          <w:sz w:val="20"/>
          <w:lang w:eastAsia="de-CH"/>
        </w:rPr>
        <w:t xml:space="preserve"> </w:t>
      </w:r>
      <w:r w:rsidR="00255242" w:rsidRPr="00E66B67">
        <w:rPr>
          <w:sz w:val="20"/>
        </w:rPr>
        <w:t xml:space="preserve">The financial help from two EU grants is greatly acknowledged: Jean Monnet Chair in EU International Economic Law (project number 575061-EPP-1-2016-1-UK-EPPJMO-CHAIR) and the </w:t>
      </w:r>
      <w:proofErr w:type="spellStart"/>
      <w:r w:rsidR="00255242" w:rsidRPr="00E66B67">
        <w:rPr>
          <w:sz w:val="20"/>
        </w:rPr>
        <w:t>WiseGRID</w:t>
      </w:r>
      <w:proofErr w:type="spellEnd"/>
      <w:r w:rsidR="00255242" w:rsidRPr="00E66B67">
        <w:rPr>
          <w:sz w:val="20"/>
        </w:rPr>
        <w:t xml:space="preserve"> project (number 731205), funded by Horizon 2020. </w:t>
      </w:r>
      <w:r w:rsidRPr="00E66B67">
        <w:rPr>
          <w:sz w:val="20"/>
        </w:rPr>
        <w:t xml:space="preserve">Email: </w:t>
      </w:r>
      <w:hyperlink r:id="rId1" w:history="1">
        <w:r w:rsidRPr="00E66B67">
          <w:rPr>
            <w:rStyle w:val="Hipervnculo"/>
            <w:rFonts w:eastAsiaTheme="majorEastAsia"/>
            <w:sz w:val="20"/>
          </w:rPr>
          <w:t>r.leal-arcas@qmul.ac.uk</w:t>
        </w:r>
      </w:hyperlink>
    </w:p>
  </w:footnote>
  <w:footnote w:id="2">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R. Leal-Arcas, “</w:t>
      </w:r>
      <w:hyperlink r:id="rId2" w:history="1">
        <w:r w:rsidRPr="00E66B67">
          <w:rPr>
            <w:rStyle w:val="Hipervnculo"/>
            <w:rFonts w:ascii="Times New Roman" w:hAnsi="Times New Roman" w:cs="Times New Roman"/>
            <w:sz w:val="20"/>
            <w:szCs w:val="20"/>
          </w:rPr>
          <w:t>Sustainability, common concern and public goods</w:t>
        </w:r>
      </w:hyperlink>
      <w:r w:rsidRPr="00E66B67">
        <w:rPr>
          <w:rFonts w:ascii="Times New Roman" w:hAnsi="Times New Roman" w:cs="Times New Roman"/>
          <w:sz w:val="20"/>
          <w:szCs w:val="20"/>
        </w:rPr>
        <w:t xml:space="preserve">,” </w:t>
      </w:r>
      <w:r w:rsidRPr="00E66B67">
        <w:rPr>
          <w:rFonts w:ascii="Times New Roman" w:hAnsi="Times New Roman" w:cs="Times New Roman"/>
          <w:i/>
          <w:sz w:val="20"/>
          <w:szCs w:val="20"/>
        </w:rPr>
        <w:t>The George Washington International Law Review</w:t>
      </w:r>
      <w:r w:rsidRPr="00E66B67">
        <w:rPr>
          <w:rFonts w:ascii="Times New Roman" w:hAnsi="Times New Roman" w:cs="Times New Roman"/>
          <w:sz w:val="20"/>
          <w:szCs w:val="20"/>
        </w:rPr>
        <w:t>, Vol. 49, Issue 4, pp. 801-877, 2017.</w:t>
      </w:r>
    </w:p>
  </w:footnote>
  <w:footnote w:id="3">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It is remarkable to see the transformation of climate change agreements in terms of governance structure in such a short period of time: in less than 20 years, the 1997 Kyoto Protocol as an example of a top-down approach to climate change mitigation, and the 2015 Paris Climate Agreement as an example of a bottom-up approach to climate change mitigation. For an analysis of the Paris Climate Agreement, see D. </w:t>
      </w:r>
      <w:proofErr w:type="spellStart"/>
      <w:r w:rsidRPr="00E66B67">
        <w:rPr>
          <w:rFonts w:ascii="Times New Roman" w:hAnsi="Times New Roman" w:cs="Times New Roman"/>
        </w:rPr>
        <w:t>Bodansky</w:t>
      </w:r>
      <w:proofErr w:type="spellEnd"/>
      <w:r w:rsidRPr="00E66B67">
        <w:rPr>
          <w:rFonts w:ascii="Times New Roman" w:hAnsi="Times New Roman" w:cs="Times New Roman"/>
        </w:rPr>
        <w:t xml:space="preserve">, “The Paris Climate Change Agreement: A new hope?” </w:t>
      </w:r>
      <w:r w:rsidRPr="00E66B67">
        <w:rPr>
          <w:rFonts w:ascii="Times New Roman" w:hAnsi="Times New Roman" w:cs="Times New Roman"/>
          <w:i/>
        </w:rPr>
        <w:t>American Journal of International Law</w:t>
      </w:r>
      <w:r w:rsidRPr="00E66B67">
        <w:rPr>
          <w:rFonts w:ascii="Times New Roman" w:hAnsi="Times New Roman" w:cs="Times New Roman"/>
        </w:rPr>
        <w:t xml:space="preserve">, Vol. 110, Issue 2, April 2016, pp. 288-319; Bryan H. </w:t>
      </w:r>
      <w:proofErr w:type="spellStart"/>
      <w:r w:rsidRPr="00E66B67">
        <w:rPr>
          <w:rFonts w:ascii="Times New Roman" w:hAnsi="Times New Roman" w:cs="Times New Roman"/>
        </w:rPr>
        <w:t>Druzin</w:t>
      </w:r>
      <w:proofErr w:type="spellEnd"/>
      <w:r w:rsidRPr="00E66B67">
        <w:rPr>
          <w:rFonts w:ascii="Times New Roman" w:hAnsi="Times New Roman" w:cs="Times New Roman"/>
        </w:rPr>
        <w:t>, “A Plan to strengthen the Paris Climate Agreement,” FORDHAM LAW REVIEW RES GESTAE, Vol. 84, pp. 18-23, 2016.</w:t>
      </w:r>
    </w:p>
  </w:footnote>
  <w:footnote w:id="4">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It is interesting to see the conceptual evolution of this phenomenon over time: Initially, one referred to an energy user, then consumer, then customer, and now prosumer. For an analysis of prosumers, see R. Leal-Arcas et al., “Prosumers: New actors in EU energy security,” </w:t>
      </w:r>
      <w:r w:rsidRPr="00E66B67">
        <w:rPr>
          <w:rFonts w:ascii="Times New Roman" w:hAnsi="Times New Roman" w:cs="Times New Roman"/>
          <w:i/>
          <w:sz w:val="20"/>
          <w:szCs w:val="20"/>
        </w:rPr>
        <w:t>Netherlands Yearbook of International Law</w:t>
      </w:r>
      <w:r w:rsidRPr="00E66B67">
        <w:rPr>
          <w:rFonts w:ascii="Times New Roman" w:hAnsi="Times New Roman" w:cs="Times New Roman"/>
          <w:sz w:val="20"/>
          <w:szCs w:val="20"/>
        </w:rPr>
        <w:t>, Vol. 48, pp. 139-172, 2017.</w:t>
      </w:r>
    </w:p>
  </w:footnote>
  <w:footnote w:id="5">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The US has been withdrawing from a number of multilateral fora since President Trump came to office. As of June 2018, the most recent example was the withdrawal from the UN Human Rights Council. See Gardiner Harris, “Trump Administration Withdraws U.S. from U.N. Human Rights Council,” </w:t>
      </w:r>
      <w:r w:rsidRPr="00E66B67">
        <w:rPr>
          <w:rFonts w:ascii="Times New Roman" w:hAnsi="Times New Roman" w:cs="Times New Roman"/>
          <w:i/>
        </w:rPr>
        <w:t>The New York Times</w:t>
      </w:r>
      <w:r w:rsidRPr="00E66B67">
        <w:rPr>
          <w:rFonts w:ascii="Times New Roman" w:hAnsi="Times New Roman" w:cs="Times New Roman"/>
        </w:rPr>
        <w:t>, 19 June 2018, available at https://www.nytimes.com/2018/06/19/us/politics/trump-israel-palestinians-human-rights.html.</w:t>
      </w:r>
    </w:p>
  </w:footnote>
  <w:footnote w:id="6">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US Trade Representative Robert </w:t>
      </w:r>
      <w:proofErr w:type="spellStart"/>
      <w:r w:rsidRPr="00E66B67">
        <w:rPr>
          <w:rFonts w:ascii="Times New Roman" w:hAnsi="Times New Roman" w:cs="Times New Roman"/>
        </w:rPr>
        <w:t>Lighthizer</w:t>
      </w:r>
      <w:proofErr w:type="spellEnd"/>
      <w:r w:rsidRPr="00E66B67">
        <w:rPr>
          <w:rFonts w:ascii="Times New Roman" w:hAnsi="Times New Roman" w:cs="Times New Roman"/>
        </w:rPr>
        <w:t xml:space="preserve"> has repeatedly made the point that the WTO needs to be reformed and that US trade policy has gone in the wrong direction since the creation of the WTO. See S. </w:t>
      </w:r>
      <w:proofErr w:type="spellStart"/>
      <w:r w:rsidRPr="00E66B67">
        <w:rPr>
          <w:rFonts w:ascii="Times New Roman" w:hAnsi="Times New Roman" w:cs="Times New Roman"/>
        </w:rPr>
        <w:t>Donnan</w:t>
      </w:r>
      <w:proofErr w:type="spellEnd"/>
      <w:r w:rsidRPr="00E66B67">
        <w:rPr>
          <w:rFonts w:ascii="Times New Roman" w:hAnsi="Times New Roman" w:cs="Times New Roman"/>
        </w:rPr>
        <w:t xml:space="preserve">, “We need to talk about the </w:t>
      </w:r>
      <w:proofErr w:type="spellStart"/>
      <w:r w:rsidRPr="00E66B67">
        <w:rPr>
          <w:rFonts w:ascii="Times New Roman" w:hAnsi="Times New Roman" w:cs="Times New Roman"/>
        </w:rPr>
        <w:t>Lighthizer</w:t>
      </w:r>
      <w:proofErr w:type="spellEnd"/>
      <w:r w:rsidRPr="00E66B67">
        <w:rPr>
          <w:rFonts w:ascii="Times New Roman" w:hAnsi="Times New Roman" w:cs="Times New Roman"/>
        </w:rPr>
        <w:t xml:space="preserve"> Doctrine,” </w:t>
      </w:r>
      <w:r w:rsidRPr="00E66B67">
        <w:rPr>
          <w:rFonts w:ascii="Times New Roman" w:hAnsi="Times New Roman" w:cs="Times New Roman"/>
          <w:i/>
        </w:rPr>
        <w:t>Financial Times</w:t>
      </w:r>
      <w:r w:rsidRPr="00E66B67">
        <w:rPr>
          <w:rFonts w:ascii="Times New Roman" w:hAnsi="Times New Roman" w:cs="Times New Roman"/>
        </w:rPr>
        <w:t>, 12 February 2018, available at https://www.ft.com/content/7335e48c-0fe7-11e8-8cb6-b9ccc4c4dbbb?desktop=true&amp;segmentId=7c8f09b9-9b61-4fbb-9430-9208a9e233c8#myft:notification:daily-email:content.</w:t>
      </w:r>
    </w:p>
  </w:footnote>
  <w:footnote w:id="7">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For a previous analysis, see R. Leal-Arcas, “</w:t>
      </w:r>
      <w:hyperlink r:id="rId3" w:history="1">
        <w:r w:rsidRPr="00E66B67">
          <w:rPr>
            <w:rStyle w:val="Hipervnculo"/>
            <w:rFonts w:ascii="Times New Roman" w:hAnsi="Times New Roman" w:cs="Times New Roman"/>
            <w:sz w:val="20"/>
            <w:szCs w:val="20"/>
          </w:rPr>
          <w:t>A Bottom-up Approach for Climate Change: The Trade Experience</w:t>
        </w:r>
      </w:hyperlink>
      <w:r w:rsidRPr="00E66B67">
        <w:rPr>
          <w:rFonts w:ascii="Times New Roman" w:hAnsi="Times New Roman" w:cs="Times New Roman"/>
          <w:sz w:val="20"/>
          <w:szCs w:val="20"/>
        </w:rPr>
        <w:t xml:space="preserve">,” </w:t>
      </w:r>
      <w:r w:rsidRPr="00E66B67">
        <w:rPr>
          <w:rFonts w:ascii="Times New Roman" w:hAnsi="Times New Roman" w:cs="Times New Roman"/>
          <w:i/>
          <w:sz w:val="20"/>
          <w:szCs w:val="20"/>
        </w:rPr>
        <w:t>Asian Journal of Law and Economics</w:t>
      </w:r>
      <w:r w:rsidRPr="00E66B67">
        <w:rPr>
          <w:rFonts w:ascii="Times New Roman" w:hAnsi="Times New Roman" w:cs="Times New Roman"/>
          <w:sz w:val="20"/>
          <w:szCs w:val="20"/>
        </w:rPr>
        <w:t>, Vol. 2, Issue 4, pp. 1-54, 2011.</w:t>
      </w:r>
    </w:p>
  </w:footnote>
  <w:footnote w:id="8">
    <w:p w:rsidR="008A38CF" w:rsidRPr="00E66B67" w:rsidRDefault="008A38CF" w:rsidP="008A38CF">
      <w:pPr>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The following is evidence that </w:t>
      </w:r>
      <w:proofErr w:type="spellStart"/>
      <w:r w:rsidRPr="00E66B67">
        <w:rPr>
          <w:rFonts w:ascii="Times New Roman" w:hAnsi="Times New Roman" w:cs="Times New Roman"/>
          <w:sz w:val="20"/>
          <w:szCs w:val="20"/>
        </w:rPr>
        <w:t>plurilateralism</w:t>
      </w:r>
      <w:proofErr w:type="spellEnd"/>
      <w:r w:rsidRPr="00E66B67">
        <w:rPr>
          <w:rFonts w:ascii="Times New Roman" w:hAnsi="Times New Roman" w:cs="Times New Roman"/>
          <w:sz w:val="20"/>
          <w:szCs w:val="20"/>
        </w:rPr>
        <w:t xml:space="preserve">, as opposed to multilateralism, seems to be the way forward in international trade negotiations: In December 2017, during the WTO Ministerial Conference in Buenos Aires, some, but not all, WTO Members (therefore, making this procedure an example of </w:t>
      </w:r>
      <w:proofErr w:type="spellStart"/>
      <w:r w:rsidRPr="00E66B67">
        <w:rPr>
          <w:rFonts w:ascii="Times New Roman" w:hAnsi="Times New Roman" w:cs="Times New Roman"/>
          <w:sz w:val="20"/>
          <w:szCs w:val="20"/>
        </w:rPr>
        <w:t>plurilateralism</w:t>
      </w:r>
      <w:proofErr w:type="spellEnd"/>
      <w:r w:rsidRPr="00E66B67">
        <w:rPr>
          <w:rFonts w:ascii="Times New Roman" w:hAnsi="Times New Roman" w:cs="Times New Roman"/>
          <w:sz w:val="20"/>
          <w:szCs w:val="20"/>
        </w:rPr>
        <w:t xml:space="preserve">) issued joint statements that were signed by subgroups of WTO Members. The aim of these </w:t>
      </w:r>
      <w:proofErr w:type="spellStart"/>
      <w:r w:rsidRPr="00E66B67">
        <w:rPr>
          <w:rFonts w:ascii="Times New Roman" w:hAnsi="Times New Roman" w:cs="Times New Roman"/>
          <w:sz w:val="20"/>
          <w:szCs w:val="20"/>
        </w:rPr>
        <w:t>plurilateral</w:t>
      </w:r>
      <w:proofErr w:type="spellEnd"/>
      <w:r w:rsidRPr="00E66B67">
        <w:rPr>
          <w:rFonts w:ascii="Times New Roman" w:hAnsi="Times New Roman" w:cs="Times New Roman"/>
          <w:sz w:val="20"/>
          <w:szCs w:val="20"/>
        </w:rPr>
        <w:t xml:space="preserve"> statements was to deal with specific topics, including informal work programs for Micro, Small and Medium Enterprises (WT/MIN(17)/58/Rev.1), investment facilitation (WT/MIN(17)/59), electronic commerce (WT/MIN(17)/60), fossil fuel subsidies (WT/MIN(17/54)), as well as on services domestic regulation (WT/MIN(17)/61) within the WTO Working Party on Domestic Regulation. For an analysis of </w:t>
      </w:r>
      <w:proofErr w:type="spellStart"/>
      <w:r w:rsidRPr="00E66B67">
        <w:rPr>
          <w:rFonts w:ascii="Times New Roman" w:hAnsi="Times New Roman" w:cs="Times New Roman"/>
          <w:sz w:val="20"/>
          <w:szCs w:val="20"/>
        </w:rPr>
        <w:t>plurilateral</w:t>
      </w:r>
      <w:proofErr w:type="spellEnd"/>
      <w:r w:rsidRPr="00E66B67">
        <w:rPr>
          <w:rFonts w:ascii="Times New Roman" w:hAnsi="Times New Roman" w:cs="Times New Roman"/>
          <w:sz w:val="20"/>
          <w:szCs w:val="20"/>
        </w:rPr>
        <w:t xml:space="preserve"> governance in climate change, see Leal-Arcas R, ‘Alternative Architecture for Climate Change – Major Economies’ (2011) 4(1) </w:t>
      </w:r>
      <w:r w:rsidRPr="00E66B67">
        <w:rPr>
          <w:rFonts w:ascii="Times New Roman" w:hAnsi="Times New Roman" w:cs="Times New Roman"/>
          <w:i/>
          <w:sz w:val="20"/>
          <w:szCs w:val="20"/>
        </w:rPr>
        <w:t>European Journal of Legal Studies</w:t>
      </w:r>
      <w:r w:rsidRPr="00E66B67">
        <w:rPr>
          <w:rFonts w:ascii="Times New Roman" w:hAnsi="Times New Roman" w:cs="Times New Roman"/>
          <w:sz w:val="20"/>
          <w:szCs w:val="20"/>
        </w:rPr>
        <w:t xml:space="preserve"> 22-56.</w:t>
      </w:r>
    </w:p>
  </w:footnote>
  <w:footnote w:id="9">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After the US decided to withdraw from the Trans-Pacific Partnership, which never entered into force, it was agreed in January 2018 that negotiations would start on a new trade agreement called the Comprehensive and Progressive Agreement for Trans-Pacific Partnership. To see the newly agreed text, visit https://www.mfat.govt.nz/en/trade/free-trade-agreements/free-trade-agreements-concluded-but-not-in-force/cptpp/comprehensive-and-progressive-agreement-for-trans-pacific-partnership-text/#chapters. Crucial side letters were not yet available as of February 2018.  </w:t>
      </w:r>
    </w:p>
  </w:footnote>
  <w:footnote w:id="10">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Anecdotally, it is interesting to note that more people signed an anti-TTIP campaign in the UK—which is known as a free-trade country—than in France—which is known as a protectionist nation. See The Economist, “The politics of trade deals: Not so global Britain,” 10 February 2018, pp. 27-28, at 27.</w:t>
      </w:r>
    </w:p>
  </w:footnote>
  <w:footnote w:id="11">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The Economist, “Banyan: Trading places,” 27 January 2018, p. 47.</w:t>
      </w:r>
    </w:p>
  </w:footnote>
  <w:footnote w:id="12">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R. Leal-Arcas, “Empowering citizens for common concerns: Sustainable energy, trade and climate change,” </w:t>
      </w:r>
      <w:r w:rsidRPr="00E66B67">
        <w:rPr>
          <w:rFonts w:ascii="Times New Roman" w:hAnsi="Times New Roman" w:cs="Times New Roman"/>
          <w:i/>
        </w:rPr>
        <w:t>GSTF Journal of Law and Social Sciences</w:t>
      </w:r>
      <w:r w:rsidRPr="00E66B67">
        <w:rPr>
          <w:rFonts w:ascii="Times New Roman" w:hAnsi="Times New Roman" w:cs="Times New Roman"/>
        </w:rPr>
        <w:t>, Vol.6, No.1, Jan. 2018, pp. 1-37.</w:t>
      </w:r>
    </w:p>
  </w:footnote>
  <w:footnote w:id="13">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the initiative ‘The consumer goods forum,’ at https://www.theconsumergoodsforum.com/.</w:t>
      </w:r>
    </w:p>
  </w:footnote>
  <w:footnote w:id="14">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w:t>
      </w:r>
      <w:r w:rsidRPr="00E66B67">
        <w:rPr>
          <w:rFonts w:ascii="Times New Roman" w:hAnsi="Times New Roman" w:cs="Times New Roman"/>
          <w:lang w:val="en-GB"/>
        </w:rPr>
        <w:t xml:space="preserve">C. Morris and A. </w:t>
      </w:r>
      <w:proofErr w:type="spellStart"/>
      <w:r w:rsidRPr="00E66B67">
        <w:rPr>
          <w:rFonts w:ascii="Times New Roman" w:hAnsi="Times New Roman" w:cs="Times New Roman"/>
          <w:lang w:val="en-GB"/>
        </w:rPr>
        <w:t>Jungjohann</w:t>
      </w:r>
      <w:proofErr w:type="spellEnd"/>
      <w:r w:rsidRPr="00E66B67">
        <w:rPr>
          <w:rFonts w:ascii="Times New Roman" w:hAnsi="Times New Roman" w:cs="Times New Roman"/>
          <w:lang w:val="en-GB"/>
        </w:rPr>
        <w:t xml:space="preserve">, </w:t>
      </w:r>
      <w:r w:rsidRPr="00E66B67">
        <w:rPr>
          <w:rFonts w:ascii="Times New Roman" w:hAnsi="Times New Roman" w:cs="Times New Roman"/>
          <w:i/>
          <w:lang w:val="en-GB"/>
        </w:rPr>
        <w:t xml:space="preserve">Energy democracy: Germany’s </w:t>
      </w:r>
      <w:proofErr w:type="spellStart"/>
      <w:r w:rsidRPr="00E66B67">
        <w:rPr>
          <w:rFonts w:ascii="Times New Roman" w:hAnsi="Times New Roman" w:cs="Times New Roman"/>
          <w:i/>
          <w:lang w:val="en-GB"/>
        </w:rPr>
        <w:t>Energiewende</w:t>
      </w:r>
      <w:proofErr w:type="spellEnd"/>
      <w:r w:rsidRPr="00E66B67">
        <w:rPr>
          <w:rFonts w:ascii="Times New Roman" w:hAnsi="Times New Roman" w:cs="Times New Roman"/>
          <w:i/>
          <w:lang w:val="en-GB"/>
        </w:rPr>
        <w:t xml:space="preserve"> to Renewables</w:t>
      </w:r>
      <w:r w:rsidRPr="00E66B67">
        <w:rPr>
          <w:rFonts w:ascii="Times New Roman" w:hAnsi="Times New Roman" w:cs="Times New Roman"/>
          <w:lang w:val="en-GB"/>
        </w:rPr>
        <w:t>, Palgrave Macmillan, 2016.</w:t>
      </w:r>
    </w:p>
  </w:footnote>
  <w:footnote w:id="15">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P. Devine-Wright, “Energy citizenship: Psychological aspects of evolution in sustainable energy technologies,” in J. Murphy (ed.), </w:t>
      </w:r>
      <w:r w:rsidRPr="00E66B67">
        <w:rPr>
          <w:rFonts w:ascii="Times New Roman" w:hAnsi="Times New Roman" w:cs="Times New Roman"/>
          <w:i/>
        </w:rPr>
        <w:t>Governing technology for sustainability</w:t>
      </w:r>
      <w:r w:rsidRPr="00E66B67">
        <w:rPr>
          <w:rFonts w:ascii="Times New Roman" w:hAnsi="Times New Roman" w:cs="Times New Roman"/>
        </w:rPr>
        <w:t xml:space="preserve">, </w:t>
      </w:r>
      <w:proofErr w:type="spellStart"/>
      <w:r w:rsidRPr="00E66B67">
        <w:rPr>
          <w:rFonts w:ascii="Times New Roman" w:hAnsi="Times New Roman" w:cs="Times New Roman"/>
        </w:rPr>
        <w:t>Earthscan</w:t>
      </w:r>
      <w:proofErr w:type="spellEnd"/>
      <w:r w:rsidRPr="00E66B67">
        <w:rPr>
          <w:rFonts w:ascii="Times New Roman" w:hAnsi="Times New Roman" w:cs="Times New Roman"/>
        </w:rPr>
        <w:t>, 2007.</w:t>
      </w:r>
    </w:p>
  </w:footnote>
  <w:footnote w:id="16">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K. </w:t>
      </w:r>
      <w:proofErr w:type="spellStart"/>
      <w:r w:rsidRPr="00E66B67">
        <w:rPr>
          <w:rFonts w:ascii="Times New Roman" w:hAnsi="Times New Roman" w:cs="Times New Roman"/>
        </w:rPr>
        <w:t>Orehounig</w:t>
      </w:r>
      <w:proofErr w:type="spellEnd"/>
      <w:r w:rsidRPr="00E66B67">
        <w:rPr>
          <w:rFonts w:ascii="Times New Roman" w:hAnsi="Times New Roman" w:cs="Times New Roman"/>
        </w:rPr>
        <w:t xml:space="preserve">, R. </w:t>
      </w:r>
      <w:proofErr w:type="spellStart"/>
      <w:r w:rsidRPr="00E66B67">
        <w:rPr>
          <w:rFonts w:ascii="Times New Roman" w:hAnsi="Times New Roman" w:cs="Times New Roman"/>
        </w:rPr>
        <w:t>Evins</w:t>
      </w:r>
      <w:proofErr w:type="spellEnd"/>
      <w:r w:rsidRPr="00E66B67">
        <w:rPr>
          <w:rFonts w:ascii="Times New Roman" w:hAnsi="Times New Roman" w:cs="Times New Roman"/>
        </w:rPr>
        <w:t xml:space="preserve">, and V. </w:t>
      </w:r>
      <w:proofErr w:type="spellStart"/>
      <w:r w:rsidRPr="00E66B67">
        <w:rPr>
          <w:rFonts w:ascii="Times New Roman" w:hAnsi="Times New Roman" w:cs="Times New Roman"/>
        </w:rPr>
        <w:t>Dorer</w:t>
      </w:r>
      <w:proofErr w:type="spellEnd"/>
      <w:r w:rsidRPr="00E66B67">
        <w:rPr>
          <w:rFonts w:ascii="Times New Roman" w:hAnsi="Times New Roman" w:cs="Times New Roman"/>
        </w:rPr>
        <w:t xml:space="preserve">, “Integration of decentralized energy systems in </w:t>
      </w:r>
      <w:proofErr w:type="spellStart"/>
      <w:r w:rsidRPr="00E66B67">
        <w:rPr>
          <w:rFonts w:ascii="Times New Roman" w:hAnsi="Times New Roman" w:cs="Times New Roman"/>
        </w:rPr>
        <w:t>neighbourhoods</w:t>
      </w:r>
      <w:proofErr w:type="spellEnd"/>
      <w:r w:rsidRPr="00E66B67">
        <w:rPr>
          <w:rFonts w:ascii="Times New Roman" w:hAnsi="Times New Roman" w:cs="Times New Roman"/>
        </w:rPr>
        <w:t xml:space="preserve"> using the energy hub approach,” </w:t>
      </w:r>
      <w:r w:rsidRPr="00E66B67">
        <w:rPr>
          <w:rFonts w:ascii="Times New Roman" w:hAnsi="Times New Roman" w:cs="Times New Roman"/>
          <w:i/>
        </w:rPr>
        <w:t>Applied Energy</w:t>
      </w:r>
      <w:r w:rsidRPr="00E66B67">
        <w:rPr>
          <w:rFonts w:ascii="Times New Roman" w:hAnsi="Times New Roman" w:cs="Times New Roman"/>
        </w:rPr>
        <w:t>, Vol. 154, 2015, pp. 277-289.</w:t>
      </w:r>
    </w:p>
  </w:footnote>
  <w:footnote w:id="17">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N. Omar, “Future and emerging technologies: Workshop on future battery technologies for energy storage,” Luxembourg: Publication office of the European Union, 2018, available at file:///C:/Users/lcw197/Downloads/FETWorkshoponFutureBatteryTechnologiesforEnergyStorageA4webpdf.pdf.</w:t>
      </w:r>
    </w:p>
  </w:footnote>
  <w:footnote w:id="18">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w:t>
      </w:r>
      <w:r w:rsidRPr="00E66B67">
        <w:rPr>
          <w:rFonts w:ascii="Times New Roman" w:hAnsi="Times New Roman" w:cs="Times New Roman"/>
          <w:lang w:val="en-GB"/>
        </w:rPr>
        <w:t xml:space="preserve">For further details on prosumers, see Leal-Arcas, R. </w:t>
      </w:r>
      <w:r w:rsidRPr="00E66B67">
        <w:rPr>
          <w:rFonts w:ascii="Times New Roman" w:hAnsi="Times New Roman" w:cs="Times New Roman"/>
          <w:i/>
          <w:lang w:val="en-GB"/>
        </w:rPr>
        <w:t>et al</w:t>
      </w:r>
      <w:r w:rsidRPr="00E66B67">
        <w:rPr>
          <w:rFonts w:ascii="Times New Roman" w:hAnsi="Times New Roman" w:cs="Times New Roman"/>
          <w:lang w:val="en-GB"/>
        </w:rPr>
        <w:t xml:space="preserve">., </w:t>
      </w:r>
      <w:r w:rsidRPr="00E66B67">
        <w:rPr>
          <w:rFonts w:ascii="Times New Roman" w:hAnsi="Times New Roman" w:cs="Times New Roman"/>
        </w:rPr>
        <w:t xml:space="preserve">“Prosumers: New actors in EU energy security,” </w:t>
      </w:r>
      <w:r w:rsidRPr="00E66B67">
        <w:rPr>
          <w:rFonts w:ascii="Times New Roman" w:hAnsi="Times New Roman" w:cs="Times New Roman"/>
          <w:i/>
        </w:rPr>
        <w:t>Netherlands Yearbook of International Law</w:t>
      </w:r>
      <w:r w:rsidRPr="00E66B67">
        <w:rPr>
          <w:rFonts w:ascii="Times New Roman" w:hAnsi="Times New Roman" w:cs="Times New Roman"/>
        </w:rPr>
        <w:t>, Vol. 48, 2017.</w:t>
      </w:r>
    </w:p>
  </w:footnote>
  <w:footnote w:id="19">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According to Stanford University researchers, ‘utilities around the world can rely on multiple methods to stabilize their electricity grids in a shift to 100% wind, solar, and hydroelectricity.’ See T. Kubota, “Jacobson study shows multiple paths to grid stability in 100% renewable future,” </w:t>
      </w:r>
      <w:r w:rsidRPr="00E66B67">
        <w:rPr>
          <w:rFonts w:ascii="Times New Roman" w:hAnsi="Times New Roman" w:cs="Times New Roman"/>
          <w:i/>
        </w:rPr>
        <w:t>The Energy Mix</w:t>
      </w:r>
      <w:r w:rsidRPr="00E66B67">
        <w:rPr>
          <w:rFonts w:ascii="Times New Roman" w:hAnsi="Times New Roman" w:cs="Times New Roman"/>
        </w:rPr>
        <w:t>, 14 February 2018, available at http://theenergymix.com/2018/02/14/jacobson-study-shows-multiple-paths-to-grid-stability-in-100-renewable-future/.</w:t>
      </w:r>
    </w:p>
  </w:footnote>
  <w:footnote w:id="20">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For an initiative in this direction towards energy cooperation between the North Seas countries, see The North Seas Countries’ Offshore Grid Initiative, available at </w:t>
      </w:r>
      <w:hyperlink r:id="rId4" w:history="1">
        <w:r w:rsidRPr="00E66B67">
          <w:rPr>
            <w:rStyle w:val="Hipervnculo"/>
            <w:rFonts w:ascii="Times New Roman" w:hAnsi="Times New Roman" w:cs="Times New Roman"/>
          </w:rPr>
          <w:t>http://www.benelux.int/nl/kernthemas/holder/energie/nscogi-2012-report/</w:t>
        </w:r>
      </w:hyperlink>
      <w:r w:rsidRPr="00E66B67">
        <w:rPr>
          <w:rFonts w:ascii="Times New Roman" w:hAnsi="Times New Roman" w:cs="Times New Roman"/>
        </w:rPr>
        <w:t>. Similar thinking is taking place for the creation of a single, shared 5G wireless network. See The Economist, “Telecoms: Next-generation thinking,” 10 February 2018, pp. 11-12.</w:t>
      </w:r>
    </w:p>
  </w:footnote>
  <w:footnote w:id="21">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L. </w:t>
      </w:r>
      <w:proofErr w:type="spellStart"/>
      <w:r w:rsidRPr="00E66B67">
        <w:rPr>
          <w:rFonts w:ascii="Times New Roman" w:hAnsi="Times New Roman" w:cs="Times New Roman"/>
        </w:rPr>
        <w:t>Reisch</w:t>
      </w:r>
      <w:proofErr w:type="spellEnd"/>
      <w:r w:rsidRPr="00E66B67">
        <w:rPr>
          <w:rFonts w:ascii="Times New Roman" w:hAnsi="Times New Roman" w:cs="Times New Roman"/>
        </w:rPr>
        <w:t xml:space="preserve">, “Nudging Europe’s Energy Transformation,” </w:t>
      </w:r>
      <w:r w:rsidRPr="00E66B67">
        <w:rPr>
          <w:rFonts w:ascii="Times New Roman" w:hAnsi="Times New Roman" w:cs="Times New Roman"/>
          <w:i/>
        </w:rPr>
        <w:t>The Globalist</w:t>
      </w:r>
      <w:r w:rsidRPr="00E66B67">
        <w:rPr>
          <w:rFonts w:ascii="Times New Roman" w:hAnsi="Times New Roman" w:cs="Times New Roman"/>
        </w:rPr>
        <w:t>, 20 August 2012, available at https://www.theglobalist.com/nudging-europes-energy-transformation/.</w:t>
      </w:r>
    </w:p>
  </w:footnote>
  <w:footnote w:id="22">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Ibid.</w:t>
      </w:r>
    </w:p>
  </w:footnote>
  <w:footnote w:id="23">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Hans-</w:t>
      </w:r>
      <w:proofErr w:type="spellStart"/>
      <w:r w:rsidRPr="00E66B67">
        <w:rPr>
          <w:rFonts w:ascii="Times New Roman" w:hAnsi="Times New Roman" w:cs="Times New Roman"/>
        </w:rPr>
        <w:t>Arild</w:t>
      </w:r>
      <w:proofErr w:type="spellEnd"/>
      <w:r w:rsidRPr="00E66B67">
        <w:rPr>
          <w:rFonts w:ascii="Times New Roman" w:hAnsi="Times New Roman" w:cs="Times New Roman"/>
        </w:rPr>
        <w:t xml:space="preserve"> </w:t>
      </w:r>
      <w:proofErr w:type="spellStart"/>
      <w:r w:rsidRPr="00E66B67">
        <w:rPr>
          <w:rFonts w:ascii="Times New Roman" w:hAnsi="Times New Roman" w:cs="Times New Roman"/>
        </w:rPr>
        <w:t>Bredesen</w:t>
      </w:r>
      <w:proofErr w:type="spellEnd"/>
      <w:r w:rsidRPr="00E66B67">
        <w:rPr>
          <w:rFonts w:ascii="Times New Roman" w:hAnsi="Times New Roman" w:cs="Times New Roman"/>
        </w:rPr>
        <w:t xml:space="preserve">, </w:t>
      </w:r>
      <w:proofErr w:type="spellStart"/>
      <w:r w:rsidRPr="00E66B67">
        <w:rPr>
          <w:rFonts w:ascii="Times New Roman" w:hAnsi="Times New Roman" w:cs="Times New Roman"/>
        </w:rPr>
        <w:t>Terje</w:t>
      </w:r>
      <w:proofErr w:type="spellEnd"/>
      <w:r w:rsidRPr="00E66B67">
        <w:rPr>
          <w:rFonts w:ascii="Times New Roman" w:hAnsi="Times New Roman" w:cs="Times New Roman"/>
        </w:rPr>
        <w:t xml:space="preserve"> </w:t>
      </w:r>
      <w:proofErr w:type="spellStart"/>
      <w:r w:rsidRPr="00E66B67">
        <w:rPr>
          <w:rFonts w:ascii="Times New Roman" w:hAnsi="Times New Roman" w:cs="Times New Roman"/>
        </w:rPr>
        <w:t>Nilsen</w:t>
      </w:r>
      <w:proofErr w:type="spellEnd"/>
      <w:r w:rsidRPr="00E66B67">
        <w:rPr>
          <w:rFonts w:ascii="Times New Roman" w:hAnsi="Times New Roman" w:cs="Times New Roman"/>
        </w:rPr>
        <w:t xml:space="preserve">, Elizabeth S. </w:t>
      </w:r>
      <w:proofErr w:type="spellStart"/>
      <w:r w:rsidRPr="00E66B67">
        <w:rPr>
          <w:rFonts w:ascii="Times New Roman" w:hAnsi="Times New Roman" w:cs="Times New Roman"/>
        </w:rPr>
        <w:t>Lingjærde</w:t>
      </w:r>
      <w:proofErr w:type="spellEnd"/>
      <w:r w:rsidRPr="00E66B67">
        <w:rPr>
          <w:rFonts w:ascii="Times New Roman" w:hAnsi="Times New Roman" w:cs="Times New Roman"/>
        </w:rPr>
        <w:t xml:space="preserve">, </w:t>
      </w:r>
      <w:r w:rsidRPr="00E66B67">
        <w:rPr>
          <w:rFonts w:ascii="Times New Roman" w:hAnsi="Times New Roman" w:cs="Times New Roman"/>
          <w:i/>
        </w:rPr>
        <w:t>Power to the People: The first 20 years of Nordic power-market integration</w:t>
      </w:r>
      <w:r w:rsidRPr="00E66B67">
        <w:rPr>
          <w:rFonts w:ascii="Times New Roman" w:hAnsi="Times New Roman" w:cs="Times New Roman"/>
        </w:rPr>
        <w:t xml:space="preserve">, 2013. </w:t>
      </w:r>
    </w:p>
  </w:footnote>
  <w:footnote w:id="24">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For analyses of democracy, see P. </w:t>
      </w:r>
      <w:proofErr w:type="spellStart"/>
      <w:r w:rsidRPr="00E66B67">
        <w:rPr>
          <w:rFonts w:ascii="Times New Roman" w:hAnsi="Times New Roman" w:cs="Times New Roman"/>
        </w:rPr>
        <w:t>Deneen</w:t>
      </w:r>
      <w:proofErr w:type="spellEnd"/>
      <w:r w:rsidRPr="00E66B67">
        <w:rPr>
          <w:rFonts w:ascii="Times New Roman" w:hAnsi="Times New Roman" w:cs="Times New Roman"/>
        </w:rPr>
        <w:t xml:space="preserve">, </w:t>
      </w:r>
      <w:r w:rsidRPr="00E66B67">
        <w:rPr>
          <w:rFonts w:ascii="Times New Roman" w:hAnsi="Times New Roman" w:cs="Times New Roman"/>
          <w:i/>
        </w:rPr>
        <w:t>Why liberalism failed?</w:t>
      </w:r>
      <w:r w:rsidRPr="00E66B67">
        <w:rPr>
          <w:rFonts w:ascii="Times New Roman" w:hAnsi="Times New Roman" w:cs="Times New Roman"/>
        </w:rPr>
        <w:t xml:space="preserve"> Yale University Press, 2018; D. </w:t>
      </w:r>
      <w:proofErr w:type="spellStart"/>
      <w:r w:rsidRPr="00E66B67">
        <w:rPr>
          <w:rFonts w:ascii="Times New Roman" w:hAnsi="Times New Roman" w:cs="Times New Roman"/>
        </w:rPr>
        <w:t>Frum</w:t>
      </w:r>
      <w:proofErr w:type="spellEnd"/>
      <w:r w:rsidRPr="00E66B67">
        <w:rPr>
          <w:rFonts w:ascii="Times New Roman" w:hAnsi="Times New Roman" w:cs="Times New Roman"/>
        </w:rPr>
        <w:t xml:space="preserve">, </w:t>
      </w:r>
      <w:proofErr w:type="spellStart"/>
      <w:r w:rsidRPr="00E66B67">
        <w:rPr>
          <w:rFonts w:ascii="Times New Roman" w:hAnsi="Times New Roman" w:cs="Times New Roman"/>
          <w:i/>
        </w:rPr>
        <w:t>Trumpocracy</w:t>
      </w:r>
      <w:proofErr w:type="spellEnd"/>
      <w:r w:rsidRPr="00E66B67">
        <w:rPr>
          <w:rFonts w:ascii="Times New Roman" w:hAnsi="Times New Roman" w:cs="Times New Roman"/>
          <w:i/>
        </w:rPr>
        <w:t>: The corruption of the American Republic</w:t>
      </w:r>
      <w:r w:rsidRPr="00E66B67">
        <w:rPr>
          <w:rFonts w:ascii="Times New Roman" w:hAnsi="Times New Roman" w:cs="Times New Roman"/>
        </w:rPr>
        <w:t xml:space="preserve">, Harper, 2018; S. </w:t>
      </w:r>
      <w:proofErr w:type="spellStart"/>
      <w:r w:rsidRPr="00E66B67">
        <w:rPr>
          <w:rFonts w:ascii="Times New Roman" w:hAnsi="Times New Roman" w:cs="Times New Roman"/>
        </w:rPr>
        <w:t>Levitsky</w:t>
      </w:r>
      <w:proofErr w:type="spellEnd"/>
      <w:r w:rsidRPr="00E66B67">
        <w:rPr>
          <w:rFonts w:ascii="Times New Roman" w:hAnsi="Times New Roman" w:cs="Times New Roman"/>
        </w:rPr>
        <w:t xml:space="preserve"> and D. </w:t>
      </w:r>
      <w:proofErr w:type="spellStart"/>
      <w:r w:rsidRPr="00E66B67">
        <w:rPr>
          <w:rFonts w:ascii="Times New Roman" w:hAnsi="Times New Roman" w:cs="Times New Roman"/>
        </w:rPr>
        <w:t>Ziblatt</w:t>
      </w:r>
      <w:proofErr w:type="spellEnd"/>
      <w:r w:rsidRPr="00E66B67">
        <w:rPr>
          <w:rFonts w:ascii="Times New Roman" w:hAnsi="Times New Roman" w:cs="Times New Roman"/>
        </w:rPr>
        <w:t xml:space="preserve">, </w:t>
      </w:r>
      <w:r w:rsidRPr="00E66B67">
        <w:rPr>
          <w:rFonts w:ascii="Times New Roman" w:hAnsi="Times New Roman" w:cs="Times New Roman"/>
          <w:i/>
        </w:rPr>
        <w:t>How democracies die: What history tells us about our future</w:t>
      </w:r>
      <w:r w:rsidRPr="00E66B67">
        <w:rPr>
          <w:rFonts w:ascii="Times New Roman" w:hAnsi="Times New Roman" w:cs="Times New Roman"/>
        </w:rPr>
        <w:t>, Crown, 2018.</w:t>
      </w:r>
    </w:p>
  </w:footnote>
  <w:footnote w:id="25">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Daniel Esty of Yale Law School has developed 10 mega-trends of the 21</w:t>
      </w:r>
      <w:r w:rsidRPr="00E66B67">
        <w:rPr>
          <w:rFonts w:ascii="Times New Roman" w:hAnsi="Times New Roman" w:cs="Times New Roman"/>
          <w:vertAlign w:val="superscript"/>
        </w:rPr>
        <w:t>st</w:t>
      </w:r>
      <w:r w:rsidRPr="00E66B67">
        <w:rPr>
          <w:rFonts w:ascii="Times New Roman" w:hAnsi="Times New Roman" w:cs="Times New Roman"/>
        </w:rPr>
        <w:t xml:space="preserve"> century, one of which is a bottom-up approach to climate action.</w:t>
      </w:r>
    </w:p>
  </w:footnote>
  <w:footnote w:id="26">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i/>
          <w:iCs/>
          <w:color w:val="auto"/>
          <w:sz w:val="20"/>
          <w:szCs w:val="20"/>
          <w:lang w:eastAsia="en-US"/>
        </w:rPr>
        <w:t>See World’s Population Increasingly Urban with More than Half Living in Urban Areas</w:t>
      </w:r>
      <w:r w:rsidRPr="00E66B67">
        <w:rPr>
          <w:rFonts w:ascii="Times New Roman" w:eastAsiaTheme="minorHAnsi" w:hAnsi="Times New Roman" w:cs="Times New Roman"/>
          <w:color w:val="auto"/>
          <w:sz w:val="20"/>
          <w:szCs w:val="20"/>
          <w:lang w:eastAsia="en-US"/>
        </w:rPr>
        <w:t>, U.N. DEP’T OF ECON. &amp; SOC. AFFAIRS (July 10, 2014), http://www.un.org/en/development/desa/news/population/world-urbanization-prospects-2014.html.</w:t>
      </w:r>
    </w:p>
  </w:footnote>
  <w:footnote w:id="27">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color w:val="auto"/>
          <w:sz w:val="20"/>
          <w:szCs w:val="20"/>
          <w:lang w:eastAsia="en-US"/>
        </w:rPr>
        <w:t xml:space="preserve">By 2050, 70% of the world’s population is expected to live in cities. </w:t>
      </w:r>
      <w:r w:rsidRPr="00E66B67">
        <w:rPr>
          <w:rFonts w:ascii="Times New Roman" w:eastAsiaTheme="minorHAnsi" w:hAnsi="Times New Roman" w:cs="Times New Roman"/>
          <w:i/>
          <w:iCs/>
          <w:color w:val="auto"/>
          <w:sz w:val="20"/>
          <w:szCs w:val="20"/>
          <w:lang w:eastAsia="en-US"/>
        </w:rPr>
        <w:t xml:space="preserve">See </w:t>
      </w:r>
      <w:r w:rsidRPr="00E66B67">
        <w:rPr>
          <w:rFonts w:ascii="Times New Roman" w:eastAsiaTheme="minorHAnsi" w:hAnsi="Times New Roman" w:cs="Times New Roman"/>
          <w:color w:val="auto"/>
          <w:sz w:val="20"/>
          <w:szCs w:val="20"/>
          <w:lang w:eastAsia="en-US"/>
        </w:rPr>
        <w:t xml:space="preserve">Mark Wilson, </w:t>
      </w:r>
      <w:proofErr w:type="gramStart"/>
      <w:r w:rsidRPr="00E66B67">
        <w:rPr>
          <w:rFonts w:ascii="Times New Roman" w:eastAsiaTheme="minorHAnsi" w:hAnsi="Times New Roman" w:cs="Times New Roman"/>
          <w:i/>
          <w:iCs/>
          <w:color w:val="auto"/>
          <w:sz w:val="20"/>
          <w:szCs w:val="20"/>
          <w:lang w:eastAsia="en-US"/>
        </w:rPr>
        <w:t>By</w:t>
      </w:r>
      <w:proofErr w:type="gramEnd"/>
      <w:r w:rsidRPr="00E66B67">
        <w:rPr>
          <w:rFonts w:ascii="Times New Roman" w:eastAsiaTheme="minorHAnsi" w:hAnsi="Times New Roman" w:cs="Times New Roman"/>
          <w:i/>
          <w:iCs/>
          <w:color w:val="auto"/>
          <w:sz w:val="20"/>
          <w:szCs w:val="20"/>
          <w:lang w:eastAsia="en-US"/>
        </w:rPr>
        <w:t xml:space="preserve"> 2050, 70% of the World’s Population Will Be Urban. Is That a Good Thing?</w:t>
      </w:r>
      <w:r w:rsidRPr="00E66B67">
        <w:rPr>
          <w:rFonts w:ascii="Times New Roman" w:eastAsiaTheme="minorHAnsi" w:hAnsi="Times New Roman" w:cs="Times New Roman"/>
          <w:color w:val="auto"/>
          <w:sz w:val="20"/>
          <w:szCs w:val="20"/>
          <w:lang w:eastAsia="en-US"/>
        </w:rPr>
        <w:t>, CO.DESIGN (Mar. 12, 2012), https://www.fastcodesign.com/1669244/by-2050-70-of-theworlds-population-will-be-urban-is-that-a-good-thing</w:t>
      </w:r>
    </w:p>
  </w:footnote>
  <w:footnote w:id="28">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UNEP, “Resource efficiency as key issue in the new urban agenda: Advancing sustainable consumption and production in cities,” available at </w:t>
      </w:r>
      <w:hyperlink r:id="rId5" w:history="1">
        <w:r w:rsidRPr="00E66B67">
          <w:rPr>
            <w:rStyle w:val="Hipervnculo"/>
            <w:rFonts w:ascii="Times New Roman" w:hAnsi="Times New Roman" w:cs="Times New Roman"/>
          </w:rPr>
          <w:t>http://web.unep.org/ietc/sites/unep.org.ietc/files/Key%20messages%20RE%20Habitat%20III_en.pdf</w:t>
        </w:r>
      </w:hyperlink>
      <w:r w:rsidRPr="00E66B67">
        <w:rPr>
          <w:rFonts w:ascii="Times New Roman" w:hAnsi="Times New Roman" w:cs="Times New Roman"/>
        </w:rPr>
        <w:t>, p. 1</w:t>
      </w:r>
    </w:p>
  </w:footnote>
  <w:footnote w:id="29">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lang w:val="en-GB"/>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color w:val="auto"/>
          <w:sz w:val="20"/>
          <w:szCs w:val="20"/>
          <w:lang w:eastAsia="en-US"/>
        </w:rPr>
        <w:t>As measured by global Gross Domestic Product (GDP). RICHARD DOBBS ET AL., MCKINSEY GLOBAL INSTITUTE, URBAN WORLD: MAPPING THE ECONOMIC POWER OF CITIES 1 (2011).</w:t>
      </w:r>
    </w:p>
  </w:footnote>
  <w:footnote w:id="30">
    <w:p w:rsidR="008A38CF" w:rsidRPr="00E66B67" w:rsidRDefault="008A38CF" w:rsidP="008A38CF">
      <w:pPr>
        <w:pStyle w:val="Textonotapie"/>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w:t>
      </w:r>
      <w:r w:rsidRPr="00E66B67">
        <w:rPr>
          <w:rFonts w:ascii="Times New Roman" w:eastAsiaTheme="minorHAnsi" w:hAnsi="Times New Roman" w:cs="Times New Roman"/>
          <w:color w:val="auto"/>
          <w:lang w:eastAsia="en-US"/>
        </w:rPr>
        <w:t xml:space="preserve">U.N. ENV’T PROGRAM, CITIES AND BUILDINGS: UNEP INITIATIVES AND PROJECTS, at 5, </w:t>
      </w:r>
      <w:hyperlink r:id="rId6" w:history="1">
        <w:r w:rsidRPr="00E66B67">
          <w:rPr>
            <w:rStyle w:val="Hipervnculo"/>
            <w:rFonts w:ascii="Times New Roman" w:eastAsiaTheme="minorHAnsi" w:hAnsi="Times New Roman" w:cs="Times New Roman"/>
            <w:lang w:eastAsia="en-US"/>
          </w:rPr>
          <w:t>http://www.oas.org/en/sedi/dsd/Biodiversity/Sustainable_Cities/Sustainable_Communities/Events/SC%20Course%20Trinidad%202014/ModuleVI/2.%20Cities%20and%20Buildings%20%E2%80%93%20UNEP%20DTIE%20Initiatives%20and%20projects_hd.pdf</w:t>
        </w:r>
      </w:hyperlink>
      <w:r w:rsidRPr="00E66B67">
        <w:rPr>
          <w:rFonts w:ascii="Times New Roman" w:eastAsiaTheme="minorHAnsi" w:hAnsi="Times New Roman" w:cs="Times New Roman"/>
          <w:color w:val="auto"/>
          <w:lang w:eastAsia="en-US"/>
        </w:rPr>
        <w:t xml:space="preserve"> [https://perma.cc/QZC9-V8TR].</w:t>
      </w:r>
    </w:p>
  </w:footnote>
  <w:footnote w:id="31">
    <w:p w:rsidR="008A38CF" w:rsidRPr="00E66B67" w:rsidRDefault="008A38CF" w:rsidP="008A38CF">
      <w:pPr>
        <w:pStyle w:val="Default"/>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proofErr w:type="spellStart"/>
      <w:r w:rsidRPr="00E66B67">
        <w:rPr>
          <w:rFonts w:ascii="Times New Roman" w:hAnsi="Times New Roman" w:cs="Times New Roman"/>
          <w:sz w:val="20"/>
          <w:szCs w:val="20"/>
        </w:rPr>
        <w:t>Monstad</w:t>
      </w:r>
      <w:proofErr w:type="spellEnd"/>
      <w:r w:rsidRPr="00E66B67">
        <w:rPr>
          <w:rFonts w:ascii="Times New Roman" w:hAnsi="Times New Roman" w:cs="Times New Roman"/>
          <w:sz w:val="20"/>
          <w:szCs w:val="20"/>
        </w:rPr>
        <w:t xml:space="preserve"> J, ‘Urban Governance and the Transition of Energy Systems: Institutional Change and Shifting Energy and Climate Policies in Berlin’ (2007) </w:t>
      </w:r>
      <w:r w:rsidRPr="00E66B67">
        <w:rPr>
          <w:rFonts w:ascii="Times New Roman" w:hAnsi="Times New Roman" w:cs="Times New Roman"/>
          <w:i/>
          <w:sz w:val="20"/>
          <w:szCs w:val="20"/>
        </w:rPr>
        <w:t>International Journal of Urban and Regional Research</w:t>
      </w:r>
      <w:r w:rsidRPr="00E66B67">
        <w:rPr>
          <w:rFonts w:ascii="Times New Roman" w:hAnsi="Times New Roman" w:cs="Times New Roman"/>
          <w:sz w:val="20"/>
          <w:szCs w:val="20"/>
        </w:rPr>
        <w:t xml:space="preserve">, Volume 31.2, pp. 326-343. </w:t>
      </w:r>
    </w:p>
  </w:footnote>
  <w:footnote w:id="32">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i/>
          <w:iCs/>
          <w:color w:val="auto"/>
          <w:sz w:val="20"/>
          <w:szCs w:val="20"/>
          <w:lang w:eastAsia="en-US"/>
        </w:rPr>
        <w:t>See World’s Population Increasingly Urban with More than Half Living in Urban Areas</w:t>
      </w:r>
      <w:r w:rsidRPr="00E66B67">
        <w:rPr>
          <w:rFonts w:ascii="Times New Roman" w:eastAsiaTheme="minorHAnsi" w:hAnsi="Times New Roman" w:cs="Times New Roman"/>
          <w:color w:val="auto"/>
          <w:sz w:val="20"/>
          <w:szCs w:val="20"/>
          <w:lang w:eastAsia="en-US"/>
        </w:rPr>
        <w:t>, U.N. DEP’T OF ECON. &amp; SOC. AFFAIRS (July 10, 2014), http://www.un.org/en/development/desa/news/population/world-urbanization-prospects-2014.html.</w:t>
      </w:r>
    </w:p>
  </w:footnote>
  <w:footnote w:id="33">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lang w:val="en-GB"/>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i/>
          <w:iCs/>
          <w:color w:val="auto"/>
          <w:sz w:val="20"/>
          <w:szCs w:val="20"/>
          <w:lang w:eastAsia="en-US"/>
        </w:rPr>
        <w:t xml:space="preserve">Id. </w:t>
      </w:r>
      <w:r w:rsidRPr="00E66B67">
        <w:rPr>
          <w:rFonts w:ascii="Times New Roman" w:eastAsiaTheme="minorHAnsi" w:hAnsi="Times New Roman" w:cs="Times New Roman"/>
          <w:color w:val="auto"/>
          <w:sz w:val="20"/>
          <w:szCs w:val="20"/>
          <w:lang w:eastAsia="en-US"/>
        </w:rPr>
        <w:t xml:space="preserve">By 2050, 70% of the world’s population is expected to live in cities. </w:t>
      </w:r>
      <w:r w:rsidRPr="00E66B67">
        <w:rPr>
          <w:rFonts w:ascii="Times New Roman" w:eastAsiaTheme="minorHAnsi" w:hAnsi="Times New Roman" w:cs="Times New Roman"/>
          <w:i/>
          <w:iCs/>
          <w:color w:val="auto"/>
          <w:sz w:val="20"/>
          <w:szCs w:val="20"/>
          <w:lang w:eastAsia="en-US"/>
        </w:rPr>
        <w:t xml:space="preserve">See </w:t>
      </w:r>
      <w:r w:rsidRPr="00E66B67">
        <w:rPr>
          <w:rFonts w:ascii="Times New Roman" w:eastAsiaTheme="minorHAnsi" w:hAnsi="Times New Roman" w:cs="Times New Roman"/>
          <w:color w:val="auto"/>
          <w:sz w:val="20"/>
          <w:szCs w:val="20"/>
          <w:lang w:eastAsia="en-US"/>
        </w:rPr>
        <w:t xml:space="preserve">Mark Wilson, </w:t>
      </w:r>
      <w:proofErr w:type="gramStart"/>
      <w:r w:rsidRPr="00E66B67">
        <w:rPr>
          <w:rFonts w:ascii="Times New Roman" w:eastAsiaTheme="minorHAnsi" w:hAnsi="Times New Roman" w:cs="Times New Roman"/>
          <w:i/>
          <w:iCs/>
          <w:color w:val="auto"/>
          <w:sz w:val="20"/>
          <w:szCs w:val="20"/>
          <w:lang w:eastAsia="en-US"/>
        </w:rPr>
        <w:t>By</w:t>
      </w:r>
      <w:proofErr w:type="gramEnd"/>
      <w:r w:rsidRPr="00E66B67">
        <w:rPr>
          <w:rFonts w:ascii="Times New Roman" w:eastAsiaTheme="minorHAnsi" w:hAnsi="Times New Roman" w:cs="Times New Roman"/>
          <w:i/>
          <w:iCs/>
          <w:color w:val="auto"/>
          <w:sz w:val="20"/>
          <w:szCs w:val="20"/>
          <w:lang w:eastAsia="en-US"/>
        </w:rPr>
        <w:t xml:space="preserve"> 2050, 70% of the World’s Population Will Be Urban. Is That a Good Thing</w:t>
      </w:r>
      <w:proofErr w:type="gramStart"/>
      <w:r w:rsidRPr="00E66B67">
        <w:rPr>
          <w:rFonts w:ascii="Times New Roman" w:eastAsiaTheme="minorHAnsi" w:hAnsi="Times New Roman" w:cs="Times New Roman"/>
          <w:i/>
          <w:iCs/>
          <w:color w:val="auto"/>
          <w:sz w:val="20"/>
          <w:szCs w:val="20"/>
          <w:lang w:eastAsia="en-US"/>
        </w:rPr>
        <w:t>?</w:t>
      </w:r>
      <w:r w:rsidRPr="00E66B67">
        <w:rPr>
          <w:rFonts w:ascii="Times New Roman" w:eastAsiaTheme="minorHAnsi" w:hAnsi="Times New Roman" w:cs="Times New Roman"/>
          <w:color w:val="auto"/>
          <w:sz w:val="20"/>
          <w:szCs w:val="20"/>
          <w:lang w:eastAsia="en-US"/>
        </w:rPr>
        <w:t>,</w:t>
      </w:r>
      <w:proofErr w:type="gramEnd"/>
      <w:r w:rsidRPr="00E66B67">
        <w:rPr>
          <w:rFonts w:ascii="Times New Roman" w:eastAsiaTheme="minorHAnsi" w:hAnsi="Times New Roman" w:cs="Times New Roman"/>
          <w:color w:val="auto"/>
          <w:sz w:val="20"/>
          <w:szCs w:val="20"/>
          <w:lang w:eastAsia="en-US"/>
        </w:rPr>
        <w:t xml:space="preserve"> CO.DESIGN (Mar. 12, 2012), https://www.fastcodesign.com/1669244/by-2050-70-of-theworlds-population-will-be-urban-is-that-a-good-thing.</w:t>
      </w:r>
    </w:p>
  </w:footnote>
  <w:footnote w:id="34">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w:t>
      </w:r>
      <w:r w:rsidRPr="00E66B67">
        <w:rPr>
          <w:rFonts w:ascii="Times New Roman" w:eastAsiaTheme="minorHAnsi" w:hAnsi="Times New Roman" w:cs="Times New Roman"/>
          <w:color w:val="auto"/>
          <w:lang w:eastAsia="en-US"/>
        </w:rPr>
        <w:t>REGIONS OF CLIMATE ACTION, http://regions20.org/.</w:t>
      </w:r>
    </w:p>
  </w:footnote>
  <w:footnote w:id="35">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eastAsiaTheme="minorHAnsi" w:hAnsi="Times New Roman" w:cs="Times New Roman"/>
          <w:i/>
          <w:iCs/>
          <w:color w:val="auto"/>
          <w:sz w:val="20"/>
          <w:szCs w:val="20"/>
          <w:lang w:eastAsia="en-US"/>
        </w:rPr>
        <w:t>Mayors Get Things Done. Should They Run the World</w:t>
      </w:r>
      <w:proofErr w:type="gramStart"/>
      <w:r w:rsidRPr="00E66B67">
        <w:rPr>
          <w:rFonts w:ascii="Times New Roman" w:eastAsiaTheme="minorHAnsi" w:hAnsi="Times New Roman" w:cs="Times New Roman"/>
          <w:i/>
          <w:iCs/>
          <w:color w:val="auto"/>
          <w:sz w:val="20"/>
          <w:szCs w:val="20"/>
          <w:lang w:eastAsia="en-US"/>
        </w:rPr>
        <w:t>?</w:t>
      </w:r>
      <w:r w:rsidRPr="00E66B67">
        <w:rPr>
          <w:rFonts w:ascii="Times New Roman" w:eastAsiaTheme="minorHAnsi" w:hAnsi="Times New Roman" w:cs="Times New Roman"/>
          <w:color w:val="auto"/>
          <w:sz w:val="20"/>
          <w:szCs w:val="20"/>
          <w:lang w:eastAsia="en-US"/>
        </w:rPr>
        <w:t>,</w:t>
      </w:r>
      <w:proofErr w:type="gramEnd"/>
      <w:r w:rsidRPr="00E66B67">
        <w:rPr>
          <w:rFonts w:ascii="Times New Roman" w:eastAsiaTheme="minorHAnsi" w:hAnsi="Times New Roman" w:cs="Times New Roman"/>
          <w:color w:val="auto"/>
          <w:sz w:val="20"/>
          <w:szCs w:val="20"/>
          <w:lang w:eastAsia="en-US"/>
        </w:rPr>
        <w:t xml:space="preserve"> THE GLOBE &amp; MAIL (Mar. 11, 2014), http://www.theglobeandmail.com/opinion/ideas-lab/should-mayors-lead-theworld/article17275044/.</w:t>
      </w:r>
    </w:p>
  </w:footnote>
  <w:footnote w:id="36">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the Green Paper of 3 May 2006 on European transparency initiative, </w:t>
      </w:r>
      <w:proofErr w:type="gramStart"/>
      <w:r w:rsidRPr="00E66B67">
        <w:rPr>
          <w:rFonts w:ascii="Times New Roman" w:hAnsi="Times New Roman" w:cs="Times New Roman"/>
        </w:rPr>
        <w:t>COM(</w:t>
      </w:r>
      <w:proofErr w:type="gramEnd"/>
      <w:r w:rsidRPr="00E66B67">
        <w:rPr>
          <w:rFonts w:ascii="Times New Roman" w:hAnsi="Times New Roman" w:cs="Times New Roman"/>
        </w:rPr>
        <w:t>2006) 194 final, Official Journal C 151 of 29 June 2006.</w:t>
      </w:r>
    </w:p>
  </w:footnote>
  <w:footnote w:id="37">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By energy democratization, we mean a situation where regions and consumers gradually become more self-sufficient in their access to energy.</w:t>
      </w:r>
    </w:p>
  </w:footnote>
  <w:footnote w:id="38">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R. Leal-Arcas, “Empowering citizens for common concerns: Sustainable energy, trade and climate change,” </w:t>
      </w:r>
      <w:r w:rsidRPr="00E66B67">
        <w:rPr>
          <w:rFonts w:ascii="Times New Roman" w:hAnsi="Times New Roman" w:cs="Times New Roman"/>
          <w:i/>
        </w:rPr>
        <w:t>GSTF Journal of Law and Social Sciences</w:t>
      </w:r>
      <w:r w:rsidRPr="00E66B67">
        <w:rPr>
          <w:rFonts w:ascii="Times New Roman" w:hAnsi="Times New Roman" w:cs="Times New Roman"/>
        </w:rPr>
        <w:t>, Vol.6, No.1, Jan. 2018, pp. 1-37.</w:t>
      </w:r>
    </w:p>
  </w:footnote>
  <w:footnote w:id="39">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R. Leal-Arcas, et al., “Smart grids in the European Union: Assessing energy security, regulation &amp; social and ethical considerations,” </w:t>
      </w:r>
      <w:r w:rsidRPr="00E66B67">
        <w:rPr>
          <w:rFonts w:ascii="Times New Roman" w:hAnsi="Times New Roman" w:cs="Times New Roman"/>
          <w:i/>
          <w:sz w:val="20"/>
          <w:szCs w:val="20"/>
        </w:rPr>
        <w:t>Columbia Journal of European Law</w:t>
      </w:r>
      <w:r w:rsidRPr="00E66B67">
        <w:rPr>
          <w:rFonts w:ascii="Times New Roman" w:hAnsi="Times New Roman" w:cs="Times New Roman"/>
          <w:sz w:val="20"/>
          <w:szCs w:val="20"/>
        </w:rPr>
        <w:t>, Vol. 24.2, 2018.</w:t>
      </w:r>
    </w:p>
  </w:footnote>
  <w:footnote w:id="40">
    <w:p w:rsidR="008A38CF" w:rsidRPr="00E66B67" w:rsidRDefault="008A38CF" w:rsidP="008A38CF">
      <w:pPr>
        <w:pStyle w:val="Textonotapie"/>
        <w:jc w:val="both"/>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w:t>
      </w:r>
      <w:r w:rsidRPr="00E66B67">
        <w:rPr>
          <w:rFonts w:ascii="Times New Roman" w:hAnsi="Times New Roman" w:cs="Times New Roman"/>
          <w:lang w:val="en-GB"/>
        </w:rPr>
        <w:t>Think for instance of the polymer problem, where having proper waste-management systems makes a difference to solve it. See The Economist, “Plastic Pollution: Too much of a good thing,” 3</w:t>
      </w:r>
      <w:r w:rsidRPr="00E66B67">
        <w:rPr>
          <w:rFonts w:ascii="Times New Roman" w:hAnsi="Times New Roman" w:cs="Times New Roman"/>
          <w:vertAlign w:val="superscript"/>
          <w:lang w:val="en-GB"/>
        </w:rPr>
        <w:t>rd</w:t>
      </w:r>
      <w:r w:rsidRPr="00E66B67">
        <w:rPr>
          <w:rFonts w:ascii="Times New Roman" w:hAnsi="Times New Roman" w:cs="Times New Roman"/>
          <w:lang w:val="en-GB"/>
        </w:rPr>
        <w:t xml:space="preserve"> March 2018, pp. 50-52.</w:t>
      </w:r>
    </w:p>
  </w:footnote>
  <w:footnote w:id="41">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European Commission, Communication from the Commission to the European Parliament, the Council, the European Economic and Social Committee, the Committee of the Regions and the European Investment Bank, “Clean energy for all Europeans,” COM(2016) 860 final, 30 November 2016, available at </w:t>
      </w:r>
      <w:hyperlink r:id="rId7" w:history="1">
        <w:r w:rsidRPr="00E66B67">
          <w:rPr>
            <w:rStyle w:val="Hipervnculo"/>
            <w:rFonts w:ascii="Times New Roman" w:hAnsi="Times New Roman" w:cs="Times New Roman"/>
          </w:rPr>
          <w:t>http://eur-lex.europa.eu/resource.html?uri=cellar:fa6ea15b-b7b0-11e6-9e3c-01aa75ed71a1.0001.02/DOC_1&amp;format=PDF</w:t>
        </w:r>
      </w:hyperlink>
      <w:r w:rsidRPr="00E66B67">
        <w:rPr>
          <w:rFonts w:ascii="Times New Roman" w:hAnsi="Times New Roman" w:cs="Times New Roman"/>
        </w:rPr>
        <w:t>; European Commission, “A Roadmap for moving to a competitive low carbon economy in 2050,” COM(2011) 112 final, 8 March 2011. These two policy papers aim at the convergence of liberalization with climate action.</w:t>
      </w:r>
    </w:p>
  </w:footnote>
  <w:footnote w:id="42">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California is considering the possibility of subsidies to remove CO2. See The Economist, “The power of negative thinking,” 9 June 2018, p. 78.</w:t>
      </w:r>
    </w:p>
  </w:footnote>
  <w:footnote w:id="43">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for instance M. Gladwell, </w:t>
      </w:r>
      <w:r w:rsidRPr="00E66B67">
        <w:rPr>
          <w:rFonts w:ascii="Times New Roman" w:hAnsi="Times New Roman" w:cs="Times New Roman"/>
          <w:i/>
        </w:rPr>
        <w:t>The Tipping Point: How Little Things Can Make a Big Difference</w:t>
      </w:r>
      <w:r w:rsidRPr="00E66B67">
        <w:rPr>
          <w:rFonts w:ascii="Times New Roman" w:hAnsi="Times New Roman" w:cs="Times New Roman"/>
        </w:rPr>
        <w:t>, Black Bay Books, 2002.</w:t>
      </w:r>
    </w:p>
  </w:footnote>
  <w:footnote w:id="44">
    <w:p w:rsidR="008A38CF" w:rsidRPr="00E66B67" w:rsidRDefault="008A38CF" w:rsidP="008A38CF">
      <w:pPr>
        <w:pStyle w:val="Default"/>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w:t>
      </w:r>
      <w:r w:rsidRPr="00E66B67">
        <w:rPr>
          <w:rFonts w:ascii="Times New Roman" w:hAnsi="Times New Roman" w:cs="Times New Roman"/>
          <w:color w:val="000009"/>
          <w:sz w:val="20"/>
          <w:szCs w:val="20"/>
        </w:rPr>
        <w:t>Gordon Walker, “What are the barriers and incentives for community-owned means of energy production and use</w:t>
      </w:r>
      <w:proofErr w:type="gramStart"/>
      <w:r w:rsidRPr="00E66B67">
        <w:rPr>
          <w:rFonts w:ascii="Times New Roman" w:hAnsi="Times New Roman" w:cs="Times New Roman"/>
          <w:color w:val="000009"/>
          <w:sz w:val="20"/>
          <w:szCs w:val="20"/>
        </w:rPr>
        <w:t>?,</w:t>
      </w:r>
      <w:proofErr w:type="gramEnd"/>
      <w:r w:rsidRPr="00E66B67">
        <w:rPr>
          <w:rFonts w:ascii="Times New Roman" w:hAnsi="Times New Roman" w:cs="Times New Roman"/>
          <w:color w:val="000009"/>
          <w:sz w:val="20"/>
          <w:szCs w:val="20"/>
        </w:rPr>
        <w:t xml:space="preserve">” </w:t>
      </w:r>
      <w:r w:rsidRPr="00E66B67">
        <w:rPr>
          <w:rFonts w:ascii="Times New Roman" w:hAnsi="Times New Roman" w:cs="Times New Roman"/>
          <w:i/>
          <w:iCs/>
          <w:color w:val="000009"/>
          <w:sz w:val="20"/>
          <w:szCs w:val="20"/>
        </w:rPr>
        <w:t xml:space="preserve">Energy Policy 36, </w:t>
      </w:r>
      <w:r w:rsidRPr="00E66B67">
        <w:rPr>
          <w:rFonts w:ascii="Times New Roman" w:hAnsi="Times New Roman" w:cs="Times New Roman"/>
          <w:color w:val="000009"/>
          <w:sz w:val="20"/>
          <w:szCs w:val="20"/>
        </w:rPr>
        <w:t>pp. 4401-4405, 2008.</w:t>
      </w:r>
    </w:p>
  </w:footnote>
  <w:footnote w:id="45">
    <w:p w:rsidR="008A38CF" w:rsidRPr="00E66B67" w:rsidRDefault="008A38CF" w:rsidP="008A38CF">
      <w:pPr>
        <w:pStyle w:val="Default"/>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T. </w:t>
      </w:r>
      <w:proofErr w:type="spellStart"/>
      <w:r w:rsidRPr="00E66B67">
        <w:rPr>
          <w:rFonts w:ascii="Times New Roman" w:hAnsi="Times New Roman" w:cs="Times New Roman"/>
          <w:color w:val="000009"/>
          <w:sz w:val="20"/>
          <w:szCs w:val="20"/>
        </w:rPr>
        <w:t>Bauwens</w:t>
      </w:r>
      <w:proofErr w:type="spellEnd"/>
      <w:r w:rsidRPr="00E66B67">
        <w:rPr>
          <w:rFonts w:ascii="Times New Roman" w:hAnsi="Times New Roman" w:cs="Times New Roman"/>
          <w:color w:val="000009"/>
          <w:sz w:val="20"/>
          <w:szCs w:val="20"/>
        </w:rPr>
        <w:t xml:space="preserve">, B. </w:t>
      </w:r>
      <w:proofErr w:type="spellStart"/>
      <w:r w:rsidRPr="00E66B67">
        <w:rPr>
          <w:rFonts w:ascii="Times New Roman" w:hAnsi="Times New Roman" w:cs="Times New Roman"/>
          <w:color w:val="000009"/>
          <w:sz w:val="20"/>
          <w:szCs w:val="20"/>
        </w:rPr>
        <w:t>Gotchev</w:t>
      </w:r>
      <w:proofErr w:type="spellEnd"/>
      <w:r w:rsidRPr="00E66B67">
        <w:rPr>
          <w:rFonts w:ascii="Times New Roman" w:hAnsi="Times New Roman" w:cs="Times New Roman"/>
          <w:color w:val="000009"/>
          <w:sz w:val="20"/>
          <w:szCs w:val="20"/>
        </w:rPr>
        <w:t xml:space="preserve">, and L. </w:t>
      </w:r>
      <w:proofErr w:type="spellStart"/>
      <w:r w:rsidRPr="00E66B67">
        <w:rPr>
          <w:rFonts w:ascii="Times New Roman" w:hAnsi="Times New Roman" w:cs="Times New Roman"/>
          <w:color w:val="000009"/>
          <w:sz w:val="20"/>
          <w:szCs w:val="20"/>
        </w:rPr>
        <w:t>Holstenkamp</w:t>
      </w:r>
      <w:proofErr w:type="spellEnd"/>
      <w:r w:rsidRPr="00E66B67">
        <w:rPr>
          <w:rFonts w:ascii="Times New Roman" w:hAnsi="Times New Roman" w:cs="Times New Roman"/>
          <w:color w:val="000009"/>
          <w:sz w:val="20"/>
          <w:szCs w:val="20"/>
        </w:rPr>
        <w:t xml:space="preserve">, “What drives the development of community energy in Europe? The case of wind power cooperatives,” </w:t>
      </w:r>
      <w:r w:rsidRPr="00E66B67">
        <w:rPr>
          <w:rFonts w:ascii="Times New Roman" w:hAnsi="Times New Roman" w:cs="Times New Roman"/>
          <w:i/>
          <w:iCs/>
          <w:color w:val="000009"/>
          <w:sz w:val="20"/>
          <w:szCs w:val="20"/>
        </w:rPr>
        <w:t xml:space="preserve">Energy Research &amp; Social Science 13, </w:t>
      </w:r>
      <w:r w:rsidRPr="00E66B67">
        <w:rPr>
          <w:rFonts w:ascii="Times New Roman" w:hAnsi="Times New Roman" w:cs="Times New Roman"/>
          <w:color w:val="000009"/>
          <w:sz w:val="20"/>
          <w:szCs w:val="20"/>
        </w:rPr>
        <w:t xml:space="preserve">p. 136–147, 2016. </w:t>
      </w:r>
    </w:p>
  </w:footnote>
  <w:footnote w:id="46">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A lot of these TSOs are naturally regional, not national.</w:t>
      </w:r>
    </w:p>
  </w:footnote>
  <w:footnote w:id="47">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An example is the potential risks of cyber-attacks associated with autonomous vehicles. See The Economist, “Reinventing wheels,” Special Report, p. 6, 3</w:t>
      </w:r>
      <w:r w:rsidRPr="00E66B67">
        <w:rPr>
          <w:rFonts w:ascii="Times New Roman" w:hAnsi="Times New Roman" w:cs="Times New Roman"/>
          <w:vertAlign w:val="superscript"/>
        </w:rPr>
        <w:t>rd</w:t>
      </w:r>
      <w:r w:rsidRPr="00E66B67">
        <w:rPr>
          <w:rFonts w:ascii="Times New Roman" w:hAnsi="Times New Roman" w:cs="Times New Roman"/>
        </w:rPr>
        <w:t xml:space="preserve"> March 2018.</w:t>
      </w:r>
    </w:p>
  </w:footnote>
  <w:footnote w:id="48">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For the specific case of energy trade, see R. Leal-Arcas et al., “Energy trade in the MENA Region: Looking beyond the Pan-Arab electricity market,” </w:t>
      </w:r>
      <w:r w:rsidRPr="00E66B67">
        <w:rPr>
          <w:rFonts w:ascii="Times New Roman" w:hAnsi="Times New Roman" w:cs="Times New Roman"/>
          <w:i/>
          <w:sz w:val="20"/>
          <w:szCs w:val="20"/>
        </w:rPr>
        <w:t>Journal of World Energy Law and Business</w:t>
      </w:r>
      <w:r w:rsidRPr="00E66B67">
        <w:rPr>
          <w:rFonts w:ascii="Times New Roman" w:hAnsi="Times New Roman" w:cs="Times New Roman"/>
          <w:sz w:val="20"/>
          <w:szCs w:val="20"/>
        </w:rPr>
        <w:t>, Vol. 10, Issue 6, pp. 520-549, Oxford University Press, 2017; R. Leal-Arcas,</w:t>
      </w:r>
      <w:r w:rsidRPr="00E66B67">
        <w:rPr>
          <w:rFonts w:ascii="Times New Roman" w:hAnsi="Times New Roman" w:cs="Times New Roman"/>
          <w:b/>
          <w:sz w:val="20"/>
          <w:szCs w:val="20"/>
        </w:rPr>
        <w:t xml:space="preserve"> </w:t>
      </w:r>
      <w:r w:rsidRPr="00E66B67">
        <w:rPr>
          <w:rFonts w:ascii="Times New Roman" w:hAnsi="Times New Roman" w:cs="Times New Roman"/>
          <w:sz w:val="20"/>
          <w:szCs w:val="20"/>
        </w:rPr>
        <w:t>“</w:t>
      </w:r>
      <w:hyperlink r:id="rId8" w:history="1">
        <w:r w:rsidRPr="00E66B67">
          <w:rPr>
            <w:rStyle w:val="Hipervnculo"/>
            <w:rFonts w:ascii="Times New Roman" w:hAnsi="Times New Roman" w:cs="Times New Roman"/>
            <w:sz w:val="20"/>
            <w:szCs w:val="20"/>
          </w:rPr>
          <w:t>Energy transit in the Caucasus: A legal analysis</w:t>
        </w:r>
      </w:hyperlink>
      <w:r w:rsidRPr="00E66B67">
        <w:rPr>
          <w:rFonts w:ascii="Times New Roman" w:hAnsi="Times New Roman" w:cs="Times New Roman"/>
          <w:sz w:val="20"/>
          <w:szCs w:val="20"/>
        </w:rPr>
        <w:t xml:space="preserve">,” </w:t>
      </w:r>
      <w:r w:rsidRPr="00E66B67">
        <w:rPr>
          <w:rFonts w:ascii="Times New Roman" w:hAnsi="Times New Roman" w:cs="Times New Roman"/>
          <w:i/>
          <w:sz w:val="20"/>
          <w:szCs w:val="20"/>
        </w:rPr>
        <w:t>Caucasus International</w:t>
      </w:r>
      <w:r w:rsidRPr="00E66B67">
        <w:rPr>
          <w:rFonts w:ascii="Times New Roman" w:hAnsi="Times New Roman" w:cs="Times New Roman"/>
          <w:sz w:val="20"/>
          <w:szCs w:val="20"/>
        </w:rPr>
        <w:t>, Vol. 6, No.2, pp. 53-74, 2016; R. Leal-Arcas, “</w:t>
      </w:r>
      <w:hyperlink r:id="rId9" w:history="1">
        <w:r w:rsidRPr="00E66B67">
          <w:rPr>
            <w:rStyle w:val="Hipervnculo"/>
            <w:rFonts w:ascii="Times New Roman" w:hAnsi="Times New Roman" w:cs="Times New Roman"/>
            <w:sz w:val="20"/>
            <w:szCs w:val="20"/>
          </w:rPr>
          <w:t>How governing international trade in energy can enhance EU energy security</w:t>
        </w:r>
      </w:hyperlink>
      <w:r w:rsidRPr="00E66B67">
        <w:rPr>
          <w:rFonts w:ascii="Times New Roman" w:hAnsi="Times New Roman" w:cs="Times New Roman"/>
          <w:sz w:val="20"/>
          <w:szCs w:val="20"/>
        </w:rPr>
        <w:t xml:space="preserve">,” </w:t>
      </w:r>
      <w:r w:rsidRPr="00E66B67">
        <w:rPr>
          <w:rFonts w:ascii="Times New Roman" w:hAnsi="Times New Roman" w:cs="Times New Roman"/>
          <w:i/>
          <w:sz w:val="20"/>
          <w:szCs w:val="20"/>
        </w:rPr>
        <w:t>Renewable Energy Law and Policy Review</w:t>
      </w:r>
      <w:r w:rsidRPr="00E66B67">
        <w:rPr>
          <w:rFonts w:ascii="Times New Roman" w:hAnsi="Times New Roman" w:cs="Times New Roman"/>
          <w:sz w:val="20"/>
          <w:szCs w:val="20"/>
        </w:rPr>
        <w:t>, Vol. 6(3), pp. 202-219, 2015; R. Leal-Arcas, Costantino Grasso and Juan Alemany Rios, “</w:t>
      </w:r>
      <w:hyperlink r:id="rId10" w:history="1">
        <w:r w:rsidRPr="00E66B67">
          <w:rPr>
            <w:rStyle w:val="Hipervnculo"/>
            <w:rFonts w:ascii="Times New Roman" w:hAnsi="Times New Roman" w:cs="Times New Roman"/>
            <w:sz w:val="20"/>
            <w:szCs w:val="20"/>
          </w:rPr>
          <w:t>Multilateral, regional and bilateral energy trade governance</w:t>
        </w:r>
      </w:hyperlink>
      <w:r w:rsidRPr="00E66B67">
        <w:rPr>
          <w:rFonts w:ascii="Times New Roman" w:hAnsi="Times New Roman" w:cs="Times New Roman"/>
          <w:sz w:val="20"/>
          <w:szCs w:val="20"/>
        </w:rPr>
        <w:t xml:space="preserve">” </w:t>
      </w:r>
      <w:r w:rsidRPr="00E66B67">
        <w:rPr>
          <w:rFonts w:ascii="Times New Roman" w:hAnsi="Times New Roman" w:cs="Times New Roman"/>
          <w:i/>
          <w:sz w:val="20"/>
          <w:szCs w:val="20"/>
        </w:rPr>
        <w:t>Renewable Energy Law and Policy Review</w:t>
      </w:r>
      <w:r w:rsidRPr="00E66B67">
        <w:rPr>
          <w:rFonts w:ascii="Times New Roman" w:hAnsi="Times New Roman" w:cs="Times New Roman"/>
          <w:sz w:val="20"/>
          <w:szCs w:val="20"/>
        </w:rPr>
        <w:t>, Vol. 6(1), pp. 38-87, 2015.</w:t>
      </w:r>
    </w:p>
  </w:footnote>
  <w:footnote w:id="49">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the views of Andrew Guzman on the real-world consequences of climate change in </w:t>
      </w:r>
      <w:r w:rsidRPr="00E66B67">
        <w:rPr>
          <w:rFonts w:ascii="Times New Roman" w:hAnsi="Times New Roman" w:cs="Times New Roman"/>
          <w:i/>
        </w:rPr>
        <w:t>Overheated: The human cost of climate change</w:t>
      </w:r>
      <w:r w:rsidRPr="00E66B67">
        <w:rPr>
          <w:rFonts w:ascii="Times New Roman" w:hAnsi="Times New Roman" w:cs="Times New Roman"/>
        </w:rPr>
        <w:t>, Oxford University Press, 2014.</w:t>
      </w:r>
    </w:p>
  </w:footnote>
  <w:footnote w:id="50">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O. </w:t>
      </w:r>
      <w:proofErr w:type="spellStart"/>
      <w:r w:rsidRPr="00E66B67">
        <w:rPr>
          <w:rFonts w:ascii="Times New Roman" w:hAnsi="Times New Roman" w:cs="Times New Roman"/>
        </w:rPr>
        <w:t>Milman</w:t>
      </w:r>
      <w:proofErr w:type="spellEnd"/>
      <w:r w:rsidRPr="00E66B67">
        <w:rPr>
          <w:rFonts w:ascii="Times New Roman" w:hAnsi="Times New Roman" w:cs="Times New Roman"/>
        </w:rPr>
        <w:t xml:space="preserve"> and J. Watts, “One nation, two tribes: opposing visions of US climate role on show in Bonn,” The Guardian, 9 November 2017, available at https://www.theguardian.com/environment/2017/nov/09/bonn-climate-change-talks-us-two-tribes.</w:t>
      </w:r>
    </w:p>
  </w:footnote>
  <w:footnote w:id="51">
    <w:p w:rsidR="008A38CF" w:rsidRPr="00E66B67" w:rsidRDefault="008A38CF" w:rsidP="008A38C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66B67">
        <w:rPr>
          <w:rStyle w:val="Refdenotaalpie"/>
          <w:rFonts w:ascii="Times New Roman" w:hAnsi="Times New Roman" w:cs="Times New Roman"/>
          <w:sz w:val="20"/>
          <w:szCs w:val="20"/>
        </w:rPr>
        <w:footnoteRef/>
      </w:r>
      <w:r w:rsidRPr="00E66B67">
        <w:rPr>
          <w:rFonts w:ascii="Times New Roman" w:hAnsi="Times New Roman" w:cs="Times New Roman"/>
          <w:sz w:val="20"/>
          <w:szCs w:val="20"/>
        </w:rPr>
        <w:t xml:space="preserve"> R. Leal-Arcas, “Unilateral Trade-related Climate Change Measures,” </w:t>
      </w:r>
      <w:r w:rsidRPr="00E66B67">
        <w:rPr>
          <w:rFonts w:ascii="Times New Roman" w:hAnsi="Times New Roman" w:cs="Times New Roman"/>
          <w:i/>
          <w:sz w:val="20"/>
          <w:szCs w:val="20"/>
        </w:rPr>
        <w:t>The Journal of World Investment and Trade</w:t>
      </w:r>
      <w:r w:rsidRPr="00E66B67">
        <w:rPr>
          <w:rFonts w:ascii="Times New Roman" w:hAnsi="Times New Roman" w:cs="Times New Roman"/>
          <w:sz w:val="20"/>
          <w:szCs w:val="20"/>
        </w:rPr>
        <w:t>, Vol. 13, No. 6, pp. 875-927, 2012; Non-paper of the European Commission services, “Feedback and way forward on improving the implementation and enforcement of Trade and Sustainable Development chapters in EU Free Trade Agreements,” 26 February 2018, available at http://trade.ec.europa.eu/doclib/docs/2018/february/tradoc_156618.pdf.</w:t>
      </w:r>
    </w:p>
  </w:footnote>
  <w:footnote w:id="52">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European Commission, “Commission decision of 13.9.2017 setting up the Group of Experts on EU Trade Agreements,” </w:t>
      </w:r>
      <w:proofErr w:type="gramStart"/>
      <w:r w:rsidRPr="00E66B67">
        <w:rPr>
          <w:rFonts w:ascii="Times New Roman" w:hAnsi="Times New Roman" w:cs="Times New Roman"/>
        </w:rPr>
        <w:t>C(</w:t>
      </w:r>
      <w:proofErr w:type="gramEnd"/>
      <w:r w:rsidRPr="00E66B67">
        <w:rPr>
          <w:rFonts w:ascii="Times New Roman" w:hAnsi="Times New Roman" w:cs="Times New Roman"/>
        </w:rPr>
        <w:t>2017) 6113 final, available at http://ec.europa.eu/transparency/regexpert/index.cfm?do=groupDetail.groupDetailDoc&amp;id=34613&amp;no=1.</w:t>
      </w:r>
    </w:p>
  </w:footnote>
  <w:footnote w:id="53">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See speech by European Commission President Jean-Claude Juncker on the State of the Union 2017, 13 September 2017, available at </w:t>
      </w:r>
      <w:hyperlink r:id="rId11" w:history="1">
        <w:r w:rsidRPr="00E66B67">
          <w:rPr>
            <w:rStyle w:val="Hipervnculo"/>
            <w:rFonts w:ascii="Times New Roman" w:hAnsi="Times New Roman" w:cs="Times New Roman"/>
          </w:rPr>
          <w:t>http://europa.eu/rapid/press-release_SPEECH-17-3165_en.htm</w:t>
        </w:r>
      </w:hyperlink>
      <w:r w:rsidRPr="00E66B67">
        <w:rPr>
          <w:rFonts w:ascii="Times New Roman" w:hAnsi="Times New Roman" w:cs="Times New Roman"/>
        </w:rPr>
        <w:t xml:space="preserve">; see also European Commission, Communication from the Commission to the European Parliament, the Council, the European Economic and Social Committee and the Committee of the Regions, “A balanced and progressive trade policy to harness </w:t>
      </w:r>
      <w:proofErr w:type="spellStart"/>
      <w:r w:rsidRPr="00E66B67">
        <w:rPr>
          <w:rFonts w:ascii="Times New Roman" w:hAnsi="Times New Roman" w:cs="Times New Roman"/>
        </w:rPr>
        <w:t>globalisation</w:t>
      </w:r>
      <w:proofErr w:type="spellEnd"/>
      <w:r w:rsidRPr="00E66B67">
        <w:rPr>
          <w:rFonts w:ascii="Times New Roman" w:hAnsi="Times New Roman" w:cs="Times New Roman"/>
        </w:rPr>
        <w:t>,” COM(2017) 492 final, 13.9.2017, available at https://ec.europa.eu/transparency/regdoc/rep/1/2017/EN/COM-2017-492-F1-EN-MAIN-PART-1.PDF.</w:t>
      </w:r>
    </w:p>
  </w:footnote>
  <w:footnote w:id="54">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To access the list of members in the expert group on EU trade agreements, see http://trade.ec.europa.eu/doclib/docs/2017/december/tradoc_156487.pdf.</w:t>
      </w:r>
    </w:p>
  </w:footnote>
  <w:footnote w:id="55">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Non-paper of the Commission services, “Trade and Sustainable Development (TSD) chapters in EU Free Trade Agreements (FTAs), 11 July 2017, available at http://trade.ec.europa.eu/doclib/docs/2017/july/tradoc_155686.pdf.</w:t>
      </w:r>
    </w:p>
  </w:footnote>
  <w:footnote w:id="56">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World Trade Organization, “Mainstream trade to attain the sustainable development goals,” p. 64, available at https://www.wto.org/english/res_e/booksp_e/sdg_e.pdf.</w:t>
      </w:r>
    </w:p>
  </w:footnote>
  <w:footnote w:id="57">
    <w:p w:rsidR="008A38CF" w:rsidRPr="00E66B67" w:rsidRDefault="008A38CF" w:rsidP="008A38CF">
      <w:pPr>
        <w:pStyle w:val="Textonotapie"/>
        <w:rPr>
          <w:rFonts w:ascii="Times New Roman" w:hAnsi="Times New Roman" w:cs="Times New Roman"/>
          <w:lang w:val="en-GB"/>
        </w:rPr>
      </w:pPr>
      <w:r w:rsidRPr="00E66B67">
        <w:rPr>
          <w:rStyle w:val="Refdenotaalpie"/>
          <w:rFonts w:ascii="Times New Roman" w:hAnsi="Times New Roman" w:cs="Times New Roman"/>
        </w:rPr>
        <w:footnoteRef/>
      </w:r>
      <w:r w:rsidRPr="00E66B67">
        <w:rPr>
          <w:rFonts w:ascii="Times New Roman" w:hAnsi="Times New Roman" w:cs="Times New Roman"/>
        </w:rPr>
        <w:t xml:space="preserve"> S. Pinker, </w:t>
      </w:r>
      <w:r w:rsidRPr="00E66B67">
        <w:rPr>
          <w:rFonts w:ascii="Times New Roman" w:hAnsi="Times New Roman" w:cs="Times New Roman"/>
          <w:i/>
        </w:rPr>
        <w:t>Enlightenment Now: The case for reason, science, humanism, and progress</w:t>
      </w:r>
      <w:r w:rsidRPr="00E66B67">
        <w:rPr>
          <w:rFonts w:ascii="Times New Roman" w:hAnsi="Times New Roman" w:cs="Times New Roman"/>
        </w:rPr>
        <w:t>, Viking, 2018.</w:t>
      </w:r>
    </w:p>
  </w:footnote>
  <w:footnote w:id="58">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To access their principles, see http://www.breakthroughenergycoalition.com/en/index.html.</w:t>
      </w:r>
    </w:p>
  </w:footnote>
  <w:footnote w:id="59">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http://mission-innovation.net/.</w:t>
      </w:r>
    </w:p>
  </w:footnote>
  <w:footnote w:id="60">
    <w:p w:rsidR="008A38CF" w:rsidRPr="00E66B67" w:rsidRDefault="008A38CF" w:rsidP="008A38CF">
      <w:pPr>
        <w:pStyle w:val="Textonotapie"/>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http://mission-innovation.net/countries/.</w:t>
      </w:r>
    </w:p>
  </w:footnote>
  <w:footnote w:id="61">
    <w:p w:rsidR="008A38CF" w:rsidRPr="00E66B67" w:rsidRDefault="008A38CF" w:rsidP="008A38CF">
      <w:pPr>
        <w:pStyle w:val="Textonotapie"/>
        <w:jc w:val="both"/>
        <w:rPr>
          <w:rFonts w:ascii="Times New Roman" w:hAnsi="Times New Roman" w:cs="Times New Roman"/>
        </w:rPr>
      </w:pPr>
      <w:r w:rsidRPr="00E66B67">
        <w:rPr>
          <w:rStyle w:val="Refdenotaalpie"/>
          <w:rFonts w:ascii="Times New Roman" w:hAnsi="Times New Roman" w:cs="Times New Roman"/>
        </w:rPr>
        <w:footnoteRef/>
      </w:r>
      <w:r w:rsidRPr="00E66B67">
        <w:rPr>
          <w:rFonts w:ascii="Times New Roman" w:hAnsi="Times New Roman" w:cs="Times New Roman"/>
        </w:rPr>
        <w:t xml:space="preserve"> D. </w:t>
      </w:r>
      <w:proofErr w:type="spellStart"/>
      <w:r w:rsidRPr="00E66B67">
        <w:rPr>
          <w:rFonts w:ascii="Times New Roman" w:hAnsi="Times New Roman" w:cs="Times New Roman"/>
        </w:rPr>
        <w:t>Korten</w:t>
      </w:r>
      <w:proofErr w:type="spellEnd"/>
      <w:r w:rsidRPr="00E66B67">
        <w:rPr>
          <w:rFonts w:ascii="Times New Roman" w:hAnsi="Times New Roman" w:cs="Times New Roman"/>
        </w:rPr>
        <w:t xml:space="preserve">, </w:t>
      </w:r>
      <w:r w:rsidRPr="00E66B67">
        <w:rPr>
          <w:rFonts w:ascii="Times New Roman" w:hAnsi="Times New Roman" w:cs="Times New Roman"/>
          <w:i/>
        </w:rPr>
        <w:t>Change the Story, Change the Future: A Living Economy for a Living Earth</w:t>
      </w:r>
      <w:r w:rsidRPr="00E66B67">
        <w:rPr>
          <w:rFonts w:ascii="Times New Roman" w:hAnsi="Times New Roman" w:cs="Times New Roman"/>
        </w:rPr>
        <w:t xml:space="preserve">, </w:t>
      </w:r>
      <w:proofErr w:type="spellStart"/>
      <w:r w:rsidRPr="00E66B67">
        <w:rPr>
          <w:rFonts w:ascii="Times New Roman" w:hAnsi="Times New Roman" w:cs="Times New Roman"/>
        </w:rPr>
        <w:t>Berrett</w:t>
      </w:r>
      <w:proofErr w:type="spellEnd"/>
      <w:r w:rsidRPr="00E66B67">
        <w:rPr>
          <w:rFonts w:ascii="Times New Roman" w:hAnsi="Times New Roman" w:cs="Times New Roman"/>
        </w:rPr>
        <w:t>-Koehler Publishers,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F" w:rsidRPr="008A38CF" w:rsidRDefault="008A38CF">
    <w:pPr>
      <w:pStyle w:val="Encabezado"/>
      <w:rPr>
        <w:rFonts w:ascii="Times New Roman" w:hAnsi="Times New Roman" w:cs="Times New Roman"/>
        <w:sz w:val="20"/>
        <w:szCs w:val="20"/>
      </w:rPr>
    </w:pPr>
    <w:r w:rsidRPr="008A38CF">
      <w:rPr>
        <w:rFonts w:ascii="Times New Roman" w:hAnsi="Times New Roman" w:cs="Times New Roman"/>
        <w:sz w:val="20"/>
        <w:szCs w:val="20"/>
      </w:rPr>
      <w:t>Leal-Arcas</w:t>
    </w:r>
    <w:r w:rsidRPr="008A38CF">
      <w:rPr>
        <w:rFonts w:ascii="Times New Roman" w:hAnsi="Times New Roman" w:cs="Times New Roman"/>
        <w:sz w:val="20"/>
        <w:szCs w:val="20"/>
      </w:rPr>
      <w:tab/>
    </w:r>
    <w:r>
      <w:rPr>
        <w:rFonts w:ascii="Times New Roman" w:hAnsi="Times New Roman" w:cs="Times New Roman"/>
        <w:sz w:val="20"/>
        <w:szCs w:val="20"/>
      </w:rPr>
      <w:t xml:space="preserve">                                                                       </w:t>
    </w:r>
    <w:r w:rsidRPr="008A38CF">
      <w:rPr>
        <w:rFonts w:ascii="Times New Roman" w:hAnsi="Times New Roman" w:cs="Times New Roman"/>
        <w:sz w:val="20"/>
        <w:szCs w:val="20"/>
      </w:rPr>
      <w:t>Paradigm shift in the governance of sustainab</w:t>
    </w:r>
    <w:r>
      <w:rPr>
        <w:rFonts w:ascii="Times New Roman" w:hAnsi="Times New Roman" w:cs="Times New Roman"/>
        <w:sz w:val="20"/>
        <w:szCs w:val="20"/>
      </w:rPr>
      <w:t>le development</w:t>
    </w:r>
  </w:p>
  <w:p w:rsidR="008A38CF" w:rsidRDefault="008A38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3B6"/>
    <w:multiLevelType w:val="hybridMultilevel"/>
    <w:tmpl w:val="0D20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B2516"/>
    <w:multiLevelType w:val="hybridMultilevel"/>
    <w:tmpl w:val="E9A26D4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320403EB"/>
    <w:multiLevelType w:val="hybridMultilevel"/>
    <w:tmpl w:val="932A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22AF8"/>
    <w:multiLevelType w:val="hybridMultilevel"/>
    <w:tmpl w:val="5DE0E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F343B"/>
    <w:multiLevelType w:val="hybridMultilevel"/>
    <w:tmpl w:val="CCD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45F84"/>
    <w:multiLevelType w:val="hybridMultilevel"/>
    <w:tmpl w:val="29C2616C"/>
    <w:lvl w:ilvl="0" w:tplc="CDFA89BC">
      <w:start w:val="1"/>
      <w:numFmt w:val="decimal"/>
      <w:lvlText w:val="%1."/>
      <w:lvlJc w:val="left"/>
      <w:pPr>
        <w:ind w:left="720" w:hanging="360"/>
      </w:pPr>
      <w:rPr>
        <w:rFonts w:hint="default"/>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CF"/>
    <w:rsid w:val="00013CE5"/>
    <w:rsid w:val="00255242"/>
    <w:rsid w:val="003952C0"/>
    <w:rsid w:val="004976DE"/>
    <w:rsid w:val="006057CF"/>
    <w:rsid w:val="006C7354"/>
    <w:rsid w:val="00772F11"/>
    <w:rsid w:val="008A38CF"/>
    <w:rsid w:val="00DD5165"/>
    <w:rsid w:val="00E6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8CF"/>
    <w:pPr>
      <w:pBdr>
        <w:top w:val="nil"/>
        <w:left w:val="nil"/>
        <w:bottom w:val="nil"/>
        <w:right w:val="nil"/>
        <w:between w:val="nil"/>
      </w:pBdr>
    </w:pPr>
    <w:rPr>
      <w:rFonts w:ascii="Calibri" w:eastAsia="Calibri" w:hAnsi="Calibri" w:cs="Calibri"/>
      <w:color w:val="000000"/>
      <w:lang w:eastAsia="en-GB"/>
    </w:rPr>
  </w:style>
  <w:style w:type="paragraph" w:styleId="Ttulo1">
    <w:name w:val="heading 1"/>
    <w:basedOn w:val="Normal"/>
    <w:next w:val="Normal"/>
    <w:link w:val="Ttulo1Car"/>
    <w:uiPriority w:val="9"/>
    <w:qFormat/>
    <w:rsid w:val="008A3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38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A38CF"/>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2"/>
    </w:pPr>
    <w:rPr>
      <w:rFonts w:asciiTheme="majorHAnsi" w:eastAsiaTheme="majorEastAsia" w:hAnsiTheme="majorHAnsi" w:cs="Times New Roman"/>
      <w:b/>
      <w:bCs/>
      <w:color w:val="auto"/>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8CF"/>
    <w:rPr>
      <w:rFonts w:asciiTheme="majorHAnsi" w:eastAsiaTheme="majorEastAsia" w:hAnsiTheme="majorHAnsi" w:cstheme="majorBidi"/>
      <w:color w:val="2E74B5" w:themeColor="accent1" w:themeShade="BF"/>
      <w:sz w:val="32"/>
      <w:szCs w:val="32"/>
      <w:lang w:eastAsia="en-GB"/>
    </w:rPr>
  </w:style>
  <w:style w:type="character" w:customStyle="1" w:styleId="Ttulo2Car">
    <w:name w:val="Título 2 Car"/>
    <w:basedOn w:val="Fuentedeprrafopredeter"/>
    <w:link w:val="Ttulo2"/>
    <w:uiPriority w:val="9"/>
    <w:rsid w:val="008A38CF"/>
    <w:rPr>
      <w:rFonts w:asciiTheme="majorHAnsi" w:eastAsiaTheme="majorEastAsia" w:hAnsiTheme="majorHAnsi" w:cstheme="majorBidi"/>
      <w:color w:val="2E74B5" w:themeColor="accent1" w:themeShade="BF"/>
      <w:sz w:val="26"/>
      <w:szCs w:val="26"/>
      <w:lang w:eastAsia="en-GB"/>
    </w:rPr>
  </w:style>
  <w:style w:type="character" w:customStyle="1" w:styleId="Ttulo3Car">
    <w:name w:val="Título 3 Car"/>
    <w:basedOn w:val="Fuentedeprrafopredeter"/>
    <w:link w:val="Ttulo3"/>
    <w:uiPriority w:val="9"/>
    <w:rsid w:val="008A38CF"/>
    <w:rPr>
      <w:rFonts w:asciiTheme="majorHAnsi" w:eastAsiaTheme="majorEastAsia" w:hAnsiTheme="majorHAnsi" w:cs="Times New Roman"/>
      <w:b/>
      <w:bCs/>
      <w:sz w:val="26"/>
      <w:szCs w:val="26"/>
      <w:lang w:val="en-GB" w:eastAsia="en-GB"/>
    </w:rPr>
  </w:style>
  <w:style w:type="character" w:styleId="Hipervnculo">
    <w:name w:val="Hyperlink"/>
    <w:basedOn w:val="Fuentedeprrafopredeter"/>
    <w:uiPriority w:val="99"/>
    <w:unhideWhenUsed/>
    <w:rsid w:val="008A38CF"/>
    <w:rPr>
      <w:color w:val="0563C1" w:themeColor="hyperlink"/>
      <w:u w:val="single"/>
    </w:rPr>
  </w:style>
  <w:style w:type="paragraph" w:styleId="Prrafodelista">
    <w:name w:val="List Paragraph"/>
    <w:basedOn w:val="Normal"/>
    <w:uiPriority w:val="34"/>
    <w:qFormat/>
    <w:rsid w:val="008A38CF"/>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color w:val="auto"/>
      <w:sz w:val="24"/>
      <w:szCs w:val="24"/>
      <w:lang w:val="de-CH" w:eastAsia="de-CH"/>
    </w:rPr>
  </w:style>
  <w:style w:type="paragraph" w:styleId="Textonotapie">
    <w:name w:val="footnote text"/>
    <w:aliases w:val="Footnote Text Char Char Char,Footnote Text Char Char,Footnote Text Char Char Char Char,Footnote Text Char Char Char Char Char Char Char,Footnote Text Char Char Char Char Char Char Char Char Char Char Char Char,ft,fn,footnote text"/>
    <w:basedOn w:val="Normal"/>
    <w:link w:val="TextonotapieCar"/>
    <w:uiPriority w:val="99"/>
    <w:unhideWhenUsed/>
    <w:qFormat/>
    <w:rsid w:val="008A38CF"/>
    <w:pPr>
      <w:spacing w:after="0" w:line="240" w:lineRule="auto"/>
    </w:pPr>
    <w:rPr>
      <w:sz w:val="20"/>
      <w:szCs w:val="20"/>
    </w:rPr>
  </w:style>
  <w:style w:type="character" w:customStyle="1" w:styleId="TextonotapieCar">
    <w:name w:val="Texto nota pie Car"/>
    <w:aliases w:val="Footnote Text Char Char Char Car,Footnote Text Char Char Car,Footnote Text Char Char Char Char Car,Footnote Text Char Char Char Char Char Char Char Car,Footnote Text Char Char Char Char Char Char Char Char Char Char Char Char Car"/>
    <w:basedOn w:val="Fuentedeprrafopredeter"/>
    <w:link w:val="Textonotapie"/>
    <w:uiPriority w:val="99"/>
    <w:rsid w:val="008A38CF"/>
    <w:rPr>
      <w:rFonts w:ascii="Calibri" w:eastAsia="Calibri" w:hAnsi="Calibri" w:cs="Calibri"/>
      <w:color w:val="000000"/>
      <w:sz w:val="20"/>
      <w:szCs w:val="20"/>
      <w:lang w:eastAsia="en-GB"/>
    </w:rPr>
  </w:style>
  <w:style w:type="character" w:styleId="Refdenotaalpie">
    <w:name w:val="footnote reference"/>
    <w:aliases w:val="Ref,de nota al pie,fr"/>
    <w:basedOn w:val="Fuentedeprrafopredeter"/>
    <w:uiPriority w:val="99"/>
    <w:unhideWhenUsed/>
    <w:rsid w:val="008A38CF"/>
    <w:rPr>
      <w:vertAlign w:val="superscript"/>
    </w:rPr>
  </w:style>
  <w:style w:type="paragraph" w:customStyle="1" w:styleId="Default">
    <w:name w:val="Default"/>
    <w:rsid w:val="008A38CF"/>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10"/>
    <w:qFormat/>
    <w:rsid w:val="008A38C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A38CF"/>
    <w:rPr>
      <w:rFonts w:asciiTheme="majorHAnsi" w:eastAsiaTheme="majorEastAsia" w:hAnsiTheme="majorHAnsi" w:cstheme="majorBidi"/>
      <w:spacing w:val="-10"/>
      <w:kern w:val="28"/>
      <w:sz w:val="56"/>
      <w:szCs w:val="56"/>
      <w:lang w:eastAsia="en-GB"/>
    </w:rPr>
  </w:style>
  <w:style w:type="paragraph" w:customStyle="1" w:styleId="FootNote">
    <w:name w:val="_FootNote"/>
    <w:basedOn w:val="Normal"/>
    <w:qFormat/>
    <w:rsid w:val="008A38CF"/>
    <w:pPr>
      <w:suppressLineNumbers/>
      <w:pBdr>
        <w:top w:val="none" w:sz="0" w:space="0" w:color="auto"/>
        <w:left w:val="none" w:sz="0" w:space="0" w:color="auto"/>
        <w:bottom w:val="none" w:sz="0" w:space="0" w:color="auto"/>
        <w:right w:val="none" w:sz="0" w:space="0" w:color="auto"/>
        <w:between w:val="none" w:sz="0" w:space="0" w:color="auto"/>
      </w:pBdr>
      <w:tabs>
        <w:tab w:val="right" w:pos="480"/>
        <w:tab w:val="left" w:pos="640"/>
      </w:tabs>
      <w:spacing w:before="20" w:after="0" w:line="200" w:lineRule="exact"/>
      <w:jc w:val="both"/>
    </w:pPr>
    <w:rPr>
      <w:rFonts w:ascii="Times New Roman" w:eastAsia="Times New Roman" w:hAnsi="Times New Roman" w:cs="Times New Roman"/>
      <w:color w:val="auto"/>
      <w:sz w:val="17"/>
      <w:szCs w:val="20"/>
      <w:lang w:eastAsia="en-US"/>
    </w:rPr>
  </w:style>
  <w:style w:type="paragraph" w:styleId="Encabezado">
    <w:name w:val="header"/>
    <w:basedOn w:val="Normal"/>
    <w:link w:val="EncabezadoCar"/>
    <w:uiPriority w:val="99"/>
    <w:unhideWhenUsed/>
    <w:rsid w:val="008A38C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38CF"/>
    <w:rPr>
      <w:rFonts w:ascii="Calibri" w:eastAsia="Calibri" w:hAnsi="Calibri" w:cs="Calibri"/>
      <w:color w:val="000000"/>
      <w:lang w:eastAsia="en-GB"/>
    </w:rPr>
  </w:style>
  <w:style w:type="paragraph" w:styleId="Piedepgina">
    <w:name w:val="footer"/>
    <w:basedOn w:val="Normal"/>
    <w:link w:val="PiedepginaCar"/>
    <w:uiPriority w:val="99"/>
    <w:unhideWhenUsed/>
    <w:rsid w:val="008A38C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38CF"/>
    <w:rPr>
      <w:rFonts w:ascii="Calibri" w:eastAsia="Calibri" w:hAnsi="Calibri" w:cs="Calibr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8CF"/>
    <w:pPr>
      <w:pBdr>
        <w:top w:val="nil"/>
        <w:left w:val="nil"/>
        <w:bottom w:val="nil"/>
        <w:right w:val="nil"/>
        <w:between w:val="nil"/>
      </w:pBdr>
    </w:pPr>
    <w:rPr>
      <w:rFonts w:ascii="Calibri" w:eastAsia="Calibri" w:hAnsi="Calibri" w:cs="Calibri"/>
      <w:color w:val="000000"/>
      <w:lang w:eastAsia="en-GB"/>
    </w:rPr>
  </w:style>
  <w:style w:type="paragraph" w:styleId="Ttulo1">
    <w:name w:val="heading 1"/>
    <w:basedOn w:val="Normal"/>
    <w:next w:val="Normal"/>
    <w:link w:val="Ttulo1Car"/>
    <w:uiPriority w:val="9"/>
    <w:qFormat/>
    <w:rsid w:val="008A3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38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A38CF"/>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2"/>
    </w:pPr>
    <w:rPr>
      <w:rFonts w:asciiTheme="majorHAnsi" w:eastAsiaTheme="majorEastAsia" w:hAnsiTheme="majorHAnsi" w:cs="Times New Roman"/>
      <w:b/>
      <w:bCs/>
      <w:color w:val="auto"/>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8CF"/>
    <w:rPr>
      <w:rFonts w:asciiTheme="majorHAnsi" w:eastAsiaTheme="majorEastAsia" w:hAnsiTheme="majorHAnsi" w:cstheme="majorBidi"/>
      <w:color w:val="2E74B5" w:themeColor="accent1" w:themeShade="BF"/>
      <w:sz w:val="32"/>
      <w:szCs w:val="32"/>
      <w:lang w:eastAsia="en-GB"/>
    </w:rPr>
  </w:style>
  <w:style w:type="character" w:customStyle="1" w:styleId="Ttulo2Car">
    <w:name w:val="Título 2 Car"/>
    <w:basedOn w:val="Fuentedeprrafopredeter"/>
    <w:link w:val="Ttulo2"/>
    <w:uiPriority w:val="9"/>
    <w:rsid w:val="008A38CF"/>
    <w:rPr>
      <w:rFonts w:asciiTheme="majorHAnsi" w:eastAsiaTheme="majorEastAsia" w:hAnsiTheme="majorHAnsi" w:cstheme="majorBidi"/>
      <w:color w:val="2E74B5" w:themeColor="accent1" w:themeShade="BF"/>
      <w:sz w:val="26"/>
      <w:szCs w:val="26"/>
      <w:lang w:eastAsia="en-GB"/>
    </w:rPr>
  </w:style>
  <w:style w:type="character" w:customStyle="1" w:styleId="Ttulo3Car">
    <w:name w:val="Título 3 Car"/>
    <w:basedOn w:val="Fuentedeprrafopredeter"/>
    <w:link w:val="Ttulo3"/>
    <w:uiPriority w:val="9"/>
    <w:rsid w:val="008A38CF"/>
    <w:rPr>
      <w:rFonts w:asciiTheme="majorHAnsi" w:eastAsiaTheme="majorEastAsia" w:hAnsiTheme="majorHAnsi" w:cs="Times New Roman"/>
      <w:b/>
      <w:bCs/>
      <w:sz w:val="26"/>
      <w:szCs w:val="26"/>
      <w:lang w:val="en-GB" w:eastAsia="en-GB"/>
    </w:rPr>
  </w:style>
  <w:style w:type="character" w:styleId="Hipervnculo">
    <w:name w:val="Hyperlink"/>
    <w:basedOn w:val="Fuentedeprrafopredeter"/>
    <w:uiPriority w:val="99"/>
    <w:unhideWhenUsed/>
    <w:rsid w:val="008A38CF"/>
    <w:rPr>
      <w:color w:val="0563C1" w:themeColor="hyperlink"/>
      <w:u w:val="single"/>
    </w:rPr>
  </w:style>
  <w:style w:type="paragraph" w:styleId="Prrafodelista">
    <w:name w:val="List Paragraph"/>
    <w:basedOn w:val="Normal"/>
    <w:uiPriority w:val="34"/>
    <w:qFormat/>
    <w:rsid w:val="008A38CF"/>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color w:val="auto"/>
      <w:sz w:val="24"/>
      <w:szCs w:val="24"/>
      <w:lang w:val="de-CH" w:eastAsia="de-CH"/>
    </w:rPr>
  </w:style>
  <w:style w:type="paragraph" w:styleId="Textonotapie">
    <w:name w:val="footnote text"/>
    <w:aliases w:val="Footnote Text Char Char Char,Footnote Text Char Char,Footnote Text Char Char Char Char,Footnote Text Char Char Char Char Char Char Char,Footnote Text Char Char Char Char Char Char Char Char Char Char Char Char,ft,fn,footnote text"/>
    <w:basedOn w:val="Normal"/>
    <w:link w:val="TextonotapieCar"/>
    <w:uiPriority w:val="99"/>
    <w:unhideWhenUsed/>
    <w:qFormat/>
    <w:rsid w:val="008A38CF"/>
    <w:pPr>
      <w:spacing w:after="0" w:line="240" w:lineRule="auto"/>
    </w:pPr>
    <w:rPr>
      <w:sz w:val="20"/>
      <w:szCs w:val="20"/>
    </w:rPr>
  </w:style>
  <w:style w:type="character" w:customStyle="1" w:styleId="TextonotapieCar">
    <w:name w:val="Texto nota pie Car"/>
    <w:aliases w:val="Footnote Text Char Char Char Car,Footnote Text Char Char Car,Footnote Text Char Char Char Char Car,Footnote Text Char Char Char Char Char Char Char Car,Footnote Text Char Char Char Char Char Char Char Char Char Char Char Char Car"/>
    <w:basedOn w:val="Fuentedeprrafopredeter"/>
    <w:link w:val="Textonotapie"/>
    <w:uiPriority w:val="99"/>
    <w:rsid w:val="008A38CF"/>
    <w:rPr>
      <w:rFonts w:ascii="Calibri" w:eastAsia="Calibri" w:hAnsi="Calibri" w:cs="Calibri"/>
      <w:color w:val="000000"/>
      <w:sz w:val="20"/>
      <w:szCs w:val="20"/>
      <w:lang w:eastAsia="en-GB"/>
    </w:rPr>
  </w:style>
  <w:style w:type="character" w:styleId="Refdenotaalpie">
    <w:name w:val="footnote reference"/>
    <w:aliases w:val="Ref,de nota al pie,fr"/>
    <w:basedOn w:val="Fuentedeprrafopredeter"/>
    <w:uiPriority w:val="99"/>
    <w:unhideWhenUsed/>
    <w:rsid w:val="008A38CF"/>
    <w:rPr>
      <w:vertAlign w:val="superscript"/>
    </w:rPr>
  </w:style>
  <w:style w:type="paragraph" w:customStyle="1" w:styleId="Default">
    <w:name w:val="Default"/>
    <w:rsid w:val="008A38CF"/>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10"/>
    <w:qFormat/>
    <w:rsid w:val="008A38C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A38CF"/>
    <w:rPr>
      <w:rFonts w:asciiTheme="majorHAnsi" w:eastAsiaTheme="majorEastAsia" w:hAnsiTheme="majorHAnsi" w:cstheme="majorBidi"/>
      <w:spacing w:val="-10"/>
      <w:kern w:val="28"/>
      <w:sz w:val="56"/>
      <w:szCs w:val="56"/>
      <w:lang w:eastAsia="en-GB"/>
    </w:rPr>
  </w:style>
  <w:style w:type="paragraph" w:customStyle="1" w:styleId="FootNote">
    <w:name w:val="_FootNote"/>
    <w:basedOn w:val="Normal"/>
    <w:qFormat/>
    <w:rsid w:val="008A38CF"/>
    <w:pPr>
      <w:suppressLineNumbers/>
      <w:pBdr>
        <w:top w:val="none" w:sz="0" w:space="0" w:color="auto"/>
        <w:left w:val="none" w:sz="0" w:space="0" w:color="auto"/>
        <w:bottom w:val="none" w:sz="0" w:space="0" w:color="auto"/>
        <w:right w:val="none" w:sz="0" w:space="0" w:color="auto"/>
        <w:between w:val="none" w:sz="0" w:space="0" w:color="auto"/>
      </w:pBdr>
      <w:tabs>
        <w:tab w:val="right" w:pos="480"/>
        <w:tab w:val="left" w:pos="640"/>
      </w:tabs>
      <w:spacing w:before="20" w:after="0" w:line="200" w:lineRule="exact"/>
      <w:jc w:val="both"/>
    </w:pPr>
    <w:rPr>
      <w:rFonts w:ascii="Times New Roman" w:eastAsia="Times New Roman" w:hAnsi="Times New Roman" w:cs="Times New Roman"/>
      <w:color w:val="auto"/>
      <w:sz w:val="17"/>
      <w:szCs w:val="20"/>
      <w:lang w:eastAsia="en-US"/>
    </w:rPr>
  </w:style>
  <w:style w:type="paragraph" w:styleId="Encabezado">
    <w:name w:val="header"/>
    <w:basedOn w:val="Normal"/>
    <w:link w:val="EncabezadoCar"/>
    <w:uiPriority w:val="99"/>
    <w:unhideWhenUsed/>
    <w:rsid w:val="008A38C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38CF"/>
    <w:rPr>
      <w:rFonts w:ascii="Calibri" w:eastAsia="Calibri" w:hAnsi="Calibri" w:cs="Calibri"/>
      <w:color w:val="000000"/>
      <w:lang w:eastAsia="en-GB"/>
    </w:rPr>
  </w:style>
  <w:style w:type="paragraph" w:styleId="Piedepgina">
    <w:name w:val="footer"/>
    <w:basedOn w:val="Normal"/>
    <w:link w:val="PiedepginaCar"/>
    <w:uiPriority w:val="99"/>
    <w:unhideWhenUsed/>
    <w:rsid w:val="008A38C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38CF"/>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cijournal.az/post/energy-transit-in-the-caucasus-a-legal-analysis-by-rafael-leal-arcas" TargetMode="External"/><Relationship Id="rId3" Type="http://schemas.openxmlformats.org/officeDocument/2006/relationships/hyperlink" Target="http://papers.ssrn.com/sol3/papers.cfm?abstract_id=1978731" TargetMode="External"/><Relationship Id="rId7" Type="http://schemas.openxmlformats.org/officeDocument/2006/relationships/hyperlink" Target="http://eur-lex.europa.eu/resource.html?uri=cellar:fa6ea15b-b7b0-11e6-9e3c-01aa75ed71a1.0001.02/DOC_1&amp;format=PDF" TargetMode="External"/><Relationship Id="rId2" Type="http://schemas.openxmlformats.org/officeDocument/2006/relationships/hyperlink" Target="https://papers.ssrn.com/sol3/papers.cfm?abstract_id=2915150" TargetMode="External"/><Relationship Id="rId1" Type="http://schemas.openxmlformats.org/officeDocument/2006/relationships/hyperlink" Target="mailto:r.leal-arcas@qmul.ac.uk" TargetMode="External"/><Relationship Id="rId6" Type="http://schemas.openxmlformats.org/officeDocument/2006/relationships/hyperlink" Target="http://www.oas.org/en/sedi/dsd/Biodiversity/Sustainable_Cities/Sustainable_Communities/Events/SC%20Course%20Trinidad%202014/ModuleVI/2.%20Cities%20and%20Buildings%20%E2%80%93%20UNEP%20DTIE%20Initiatives%20and%20projects_hd.pdf" TargetMode="External"/><Relationship Id="rId11" Type="http://schemas.openxmlformats.org/officeDocument/2006/relationships/hyperlink" Target="http://europa.eu/rapid/press-release_SPEECH-17-3165_en.htm" TargetMode="External"/><Relationship Id="rId5" Type="http://schemas.openxmlformats.org/officeDocument/2006/relationships/hyperlink" Target="http://web.unep.org/ietc/sites/unep.org.ietc/files/Key%20messages%20RE%20Habitat%20III_en.pdf" TargetMode="External"/><Relationship Id="rId10" Type="http://schemas.openxmlformats.org/officeDocument/2006/relationships/hyperlink" Target="http://papers.ssrn.com/sol3/papers.cfm?abstract_id=2542897" TargetMode="External"/><Relationship Id="rId4" Type="http://schemas.openxmlformats.org/officeDocument/2006/relationships/hyperlink" Target="http://www.benelux.int/nl/kernthemas/holder/energie/nscogi-2012-report/" TargetMode="External"/><Relationship Id="rId9" Type="http://schemas.openxmlformats.org/officeDocument/2006/relationships/hyperlink" Target="http://papers.ssrn.com/sol3/papers.cfm?abstract_id=267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99D6-716E-43D2-B506-3AF3F4AE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3859</Words>
  <Characters>21228</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QMUL</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Leal-Arcas</dc:creator>
  <cp:lastModifiedBy>Usuario</cp:lastModifiedBy>
  <cp:revision>2</cp:revision>
  <dcterms:created xsi:type="dcterms:W3CDTF">2019-06-12T17:20:00Z</dcterms:created>
  <dcterms:modified xsi:type="dcterms:W3CDTF">2019-06-12T17:20:00Z</dcterms:modified>
</cp:coreProperties>
</file>