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8D64E" w14:textId="77777777" w:rsidR="00A160F0" w:rsidRPr="000A431F" w:rsidRDefault="00A160F0" w:rsidP="002D4102">
      <w:pPr>
        <w:pStyle w:val="MDPI11articletype"/>
      </w:pPr>
      <w:commentRangeStart w:id="0"/>
      <w:r w:rsidRPr="000A431F">
        <w:t>Article</w:t>
      </w:r>
      <w:commentRangeEnd w:id="0"/>
      <w:r w:rsidR="005A57D3">
        <w:rPr>
          <w:rStyle w:val="CommentReference"/>
          <w:rFonts w:eastAsia="宋体"/>
          <w:i w:val="0"/>
          <w:noProof/>
          <w:snapToGrid/>
          <w:lang w:eastAsia="zh-CN" w:bidi="ar-SA"/>
          <w14:ligatures w14:val="none"/>
        </w:rPr>
        <w:commentReference w:id="0"/>
      </w:r>
    </w:p>
    <w:p w14:paraId="17425690" w14:textId="0ED0EDAB" w:rsidR="00A160F0" w:rsidRPr="000A431F" w:rsidRDefault="00A160F0" w:rsidP="002D4102">
      <w:pPr>
        <w:pStyle w:val="MDPI12title"/>
      </w:pPr>
      <w:commentRangeStart w:id="1"/>
      <w:r w:rsidRPr="000A431F">
        <w:t xml:space="preserve">The </w:t>
      </w:r>
      <w:r w:rsidR="00771CF5" w:rsidRPr="000A431F">
        <w:t xml:space="preserve">Value </w:t>
      </w:r>
      <w:r w:rsidRPr="000A431F">
        <w:t xml:space="preserve">of </w:t>
      </w:r>
      <w:r w:rsidR="00771CF5" w:rsidRPr="000A431F">
        <w:t xml:space="preserve">Structural Neuroimaging </w:t>
      </w:r>
      <w:r w:rsidRPr="000A431F">
        <w:t xml:space="preserve">in </w:t>
      </w:r>
      <w:r w:rsidR="00771CF5" w:rsidRPr="000A431F">
        <w:t>First</w:t>
      </w:r>
      <w:r w:rsidRPr="000A431F">
        <w:t>-</w:t>
      </w:r>
      <w:r w:rsidR="00771CF5" w:rsidRPr="000A431F">
        <w:t xml:space="preserve">Episode </w:t>
      </w:r>
      <w:r w:rsidR="00771CF5" w:rsidRPr="000A431F">
        <w:rPr>
          <w:rFonts w:eastAsiaTheme="minorEastAsia"/>
          <w:lang w:eastAsia="zh-CN"/>
        </w:rPr>
        <w:br/>
      </w:r>
      <w:r w:rsidR="00771CF5" w:rsidRPr="000A431F">
        <w:t>Psychosis</w:t>
      </w:r>
      <w:r w:rsidR="000A431F">
        <w:t xml:space="preserve"> and</w:t>
      </w:r>
      <w:r w:rsidRPr="000A431F">
        <w:t xml:space="preserve"> </w:t>
      </w:r>
      <w:r w:rsidR="000A431F">
        <w:t xml:space="preserve">the </w:t>
      </w:r>
      <w:r w:rsidR="00771CF5" w:rsidRPr="000A431F">
        <w:t xml:space="preserve">Prevalence </w:t>
      </w:r>
      <w:r w:rsidRPr="000A431F">
        <w:t xml:space="preserve">of </w:t>
      </w:r>
      <w:r w:rsidR="00771CF5" w:rsidRPr="000A431F">
        <w:t xml:space="preserve">Imaging Abnormalities </w:t>
      </w:r>
      <w:r w:rsidRPr="000A431F">
        <w:t xml:space="preserve">and </w:t>
      </w:r>
      <w:r w:rsidR="00771CF5" w:rsidRPr="000A431F">
        <w:t>Clinical Relevance</w:t>
      </w:r>
      <w:r w:rsidR="000A431F">
        <w:rPr>
          <w:highlight w:val="yellow"/>
        </w:rPr>
        <w:t>:</w:t>
      </w:r>
      <w:commentRangeStart w:id="2"/>
      <w:commentRangeEnd w:id="2"/>
      <w:r w:rsidR="009C6194" w:rsidRPr="000A431F">
        <w:rPr>
          <w:rStyle w:val="CommentReference"/>
          <w:rFonts w:eastAsia="宋体"/>
          <w:b w:val="0"/>
          <w:noProof/>
          <w:snapToGrid/>
          <w:lang w:eastAsia="zh-CN" w:bidi="ar-SA"/>
          <w14:ligatures w14:val="none"/>
        </w:rPr>
        <w:commentReference w:id="2"/>
      </w:r>
      <w:r w:rsidRPr="000A431F">
        <w:t xml:space="preserve"> A </w:t>
      </w:r>
      <w:r w:rsidR="00771CF5" w:rsidRPr="000A431F">
        <w:t>Real</w:t>
      </w:r>
      <w:r w:rsidRPr="000A431F">
        <w:t>-</w:t>
      </w:r>
      <w:r w:rsidR="00771CF5" w:rsidRPr="000A431F">
        <w:t>World Observational Study</w:t>
      </w:r>
      <w:commentRangeEnd w:id="1"/>
      <w:r w:rsidR="000A431F">
        <w:rPr>
          <w:rStyle w:val="CommentReference"/>
          <w:rFonts w:eastAsia="宋体"/>
          <w:b w:val="0"/>
          <w:noProof/>
          <w:snapToGrid/>
          <w:lang w:eastAsia="zh-CN" w:bidi="ar-SA"/>
          <w14:ligatures w14:val="none"/>
        </w:rPr>
        <w:commentReference w:id="1"/>
      </w:r>
    </w:p>
    <w:p w14:paraId="733F721E" w14:textId="2813483C" w:rsidR="001407CF" w:rsidRPr="000A431F" w:rsidRDefault="00A160F0" w:rsidP="009F148B">
      <w:pPr>
        <w:pStyle w:val="MDPI13authornames"/>
      </w:pPr>
      <w:commentRangeStart w:id="3"/>
      <w:r w:rsidRPr="000A431F">
        <w:rPr>
          <w:highlight w:val="yellow"/>
        </w:rPr>
        <w:t xml:space="preserve">José Pablo Martínez Barbero </w:t>
      </w:r>
      <w:r w:rsidRPr="000A431F">
        <w:rPr>
          <w:highlight w:val="yellow"/>
          <w:vertAlign w:val="superscript"/>
        </w:rPr>
        <w:t>1,</w:t>
      </w:r>
      <w:commentRangeEnd w:id="3"/>
      <w:r w:rsidR="002D4102" w:rsidRPr="000A431F">
        <w:rPr>
          <w:rStyle w:val="CommentReference"/>
          <w:rFonts w:eastAsia="宋体"/>
          <w:b w:val="0"/>
          <w:noProof/>
          <w:lang w:eastAsia="zh-CN" w:bidi="ar-SA"/>
          <w14:ligatures w14:val="none"/>
        </w:rPr>
        <w:commentReference w:id="3"/>
      </w:r>
      <w:r w:rsidRPr="000A431F">
        <w:rPr>
          <w:vertAlign w:val="superscript"/>
        </w:rPr>
        <w:t>2</w:t>
      </w:r>
      <w:r w:rsidRPr="000A431F">
        <w:t xml:space="preserve">, José Tortosa Cámara </w:t>
      </w:r>
      <w:r w:rsidRPr="000A431F">
        <w:rPr>
          <w:vertAlign w:val="superscript"/>
        </w:rPr>
        <w:t>2</w:t>
      </w:r>
      <w:r w:rsidRPr="000A431F">
        <w:t xml:space="preserve">, Beatriz Ramos Barbosa </w:t>
      </w:r>
      <w:r w:rsidRPr="000A431F">
        <w:rPr>
          <w:vertAlign w:val="superscript"/>
        </w:rPr>
        <w:t>3</w:t>
      </w:r>
      <w:r w:rsidRPr="000A431F">
        <w:t xml:space="preserve">, Paula María Jiménez Gutiérrez </w:t>
      </w:r>
      <w:r w:rsidRPr="000A431F">
        <w:rPr>
          <w:vertAlign w:val="superscript"/>
        </w:rPr>
        <w:t>2,4</w:t>
      </w:r>
      <w:r w:rsidRPr="000A431F">
        <w:t xml:space="preserve">, Manuel González Díez </w:t>
      </w:r>
      <w:r w:rsidRPr="000A431F">
        <w:rPr>
          <w:vertAlign w:val="superscript"/>
        </w:rPr>
        <w:t>5</w:t>
      </w:r>
      <w:r w:rsidRPr="000A431F">
        <w:t xml:space="preserve">, José Eduardo Muñoz Negro </w:t>
      </w:r>
      <w:r w:rsidRPr="000A431F">
        <w:rPr>
          <w:vertAlign w:val="superscript"/>
        </w:rPr>
        <w:t>6</w:t>
      </w:r>
      <w:r w:rsidRPr="000A431F">
        <w:t xml:space="preserve">, José Prados </w:t>
      </w:r>
      <w:r w:rsidRPr="000A431F">
        <w:rPr>
          <w:vertAlign w:val="superscript"/>
        </w:rPr>
        <w:t>2,3,7,8</w:t>
      </w:r>
      <w:r w:rsidR="009F148B" w:rsidRPr="000A431F">
        <w:rPr>
          <w:rFonts w:eastAsia="宋体" w:cs="宋体"/>
          <w:vertAlign w:val="superscript"/>
          <w:lang w:eastAsia="zh-CN"/>
        </w:rPr>
        <w:t>,</w:t>
      </w:r>
      <w:r w:rsidR="002D4102" w:rsidRPr="000A431F">
        <w:rPr>
          <w:highlight w:val="yellow"/>
          <w:vertAlign w:val="superscript"/>
        </w:rPr>
        <w:t>†</w:t>
      </w:r>
      <w:r w:rsidR="002D4102" w:rsidRPr="000A431F">
        <w:t xml:space="preserve"> </w:t>
      </w:r>
      <w:r w:rsidR="001E55F6" w:rsidRPr="000A431F">
        <w:br/>
      </w:r>
      <w:r w:rsidR="002D4102" w:rsidRPr="000A431F">
        <w:t xml:space="preserve">and </w:t>
      </w:r>
      <w:r w:rsidRPr="000A431F">
        <w:t xml:space="preserve">Antonio Jesús Láinez Ramos-Bossini </w:t>
      </w:r>
      <w:r w:rsidRPr="000A431F">
        <w:rPr>
          <w:vertAlign w:val="superscript"/>
        </w:rPr>
        <w:t>1,2,3,</w:t>
      </w:r>
      <w:r w:rsidR="001E55F6" w:rsidRPr="000A431F">
        <w:t>*</w:t>
      </w:r>
      <w:r w:rsidR="001E55F6" w:rsidRPr="000A431F">
        <w:rPr>
          <w:vertAlign w:val="superscript"/>
        </w:rPr>
        <w:t>,</w:t>
      </w:r>
      <w:r w:rsidR="002D4102" w:rsidRPr="000A431F">
        <w:rPr>
          <w:rFonts w:hint="eastAsia"/>
          <w:highlight w:val="yellow"/>
          <w:vertAlign w:val="superscript"/>
        </w:rPr>
        <w:t>†</w:t>
      </w:r>
    </w:p>
    <w:tbl>
      <w:tblPr>
        <w:tblStyle w:val="MDPItable"/>
        <w:tblpPr w:leftFromText="198" w:rightFromText="198" w:vertAnchor="page" w:horzAnchor="margin" w:tblpY="9482"/>
        <w:tblW w:w="2409" w:type="dxa"/>
        <w:tblLayout w:type="fixed"/>
        <w:tblLook w:val="04A0" w:firstRow="1" w:lastRow="0" w:firstColumn="1" w:lastColumn="0" w:noHBand="0" w:noVBand="1"/>
      </w:tblPr>
      <w:tblGrid>
        <w:gridCol w:w="2409"/>
      </w:tblGrid>
      <w:tr w:rsidR="001407CF" w:rsidRPr="000A431F" w14:paraId="2C39E5BF" w14:textId="77777777" w:rsidTr="001407CF">
        <w:trPr>
          <w:cantSplit/>
        </w:trPr>
        <w:tc>
          <w:tcPr>
            <w:tcW w:w="2409" w:type="dxa"/>
          </w:tcPr>
          <w:p w14:paraId="6409E0A2" w14:textId="3693AC1B" w:rsidR="001407CF" w:rsidRPr="000A431F" w:rsidRDefault="001407CF" w:rsidP="001407CF">
            <w:pPr>
              <w:pStyle w:val="MDPI15academiceditor"/>
              <w:spacing w:before="0" w:after="120"/>
              <w:rPr>
                <w:lang w:val="en-US"/>
              </w:rPr>
            </w:pPr>
            <w:r w:rsidRPr="000A431F">
              <w:rPr>
                <w:lang w:val="en-US"/>
              </w:rPr>
              <w:t xml:space="preserve">Academic Editor(s): </w:t>
            </w:r>
            <w:r w:rsidR="005A57D3" w:rsidRPr="005A57D3">
              <w:rPr>
                <w:lang w:val="en-US"/>
              </w:rPr>
              <w:t>José Javier Miguel-Hidalgo</w:t>
            </w:r>
          </w:p>
          <w:p w14:paraId="69FB8AE1" w14:textId="3664D7B5" w:rsidR="001407CF" w:rsidRPr="000A431F" w:rsidRDefault="001407CF" w:rsidP="001407CF">
            <w:pPr>
              <w:pStyle w:val="MDPI14history"/>
              <w:rPr>
                <w:lang w:val="en-US"/>
              </w:rPr>
            </w:pPr>
            <w:r w:rsidRPr="000A431F">
              <w:rPr>
                <w:lang w:val="en-US"/>
              </w:rPr>
              <w:t>Received: 20 May 2025</w:t>
            </w:r>
          </w:p>
          <w:p w14:paraId="720BC662" w14:textId="2B444E29" w:rsidR="001407CF" w:rsidRPr="000A431F" w:rsidRDefault="001407CF" w:rsidP="001407CF">
            <w:pPr>
              <w:pStyle w:val="MDPI14history"/>
              <w:rPr>
                <w:lang w:val="en-US"/>
              </w:rPr>
            </w:pPr>
            <w:r w:rsidRPr="000A431F">
              <w:rPr>
                <w:lang w:val="en-US"/>
              </w:rPr>
              <w:t>Revised: 23 June 2025</w:t>
            </w:r>
          </w:p>
          <w:p w14:paraId="48C685FA" w14:textId="6A21B762" w:rsidR="001407CF" w:rsidRPr="000A431F" w:rsidRDefault="001407CF" w:rsidP="001407CF">
            <w:pPr>
              <w:pStyle w:val="MDPI14history"/>
              <w:rPr>
                <w:lang w:val="en-US"/>
              </w:rPr>
            </w:pPr>
            <w:r w:rsidRPr="000A431F">
              <w:rPr>
                <w:lang w:val="en-US"/>
              </w:rPr>
              <w:t>Accepted: 7 July 2025</w:t>
            </w:r>
          </w:p>
          <w:p w14:paraId="030EA2B6" w14:textId="77777777" w:rsidR="001407CF" w:rsidRPr="000A431F" w:rsidRDefault="001407CF" w:rsidP="001407CF">
            <w:pPr>
              <w:pStyle w:val="MDPI14history"/>
              <w:spacing w:after="120"/>
              <w:rPr>
                <w:lang w:val="en-US"/>
              </w:rPr>
            </w:pPr>
            <w:r w:rsidRPr="000A431F">
              <w:rPr>
                <w:lang w:val="en-US"/>
              </w:rPr>
              <w:t>Published: date</w:t>
            </w:r>
          </w:p>
          <w:p w14:paraId="6384E041" w14:textId="67A23FB4" w:rsidR="001407CF" w:rsidRPr="000A431F" w:rsidRDefault="001407CF" w:rsidP="001407CF">
            <w:pPr>
              <w:pStyle w:val="MDPI61citation"/>
              <w:rPr>
                <w:lang w:val="en-US"/>
              </w:rPr>
            </w:pPr>
            <w:r w:rsidRPr="000A431F">
              <w:rPr>
                <w:b/>
                <w:lang w:val="en-US"/>
              </w:rPr>
              <w:t>Citation:</w:t>
            </w:r>
            <w:r w:rsidR="00630C32" w:rsidRPr="000A431F">
              <w:rPr>
                <w:lang w:val="en-US"/>
              </w:rPr>
              <w:t xml:space="preserve"> </w:t>
            </w:r>
            <w:commentRangeStart w:id="4"/>
            <w:r w:rsidR="00630C32" w:rsidRPr="000A431F">
              <w:rPr>
                <w:highlight w:val="yellow"/>
                <w:lang w:val="en-US"/>
              </w:rPr>
              <w:t>Martínez Barbero</w:t>
            </w:r>
            <w:commentRangeEnd w:id="4"/>
            <w:r w:rsidR="003D77B9" w:rsidRPr="000A431F">
              <w:rPr>
                <w:rStyle w:val="CommentReference"/>
                <w:rFonts w:cs="Times New Roman"/>
                <w:noProof/>
                <w:color w:val="000000"/>
                <w:lang w:val="en-US"/>
                <w14:ligatures w14:val="none"/>
              </w:rPr>
              <w:commentReference w:id="4"/>
            </w:r>
            <w:r w:rsidRPr="000A431F">
              <w:rPr>
                <w:lang w:val="en-US"/>
              </w:rPr>
              <w:t xml:space="preserve">, J.P.; </w:t>
            </w:r>
            <w:r w:rsidR="006D2032" w:rsidRPr="000A431F">
              <w:rPr>
                <w:lang w:val="en-US"/>
              </w:rPr>
              <w:br/>
            </w:r>
            <w:r w:rsidR="00040B33" w:rsidRPr="000A431F">
              <w:rPr>
                <w:highlight w:val="yellow"/>
                <w:lang w:val="en-US"/>
              </w:rPr>
              <w:t>Tortosa Cámara</w:t>
            </w:r>
            <w:r w:rsidRPr="000A431F">
              <w:rPr>
                <w:lang w:val="en-US"/>
              </w:rPr>
              <w:t xml:space="preserve">, J.; </w:t>
            </w:r>
            <w:r w:rsidR="00D96EFC" w:rsidRPr="000A431F">
              <w:rPr>
                <w:highlight w:val="yellow"/>
                <w:lang w:val="en-US"/>
              </w:rPr>
              <w:t>Ramos Barbosa</w:t>
            </w:r>
            <w:r w:rsidRPr="000A431F">
              <w:rPr>
                <w:lang w:val="en-US"/>
              </w:rPr>
              <w:t xml:space="preserve">, B.; </w:t>
            </w:r>
            <w:r w:rsidR="009F641D" w:rsidRPr="000A431F">
              <w:rPr>
                <w:highlight w:val="yellow"/>
                <w:lang w:val="en-US"/>
              </w:rPr>
              <w:t>Jiménez Gutiérrez</w:t>
            </w:r>
            <w:r w:rsidRPr="000A431F">
              <w:rPr>
                <w:lang w:val="en-US"/>
              </w:rPr>
              <w:t xml:space="preserve">, P.M.; Díez, M.G.; Negro, J.E.M.; Prados, J.; </w:t>
            </w:r>
            <w:r w:rsidR="00EC11B4" w:rsidRPr="000A431F">
              <w:rPr>
                <w:lang w:val="en-US"/>
              </w:rPr>
              <w:br/>
            </w:r>
            <w:r w:rsidRPr="000A431F">
              <w:rPr>
                <w:lang w:val="en-US"/>
              </w:rPr>
              <w:t>Ramos-Bossini, A.J.L. The Value of Structural Neuroimaging in First-Episode Psychosis</w:t>
            </w:r>
            <w:r w:rsidR="000A431F">
              <w:rPr>
                <w:lang w:val="en-US"/>
              </w:rPr>
              <w:t xml:space="preserve"> and the</w:t>
            </w:r>
            <w:r w:rsidRPr="000A431F">
              <w:rPr>
                <w:lang w:val="en-US"/>
              </w:rPr>
              <w:t xml:space="preserve"> Prevalence of Imaging Abnormalities and Clinical Relevance</w:t>
            </w:r>
            <w:r w:rsidR="000A431F">
              <w:rPr>
                <w:lang w:val="en-US"/>
              </w:rPr>
              <w:t>:</w:t>
            </w:r>
            <w:r w:rsidRPr="000A431F">
              <w:rPr>
                <w:lang w:val="en-US"/>
              </w:rPr>
              <w:t xml:space="preserve"> A Real-World Observational Study. </w:t>
            </w:r>
            <w:r w:rsidRPr="000A431F">
              <w:rPr>
                <w:i/>
                <w:lang w:val="en-US"/>
              </w:rPr>
              <w:t xml:space="preserve">J. Clin. Med. </w:t>
            </w:r>
            <w:r w:rsidRPr="000A431F">
              <w:rPr>
                <w:b/>
                <w:lang w:val="en-US"/>
              </w:rPr>
              <w:t>2025</w:t>
            </w:r>
            <w:r w:rsidRPr="000A431F">
              <w:rPr>
                <w:lang w:val="en-US"/>
              </w:rPr>
              <w:t xml:space="preserve">, </w:t>
            </w:r>
            <w:r w:rsidRPr="000A431F">
              <w:rPr>
                <w:i/>
                <w:lang w:val="en-US"/>
              </w:rPr>
              <w:t>14</w:t>
            </w:r>
            <w:r w:rsidRPr="000A431F">
              <w:rPr>
                <w:lang w:val="en-US"/>
              </w:rPr>
              <w:t>, x. https://doi.org/10.3390/xxxxx</w:t>
            </w:r>
          </w:p>
          <w:p w14:paraId="7B9C0A09" w14:textId="77777777" w:rsidR="001407CF" w:rsidRPr="000A431F" w:rsidRDefault="001407CF" w:rsidP="001407CF">
            <w:pPr>
              <w:pStyle w:val="MDPI72copyright"/>
              <w:rPr>
                <w:lang w:val="en-US"/>
              </w:rPr>
            </w:pPr>
            <w:r w:rsidRPr="000A431F">
              <w:rPr>
                <w:b/>
                <w:lang w:val="en-US"/>
              </w:rPr>
              <w:t>Copyright:</w:t>
            </w:r>
            <w:r w:rsidRPr="000A431F">
              <w:rPr>
                <w:lang w:val="en-US"/>
              </w:rPr>
              <w:t xml:space="preserve"> © 2025 by the authors. Submitted for possible open access publication under the terms and conditions of the Creative Commons Attribution (CC BY) license </w:t>
            </w:r>
            <w:r w:rsidRPr="000A431F">
              <w:rPr>
                <w:lang w:val="en-US"/>
              </w:rPr>
              <w:lastRenderedPageBreak/>
              <w:t>(https://creativecommons.org/licenses/by/4.0/).</w:t>
            </w:r>
          </w:p>
        </w:tc>
      </w:tr>
    </w:tbl>
    <w:p w14:paraId="778ADC36" w14:textId="07469AFA" w:rsidR="00A160F0" w:rsidRPr="000A431F" w:rsidRDefault="00A160F0" w:rsidP="002D4102">
      <w:pPr>
        <w:pStyle w:val="MDPI16affiliation"/>
      </w:pPr>
      <w:r w:rsidRPr="000A431F">
        <w:rPr>
          <w:vertAlign w:val="superscript"/>
        </w:rPr>
        <w:lastRenderedPageBreak/>
        <w:t>1</w:t>
      </w:r>
      <w:r w:rsidRPr="000A431F">
        <w:tab/>
        <w:t>Department of Radiology</w:t>
      </w:r>
      <w:commentRangeStart w:id="5"/>
      <w:r w:rsidR="000B703D" w:rsidRPr="000A431F">
        <w:rPr>
          <w:highlight w:val="yellow"/>
        </w:rPr>
        <w:t>,</w:t>
      </w:r>
      <w:commentRangeEnd w:id="5"/>
      <w:r w:rsidR="000B703D" w:rsidRPr="000A431F">
        <w:rPr>
          <w:rStyle w:val="CommentReference"/>
          <w:rFonts w:eastAsia="宋体"/>
          <w:noProof/>
          <w:lang w:eastAsia="zh-CN" w:bidi="ar-SA"/>
          <w14:ligatures w14:val="none"/>
        </w:rPr>
        <w:commentReference w:id="5"/>
      </w:r>
      <w:r w:rsidRPr="000A431F">
        <w:t xml:space="preserve"> Hospital Universitario Virgen de las Nieves</w:t>
      </w:r>
      <w:r w:rsidR="00165B35" w:rsidRPr="000A431F">
        <w:t>,</w:t>
      </w:r>
      <w:r w:rsidRPr="000A431F">
        <w:t xml:space="preserve"> 18014</w:t>
      </w:r>
      <w:r w:rsidR="00406574" w:rsidRPr="000A431F">
        <w:t xml:space="preserve"> Granada</w:t>
      </w:r>
      <w:r w:rsidR="00165B35" w:rsidRPr="000A431F">
        <w:t>,</w:t>
      </w:r>
      <w:r w:rsidRPr="000A431F">
        <w:t xml:space="preserve"> Spain; jpmbhg@gmail.com</w:t>
      </w:r>
    </w:p>
    <w:p w14:paraId="252EF36A" w14:textId="576AF211" w:rsidR="00A160F0" w:rsidRPr="000A431F" w:rsidRDefault="00A160F0" w:rsidP="002D4102">
      <w:pPr>
        <w:pStyle w:val="MDPI16affiliation"/>
      </w:pPr>
      <w:r w:rsidRPr="000A431F">
        <w:rPr>
          <w:vertAlign w:val="superscript"/>
        </w:rPr>
        <w:t>2</w:t>
      </w:r>
      <w:r w:rsidRPr="000A431F">
        <w:tab/>
        <w:t>Instituto de Investigación Biosanitaria de Granada ibs.GRANADA, 18016</w:t>
      </w:r>
      <w:r w:rsidR="00406574" w:rsidRPr="000A431F">
        <w:t xml:space="preserve"> Granada</w:t>
      </w:r>
      <w:r w:rsidRPr="000A431F">
        <w:t>, Spain;</w:t>
      </w:r>
      <w:r w:rsidR="00371FD0" w:rsidRPr="000A431F">
        <w:t xml:space="preserve"> </w:t>
      </w:r>
      <w:r w:rsidR="00371FD0" w:rsidRPr="000A431F">
        <w:br/>
      </w:r>
      <w:commentRangeStart w:id="6"/>
      <w:r w:rsidR="00371FD0" w:rsidRPr="000A431F">
        <w:rPr>
          <w:highlight w:val="yellow"/>
        </w:rPr>
        <w:t>jose.tortosa.sspa@juntadeandalucia.es (J.T.C.)</w:t>
      </w:r>
      <w:commentRangeEnd w:id="6"/>
      <w:r w:rsidR="004541A3" w:rsidRPr="000A431F">
        <w:rPr>
          <w:rStyle w:val="CommentReference"/>
          <w:rFonts w:eastAsia="宋体"/>
          <w:noProof/>
          <w:lang w:eastAsia="zh-CN" w:bidi="ar-SA"/>
          <w14:ligatures w14:val="none"/>
        </w:rPr>
        <w:commentReference w:id="6"/>
      </w:r>
      <w:r w:rsidR="00371FD0" w:rsidRPr="000A431F">
        <w:t xml:space="preserve">; </w:t>
      </w:r>
      <w:r w:rsidRPr="000A431F">
        <w:t>apaulajimenezg@gmail.com (P.M.J.G.)</w:t>
      </w:r>
      <w:r w:rsidR="00852BEC" w:rsidRPr="000A431F">
        <w:t xml:space="preserve">; </w:t>
      </w:r>
      <w:r w:rsidR="00852BEC" w:rsidRPr="000A431F">
        <w:rPr>
          <w:highlight w:val="yellow"/>
        </w:rPr>
        <w:t>jcprados@ugr.es (J.P.)</w:t>
      </w:r>
    </w:p>
    <w:p w14:paraId="153CDD49" w14:textId="62329733" w:rsidR="00A160F0" w:rsidRPr="000A431F" w:rsidRDefault="00A160F0" w:rsidP="00010541">
      <w:pPr>
        <w:pStyle w:val="MDPI16affiliation"/>
      </w:pPr>
      <w:r w:rsidRPr="000A431F">
        <w:rPr>
          <w:vertAlign w:val="superscript"/>
        </w:rPr>
        <w:t>3</w:t>
      </w:r>
      <w:r w:rsidRPr="000A431F">
        <w:tab/>
        <w:t>Department of Human Anatomy and Embryology</w:t>
      </w:r>
      <w:r w:rsidR="00D85AC4" w:rsidRPr="000A431F">
        <w:rPr>
          <w:highlight w:val="yellow"/>
        </w:rPr>
        <w:t>,</w:t>
      </w:r>
      <w:r w:rsidRPr="000A431F">
        <w:t xml:space="preserve"> School of Medicine</w:t>
      </w:r>
      <w:r w:rsidR="00010541" w:rsidRPr="000A431F">
        <w:rPr>
          <w:rFonts w:eastAsia="宋体" w:cs="宋体"/>
          <w:highlight w:val="yellow"/>
          <w:lang w:eastAsia="zh-CN"/>
        </w:rPr>
        <w:t>,</w:t>
      </w:r>
      <w:r w:rsidRPr="000A431F">
        <w:t xml:space="preserve"> University of Granada, 18071</w:t>
      </w:r>
      <w:r w:rsidR="00406574" w:rsidRPr="000A431F">
        <w:t xml:space="preserve"> </w:t>
      </w:r>
      <w:r w:rsidR="00406574" w:rsidRPr="000A431F">
        <w:br/>
        <w:t>Granada</w:t>
      </w:r>
      <w:r w:rsidRPr="000A431F">
        <w:t>, Spain; beatrizramos@correo.ugr.es</w:t>
      </w:r>
    </w:p>
    <w:p w14:paraId="5B0200B3" w14:textId="631F446F" w:rsidR="00A160F0" w:rsidRPr="000A431F" w:rsidRDefault="00A160F0" w:rsidP="002D4102">
      <w:pPr>
        <w:pStyle w:val="MDPI16affiliation"/>
      </w:pPr>
      <w:r w:rsidRPr="000A431F">
        <w:rPr>
          <w:vertAlign w:val="superscript"/>
        </w:rPr>
        <w:t>4</w:t>
      </w:r>
      <w:r w:rsidRPr="000A431F">
        <w:tab/>
        <w:t>Department of Anesthesiology</w:t>
      </w:r>
      <w:r w:rsidR="000D3C7C" w:rsidRPr="000A431F">
        <w:rPr>
          <w:highlight w:val="yellow"/>
        </w:rPr>
        <w:t>,</w:t>
      </w:r>
      <w:r w:rsidRPr="000A431F">
        <w:t xml:space="preserve"> Hospital Universitario Virgen de las Nieves</w:t>
      </w:r>
      <w:r w:rsidR="000D3C7C" w:rsidRPr="000A431F">
        <w:rPr>
          <w:highlight w:val="yellow"/>
        </w:rPr>
        <w:t>,</w:t>
      </w:r>
      <w:r w:rsidRPr="000A431F">
        <w:t xml:space="preserve"> 18014</w:t>
      </w:r>
      <w:r w:rsidR="00406574" w:rsidRPr="000A431F">
        <w:t xml:space="preserve"> Granada</w:t>
      </w:r>
      <w:r w:rsidRPr="000A431F">
        <w:t>, Spain</w:t>
      </w:r>
    </w:p>
    <w:p w14:paraId="76E1C24B" w14:textId="20A25614" w:rsidR="00A160F0" w:rsidRPr="000A431F" w:rsidRDefault="00A160F0" w:rsidP="002D4102">
      <w:pPr>
        <w:pStyle w:val="MDPI16affiliation"/>
      </w:pPr>
      <w:r w:rsidRPr="000A431F">
        <w:rPr>
          <w:vertAlign w:val="superscript"/>
        </w:rPr>
        <w:t>5</w:t>
      </w:r>
      <w:r w:rsidRPr="000A431F">
        <w:tab/>
        <w:t xml:space="preserve">Department of Psychiatry, Psychotherapy and Psychosomatic Medicine, District Hospital </w:t>
      </w:r>
      <w:r w:rsidR="00B91101" w:rsidRPr="000A431F">
        <w:br/>
      </w:r>
      <w:r w:rsidRPr="000A431F">
        <w:t>Bayreuth</w:t>
      </w:r>
      <w:commentRangeStart w:id="7"/>
      <w:r w:rsidRPr="000A431F">
        <w:rPr>
          <w:highlight w:val="yellow"/>
        </w:rPr>
        <w:t>/</w:t>
      </w:r>
      <w:commentRangeEnd w:id="7"/>
      <w:r w:rsidR="00E166C4" w:rsidRPr="000A431F">
        <w:rPr>
          <w:rStyle w:val="CommentReference"/>
          <w:rFonts w:eastAsia="宋体"/>
          <w:noProof/>
          <w:lang w:eastAsia="zh-CN" w:bidi="ar-SA"/>
          <w14:ligatures w14:val="none"/>
        </w:rPr>
        <w:commentReference w:id="7"/>
      </w:r>
      <w:r w:rsidRPr="000A431F">
        <w:t xml:space="preserve">Psychiatric Health Care Facilities of Upper Franconia, </w:t>
      </w:r>
      <w:commentRangeStart w:id="8"/>
      <w:r w:rsidRPr="000A431F">
        <w:rPr>
          <w:highlight w:val="yellow"/>
        </w:rPr>
        <w:t>Bayreuth</w:t>
      </w:r>
      <w:commentRangeEnd w:id="8"/>
      <w:r w:rsidR="00B91101" w:rsidRPr="000A431F">
        <w:rPr>
          <w:rStyle w:val="CommentReference"/>
          <w:rFonts w:eastAsia="宋体"/>
          <w:noProof/>
          <w:lang w:eastAsia="zh-CN" w:bidi="ar-SA"/>
          <w14:ligatures w14:val="none"/>
        </w:rPr>
        <w:commentReference w:id="8"/>
      </w:r>
      <w:r w:rsidRPr="000A431F">
        <w:t xml:space="preserve">, Germany; </w:t>
      </w:r>
      <w:r w:rsidR="00B91101" w:rsidRPr="000A431F">
        <w:br/>
      </w:r>
      <w:r w:rsidRPr="000A431F">
        <w:t>manologonzalezdiez10@gmail.com</w:t>
      </w:r>
    </w:p>
    <w:p w14:paraId="4DE7AD55" w14:textId="11CA26C6" w:rsidR="00A160F0" w:rsidRPr="000A431F" w:rsidRDefault="00A160F0" w:rsidP="00805D81">
      <w:pPr>
        <w:pStyle w:val="MDPI16affiliation"/>
      </w:pPr>
      <w:r w:rsidRPr="000A431F">
        <w:rPr>
          <w:vertAlign w:val="superscript"/>
        </w:rPr>
        <w:t>6</w:t>
      </w:r>
      <w:r w:rsidRPr="000A431F">
        <w:tab/>
        <w:t>Department of Psychiatry</w:t>
      </w:r>
      <w:r w:rsidR="00B91101" w:rsidRPr="000A431F">
        <w:rPr>
          <w:highlight w:val="yellow"/>
        </w:rPr>
        <w:t>,</w:t>
      </w:r>
      <w:r w:rsidRPr="000A431F">
        <w:t xml:space="preserve"> School of Medicine</w:t>
      </w:r>
      <w:r w:rsidR="00805D81" w:rsidRPr="000A431F">
        <w:rPr>
          <w:rFonts w:eastAsia="宋体" w:cs="宋体"/>
          <w:highlight w:val="yellow"/>
          <w:lang w:eastAsia="zh-CN"/>
        </w:rPr>
        <w:t>,</w:t>
      </w:r>
      <w:r w:rsidRPr="000A431F">
        <w:t xml:space="preserve"> University of Granada, 18071</w:t>
      </w:r>
      <w:r w:rsidR="00406574" w:rsidRPr="000A431F">
        <w:t xml:space="preserve"> Granada</w:t>
      </w:r>
      <w:r w:rsidRPr="000A431F">
        <w:t xml:space="preserve">, Spain; </w:t>
      </w:r>
      <w:r w:rsidR="00B91101" w:rsidRPr="000A431F">
        <w:br/>
      </w:r>
      <w:r w:rsidRPr="000A431F">
        <w:t>jemunoznegro@ugr.es</w:t>
      </w:r>
    </w:p>
    <w:p w14:paraId="4BF179E8" w14:textId="18427E39" w:rsidR="00A160F0" w:rsidRPr="000A431F" w:rsidRDefault="00A160F0" w:rsidP="002D4102">
      <w:pPr>
        <w:pStyle w:val="MDPI16affiliation"/>
      </w:pPr>
      <w:r w:rsidRPr="000A431F">
        <w:rPr>
          <w:vertAlign w:val="superscript"/>
        </w:rPr>
        <w:t>7</w:t>
      </w:r>
      <w:r w:rsidRPr="000A431F">
        <w:tab/>
        <w:t>Institute of Biopathology and Regenerative Medicine (IBIMER), University of Granada, 18100</w:t>
      </w:r>
      <w:r w:rsidR="00406574" w:rsidRPr="000A431F">
        <w:t xml:space="preserve"> Granada</w:t>
      </w:r>
      <w:r w:rsidRPr="000A431F">
        <w:t>, Spain</w:t>
      </w:r>
    </w:p>
    <w:p w14:paraId="09DEA5EE" w14:textId="239D4783" w:rsidR="00A160F0" w:rsidRPr="000A431F" w:rsidRDefault="00A160F0" w:rsidP="002D4102">
      <w:pPr>
        <w:pStyle w:val="MDPI16affiliation"/>
      </w:pPr>
      <w:r w:rsidRPr="000A431F">
        <w:rPr>
          <w:vertAlign w:val="superscript"/>
        </w:rPr>
        <w:t>8</w:t>
      </w:r>
      <w:r w:rsidRPr="000A431F">
        <w:tab/>
        <w:t>Center of Biomedical Research (CIBM), University of Granada, 18100</w:t>
      </w:r>
      <w:r w:rsidR="0027542B" w:rsidRPr="000A431F">
        <w:t xml:space="preserve"> Granada</w:t>
      </w:r>
      <w:r w:rsidRPr="000A431F">
        <w:t>, Spain</w:t>
      </w:r>
    </w:p>
    <w:p w14:paraId="5CD5F619" w14:textId="60CC5042" w:rsidR="00A160F0" w:rsidRPr="000A431F" w:rsidRDefault="00A160F0" w:rsidP="00FB713A">
      <w:pPr>
        <w:pStyle w:val="MDPI16affiliation"/>
      </w:pPr>
      <w:r w:rsidRPr="000A431F">
        <w:rPr>
          <w:b/>
          <w:highlight w:val="yellow"/>
        </w:rPr>
        <w:t>*</w:t>
      </w:r>
      <w:r w:rsidRPr="000A431F">
        <w:tab/>
        <w:t xml:space="preserve">Correspondence: </w:t>
      </w:r>
      <w:r w:rsidR="00ED3125" w:rsidRPr="000A431F">
        <w:t>ajbossini@ugr.es</w:t>
      </w:r>
    </w:p>
    <w:p w14:paraId="7B27C034" w14:textId="77777777" w:rsidR="00ED3125" w:rsidRPr="000A431F" w:rsidRDefault="00ED3125" w:rsidP="00FB713A">
      <w:pPr>
        <w:pStyle w:val="MDPI16affiliation"/>
      </w:pPr>
      <w:commentRangeStart w:id="9"/>
      <w:r w:rsidRPr="000A431F">
        <w:rPr>
          <w:rFonts w:hint="eastAsia"/>
          <w:highlight w:val="yellow"/>
          <w:vertAlign w:val="superscript"/>
        </w:rPr>
        <w:t>†</w:t>
      </w:r>
      <w:commentRangeEnd w:id="9"/>
      <w:r w:rsidRPr="000A431F">
        <w:rPr>
          <w:rStyle w:val="CommentReference"/>
          <w:rFonts w:eastAsia="宋体"/>
          <w:noProof/>
          <w:vertAlign w:val="superscript"/>
          <w:lang w:eastAsia="zh-CN" w:bidi="ar-SA"/>
          <w14:ligatures w14:val="none"/>
        </w:rPr>
        <w:commentReference w:id="9"/>
      </w:r>
      <w:r w:rsidRPr="000A431F">
        <w:rPr>
          <w:rFonts w:eastAsiaTheme="minorEastAsia"/>
          <w:lang w:eastAsia="zh-CN"/>
        </w:rPr>
        <w:tab/>
      </w:r>
      <w:commentRangeStart w:id="10"/>
      <w:r w:rsidRPr="000A431F">
        <w:rPr>
          <w:highlight w:val="yellow"/>
        </w:rPr>
        <w:t xml:space="preserve">These </w:t>
      </w:r>
      <w:commentRangeEnd w:id="10"/>
      <w:r w:rsidRPr="000A431F">
        <w:rPr>
          <w:rStyle w:val="CommentReference"/>
          <w:rFonts w:eastAsia="宋体"/>
          <w:noProof/>
          <w:lang w:eastAsia="zh-CN" w:bidi="ar-SA"/>
          <w14:ligatures w14:val="none"/>
        </w:rPr>
        <w:commentReference w:id="10"/>
      </w:r>
      <w:r w:rsidRPr="000A431F">
        <w:rPr>
          <w:highlight w:val="yellow"/>
        </w:rPr>
        <w:t>authors contributed equally to this work</w:t>
      </w:r>
      <w:r w:rsidRPr="000A431F">
        <w:t>.</w:t>
      </w:r>
    </w:p>
    <w:p w14:paraId="41C933DF" w14:textId="77777777" w:rsidR="009A657C" w:rsidRPr="000A431F" w:rsidRDefault="00A160F0" w:rsidP="009A657C">
      <w:pPr>
        <w:pStyle w:val="MDPI17abstract"/>
        <w:jc w:val="left"/>
        <w:rPr>
          <w:b/>
          <w:szCs w:val="18"/>
        </w:rPr>
      </w:pPr>
      <w:r w:rsidRPr="000A431F">
        <w:rPr>
          <w:b/>
          <w:szCs w:val="18"/>
        </w:rPr>
        <w:t>Abstract</w:t>
      </w:r>
    </w:p>
    <w:p w14:paraId="174F0DA1" w14:textId="163BA6E1" w:rsidR="00A160F0" w:rsidRPr="000A431F" w:rsidRDefault="00A160F0" w:rsidP="009A657C">
      <w:pPr>
        <w:pStyle w:val="MDPI17abstract"/>
        <w:spacing w:before="0" w:after="0"/>
      </w:pPr>
      <w:r w:rsidRPr="000A431F">
        <w:rPr>
          <w:b/>
          <w:bCs/>
        </w:rPr>
        <w:t>Introduction</w:t>
      </w:r>
      <w:r w:rsidRPr="000A431F">
        <w:t xml:space="preserve">: The usefulness of neuroimaging in patients with first-episode psychosis (FEP) </w:t>
      </w:r>
      <w:r w:rsidR="000A431F">
        <w:t>remains</w:t>
      </w:r>
      <w:r w:rsidR="000A431F" w:rsidRPr="000A431F">
        <w:t xml:space="preserve"> </w:t>
      </w:r>
      <w:r w:rsidRPr="000A431F">
        <w:t>controversial. The aim of this study was to assess the prevalence and types of structural abnormalities on neuroimaging in patients with FEP</w:t>
      </w:r>
      <w:r w:rsidR="000A431F">
        <w:t xml:space="preserve"> and </w:t>
      </w:r>
      <w:r w:rsidRPr="000A431F">
        <w:t xml:space="preserve">identify the most frequently used imaging modalities in a real-world setting. </w:t>
      </w:r>
      <w:r w:rsidRPr="000A431F">
        <w:rPr>
          <w:b/>
          <w:bCs/>
        </w:rPr>
        <w:t>Methodology:</w:t>
      </w:r>
      <w:r w:rsidRPr="000A431F">
        <w:t xml:space="preserve"> </w:t>
      </w:r>
      <w:r w:rsidR="000A431F">
        <w:t>A r</w:t>
      </w:r>
      <w:r w:rsidRPr="000A431F">
        <w:t>etrospective observational study based on a consecutive series of patients admitted to our institution with FEP</w:t>
      </w:r>
      <w:r w:rsidR="000A431F">
        <w:t xml:space="preserve"> was conducted</w:t>
      </w:r>
      <w:r w:rsidRPr="000A431F">
        <w:t>. We analyzed the imaging tests performed, the presence of specific lesions</w:t>
      </w:r>
      <w:r w:rsidR="000A431F">
        <w:t xml:space="preserve">, </w:t>
      </w:r>
      <w:r w:rsidRPr="000A431F">
        <w:t xml:space="preserve">the degree of cortical atrophy (Global Cortical Atrophy, GCA scale), medial temporal atrophy (Medial Temporal lobe Atrophy, MTA scale) and </w:t>
      </w:r>
      <w:r w:rsidR="000A431F">
        <w:t>non-specific</w:t>
      </w:r>
      <w:r w:rsidR="00B42EB7" w:rsidRPr="000A431F">
        <w:t xml:space="preserve"> </w:t>
      </w:r>
      <w:r w:rsidRPr="000A431F">
        <w:t xml:space="preserve">white matter lesions (Fazekas scale). Descriptive and bivariate analyses were performed according to previously established age cut-offs. </w:t>
      </w:r>
      <w:r w:rsidRPr="000A431F">
        <w:rPr>
          <w:b/>
          <w:bCs/>
        </w:rPr>
        <w:t>Results:</w:t>
      </w:r>
      <w:r w:rsidRPr="000A431F">
        <w:t xml:space="preserve"> A total of 105 patients were included (median age: 36 years; 52.4% men). The most frequently used neuroimaging test was computed tomography (CT) (92.4%). GCA scores </w:t>
      </w:r>
      <w:r w:rsidR="000A431F">
        <w:t xml:space="preserve">that were </w:t>
      </w:r>
      <w:r w:rsidRPr="000A431F">
        <w:t xml:space="preserve">out of </w:t>
      </w:r>
      <w:r w:rsidR="000A431F">
        <w:t xml:space="preserve">the </w:t>
      </w:r>
      <w:r w:rsidRPr="000A431F">
        <w:t>age range were found in 32.4% of patients, being more frequent in those older than 65 years (</w:t>
      </w:r>
      <w:r w:rsidR="009D16F5" w:rsidRPr="000A431F">
        <w:rPr>
          <w:i/>
        </w:rPr>
        <w:t xml:space="preserve">p </w:t>
      </w:r>
      <w:r w:rsidR="009D16F5" w:rsidRPr="000A431F">
        <w:t>&lt;</w:t>
      </w:r>
      <w:r w:rsidR="009D16F5" w:rsidRPr="000A431F">
        <w:rPr>
          <w:i/>
        </w:rPr>
        <w:t xml:space="preserve"> </w:t>
      </w:r>
      <w:r w:rsidR="009D16F5" w:rsidRPr="000A431F">
        <w:t>0</w:t>
      </w:r>
      <w:r w:rsidRPr="000A431F">
        <w:t>.001). Out-of-range MTA scores were found in 36.2% of patients, especially in patients older than 75 years (</w:t>
      </w:r>
      <w:r w:rsidR="009D16F5" w:rsidRPr="000A431F">
        <w:rPr>
          <w:i/>
        </w:rPr>
        <w:t xml:space="preserve">p </w:t>
      </w:r>
      <w:r w:rsidR="009D16F5" w:rsidRPr="000A431F">
        <w:t>&lt;</w:t>
      </w:r>
      <w:r w:rsidR="009D16F5" w:rsidRPr="000A431F">
        <w:rPr>
          <w:i/>
        </w:rPr>
        <w:t xml:space="preserve"> </w:t>
      </w:r>
      <w:r w:rsidR="009D16F5" w:rsidRPr="000A431F">
        <w:t>0</w:t>
      </w:r>
      <w:r w:rsidRPr="000A431F">
        <w:t>.001). Out-of-range Fazekas scores were found in 4.3% of patients, especially in patients older than 70 years (</w:t>
      </w:r>
      <w:r w:rsidR="009D16F5" w:rsidRPr="000A431F">
        <w:rPr>
          <w:i/>
        </w:rPr>
        <w:t xml:space="preserve">p </w:t>
      </w:r>
      <w:r w:rsidR="009D16F5" w:rsidRPr="000A431F">
        <w:t>=</w:t>
      </w:r>
      <w:r w:rsidR="009D16F5" w:rsidRPr="000A431F">
        <w:rPr>
          <w:i/>
        </w:rPr>
        <w:t xml:space="preserve"> </w:t>
      </w:r>
      <w:r w:rsidR="009D16F5" w:rsidRPr="000A431F">
        <w:t>0</w:t>
      </w:r>
      <w:r w:rsidRPr="000A431F">
        <w:t xml:space="preserve">.157). Finally, only one specific structural lesion (right frontal cavernoma) was identified in one patient (1%). Overall, at least one non-age-matched abnormality was found in 46.7% of patients. </w:t>
      </w:r>
      <w:r w:rsidRPr="000A431F">
        <w:rPr>
          <w:b/>
          <w:bCs/>
        </w:rPr>
        <w:t>Conclusions:</w:t>
      </w:r>
      <w:r w:rsidRPr="000A431F">
        <w:t xml:space="preserve"> Although non-specific alterations not in accordance with age exist in a significant percentage of patients with FEP, the prevalence of specific lesions is very low. This suggests that neuroimaging tests could be restricted in patients with FEP, especially CT</w:t>
      </w:r>
      <w:r w:rsidR="000A431F">
        <w:t>,</w:t>
      </w:r>
      <w:r w:rsidRPr="000A431F">
        <w:t xml:space="preserve"> due to the risks associated with ionizing radiation. However, further prospective and controlled studies are needed to validate our results.</w:t>
      </w:r>
    </w:p>
    <w:p w14:paraId="4ECA8638" w14:textId="6B16AE1A" w:rsidR="00A160F0" w:rsidRPr="000A431F" w:rsidRDefault="009A657C" w:rsidP="009A657C">
      <w:pPr>
        <w:pStyle w:val="MDPI18keywords"/>
      </w:pPr>
      <w:r w:rsidRPr="000A431F">
        <w:rPr>
          <w:b/>
        </w:rPr>
        <w:t>Keywords:</w:t>
      </w:r>
      <w:r w:rsidR="00A160F0" w:rsidRPr="000A431F">
        <w:rPr>
          <w:b/>
        </w:rPr>
        <w:t xml:space="preserve"> </w:t>
      </w:r>
      <w:r w:rsidR="00367D9A" w:rsidRPr="000A431F">
        <w:t>first</w:t>
      </w:r>
      <w:r w:rsidR="00A160F0" w:rsidRPr="000A431F">
        <w:t>-episode psychosis</w:t>
      </w:r>
      <w:r w:rsidRPr="000A431F">
        <w:t xml:space="preserve">; </w:t>
      </w:r>
      <w:r w:rsidR="00367D9A" w:rsidRPr="000A431F">
        <w:t>brief psychotic disorder</w:t>
      </w:r>
      <w:r w:rsidRPr="000A431F">
        <w:t xml:space="preserve">; </w:t>
      </w:r>
      <w:r w:rsidR="00367D9A" w:rsidRPr="000A431F">
        <w:t>computed tomography</w:t>
      </w:r>
      <w:r w:rsidRPr="000A431F">
        <w:t xml:space="preserve">; </w:t>
      </w:r>
      <w:r w:rsidR="00C577EC" w:rsidRPr="000A431F">
        <w:rPr>
          <w:rFonts w:eastAsiaTheme="minorEastAsia"/>
          <w:lang w:eastAsia="zh-CN"/>
        </w:rPr>
        <w:br/>
      </w:r>
      <w:r w:rsidR="00367D9A" w:rsidRPr="000A431F">
        <w:t>magnetic resonance imaging</w:t>
      </w:r>
      <w:r w:rsidRPr="000A431F">
        <w:t xml:space="preserve">; </w:t>
      </w:r>
      <w:r w:rsidR="00367D9A" w:rsidRPr="000A431F">
        <w:t>neuroimaging</w:t>
      </w:r>
    </w:p>
    <w:p w14:paraId="4A8BFD0B" w14:textId="77777777" w:rsidR="00A160F0" w:rsidRPr="000A431F" w:rsidRDefault="00A160F0" w:rsidP="009A657C">
      <w:pPr>
        <w:pStyle w:val="MDPI19line"/>
      </w:pPr>
    </w:p>
    <w:p w14:paraId="77775BA5" w14:textId="26EA03EF" w:rsidR="00A160F0" w:rsidRPr="000A431F" w:rsidRDefault="009A657C" w:rsidP="009A657C">
      <w:pPr>
        <w:pStyle w:val="MDPI21heading1"/>
      </w:pPr>
      <w:r w:rsidRPr="000A431F">
        <w:t xml:space="preserve">1. </w:t>
      </w:r>
      <w:r w:rsidR="00A160F0" w:rsidRPr="000A431F">
        <w:t>Introduction</w:t>
      </w:r>
    </w:p>
    <w:p w14:paraId="3903C22D" w14:textId="1D231A7B" w:rsidR="00A160F0" w:rsidRPr="000A431F" w:rsidRDefault="00A160F0" w:rsidP="009A657C">
      <w:pPr>
        <w:pStyle w:val="MDPI31text"/>
        <w:rPr>
          <w:rFonts w:eastAsiaTheme="minorHAnsi"/>
        </w:rPr>
      </w:pPr>
      <w:r w:rsidRPr="000A431F">
        <w:rPr>
          <w:rFonts w:eastAsiaTheme="minorHAnsi"/>
        </w:rPr>
        <w:t xml:space="preserve">Psychotic experiences occur frequently in the general population, with a lifetime prevalence of 5.8% [1] and an annual incidence of new psychotic episodes of 2% [2]. The clinical significance of psychosis-related conditions can vary considerably, from mild and isolated episodes to severe and recurrent psychotic disorders [3]. First-episode psychosis (FEP) refers to the first event of psychotic symptoms in a patient (e.g., delusions, </w:t>
      </w:r>
      <w:r w:rsidRPr="000A431F">
        <w:rPr>
          <w:rFonts w:eastAsiaTheme="minorHAnsi"/>
        </w:rPr>
        <w:lastRenderedPageBreak/>
        <w:t>hallucinations and/or disorganized thinking), regardless of the time of evolution of the symptoms [4]. This clinical presentation is very heterogeneous, as it is often accompanied by a variety of additional signs and symptoms—both psychotic and non-psychotic—that complicate its evaluation and management [5,6]. Of note, it is important to differentiate FEP from other psychiatric entities that typically require a different clinical approach, as is the case with delirium in the elderly, which often includes fluctuating levels of consciousness and cognitive impairment, or substance-induced psychosis, which may be more common in younger individuals.</w:t>
      </w:r>
    </w:p>
    <w:p w14:paraId="603D0E4A" w14:textId="6F9F4A55" w:rsidR="00A160F0" w:rsidRPr="000A431F" w:rsidRDefault="00A160F0" w:rsidP="009A657C">
      <w:pPr>
        <w:pStyle w:val="MDPI31text"/>
        <w:rPr>
          <w:rFonts w:eastAsiaTheme="minorHAnsi"/>
          <w:bCs/>
        </w:rPr>
      </w:pPr>
      <w:r w:rsidRPr="000A431F">
        <w:rPr>
          <w:rFonts w:eastAsiaTheme="minorHAnsi"/>
        </w:rPr>
        <w:t>Despite its clinical relevance, FEP is not included as a specific diagnostic category in the current versions of the main disease classification systems used in clinical practice, such as the International Classification of Diseases (ICD-10/11) or the Diagnostic and Statistical Manual of Mental Disorders</w:t>
      </w:r>
      <w:r w:rsidRPr="000A431F">
        <w:rPr>
          <w:rFonts w:eastAsiaTheme="minorHAnsi"/>
          <w:i/>
          <w:iCs/>
        </w:rPr>
        <w:t xml:space="preserve"> </w:t>
      </w:r>
      <w:r w:rsidRPr="000A431F">
        <w:rPr>
          <w:rFonts w:eastAsiaTheme="minorHAnsi"/>
        </w:rPr>
        <w:t>(DSM-5) [7]. In ICD-10, FEP is usually included within a broad range of psychotic disorders grouped mainly under categories F20-F29 that include, among others, schizophrenia (F20), acute and transient psychotic disorders (F23), schizotypal disorders (F21) and delusional disorders (F22) [8]</w:t>
      </w:r>
      <w:r w:rsidRPr="000A431F">
        <w:rPr>
          <w:rFonts w:eastAsiaTheme="minorHAnsi"/>
          <w:bCs/>
        </w:rPr>
        <w:t xml:space="preserve">. In ICD-11, the categories for psychotic disorders have been reorganized and updated compared to the ICD-10 [9]. In particular, F23 disorders are now classified under </w:t>
      </w:r>
      <w:r w:rsidR="00B42EB7" w:rsidRPr="000A431F">
        <w:rPr>
          <w:rFonts w:eastAsiaTheme="minorHAnsi"/>
          <w:bCs/>
        </w:rPr>
        <w:t>“</w:t>
      </w:r>
      <w:r w:rsidRPr="000A431F">
        <w:rPr>
          <w:rFonts w:eastAsiaTheme="minorHAnsi"/>
          <w:bCs/>
        </w:rPr>
        <w:t>Acute and Transient Psychotic Disorder</w:t>
      </w:r>
      <w:r w:rsidR="00B42EB7" w:rsidRPr="000A431F">
        <w:rPr>
          <w:rFonts w:eastAsiaTheme="minorHAnsi"/>
          <w:bCs/>
        </w:rPr>
        <w:t>”</w:t>
      </w:r>
      <w:r w:rsidRPr="000A431F">
        <w:rPr>
          <w:rFonts w:eastAsiaTheme="minorHAnsi"/>
          <w:bCs/>
        </w:rPr>
        <w:t xml:space="preserve"> with more specific criteria to differentiate them from other psychotic disorders.</w:t>
      </w:r>
    </w:p>
    <w:p w14:paraId="215A13D6" w14:textId="1AC29AAF" w:rsidR="00A160F0" w:rsidRPr="000A431F" w:rsidRDefault="00A160F0" w:rsidP="009A657C">
      <w:pPr>
        <w:pStyle w:val="MDPI31text"/>
      </w:pPr>
      <w:r w:rsidRPr="000A431F">
        <w:rPr>
          <w:rFonts w:eastAsiaTheme="minorHAnsi"/>
        </w:rPr>
        <w:t xml:space="preserve">The absence of a precise diagnostic category for FEP is an indicator of the lack of knowledge that still exists about its biological basis. However, it is known that various genetic, neurobiological, psychosocial and environmental factors are involved in its etiopathogenesis. In this context, routine evaluation of FEP includes, in addition to a rigorous clinical history and physical examination, the use of complementary tests, with neuroimaging examinations being relevant to rule out possible organic causes such </w:t>
      </w:r>
      <w:r w:rsidRPr="000A431F">
        <w:t xml:space="preserve">as tumors, infections, ischemia or malformations [10,11]. However, there has been significant dispute over the role and indications of neuroimaging </w:t>
      </w:r>
      <w:r w:rsidRPr="000A431F">
        <w:rPr>
          <w:rFonts w:eastAsiaTheme="minorHAnsi"/>
        </w:rPr>
        <w:t>in the diagnosis and therapeutic approach to FEP [12,13]</w:t>
      </w:r>
      <w:r w:rsidRPr="000A431F">
        <w:t>.</w:t>
      </w:r>
    </w:p>
    <w:p w14:paraId="17B7C240" w14:textId="210CCD0C" w:rsidR="00A160F0" w:rsidRPr="000A431F" w:rsidRDefault="00A160F0" w:rsidP="009A657C">
      <w:pPr>
        <w:pStyle w:val="MDPI31text"/>
        <w:rPr>
          <w:rFonts w:eastAsiaTheme="minorHAnsi"/>
        </w:rPr>
      </w:pPr>
      <w:r w:rsidRPr="000A431F">
        <w:rPr>
          <w:rFonts w:eastAsiaTheme="minorHAnsi"/>
        </w:rPr>
        <w:t xml:space="preserve">Continuous improvements in medical imaging equipment </w:t>
      </w:r>
      <w:r w:rsidR="000A431F">
        <w:rPr>
          <w:rFonts w:eastAsiaTheme="minorHAnsi"/>
          <w:u w:color="8969CD"/>
        </w:rPr>
        <w:t>in recent decades</w:t>
      </w:r>
      <w:r w:rsidRPr="000A431F">
        <w:rPr>
          <w:rFonts w:eastAsiaTheme="minorHAnsi"/>
        </w:rPr>
        <w:t xml:space="preserve"> have significantly contributed to non-invasive evaluation of the brain [14]. Magnetic resonance imaging (MRI) is usually the reference test due to its high sensitivity, specificity and safety profile, </w:t>
      </w:r>
      <w:r w:rsidR="00984981">
        <w:rPr>
          <w:rFonts w:eastAsiaTheme="minorHAnsi"/>
        </w:rPr>
        <w:t xml:space="preserve">and </w:t>
      </w:r>
      <w:r w:rsidRPr="000A431F">
        <w:rPr>
          <w:rFonts w:eastAsiaTheme="minorHAnsi"/>
        </w:rPr>
        <w:t xml:space="preserve">the fact that it does not use ionizing radiation [15]. However, it involves a higher cost and demand for technical resources that may not be available in various clinical settings [16]. On the other hand, computed tomography (CT) is more accessible, less expensive and faster, but carries risks related to exposure to ionizing radiation, which limits its recommendation as a first-line tool in the absence of clear indications [17]. The variability in costs of brain CT and MRI is significant across countries and conditioned by the health system, </w:t>
      </w:r>
      <w:r w:rsidR="000A431F">
        <w:rPr>
          <w:rFonts w:eastAsiaTheme="minorHAnsi"/>
          <w:u w:color="8969CD"/>
        </w:rPr>
        <w:t>but in general</w:t>
      </w:r>
      <w:r w:rsidR="00984981">
        <w:rPr>
          <w:rFonts w:eastAsiaTheme="minorHAnsi"/>
          <w:u w:color="8969CD"/>
        </w:rPr>
        <w:t>,</w:t>
      </w:r>
      <w:r w:rsidRPr="000A431F">
        <w:rPr>
          <w:rFonts w:eastAsiaTheme="minorHAnsi"/>
        </w:rPr>
        <w:t xml:space="preserve"> the price of MRI is twice that of CT [18].</w:t>
      </w:r>
    </w:p>
    <w:p w14:paraId="7FA3CBFD" w14:textId="74A1C282" w:rsidR="00A160F0" w:rsidRPr="000A431F" w:rsidRDefault="00A160F0" w:rsidP="009A657C">
      <w:pPr>
        <w:pStyle w:val="MDPI31text"/>
        <w:rPr>
          <w:rFonts w:eastAsiaTheme="minorHAnsi"/>
        </w:rPr>
      </w:pPr>
      <w:r w:rsidRPr="000A431F">
        <w:rPr>
          <w:rFonts w:eastAsiaTheme="minorHAnsi"/>
          <w:color w:val="000000" w:themeColor="text1"/>
        </w:rPr>
        <w:t xml:space="preserve">Neuroimaging has proven useful </w:t>
      </w:r>
      <w:r w:rsidR="00984981">
        <w:rPr>
          <w:rFonts w:eastAsiaTheme="minorHAnsi"/>
          <w:color w:val="000000" w:themeColor="text1"/>
        </w:rPr>
        <w:t>in</w:t>
      </w:r>
      <w:r w:rsidR="00984981" w:rsidRPr="000A431F">
        <w:rPr>
          <w:rFonts w:eastAsiaTheme="minorHAnsi"/>
          <w:color w:val="000000" w:themeColor="text1"/>
        </w:rPr>
        <w:t xml:space="preserve"> </w:t>
      </w:r>
      <w:r w:rsidRPr="000A431F">
        <w:rPr>
          <w:rFonts w:eastAsiaTheme="minorHAnsi"/>
          <w:color w:val="000000" w:themeColor="text1"/>
        </w:rPr>
        <w:t xml:space="preserve">better </w:t>
      </w:r>
      <w:r w:rsidR="00984981">
        <w:rPr>
          <w:rFonts w:eastAsiaTheme="minorHAnsi"/>
          <w:color w:val="000000" w:themeColor="text1"/>
        </w:rPr>
        <w:t>understanding</w:t>
      </w:r>
      <w:r w:rsidR="00984981" w:rsidRPr="000A431F">
        <w:rPr>
          <w:rFonts w:eastAsiaTheme="minorHAnsi"/>
          <w:color w:val="000000" w:themeColor="text1"/>
        </w:rPr>
        <w:t xml:space="preserve"> </w:t>
      </w:r>
      <w:r w:rsidRPr="000A431F">
        <w:rPr>
          <w:rFonts w:eastAsiaTheme="minorHAnsi"/>
          <w:color w:val="000000" w:themeColor="text1"/>
        </w:rPr>
        <w:t xml:space="preserve">the pathophysiological basis of FEP. </w:t>
      </w:r>
      <w:r w:rsidRPr="000A431F">
        <w:rPr>
          <w:rFonts w:eastAsiaTheme="minorHAnsi"/>
        </w:rPr>
        <w:t>Studies on specific structures, such as the hippocampus and amygdala, have linked atrophy of these regions with the severity of psychotic symptoms [19]. Such findings support the idea that psychotic disorders are not merely functional phenomena, but may also have detectable neuroanatomical correlates. However, most studies aimed at this type of analysis have been conducted in research contexts, employing advanced structural analyses that are not used in routine clinical practice.</w:t>
      </w:r>
    </w:p>
    <w:p w14:paraId="49D5B8B3" w14:textId="7CAFEACA" w:rsidR="00A160F0" w:rsidRPr="000A431F" w:rsidRDefault="00A160F0" w:rsidP="009A657C">
      <w:pPr>
        <w:pStyle w:val="MDPI31text"/>
        <w:rPr>
          <w:rFonts w:eastAsiaTheme="minorHAnsi"/>
        </w:rPr>
      </w:pPr>
      <w:r w:rsidRPr="000A431F">
        <w:rPr>
          <w:rFonts w:eastAsiaTheme="minorHAnsi"/>
        </w:rPr>
        <w:t xml:space="preserve">Regarding radiological findings identifiable in routine clinical practice, </w:t>
      </w:r>
      <w:r w:rsidR="000A431F">
        <w:rPr>
          <w:rFonts w:eastAsiaTheme="minorHAnsi"/>
        </w:rPr>
        <w:t>non-specific</w:t>
      </w:r>
      <w:r w:rsidRPr="000A431F">
        <w:rPr>
          <w:rFonts w:eastAsiaTheme="minorHAnsi"/>
        </w:rPr>
        <w:t xml:space="preserve"> alterations such as T2 hyperintensities in the periventricular white matter and ventricular asymmetries in patients with FEP and chronic psychosis have been described [20], as well as anecdotal cases of associated arachnoid cysts [21–23]. Overall, the prevalence of radiological abnormalities considered clinically relevant in MRI in patients with FEP has been estimated at 6% according to a recent systematic review [24]. However, a more detailed analysis of these alterations raises reasonable doubts about their clinical significance, since </w:t>
      </w:r>
      <w:r w:rsidRPr="000A431F">
        <w:rPr>
          <w:rFonts w:eastAsiaTheme="minorHAnsi"/>
        </w:rPr>
        <w:lastRenderedPageBreak/>
        <w:t>they are common findings in an asymptomatic population, so their causal relationship with psychosis is questionable. In addition, other studies have reported a wide range in the prevalence variability of neuroimaging findings, ranging from 0% [12] to over 60% [25]. In most cases, these findings do not influence the subsequent clinical management of patients with FEP.</w:t>
      </w:r>
    </w:p>
    <w:p w14:paraId="271B7462" w14:textId="03CF3801" w:rsidR="00A160F0" w:rsidRPr="000A431F" w:rsidRDefault="00A160F0" w:rsidP="009A657C">
      <w:pPr>
        <w:pStyle w:val="MDPI31text"/>
        <w:rPr>
          <w:rFonts w:eastAsiaTheme="minorHAnsi"/>
        </w:rPr>
      </w:pPr>
      <w:r w:rsidRPr="000A431F">
        <w:rPr>
          <w:rFonts w:eastAsiaTheme="minorHAnsi"/>
        </w:rPr>
        <w:t>While MRI is useful to rule out other potentially treatable medical conditions, its systematic routine implementation raises questions regarding its clinical and bioethical justification, given the balance between benefits, risks and associated costs. Since MRI is safe, in this case</w:t>
      </w:r>
      <w:r w:rsidR="00984981">
        <w:rPr>
          <w:rFonts w:eastAsiaTheme="minorHAnsi"/>
        </w:rPr>
        <w:t>,</w:t>
      </w:r>
      <w:r w:rsidRPr="000A431F">
        <w:rPr>
          <w:rFonts w:eastAsiaTheme="minorHAnsi"/>
        </w:rPr>
        <w:t xml:space="preserve"> the dilemma centers mainly on a question of cost</w:t>
      </w:r>
      <w:r w:rsidR="00984981">
        <w:rPr>
          <w:rFonts w:eastAsiaTheme="minorHAnsi"/>
        </w:rPr>
        <w:t xml:space="preserve"> </w:t>
      </w:r>
      <w:r w:rsidRPr="000A431F">
        <w:rPr>
          <w:rFonts w:eastAsiaTheme="minorHAnsi"/>
        </w:rPr>
        <w:t>efficiency. However, in clinical practice, due to the lower accessibility of this technique and the occasional need to make a diagnosis in an urgent context, it is common to perform brain CT, increasing the risk of a non-justified systematic use of this examination that involves ionizing radiation.</w:t>
      </w:r>
    </w:p>
    <w:p w14:paraId="634CA6C5" w14:textId="3FA43224" w:rsidR="00A160F0" w:rsidRPr="000A431F" w:rsidRDefault="00A160F0" w:rsidP="009A657C">
      <w:pPr>
        <w:pStyle w:val="MDPI31text"/>
        <w:rPr>
          <w:rFonts w:eastAsiaTheme="minorHAnsi"/>
        </w:rPr>
      </w:pPr>
      <w:r w:rsidRPr="000A431F">
        <w:rPr>
          <w:rFonts w:eastAsiaTheme="minorHAnsi"/>
        </w:rPr>
        <w:t xml:space="preserve">This last scenario makes it necessary to explore in greater detail the real-world usefulness of neuroimaging tests in patients with FEP, since if these do not identify relevant radiological findings in a significant percentage of cases, their use as a routine complementary test in the approach to FEP should be reconsidered, particularly in the case of CT. On the other hand, further knowledge on the prevalence of non-specific alterations and their clinical significance is still required. </w:t>
      </w:r>
      <w:r w:rsidRPr="000A431F">
        <w:rPr>
          <w:rFonts w:eastAsiaTheme="minorHAnsi"/>
          <w:color w:val="000000" w:themeColor="text1"/>
        </w:rPr>
        <w:t xml:space="preserve">The aim of this study was to determine the prevalence and types of radiological alterations in patients with FEP </w:t>
      </w:r>
      <w:r w:rsidR="00984981">
        <w:rPr>
          <w:rFonts w:eastAsiaTheme="minorHAnsi"/>
          <w:color w:val="000000" w:themeColor="text1"/>
        </w:rPr>
        <w:t>and</w:t>
      </w:r>
      <w:r w:rsidRPr="000A431F">
        <w:rPr>
          <w:rFonts w:eastAsiaTheme="minorHAnsi"/>
          <w:color w:val="000000" w:themeColor="text1"/>
        </w:rPr>
        <w:t xml:space="preserve"> the use of neuroimaging examinations in a real-world scenario. In this way, we intend to contribute to the existing body of knowledge on this topic by gathering information from a Spanish tertiary-level hospital over almost a decade.</w:t>
      </w:r>
    </w:p>
    <w:p w14:paraId="0EA6C53C" w14:textId="6FE5F4C5" w:rsidR="00A160F0" w:rsidRPr="000A431F" w:rsidRDefault="009A657C" w:rsidP="009A657C">
      <w:pPr>
        <w:pStyle w:val="MDPI21heading1"/>
      </w:pPr>
      <w:commentRangeStart w:id="11"/>
      <w:r w:rsidRPr="000A431F">
        <w:rPr>
          <w:lang w:eastAsia="zh-CN"/>
        </w:rPr>
        <w:t xml:space="preserve">2. </w:t>
      </w:r>
      <w:r w:rsidR="00A160F0" w:rsidRPr="000A431F">
        <w:t>Materials and Methods</w:t>
      </w:r>
      <w:commentRangeEnd w:id="11"/>
      <w:r w:rsidR="005A57D3">
        <w:rPr>
          <w:rStyle w:val="CommentReference"/>
          <w:rFonts w:eastAsia="宋体"/>
          <w:b w:val="0"/>
          <w:noProof/>
          <w:snapToGrid/>
          <w:lang w:eastAsia="zh-CN" w:bidi="ar-SA"/>
          <w14:ligatures w14:val="none"/>
        </w:rPr>
        <w:commentReference w:id="11"/>
      </w:r>
    </w:p>
    <w:p w14:paraId="2EE95754" w14:textId="4E925B67" w:rsidR="00A160F0" w:rsidRPr="000A431F" w:rsidRDefault="009A657C" w:rsidP="009A657C">
      <w:pPr>
        <w:pStyle w:val="MDPI22heading2"/>
      </w:pPr>
      <w:r w:rsidRPr="000A431F">
        <w:t xml:space="preserve">2.1. </w:t>
      </w:r>
      <w:r w:rsidR="00A160F0" w:rsidRPr="000A431F">
        <w:t xml:space="preserve">Study </w:t>
      </w:r>
      <w:r w:rsidR="002701DF" w:rsidRPr="000A431F">
        <w:t xml:space="preserve">Design </w:t>
      </w:r>
      <w:r w:rsidR="00A160F0" w:rsidRPr="000A431F">
        <w:t xml:space="preserve">and </w:t>
      </w:r>
      <w:r w:rsidR="002701DF" w:rsidRPr="000A431F">
        <w:t>Patient Selection</w:t>
      </w:r>
    </w:p>
    <w:p w14:paraId="48C804C3" w14:textId="19245643" w:rsidR="00A160F0" w:rsidRPr="000A431F" w:rsidRDefault="00A160F0" w:rsidP="009A657C">
      <w:pPr>
        <w:pStyle w:val="MDPI31text"/>
        <w:rPr>
          <w:rFonts w:eastAsiaTheme="minorHAnsi"/>
        </w:rPr>
      </w:pPr>
      <w:r w:rsidRPr="000A431F">
        <w:rPr>
          <w:rFonts w:eastAsiaTheme="minorHAnsi"/>
        </w:rPr>
        <w:t xml:space="preserve">A retrospective observational study was carried out based on a consecutive series of patients admitted to the Psychiatry and Mental Health Service of the Hospital Universitario Virgen de las Nieves (HUVN) from </w:t>
      </w:r>
      <w:commentRangeStart w:id="12"/>
      <w:r w:rsidRPr="000A431F">
        <w:rPr>
          <w:rFonts w:eastAsiaTheme="minorHAnsi"/>
          <w:highlight w:val="yellow"/>
        </w:rPr>
        <w:t>1</w:t>
      </w:r>
      <w:r w:rsidR="00F36D81" w:rsidRPr="000A431F">
        <w:rPr>
          <w:rFonts w:eastAsiaTheme="minorEastAsia" w:hint="eastAsia"/>
          <w:highlight w:val="yellow"/>
          <w:lang w:eastAsia="zh-CN"/>
        </w:rPr>
        <w:t xml:space="preserve"> </w:t>
      </w:r>
      <w:r w:rsidR="00F36D81" w:rsidRPr="000A431F">
        <w:rPr>
          <w:rFonts w:eastAsiaTheme="minorHAnsi"/>
          <w:highlight w:val="yellow"/>
        </w:rPr>
        <w:t>January</w:t>
      </w:r>
      <w:r w:rsidRPr="000A431F">
        <w:rPr>
          <w:rFonts w:eastAsiaTheme="minorHAnsi"/>
          <w:highlight w:val="yellow"/>
        </w:rPr>
        <w:t xml:space="preserve"> 2016</w:t>
      </w:r>
      <w:r w:rsidRPr="000A431F">
        <w:rPr>
          <w:rFonts w:eastAsiaTheme="minorHAnsi"/>
        </w:rPr>
        <w:t xml:space="preserve"> </w:t>
      </w:r>
      <w:commentRangeEnd w:id="12"/>
      <w:r w:rsidR="00F36D81" w:rsidRPr="000A431F">
        <w:rPr>
          <w:rStyle w:val="CommentReference"/>
          <w:rFonts w:eastAsia="宋体"/>
          <w:noProof/>
          <w:snapToGrid/>
          <w:lang w:eastAsia="zh-CN" w:bidi="ar-SA"/>
          <w14:ligatures w14:val="none"/>
        </w:rPr>
        <w:commentReference w:id="12"/>
      </w:r>
      <w:r w:rsidRPr="000A431F">
        <w:rPr>
          <w:rFonts w:eastAsiaTheme="minorHAnsi"/>
        </w:rPr>
        <w:t xml:space="preserve">to </w:t>
      </w:r>
      <w:r w:rsidRPr="000A431F">
        <w:rPr>
          <w:rFonts w:eastAsiaTheme="minorHAnsi"/>
          <w:highlight w:val="yellow"/>
        </w:rPr>
        <w:t>31</w:t>
      </w:r>
      <w:r w:rsidR="006B2D27" w:rsidRPr="000A431F">
        <w:rPr>
          <w:rFonts w:eastAsiaTheme="minorHAnsi"/>
          <w:highlight w:val="yellow"/>
        </w:rPr>
        <w:t xml:space="preserve"> December</w:t>
      </w:r>
      <w:r w:rsidRPr="000A431F">
        <w:rPr>
          <w:rFonts w:eastAsiaTheme="minorHAnsi"/>
          <w:highlight w:val="yellow"/>
        </w:rPr>
        <w:t xml:space="preserve"> 2024</w:t>
      </w:r>
      <w:r w:rsidRPr="000A431F">
        <w:rPr>
          <w:rFonts w:eastAsiaTheme="minorHAnsi"/>
        </w:rPr>
        <w:t xml:space="preserve">. The design and writing of this study </w:t>
      </w:r>
      <w:r w:rsidR="00984981">
        <w:rPr>
          <w:rFonts w:eastAsiaTheme="minorHAnsi"/>
        </w:rPr>
        <w:t>were</w:t>
      </w:r>
      <w:r w:rsidR="00984981" w:rsidRPr="000A431F">
        <w:rPr>
          <w:rFonts w:eastAsiaTheme="minorHAnsi"/>
        </w:rPr>
        <w:t xml:space="preserve"> </w:t>
      </w:r>
      <w:r w:rsidRPr="000A431F">
        <w:rPr>
          <w:rFonts w:eastAsiaTheme="minorHAnsi"/>
        </w:rPr>
        <w:t>based on the Strengthening the Report of Observational Studies in Epidemiology (STROBE) guidelines [26]. The study protocol was approved by the Provincial Ethics Committee of Granada (code: TFG-PEP25). Given the retrospective nature of the study, written informed consent was waived.</w:t>
      </w:r>
    </w:p>
    <w:p w14:paraId="3C6B7F1D" w14:textId="2F4017E3" w:rsidR="00A160F0" w:rsidRPr="000A431F" w:rsidRDefault="00A160F0" w:rsidP="009A657C">
      <w:pPr>
        <w:pStyle w:val="MDPI31text"/>
        <w:rPr>
          <w:rFonts w:eastAsiaTheme="minorHAnsi"/>
        </w:rPr>
      </w:pPr>
      <w:r w:rsidRPr="000A431F">
        <w:rPr>
          <w:rFonts w:eastAsiaTheme="minorHAnsi"/>
        </w:rPr>
        <w:t>Regarding the selection criteria, the ICD-10 diagnostic coding system is used at HUVN. Since this system does not have a specific category for FEP, in order to reduce selection bias, all ICD-10 coding (F20</w:t>
      </w:r>
      <w:r w:rsidR="00232F67" w:rsidRPr="000A431F">
        <w:rPr>
          <w:rFonts w:eastAsiaTheme="minorHAnsi"/>
        </w:rPr>
        <w:t>–</w:t>
      </w:r>
      <w:r w:rsidRPr="000A431F">
        <w:rPr>
          <w:rFonts w:eastAsiaTheme="minorHAnsi"/>
        </w:rPr>
        <w:t>F29) associated with psychotic disorders was reviewed</w:t>
      </w:r>
      <w:r w:rsidR="00984981">
        <w:rPr>
          <w:rFonts w:eastAsiaTheme="minorHAnsi"/>
        </w:rPr>
        <w:t>,</w:t>
      </w:r>
      <w:r w:rsidRPr="000A431F">
        <w:rPr>
          <w:rFonts w:eastAsiaTheme="minorHAnsi"/>
        </w:rPr>
        <w:t xml:space="preserve"> and cases classified as Brief Psychotic Disorder (F23) were selected. Subsequently, the medical records were reviewed to ensure that there were no previous episodes of psychosis. Inclusion and exclusion criteria are detailed below:</w:t>
      </w:r>
    </w:p>
    <w:p w14:paraId="02F83FF3" w14:textId="77777777" w:rsidR="00A160F0" w:rsidRPr="000A431F" w:rsidRDefault="00A160F0" w:rsidP="009A657C">
      <w:pPr>
        <w:spacing w:before="60" w:after="60"/>
        <w:ind w:left="3033" w:hanging="425"/>
        <w:rPr>
          <w:rFonts w:eastAsiaTheme="minorHAnsi"/>
          <w:b/>
          <w:bCs/>
          <w14:ligatures w14:val="standardContextual"/>
        </w:rPr>
      </w:pPr>
      <w:commentRangeStart w:id="13"/>
      <w:r w:rsidRPr="000A431F">
        <w:rPr>
          <w:rFonts w:eastAsiaTheme="minorHAnsi"/>
          <w:b/>
          <w:bCs/>
          <w:highlight w:val="yellow"/>
          <w14:ligatures w14:val="standardContextual"/>
        </w:rPr>
        <w:t xml:space="preserve">Inclusion </w:t>
      </w:r>
      <w:commentRangeEnd w:id="13"/>
      <w:r w:rsidR="00610B7F" w:rsidRPr="000A431F">
        <w:rPr>
          <w:rStyle w:val="CommentReference"/>
        </w:rPr>
        <w:commentReference w:id="13"/>
      </w:r>
      <w:r w:rsidRPr="000A431F">
        <w:rPr>
          <w:rFonts w:eastAsiaTheme="minorHAnsi"/>
          <w:b/>
          <w:bCs/>
          <w:highlight w:val="yellow"/>
          <w14:ligatures w14:val="standardContextual"/>
        </w:rPr>
        <w:t>criteria:</w:t>
      </w:r>
    </w:p>
    <w:p w14:paraId="08B9FA8A" w14:textId="4F9AEFB5" w:rsidR="00A160F0" w:rsidRPr="000A431F" w:rsidRDefault="00A160F0" w:rsidP="00382F8E">
      <w:pPr>
        <w:pStyle w:val="ListParagraph"/>
        <w:numPr>
          <w:ilvl w:val="0"/>
          <w:numId w:val="35"/>
        </w:numPr>
        <w:adjustRightInd w:val="0"/>
        <w:snapToGrid w:val="0"/>
        <w:spacing w:before="60" w:after="0" w:line="280" w:lineRule="atLeast"/>
        <w:ind w:left="3458" w:hanging="425"/>
        <w:contextualSpacing w:val="0"/>
        <w:rPr>
          <w:rFonts w:ascii="Palatino Linotype" w:hAnsi="Palatino Linotype"/>
          <w:sz w:val="20"/>
          <w:szCs w:val="20"/>
          <w:lang w:val="en-US"/>
        </w:rPr>
      </w:pPr>
      <w:r w:rsidRPr="000A431F">
        <w:rPr>
          <w:rFonts w:ascii="Palatino Linotype" w:hAnsi="Palatino Linotype"/>
          <w:sz w:val="20"/>
          <w:szCs w:val="20"/>
          <w:lang w:val="en-US"/>
        </w:rPr>
        <w:t>Patients of legal age (&gt;18 years old).</w:t>
      </w:r>
    </w:p>
    <w:p w14:paraId="61CD2885" w14:textId="77777777" w:rsidR="00A160F0" w:rsidRPr="000A431F" w:rsidRDefault="00A160F0" w:rsidP="00382F8E">
      <w:pPr>
        <w:pStyle w:val="ListParagraph"/>
        <w:numPr>
          <w:ilvl w:val="0"/>
          <w:numId w:val="35"/>
        </w:numPr>
        <w:adjustRightInd w:val="0"/>
        <w:snapToGrid w:val="0"/>
        <w:spacing w:after="0" w:line="280" w:lineRule="atLeast"/>
        <w:ind w:left="3458" w:hanging="425"/>
        <w:contextualSpacing w:val="0"/>
        <w:rPr>
          <w:rFonts w:ascii="Palatino Linotype" w:hAnsi="Palatino Linotype"/>
          <w:sz w:val="20"/>
          <w:szCs w:val="20"/>
          <w:lang w:val="en-US"/>
        </w:rPr>
      </w:pPr>
      <w:r w:rsidRPr="000A431F">
        <w:rPr>
          <w:rFonts w:ascii="Palatino Linotype" w:hAnsi="Palatino Linotype"/>
          <w:sz w:val="20"/>
          <w:szCs w:val="20"/>
          <w:lang w:val="en-US"/>
        </w:rPr>
        <w:t>Diagnosis of Brief Psychotic Disorder (F23 according to ICD-10) at discharge recorded in the minimum core data set of the clinical information system.</w:t>
      </w:r>
    </w:p>
    <w:p w14:paraId="1698637B" w14:textId="77777777" w:rsidR="00A160F0" w:rsidRPr="000A431F" w:rsidRDefault="00A160F0" w:rsidP="00382F8E">
      <w:pPr>
        <w:pStyle w:val="ListParagraph"/>
        <w:numPr>
          <w:ilvl w:val="0"/>
          <w:numId w:val="35"/>
        </w:numPr>
        <w:adjustRightInd w:val="0"/>
        <w:snapToGrid w:val="0"/>
        <w:spacing w:after="0" w:line="280" w:lineRule="atLeast"/>
        <w:ind w:left="3458" w:hanging="425"/>
        <w:contextualSpacing w:val="0"/>
        <w:rPr>
          <w:rFonts w:ascii="Palatino Linotype" w:hAnsi="Palatino Linotype"/>
          <w:sz w:val="20"/>
          <w:szCs w:val="20"/>
          <w:lang w:val="en-US"/>
        </w:rPr>
      </w:pPr>
      <w:r w:rsidRPr="000A431F">
        <w:rPr>
          <w:rFonts w:ascii="Palatino Linotype" w:hAnsi="Palatino Linotype"/>
          <w:sz w:val="20"/>
          <w:szCs w:val="20"/>
          <w:lang w:val="en-US"/>
        </w:rPr>
        <w:t>Absence of psychotic episode prior to admission according to medical history information.</w:t>
      </w:r>
    </w:p>
    <w:p w14:paraId="6F2D22D3" w14:textId="77777777" w:rsidR="00A160F0" w:rsidRPr="000A431F" w:rsidRDefault="00A160F0" w:rsidP="00382F8E">
      <w:pPr>
        <w:pStyle w:val="ListParagraph"/>
        <w:numPr>
          <w:ilvl w:val="0"/>
          <w:numId w:val="35"/>
        </w:numPr>
        <w:adjustRightInd w:val="0"/>
        <w:snapToGrid w:val="0"/>
        <w:spacing w:after="60" w:line="280" w:lineRule="atLeast"/>
        <w:ind w:left="3458" w:hanging="425"/>
        <w:contextualSpacing w:val="0"/>
        <w:rPr>
          <w:rFonts w:ascii="Palatino Linotype" w:hAnsi="Palatino Linotype"/>
          <w:sz w:val="20"/>
          <w:szCs w:val="20"/>
          <w:lang w:val="en-US"/>
        </w:rPr>
      </w:pPr>
      <w:r w:rsidRPr="000A431F">
        <w:rPr>
          <w:rFonts w:ascii="Palatino Linotype" w:hAnsi="Palatino Linotype"/>
          <w:sz w:val="20"/>
          <w:szCs w:val="20"/>
          <w:lang w:val="en-US"/>
        </w:rPr>
        <w:t>Available structural neuroimaging test (CT and/or MRI) within 30 days before or after the date of admission.</w:t>
      </w:r>
    </w:p>
    <w:p w14:paraId="319DDAE2" w14:textId="77777777" w:rsidR="00A160F0" w:rsidRPr="000A431F" w:rsidRDefault="00A160F0" w:rsidP="009A657C">
      <w:pPr>
        <w:spacing w:before="60" w:after="60"/>
        <w:ind w:left="3033" w:hanging="425"/>
        <w:rPr>
          <w:b/>
          <w:bCs/>
        </w:rPr>
      </w:pPr>
      <w:r w:rsidRPr="000A431F">
        <w:rPr>
          <w:b/>
          <w:bCs/>
          <w:highlight w:val="yellow"/>
        </w:rPr>
        <w:t>Exclusion criteria:</w:t>
      </w:r>
    </w:p>
    <w:p w14:paraId="0FE2EF0A" w14:textId="77777777" w:rsidR="00A160F0" w:rsidRPr="000A431F" w:rsidRDefault="00A160F0" w:rsidP="002627B5">
      <w:pPr>
        <w:pStyle w:val="ListParagraph"/>
        <w:numPr>
          <w:ilvl w:val="0"/>
          <w:numId w:val="37"/>
        </w:numPr>
        <w:adjustRightInd w:val="0"/>
        <w:snapToGrid w:val="0"/>
        <w:spacing w:after="0" w:line="280" w:lineRule="atLeast"/>
        <w:ind w:left="3458" w:hanging="425"/>
        <w:contextualSpacing w:val="0"/>
        <w:rPr>
          <w:rFonts w:ascii="Palatino Linotype" w:hAnsi="Palatino Linotype"/>
          <w:sz w:val="20"/>
          <w:szCs w:val="20"/>
          <w:lang w:val="en-US"/>
        </w:rPr>
      </w:pPr>
      <w:r w:rsidRPr="000A431F">
        <w:rPr>
          <w:rFonts w:ascii="Palatino Linotype" w:hAnsi="Palatino Linotype"/>
          <w:sz w:val="20"/>
          <w:szCs w:val="20"/>
          <w:lang w:val="en-US"/>
        </w:rPr>
        <w:t>History of brain surgery or moderate or severe traumatic brain injury.</w:t>
      </w:r>
    </w:p>
    <w:p w14:paraId="0FF90B6F" w14:textId="77777777" w:rsidR="00A160F0" w:rsidRPr="000A431F" w:rsidRDefault="00A160F0" w:rsidP="002627B5">
      <w:pPr>
        <w:pStyle w:val="ListParagraph"/>
        <w:numPr>
          <w:ilvl w:val="0"/>
          <w:numId w:val="37"/>
        </w:numPr>
        <w:adjustRightInd w:val="0"/>
        <w:snapToGrid w:val="0"/>
        <w:spacing w:after="0" w:line="280" w:lineRule="atLeast"/>
        <w:ind w:left="3458" w:hanging="425"/>
        <w:contextualSpacing w:val="0"/>
        <w:rPr>
          <w:rFonts w:ascii="Palatino Linotype" w:hAnsi="Palatino Linotype"/>
          <w:sz w:val="20"/>
          <w:szCs w:val="20"/>
          <w:lang w:val="en-US"/>
        </w:rPr>
      </w:pPr>
      <w:r w:rsidRPr="000A431F">
        <w:rPr>
          <w:rFonts w:ascii="Palatino Linotype" w:hAnsi="Palatino Linotype"/>
          <w:sz w:val="20"/>
          <w:szCs w:val="20"/>
          <w:lang w:val="en-US"/>
        </w:rPr>
        <w:lastRenderedPageBreak/>
        <w:t>Lack of neuroimaging tests available in the hospital Picture Archiving and Communication System (PACS).</w:t>
      </w:r>
    </w:p>
    <w:p w14:paraId="603848A9" w14:textId="77777777" w:rsidR="00A160F0" w:rsidRPr="000A431F" w:rsidRDefault="00A160F0" w:rsidP="002627B5">
      <w:pPr>
        <w:pStyle w:val="ListParagraph"/>
        <w:numPr>
          <w:ilvl w:val="0"/>
          <w:numId w:val="37"/>
        </w:numPr>
        <w:adjustRightInd w:val="0"/>
        <w:snapToGrid w:val="0"/>
        <w:spacing w:after="0" w:line="280" w:lineRule="atLeast"/>
        <w:ind w:left="3458" w:hanging="425"/>
        <w:contextualSpacing w:val="0"/>
        <w:rPr>
          <w:rFonts w:ascii="Palatino Linotype" w:hAnsi="Palatino Linotype"/>
          <w:sz w:val="20"/>
          <w:szCs w:val="20"/>
          <w:lang w:val="en-US"/>
        </w:rPr>
      </w:pPr>
      <w:r w:rsidRPr="000A431F">
        <w:rPr>
          <w:rFonts w:ascii="Palatino Linotype" w:hAnsi="Palatino Linotype"/>
          <w:sz w:val="20"/>
          <w:szCs w:val="20"/>
          <w:lang w:val="en-US"/>
        </w:rPr>
        <w:t>Non-diagnostic quality of imaging tests (artifacts, incomplete study, etc.).</w:t>
      </w:r>
    </w:p>
    <w:p w14:paraId="6A486318" w14:textId="77777777" w:rsidR="00A160F0" w:rsidRPr="000A431F" w:rsidRDefault="00A160F0" w:rsidP="002627B5">
      <w:pPr>
        <w:pStyle w:val="ListParagraph"/>
        <w:numPr>
          <w:ilvl w:val="0"/>
          <w:numId w:val="37"/>
        </w:numPr>
        <w:adjustRightInd w:val="0"/>
        <w:snapToGrid w:val="0"/>
        <w:spacing w:after="0" w:line="280" w:lineRule="atLeast"/>
        <w:ind w:left="3458" w:hanging="425"/>
        <w:contextualSpacing w:val="0"/>
        <w:rPr>
          <w:rFonts w:ascii="Palatino Linotype" w:hAnsi="Palatino Linotype"/>
          <w:sz w:val="20"/>
          <w:szCs w:val="20"/>
          <w:lang w:val="en-US"/>
        </w:rPr>
      </w:pPr>
      <w:r w:rsidRPr="000A431F">
        <w:rPr>
          <w:rFonts w:ascii="Palatino Linotype" w:hAnsi="Palatino Linotype"/>
          <w:sz w:val="20"/>
          <w:szCs w:val="20"/>
          <w:lang w:val="en-US"/>
        </w:rPr>
        <w:t>Lack of radiological report.</w:t>
      </w:r>
    </w:p>
    <w:p w14:paraId="760E788A" w14:textId="77777777" w:rsidR="00A160F0" w:rsidRPr="000A431F" w:rsidRDefault="00A160F0" w:rsidP="002627B5">
      <w:pPr>
        <w:pStyle w:val="ListParagraph"/>
        <w:numPr>
          <w:ilvl w:val="0"/>
          <w:numId w:val="37"/>
        </w:numPr>
        <w:adjustRightInd w:val="0"/>
        <w:snapToGrid w:val="0"/>
        <w:spacing w:after="60" w:line="280" w:lineRule="atLeast"/>
        <w:ind w:left="3458" w:hanging="425"/>
        <w:contextualSpacing w:val="0"/>
        <w:rPr>
          <w:rFonts w:ascii="Palatino Linotype" w:hAnsi="Palatino Linotype"/>
          <w:sz w:val="20"/>
          <w:szCs w:val="20"/>
          <w:lang w:val="en-US"/>
        </w:rPr>
      </w:pPr>
      <w:r w:rsidRPr="000A431F">
        <w:rPr>
          <w:rFonts w:ascii="Palatino Linotype" w:hAnsi="Palatino Linotype"/>
          <w:sz w:val="20"/>
          <w:szCs w:val="20"/>
          <w:lang w:val="en-US"/>
        </w:rPr>
        <w:t>Lack of ICD-10 coding.</w:t>
      </w:r>
    </w:p>
    <w:p w14:paraId="24334AC2" w14:textId="6C935F8A" w:rsidR="00A160F0" w:rsidRPr="000A431F" w:rsidRDefault="002627B5" w:rsidP="002627B5">
      <w:pPr>
        <w:pStyle w:val="MDPI22heading2"/>
        <w:spacing w:before="240"/>
      </w:pPr>
      <w:r w:rsidRPr="000A431F">
        <w:t xml:space="preserve">2.2. </w:t>
      </w:r>
      <w:r w:rsidR="00A160F0" w:rsidRPr="000A431F">
        <w:t xml:space="preserve">Study </w:t>
      </w:r>
      <w:r w:rsidR="00BB39D0" w:rsidRPr="000A431F">
        <w:t>Variables</w:t>
      </w:r>
    </w:p>
    <w:p w14:paraId="5EC7BB6F" w14:textId="220E113F" w:rsidR="00A160F0" w:rsidRPr="000A431F" w:rsidRDefault="00A160F0" w:rsidP="002627B5">
      <w:pPr>
        <w:pStyle w:val="MDPI31text"/>
      </w:pPr>
      <w:r w:rsidRPr="000A431F">
        <w:t xml:space="preserve">For each patient included in the study, we collected different data, including demographic variables (age and sex), neuroimaging tests performed (CT, MRI or both), presence of specific structural alterations, and presence and degree of non-specific abnormalities, including </w:t>
      </w:r>
      <w:r w:rsidR="00984981">
        <w:t xml:space="preserve">the </w:t>
      </w:r>
      <w:r w:rsidRPr="000A431F">
        <w:t xml:space="preserve">degree of brain atrophy, </w:t>
      </w:r>
      <w:r w:rsidR="00984981">
        <w:t xml:space="preserve">the </w:t>
      </w:r>
      <w:r w:rsidRPr="000A431F">
        <w:t xml:space="preserve">degree of </w:t>
      </w:r>
      <w:r w:rsidR="000A431F">
        <w:t>Medial Temporal Lobe Atrophy</w:t>
      </w:r>
      <w:r w:rsidRPr="000A431F">
        <w:t xml:space="preserve">, and </w:t>
      </w:r>
      <w:r w:rsidR="00984981">
        <w:t xml:space="preserve">the </w:t>
      </w:r>
      <w:r w:rsidRPr="000A431F">
        <w:t>amount of non-specific white matter lesions (the latter</w:t>
      </w:r>
      <w:r w:rsidR="00984981">
        <w:t xml:space="preserve"> was</w:t>
      </w:r>
      <w:r w:rsidRPr="000A431F">
        <w:t xml:space="preserve"> only evaluated for patients with available MRI).</w:t>
      </w:r>
    </w:p>
    <w:p w14:paraId="2F6E6BB0" w14:textId="7FC7F653" w:rsidR="00A160F0" w:rsidRPr="000A431F" w:rsidRDefault="00A160F0" w:rsidP="002627B5">
      <w:pPr>
        <w:pStyle w:val="MDPI31text"/>
      </w:pPr>
      <w:r w:rsidRPr="000A431F">
        <w:t>For the assessment of non-specific alterations, we employed three scales widely used in clinical practice, as follows:</w:t>
      </w:r>
    </w:p>
    <w:p w14:paraId="3A261B06" w14:textId="0E51DDB4" w:rsidR="00A160F0" w:rsidRPr="000A431F" w:rsidRDefault="00A160F0" w:rsidP="002627B5">
      <w:pPr>
        <w:pStyle w:val="MDPI31text"/>
      </w:pPr>
      <w:commentRangeStart w:id="14"/>
      <w:r w:rsidRPr="000A431F">
        <w:rPr>
          <w:i/>
          <w:iCs/>
          <w:highlight w:val="yellow"/>
        </w:rPr>
        <w:t>Global Cortical Atrophy</w:t>
      </w:r>
      <w:r w:rsidRPr="000A431F">
        <w:rPr>
          <w:i/>
          <w:iCs/>
        </w:rPr>
        <w:t xml:space="preserve"> </w:t>
      </w:r>
      <w:commentRangeEnd w:id="14"/>
      <w:r w:rsidR="006947D4" w:rsidRPr="000A431F">
        <w:rPr>
          <w:rStyle w:val="CommentReference"/>
          <w:rFonts w:eastAsia="宋体"/>
          <w:noProof/>
          <w:snapToGrid/>
          <w:lang w:eastAsia="zh-CN" w:bidi="ar-SA"/>
          <w14:ligatures w14:val="none"/>
        </w:rPr>
        <w:commentReference w:id="14"/>
      </w:r>
      <w:r w:rsidRPr="000A431F">
        <w:t xml:space="preserve">(GCA, Table 1) [27]: </w:t>
      </w:r>
      <w:r w:rsidR="00984981">
        <w:t>This is a q</w:t>
      </w:r>
      <w:r w:rsidRPr="000A431F">
        <w:t xml:space="preserve">ualitative assessment method </w:t>
      </w:r>
      <w:r w:rsidR="00984981">
        <w:t xml:space="preserve">used </w:t>
      </w:r>
      <w:r w:rsidRPr="000A431F">
        <w:t>to evaluate cortical brain atrophy. Th</w:t>
      </w:r>
      <w:r w:rsidR="00984981">
        <w:t>is</w:t>
      </w:r>
      <w:r w:rsidRPr="000A431F">
        <w:t xml:space="preserve"> method considers the evaluation of atrophy in 13 brain regions evaluated separately in each hemisphere. For each of them, a score from 0 to 3 is assigned depending on the severity of atrophy. The final score assigned corresponds to the sum of the scores for each region. The assessed regions include</w:t>
      </w:r>
      <w:r w:rsidR="00984981">
        <w:t xml:space="preserve"> the following</w:t>
      </w:r>
      <w:r w:rsidRPr="000A431F">
        <w:t>:</w:t>
      </w:r>
    </w:p>
    <w:p w14:paraId="62E79815" w14:textId="43DAD770" w:rsidR="00A160F0" w:rsidRPr="000A431F" w:rsidRDefault="00A160F0" w:rsidP="00E54213">
      <w:pPr>
        <w:pStyle w:val="ListParagraph"/>
        <w:numPr>
          <w:ilvl w:val="0"/>
          <w:numId w:val="38"/>
        </w:numPr>
        <w:adjustRightInd w:val="0"/>
        <w:snapToGrid w:val="0"/>
        <w:spacing w:before="60" w:after="0" w:line="280" w:lineRule="atLeast"/>
        <w:ind w:left="3033" w:hanging="425"/>
        <w:contextualSpacing w:val="0"/>
        <w:rPr>
          <w:rFonts w:ascii="Palatino Linotype" w:hAnsi="Palatino Linotype" w:cs="Times New Roman"/>
          <w:sz w:val="20"/>
          <w:szCs w:val="20"/>
          <w:lang w:val="en-US"/>
        </w:rPr>
      </w:pPr>
      <w:r w:rsidRPr="000A431F">
        <w:rPr>
          <w:rFonts w:ascii="Palatino Linotype" w:hAnsi="Palatino Linotype" w:cs="Times New Roman"/>
          <w:sz w:val="20"/>
          <w:szCs w:val="20"/>
          <w:lang w:val="en-US"/>
        </w:rPr>
        <w:t xml:space="preserve">Dilatation of sulci: frontal, parieto-occipital, </w:t>
      </w:r>
      <w:r w:rsidR="00984981">
        <w:rPr>
          <w:rFonts w:ascii="Palatino Linotype" w:hAnsi="Palatino Linotype" w:cs="Times New Roman"/>
          <w:sz w:val="20"/>
          <w:szCs w:val="20"/>
          <w:lang w:val="en-US"/>
        </w:rPr>
        <w:t xml:space="preserve">and </w:t>
      </w:r>
      <w:r w:rsidRPr="000A431F">
        <w:rPr>
          <w:rFonts w:ascii="Palatino Linotype" w:hAnsi="Palatino Linotype" w:cs="Times New Roman"/>
          <w:sz w:val="20"/>
          <w:szCs w:val="20"/>
          <w:lang w:val="en-US"/>
        </w:rPr>
        <w:t>temporal (right and left).</w:t>
      </w:r>
    </w:p>
    <w:p w14:paraId="69C254D6" w14:textId="10A314A8" w:rsidR="00A160F0" w:rsidRPr="000A431F" w:rsidRDefault="00A160F0" w:rsidP="00E54213">
      <w:pPr>
        <w:pStyle w:val="ListParagraph"/>
        <w:numPr>
          <w:ilvl w:val="0"/>
          <w:numId w:val="38"/>
        </w:numPr>
        <w:adjustRightInd w:val="0"/>
        <w:snapToGrid w:val="0"/>
        <w:spacing w:after="60" w:line="280" w:lineRule="atLeast"/>
        <w:ind w:left="3033" w:hanging="425"/>
        <w:contextualSpacing w:val="0"/>
        <w:rPr>
          <w:rFonts w:ascii="Palatino Linotype" w:hAnsi="Palatino Linotype" w:cs="Times New Roman"/>
          <w:sz w:val="20"/>
          <w:szCs w:val="20"/>
          <w:lang w:val="en-US"/>
        </w:rPr>
      </w:pPr>
      <w:r w:rsidRPr="000A431F">
        <w:rPr>
          <w:rFonts w:ascii="Palatino Linotype" w:hAnsi="Palatino Linotype" w:cs="Times New Roman"/>
          <w:sz w:val="20"/>
          <w:szCs w:val="20"/>
          <w:lang w:val="en-US"/>
        </w:rPr>
        <w:t xml:space="preserve">Ventricular dilatation: frontal, parieto-occipital, </w:t>
      </w:r>
      <w:r w:rsidR="00984981">
        <w:rPr>
          <w:rFonts w:ascii="Palatino Linotype" w:hAnsi="Palatino Linotype" w:cs="Times New Roman"/>
          <w:sz w:val="20"/>
          <w:szCs w:val="20"/>
          <w:lang w:val="en-US"/>
        </w:rPr>
        <w:t xml:space="preserve">and </w:t>
      </w:r>
      <w:r w:rsidRPr="000A431F">
        <w:rPr>
          <w:rFonts w:ascii="Palatino Linotype" w:hAnsi="Palatino Linotype" w:cs="Times New Roman"/>
          <w:sz w:val="20"/>
          <w:szCs w:val="20"/>
          <w:lang w:val="en-US"/>
        </w:rPr>
        <w:t>temporal (right and left); third ventricle.</w:t>
      </w:r>
    </w:p>
    <w:p w14:paraId="5F3D9591" w14:textId="67C375CA" w:rsidR="00A160F0" w:rsidRPr="000A431F" w:rsidRDefault="00A160F0" w:rsidP="003240F9">
      <w:pPr>
        <w:pStyle w:val="MDPI41tablecaption"/>
        <w:jc w:val="both"/>
      </w:pPr>
      <w:r w:rsidRPr="000A431F">
        <w:rPr>
          <w:b/>
          <w:bCs/>
        </w:rPr>
        <w:t>Table 1.</w:t>
      </w:r>
      <w:r w:rsidRPr="000A431F">
        <w:rPr>
          <w:b/>
        </w:rPr>
        <w:t xml:space="preserve"> </w:t>
      </w:r>
      <w:r w:rsidRPr="000A431F">
        <w:t xml:space="preserve">Characteristics of the Global Cortical Atrophy scale </w:t>
      </w:r>
      <w:r w:rsidRPr="000A431F">
        <w:rPr>
          <w:highlight w:val="yellow"/>
        </w:rPr>
        <w:t>[</w:t>
      </w:r>
      <w:commentRangeStart w:id="15"/>
      <w:r w:rsidRPr="000A431F">
        <w:rPr>
          <w:highlight w:val="yellow"/>
        </w:rPr>
        <w:t>27</w:t>
      </w:r>
      <w:commentRangeEnd w:id="15"/>
      <w:r w:rsidR="003822BB" w:rsidRPr="000A431F">
        <w:rPr>
          <w:rStyle w:val="CommentReference"/>
          <w:rFonts w:eastAsia="宋体" w:cs="Times New Roman"/>
          <w:noProof/>
          <w:lang w:eastAsia="zh-CN" w:bidi="ar-SA"/>
          <w14:ligatures w14:val="none"/>
        </w:rPr>
        <w:commentReference w:id="15"/>
      </w:r>
      <w:r w:rsidRPr="000A431F">
        <w:rPr>
          <w:highlight w:val="yellow"/>
        </w:rPr>
        <w:t>]</w:t>
      </w:r>
      <w:r w:rsidRPr="000A431F">
        <w:t>. The reference thresholds are based on the studies of Ferreira et al. (2015) [</w:t>
      </w:r>
      <w:r w:rsidRPr="000A431F">
        <w:rPr>
          <w:highlight w:val="yellow"/>
        </w:rPr>
        <w:t>28</w:t>
      </w:r>
      <w:r w:rsidRPr="000A431F">
        <w:t>] and Rhodius-Meester et al. (2017) [</w:t>
      </w:r>
      <w:r w:rsidRPr="000A431F">
        <w:rPr>
          <w:highlight w:val="yellow"/>
        </w:rPr>
        <w:t>29</w:t>
      </w:r>
      <w:r w:rsidRPr="000A431F">
        <w:t>].</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4"/>
        <w:gridCol w:w="3149"/>
        <w:gridCol w:w="3678"/>
        <w:gridCol w:w="2764"/>
      </w:tblGrid>
      <w:tr w:rsidR="00A160F0" w:rsidRPr="000A431F" w14:paraId="35FA2F83" w14:textId="77777777" w:rsidTr="003240F9">
        <w:trPr>
          <w:jc w:val="center"/>
        </w:trPr>
        <w:tc>
          <w:tcPr>
            <w:tcW w:w="872" w:type="dxa"/>
            <w:tcBorders>
              <w:top w:val="single" w:sz="8" w:space="0" w:color="auto"/>
              <w:bottom w:val="single" w:sz="4" w:space="0" w:color="auto"/>
            </w:tcBorders>
            <w:shd w:val="clear" w:color="auto" w:fill="auto"/>
            <w:vAlign w:val="center"/>
            <w:hideMark/>
          </w:tcPr>
          <w:p w14:paraId="589FD73B" w14:textId="77777777" w:rsidR="00A160F0" w:rsidRPr="000A431F" w:rsidRDefault="00A160F0" w:rsidP="003240F9">
            <w:pPr>
              <w:autoSpaceDE w:val="0"/>
              <w:autoSpaceDN w:val="0"/>
              <w:adjustRightInd w:val="0"/>
              <w:snapToGrid w:val="0"/>
              <w:spacing w:line="240" w:lineRule="auto"/>
              <w:jc w:val="left"/>
              <w:rPr>
                <w:b/>
                <w:bCs/>
              </w:rPr>
            </w:pPr>
            <w:r w:rsidRPr="000A431F">
              <w:rPr>
                <w:b/>
                <w:bCs/>
              </w:rPr>
              <w:t>Score</w:t>
            </w:r>
          </w:p>
        </w:tc>
        <w:tc>
          <w:tcPr>
            <w:tcW w:w="3140" w:type="dxa"/>
            <w:tcBorders>
              <w:top w:val="single" w:sz="8" w:space="0" w:color="auto"/>
              <w:bottom w:val="single" w:sz="4" w:space="0" w:color="auto"/>
            </w:tcBorders>
            <w:shd w:val="clear" w:color="auto" w:fill="auto"/>
            <w:vAlign w:val="center"/>
            <w:hideMark/>
          </w:tcPr>
          <w:p w14:paraId="0710E06F" w14:textId="77777777" w:rsidR="00A160F0" w:rsidRPr="000A431F" w:rsidRDefault="00A160F0" w:rsidP="003240F9">
            <w:pPr>
              <w:autoSpaceDE w:val="0"/>
              <w:autoSpaceDN w:val="0"/>
              <w:adjustRightInd w:val="0"/>
              <w:snapToGrid w:val="0"/>
              <w:spacing w:line="240" w:lineRule="auto"/>
              <w:jc w:val="left"/>
              <w:rPr>
                <w:b/>
                <w:bCs/>
              </w:rPr>
            </w:pPr>
            <w:r w:rsidRPr="000A431F">
              <w:rPr>
                <w:b/>
                <w:bCs/>
              </w:rPr>
              <w:t>Definition</w:t>
            </w:r>
          </w:p>
        </w:tc>
        <w:tc>
          <w:tcPr>
            <w:tcW w:w="3668" w:type="dxa"/>
            <w:tcBorders>
              <w:top w:val="single" w:sz="8" w:space="0" w:color="auto"/>
              <w:bottom w:val="single" w:sz="4" w:space="0" w:color="auto"/>
            </w:tcBorders>
            <w:shd w:val="clear" w:color="auto" w:fill="auto"/>
            <w:vAlign w:val="center"/>
          </w:tcPr>
          <w:p w14:paraId="2D7EA850" w14:textId="0332E4E0" w:rsidR="00A160F0" w:rsidRPr="000A431F" w:rsidRDefault="00A160F0" w:rsidP="003240F9">
            <w:pPr>
              <w:autoSpaceDE w:val="0"/>
              <w:autoSpaceDN w:val="0"/>
              <w:adjustRightInd w:val="0"/>
              <w:snapToGrid w:val="0"/>
              <w:spacing w:line="240" w:lineRule="auto"/>
              <w:jc w:val="left"/>
              <w:rPr>
                <w:b/>
                <w:bCs/>
              </w:rPr>
            </w:pPr>
            <w:r w:rsidRPr="000A431F">
              <w:rPr>
                <w:b/>
                <w:bCs/>
              </w:rPr>
              <w:t xml:space="preserve">Radiological </w:t>
            </w:r>
            <w:r w:rsidR="00B40371" w:rsidRPr="000A431F">
              <w:rPr>
                <w:b/>
                <w:bCs/>
              </w:rPr>
              <w:t>Semiology</w:t>
            </w:r>
          </w:p>
        </w:tc>
        <w:tc>
          <w:tcPr>
            <w:tcW w:w="2756" w:type="dxa"/>
            <w:tcBorders>
              <w:top w:val="single" w:sz="8" w:space="0" w:color="auto"/>
              <w:bottom w:val="single" w:sz="4" w:space="0" w:color="auto"/>
            </w:tcBorders>
            <w:shd w:val="clear" w:color="auto" w:fill="auto"/>
            <w:vAlign w:val="center"/>
          </w:tcPr>
          <w:p w14:paraId="6F0BE26C" w14:textId="77777777" w:rsidR="00A160F0" w:rsidRPr="000A431F" w:rsidRDefault="00A160F0" w:rsidP="003240F9">
            <w:pPr>
              <w:autoSpaceDE w:val="0"/>
              <w:autoSpaceDN w:val="0"/>
              <w:adjustRightInd w:val="0"/>
              <w:snapToGrid w:val="0"/>
              <w:spacing w:line="240" w:lineRule="auto"/>
              <w:jc w:val="left"/>
              <w:rPr>
                <w:b/>
                <w:bCs/>
              </w:rPr>
            </w:pPr>
            <w:r w:rsidRPr="000A431F">
              <w:rPr>
                <w:b/>
                <w:bCs/>
              </w:rPr>
              <w:t>Threshold</w:t>
            </w:r>
          </w:p>
        </w:tc>
      </w:tr>
      <w:tr w:rsidR="00A160F0" w:rsidRPr="000A431F" w14:paraId="2A8D7B4E" w14:textId="77777777" w:rsidTr="003240F9">
        <w:trPr>
          <w:jc w:val="center"/>
        </w:trPr>
        <w:tc>
          <w:tcPr>
            <w:tcW w:w="872" w:type="dxa"/>
            <w:tcBorders>
              <w:top w:val="single" w:sz="4" w:space="0" w:color="auto"/>
            </w:tcBorders>
            <w:shd w:val="clear" w:color="auto" w:fill="auto"/>
            <w:vAlign w:val="center"/>
            <w:hideMark/>
          </w:tcPr>
          <w:p w14:paraId="59FD8C2E" w14:textId="77777777" w:rsidR="00A160F0" w:rsidRPr="000A431F" w:rsidRDefault="00A160F0" w:rsidP="003240F9">
            <w:pPr>
              <w:autoSpaceDE w:val="0"/>
              <w:autoSpaceDN w:val="0"/>
              <w:adjustRightInd w:val="0"/>
              <w:snapToGrid w:val="0"/>
              <w:spacing w:line="240" w:lineRule="auto"/>
              <w:jc w:val="left"/>
            </w:pPr>
            <w:r w:rsidRPr="000A431F">
              <w:t>0</w:t>
            </w:r>
          </w:p>
        </w:tc>
        <w:tc>
          <w:tcPr>
            <w:tcW w:w="3140" w:type="dxa"/>
            <w:tcBorders>
              <w:top w:val="single" w:sz="4" w:space="0" w:color="auto"/>
            </w:tcBorders>
            <w:shd w:val="clear" w:color="auto" w:fill="auto"/>
            <w:vAlign w:val="center"/>
            <w:hideMark/>
          </w:tcPr>
          <w:p w14:paraId="6EF7A783" w14:textId="77777777" w:rsidR="00A160F0" w:rsidRPr="000A431F" w:rsidRDefault="00A160F0" w:rsidP="003240F9">
            <w:pPr>
              <w:autoSpaceDE w:val="0"/>
              <w:autoSpaceDN w:val="0"/>
              <w:adjustRightInd w:val="0"/>
              <w:snapToGrid w:val="0"/>
              <w:spacing w:line="240" w:lineRule="auto"/>
              <w:jc w:val="left"/>
            </w:pPr>
            <w:r w:rsidRPr="000A431F">
              <w:t>Absent atrophy</w:t>
            </w:r>
          </w:p>
        </w:tc>
        <w:tc>
          <w:tcPr>
            <w:tcW w:w="3668" w:type="dxa"/>
            <w:tcBorders>
              <w:top w:val="single" w:sz="4" w:space="0" w:color="auto"/>
            </w:tcBorders>
            <w:shd w:val="clear" w:color="auto" w:fill="auto"/>
            <w:vAlign w:val="center"/>
          </w:tcPr>
          <w:p w14:paraId="2DE22E86" w14:textId="77777777" w:rsidR="00A160F0" w:rsidRPr="000A431F" w:rsidRDefault="00A160F0" w:rsidP="003240F9">
            <w:pPr>
              <w:autoSpaceDE w:val="0"/>
              <w:autoSpaceDN w:val="0"/>
              <w:adjustRightInd w:val="0"/>
              <w:snapToGrid w:val="0"/>
              <w:spacing w:line="240" w:lineRule="auto"/>
              <w:jc w:val="left"/>
            </w:pPr>
            <w:r w:rsidRPr="000A431F">
              <w:t>No alterations</w:t>
            </w:r>
          </w:p>
        </w:tc>
        <w:tc>
          <w:tcPr>
            <w:tcW w:w="2756" w:type="dxa"/>
            <w:tcBorders>
              <w:top w:val="single" w:sz="4" w:space="0" w:color="auto"/>
            </w:tcBorders>
            <w:shd w:val="clear" w:color="auto" w:fill="auto"/>
            <w:vAlign w:val="center"/>
          </w:tcPr>
          <w:p w14:paraId="591F8DBD" w14:textId="77777777" w:rsidR="00A160F0" w:rsidRPr="000A431F" w:rsidRDefault="00A160F0" w:rsidP="003240F9">
            <w:pPr>
              <w:autoSpaceDE w:val="0"/>
              <w:autoSpaceDN w:val="0"/>
              <w:adjustRightInd w:val="0"/>
              <w:snapToGrid w:val="0"/>
              <w:spacing w:line="240" w:lineRule="auto"/>
              <w:jc w:val="left"/>
            </w:pPr>
            <w:r w:rsidRPr="000A431F">
              <w:t>Normal at any age</w:t>
            </w:r>
          </w:p>
        </w:tc>
      </w:tr>
      <w:tr w:rsidR="00A160F0" w:rsidRPr="000A431F" w14:paraId="620AFA47" w14:textId="77777777" w:rsidTr="003240F9">
        <w:trPr>
          <w:jc w:val="center"/>
        </w:trPr>
        <w:tc>
          <w:tcPr>
            <w:tcW w:w="872" w:type="dxa"/>
            <w:shd w:val="clear" w:color="auto" w:fill="auto"/>
            <w:vAlign w:val="center"/>
            <w:hideMark/>
          </w:tcPr>
          <w:p w14:paraId="10C02B8B" w14:textId="77777777" w:rsidR="00A160F0" w:rsidRPr="000A431F" w:rsidRDefault="00A160F0" w:rsidP="003240F9">
            <w:pPr>
              <w:autoSpaceDE w:val="0"/>
              <w:autoSpaceDN w:val="0"/>
              <w:adjustRightInd w:val="0"/>
              <w:snapToGrid w:val="0"/>
              <w:spacing w:line="240" w:lineRule="auto"/>
              <w:jc w:val="left"/>
            </w:pPr>
            <w:r w:rsidRPr="000A431F">
              <w:t>1</w:t>
            </w:r>
          </w:p>
        </w:tc>
        <w:tc>
          <w:tcPr>
            <w:tcW w:w="3140" w:type="dxa"/>
            <w:shd w:val="clear" w:color="auto" w:fill="auto"/>
            <w:vAlign w:val="center"/>
            <w:hideMark/>
          </w:tcPr>
          <w:p w14:paraId="37531C8F" w14:textId="77777777" w:rsidR="00A160F0" w:rsidRPr="000A431F" w:rsidRDefault="00A160F0" w:rsidP="003240F9">
            <w:pPr>
              <w:autoSpaceDE w:val="0"/>
              <w:autoSpaceDN w:val="0"/>
              <w:adjustRightInd w:val="0"/>
              <w:snapToGrid w:val="0"/>
              <w:spacing w:line="240" w:lineRule="auto"/>
              <w:jc w:val="left"/>
            </w:pPr>
            <w:r w:rsidRPr="000A431F">
              <w:t>Mild atrophy</w:t>
            </w:r>
          </w:p>
        </w:tc>
        <w:tc>
          <w:tcPr>
            <w:tcW w:w="3668" w:type="dxa"/>
            <w:shd w:val="clear" w:color="auto" w:fill="auto"/>
            <w:vAlign w:val="center"/>
          </w:tcPr>
          <w:p w14:paraId="0A7B621C" w14:textId="77777777" w:rsidR="00A160F0" w:rsidRPr="000A431F" w:rsidRDefault="00A160F0" w:rsidP="003240F9">
            <w:pPr>
              <w:autoSpaceDE w:val="0"/>
              <w:autoSpaceDN w:val="0"/>
              <w:adjustRightInd w:val="0"/>
              <w:snapToGrid w:val="0"/>
              <w:spacing w:line="240" w:lineRule="auto"/>
              <w:jc w:val="left"/>
            </w:pPr>
            <w:r w:rsidRPr="000A431F">
              <w:t>Widening of cortical grooves</w:t>
            </w:r>
          </w:p>
        </w:tc>
        <w:tc>
          <w:tcPr>
            <w:tcW w:w="2756" w:type="dxa"/>
            <w:shd w:val="clear" w:color="auto" w:fill="auto"/>
            <w:vAlign w:val="center"/>
          </w:tcPr>
          <w:p w14:paraId="3A6F7C94" w14:textId="77777777" w:rsidR="00A160F0" w:rsidRPr="000A431F" w:rsidRDefault="00A160F0" w:rsidP="003240F9">
            <w:pPr>
              <w:autoSpaceDE w:val="0"/>
              <w:autoSpaceDN w:val="0"/>
              <w:adjustRightInd w:val="0"/>
              <w:snapToGrid w:val="0"/>
              <w:spacing w:line="240" w:lineRule="auto"/>
              <w:jc w:val="left"/>
            </w:pPr>
            <w:r w:rsidRPr="000A431F">
              <w:t>Indicates atrophy if &lt;65 years</w:t>
            </w:r>
          </w:p>
        </w:tc>
      </w:tr>
      <w:tr w:rsidR="00A160F0" w:rsidRPr="000A431F" w14:paraId="5B589933" w14:textId="77777777" w:rsidTr="003240F9">
        <w:trPr>
          <w:jc w:val="center"/>
        </w:trPr>
        <w:tc>
          <w:tcPr>
            <w:tcW w:w="872" w:type="dxa"/>
            <w:shd w:val="clear" w:color="auto" w:fill="auto"/>
            <w:vAlign w:val="center"/>
            <w:hideMark/>
          </w:tcPr>
          <w:p w14:paraId="5A305EB1" w14:textId="77777777" w:rsidR="00A160F0" w:rsidRPr="000A431F" w:rsidRDefault="00A160F0" w:rsidP="003240F9">
            <w:pPr>
              <w:autoSpaceDE w:val="0"/>
              <w:autoSpaceDN w:val="0"/>
              <w:adjustRightInd w:val="0"/>
              <w:snapToGrid w:val="0"/>
              <w:spacing w:line="240" w:lineRule="auto"/>
              <w:jc w:val="left"/>
            </w:pPr>
            <w:r w:rsidRPr="000A431F">
              <w:t>2</w:t>
            </w:r>
          </w:p>
        </w:tc>
        <w:tc>
          <w:tcPr>
            <w:tcW w:w="3140" w:type="dxa"/>
            <w:shd w:val="clear" w:color="auto" w:fill="auto"/>
            <w:vAlign w:val="center"/>
            <w:hideMark/>
          </w:tcPr>
          <w:p w14:paraId="0CAD9188" w14:textId="77777777" w:rsidR="00A160F0" w:rsidRPr="000A431F" w:rsidRDefault="00A160F0" w:rsidP="003240F9">
            <w:pPr>
              <w:autoSpaceDE w:val="0"/>
              <w:autoSpaceDN w:val="0"/>
              <w:adjustRightInd w:val="0"/>
              <w:snapToGrid w:val="0"/>
              <w:spacing w:line="240" w:lineRule="auto"/>
              <w:jc w:val="left"/>
            </w:pPr>
            <w:r w:rsidRPr="000A431F">
              <w:t>Moderate atrophy</w:t>
            </w:r>
          </w:p>
        </w:tc>
        <w:tc>
          <w:tcPr>
            <w:tcW w:w="3668" w:type="dxa"/>
            <w:shd w:val="clear" w:color="auto" w:fill="auto"/>
            <w:vAlign w:val="center"/>
          </w:tcPr>
          <w:p w14:paraId="79B4D117" w14:textId="77777777" w:rsidR="00A160F0" w:rsidRPr="000A431F" w:rsidRDefault="00A160F0" w:rsidP="003240F9">
            <w:pPr>
              <w:autoSpaceDE w:val="0"/>
              <w:autoSpaceDN w:val="0"/>
              <w:adjustRightInd w:val="0"/>
              <w:snapToGrid w:val="0"/>
              <w:spacing w:line="240" w:lineRule="auto"/>
              <w:jc w:val="left"/>
            </w:pPr>
            <w:r w:rsidRPr="000A431F">
              <w:t>Loss of volume of the gyri and convolutions</w:t>
            </w:r>
          </w:p>
        </w:tc>
        <w:tc>
          <w:tcPr>
            <w:tcW w:w="2756" w:type="dxa"/>
            <w:shd w:val="clear" w:color="auto" w:fill="auto"/>
            <w:vAlign w:val="center"/>
          </w:tcPr>
          <w:p w14:paraId="28C65286" w14:textId="77777777" w:rsidR="00A160F0" w:rsidRPr="000A431F" w:rsidRDefault="00A160F0" w:rsidP="003240F9">
            <w:pPr>
              <w:autoSpaceDE w:val="0"/>
              <w:autoSpaceDN w:val="0"/>
              <w:adjustRightInd w:val="0"/>
              <w:snapToGrid w:val="0"/>
              <w:spacing w:line="240" w:lineRule="auto"/>
              <w:jc w:val="left"/>
            </w:pPr>
            <w:r w:rsidRPr="000A431F">
              <w:t>Pathological at any age</w:t>
            </w:r>
          </w:p>
        </w:tc>
      </w:tr>
      <w:tr w:rsidR="00A160F0" w:rsidRPr="000A431F" w14:paraId="7CB39F21" w14:textId="77777777" w:rsidTr="003240F9">
        <w:trPr>
          <w:jc w:val="center"/>
        </w:trPr>
        <w:tc>
          <w:tcPr>
            <w:tcW w:w="872" w:type="dxa"/>
            <w:shd w:val="clear" w:color="auto" w:fill="auto"/>
            <w:vAlign w:val="center"/>
            <w:hideMark/>
          </w:tcPr>
          <w:p w14:paraId="70FA0E0B" w14:textId="77777777" w:rsidR="00A160F0" w:rsidRPr="000A431F" w:rsidRDefault="00A160F0" w:rsidP="003240F9">
            <w:pPr>
              <w:autoSpaceDE w:val="0"/>
              <w:autoSpaceDN w:val="0"/>
              <w:adjustRightInd w:val="0"/>
              <w:snapToGrid w:val="0"/>
              <w:spacing w:line="240" w:lineRule="auto"/>
              <w:jc w:val="left"/>
            </w:pPr>
            <w:r w:rsidRPr="000A431F">
              <w:t>3</w:t>
            </w:r>
          </w:p>
        </w:tc>
        <w:tc>
          <w:tcPr>
            <w:tcW w:w="3140" w:type="dxa"/>
            <w:shd w:val="clear" w:color="auto" w:fill="auto"/>
            <w:vAlign w:val="center"/>
            <w:hideMark/>
          </w:tcPr>
          <w:p w14:paraId="43F9B801" w14:textId="75B308AC" w:rsidR="00A160F0" w:rsidRPr="000A431F" w:rsidRDefault="00A160F0" w:rsidP="003240F9">
            <w:pPr>
              <w:autoSpaceDE w:val="0"/>
              <w:autoSpaceDN w:val="0"/>
              <w:adjustRightInd w:val="0"/>
              <w:snapToGrid w:val="0"/>
              <w:spacing w:line="240" w:lineRule="auto"/>
              <w:jc w:val="left"/>
            </w:pPr>
            <w:r w:rsidRPr="000A431F">
              <w:t>Severe atrophy (end</w:t>
            </w:r>
            <w:r w:rsidR="00984981">
              <w:t>-</w:t>
            </w:r>
            <w:r w:rsidRPr="000A431F">
              <w:t>stage)</w:t>
            </w:r>
          </w:p>
        </w:tc>
        <w:tc>
          <w:tcPr>
            <w:tcW w:w="3668" w:type="dxa"/>
            <w:shd w:val="clear" w:color="auto" w:fill="auto"/>
            <w:vAlign w:val="center"/>
          </w:tcPr>
          <w:p w14:paraId="5E14C984" w14:textId="043B6F0E" w:rsidR="00A160F0" w:rsidRPr="000A431F" w:rsidRDefault="00A160F0" w:rsidP="003240F9">
            <w:pPr>
              <w:autoSpaceDE w:val="0"/>
              <w:autoSpaceDN w:val="0"/>
              <w:adjustRightInd w:val="0"/>
              <w:snapToGrid w:val="0"/>
              <w:spacing w:line="240" w:lineRule="auto"/>
              <w:jc w:val="left"/>
            </w:pPr>
            <w:r w:rsidRPr="000A431F">
              <w:t>“Knife blade</w:t>
            </w:r>
            <w:r w:rsidR="00B42EB7" w:rsidRPr="000A431F">
              <w:t>”</w:t>
            </w:r>
            <w:r w:rsidRPr="000A431F">
              <w:t xml:space="preserve"> atrophy</w:t>
            </w:r>
          </w:p>
        </w:tc>
        <w:tc>
          <w:tcPr>
            <w:tcW w:w="2756" w:type="dxa"/>
            <w:shd w:val="clear" w:color="auto" w:fill="auto"/>
            <w:vAlign w:val="center"/>
          </w:tcPr>
          <w:p w14:paraId="5E83ADE9" w14:textId="77777777" w:rsidR="00A160F0" w:rsidRPr="000A431F" w:rsidRDefault="00A160F0" w:rsidP="003240F9">
            <w:pPr>
              <w:autoSpaceDE w:val="0"/>
              <w:autoSpaceDN w:val="0"/>
              <w:adjustRightInd w:val="0"/>
              <w:snapToGrid w:val="0"/>
              <w:spacing w:line="240" w:lineRule="auto"/>
              <w:jc w:val="left"/>
            </w:pPr>
            <w:r w:rsidRPr="000A431F">
              <w:t>Pathological at any age</w:t>
            </w:r>
          </w:p>
        </w:tc>
      </w:tr>
    </w:tbl>
    <w:p w14:paraId="3FB0D8D4" w14:textId="448850CF" w:rsidR="00A160F0" w:rsidRPr="000A431F" w:rsidRDefault="00A160F0" w:rsidP="00A23ACB">
      <w:pPr>
        <w:pStyle w:val="MDPI31text"/>
        <w:spacing w:before="240" w:after="60"/>
      </w:pPr>
      <w:r w:rsidRPr="000A431F">
        <w:rPr>
          <w:i/>
          <w:iCs/>
          <w:highlight w:val="yellow"/>
        </w:rPr>
        <w:t>Medial Temporal Lobe Atrophy Scale</w:t>
      </w:r>
      <w:r w:rsidRPr="000A431F">
        <w:t xml:space="preserve"> (MTA, Table 2) [30]: </w:t>
      </w:r>
      <w:r w:rsidR="00984981">
        <w:t>This is used t</w:t>
      </w:r>
      <w:r w:rsidRPr="000A431F">
        <w:t xml:space="preserve">o assess the degree of cortical atrophy in the mesial region of the temporal lobe. The overall score is obtained by averaging the </w:t>
      </w:r>
      <w:r w:rsidR="00984981">
        <w:t>scores</w:t>
      </w:r>
      <w:r w:rsidR="00984981" w:rsidRPr="000A431F">
        <w:t xml:space="preserve"> </w:t>
      </w:r>
      <w:r w:rsidRPr="000A431F">
        <w:t>on the right and left sides. Age cut-offs have been established to consider it as pathological [31,32]:</w:t>
      </w:r>
    </w:p>
    <w:p w14:paraId="7E7B137B" w14:textId="3C90FBC7" w:rsidR="00A160F0" w:rsidRPr="000A431F" w:rsidRDefault="00A160F0" w:rsidP="00D21072">
      <w:pPr>
        <w:pStyle w:val="ListParagraph"/>
        <w:numPr>
          <w:ilvl w:val="0"/>
          <w:numId w:val="39"/>
        </w:numPr>
        <w:adjustRightInd w:val="0"/>
        <w:snapToGrid w:val="0"/>
        <w:spacing w:before="60" w:after="0" w:line="280" w:lineRule="atLeast"/>
        <w:ind w:left="3033" w:hanging="425"/>
        <w:contextualSpacing w:val="0"/>
        <w:rPr>
          <w:rFonts w:ascii="Palatino Linotype" w:hAnsi="Palatino Linotype" w:cs="Times New Roman"/>
          <w:sz w:val="20"/>
          <w:szCs w:val="20"/>
          <w:lang w:val="en-US"/>
        </w:rPr>
      </w:pPr>
      <w:r w:rsidRPr="000A431F">
        <w:rPr>
          <w:rFonts w:ascii="Palatino Linotype" w:hAnsi="Palatino Linotype" w:cs="Times New Roman"/>
          <w:sz w:val="20"/>
          <w:szCs w:val="20"/>
          <w:lang w:val="en-US"/>
        </w:rPr>
        <w:t>For individuals under 50 years of age, any score above 0 is considered atrophy.</w:t>
      </w:r>
    </w:p>
    <w:p w14:paraId="52A7470D" w14:textId="2952EF24" w:rsidR="00A160F0" w:rsidRPr="000A431F" w:rsidRDefault="00A160F0" w:rsidP="00D21072">
      <w:pPr>
        <w:pStyle w:val="ListParagraph"/>
        <w:numPr>
          <w:ilvl w:val="0"/>
          <w:numId w:val="39"/>
        </w:numPr>
        <w:adjustRightInd w:val="0"/>
        <w:snapToGrid w:val="0"/>
        <w:spacing w:after="0" w:line="280" w:lineRule="atLeast"/>
        <w:ind w:left="3033" w:hanging="425"/>
        <w:contextualSpacing w:val="0"/>
        <w:rPr>
          <w:rFonts w:ascii="Palatino Linotype" w:hAnsi="Palatino Linotype" w:cs="Times New Roman"/>
          <w:sz w:val="20"/>
          <w:szCs w:val="20"/>
          <w:lang w:val="en-US"/>
        </w:rPr>
      </w:pPr>
      <w:r w:rsidRPr="000A431F">
        <w:rPr>
          <w:rFonts w:ascii="Palatino Linotype" w:hAnsi="Palatino Linotype" w:cs="Times New Roman"/>
          <w:sz w:val="20"/>
          <w:szCs w:val="20"/>
          <w:lang w:val="en-US"/>
        </w:rPr>
        <w:t xml:space="preserve">For individuals aged 50 to 64 years, atrophy is considered </w:t>
      </w:r>
      <w:r w:rsidR="00984981">
        <w:rPr>
          <w:rFonts w:ascii="Palatino Linotype" w:hAnsi="Palatino Linotype" w:cs="Times New Roman"/>
          <w:sz w:val="20"/>
          <w:szCs w:val="20"/>
          <w:lang w:val="en-US"/>
        </w:rPr>
        <w:t>when the</w:t>
      </w:r>
      <w:r w:rsidR="00984981" w:rsidRPr="000A431F">
        <w:rPr>
          <w:rFonts w:ascii="Palatino Linotype" w:hAnsi="Palatino Linotype" w:cs="Times New Roman"/>
          <w:sz w:val="20"/>
          <w:szCs w:val="20"/>
          <w:lang w:val="en-US"/>
        </w:rPr>
        <w:t xml:space="preserve"> </w:t>
      </w:r>
      <w:r w:rsidRPr="000A431F">
        <w:rPr>
          <w:rFonts w:ascii="Palatino Linotype" w:hAnsi="Palatino Linotype" w:cs="Times New Roman"/>
          <w:sz w:val="20"/>
          <w:szCs w:val="20"/>
          <w:lang w:val="en-US"/>
        </w:rPr>
        <w:t xml:space="preserve">overall score </w:t>
      </w:r>
      <w:r w:rsidR="00984981">
        <w:rPr>
          <w:rFonts w:ascii="Palatino Linotype" w:hAnsi="Palatino Linotype" w:cs="Times New Roman"/>
          <w:sz w:val="20"/>
          <w:szCs w:val="20"/>
          <w:lang w:val="en-US"/>
        </w:rPr>
        <w:t xml:space="preserve">is </w:t>
      </w:r>
      <w:r w:rsidRPr="000A431F">
        <w:rPr>
          <w:rFonts w:ascii="Palatino Linotype" w:hAnsi="Palatino Linotype" w:cs="Times New Roman"/>
          <w:sz w:val="20"/>
          <w:szCs w:val="20"/>
          <w:lang w:val="en-US"/>
        </w:rPr>
        <w:t>equal to or greater than 1.</w:t>
      </w:r>
    </w:p>
    <w:p w14:paraId="765D90D1" w14:textId="1FE38098" w:rsidR="00A160F0" w:rsidRPr="000A431F" w:rsidRDefault="00A160F0" w:rsidP="00D21072">
      <w:pPr>
        <w:pStyle w:val="ListParagraph"/>
        <w:numPr>
          <w:ilvl w:val="0"/>
          <w:numId w:val="39"/>
        </w:numPr>
        <w:adjustRightInd w:val="0"/>
        <w:snapToGrid w:val="0"/>
        <w:spacing w:after="0" w:line="280" w:lineRule="atLeast"/>
        <w:ind w:left="3033" w:hanging="425"/>
        <w:contextualSpacing w:val="0"/>
        <w:rPr>
          <w:rFonts w:ascii="Palatino Linotype" w:hAnsi="Palatino Linotype" w:cs="Times New Roman"/>
          <w:sz w:val="20"/>
          <w:szCs w:val="20"/>
          <w:lang w:val="en-US"/>
        </w:rPr>
      </w:pPr>
      <w:r w:rsidRPr="000A431F">
        <w:rPr>
          <w:rFonts w:ascii="Palatino Linotype" w:hAnsi="Palatino Linotype" w:cs="Times New Roman"/>
          <w:sz w:val="20"/>
          <w:szCs w:val="20"/>
          <w:lang w:val="en-US"/>
        </w:rPr>
        <w:t xml:space="preserve">For individuals aged 65 to 74 years, atrophy is considered </w:t>
      </w:r>
      <w:r w:rsidR="00984981">
        <w:rPr>
          <w:rFonts w:ascii="Palatino Linotype" w:hAnsi="Palatino Linotype" w:cs="Times New Roman"/>
          <w:sz w:val="20"/>
          <w:szCs w:val="20"/>
          <w:lang w:val="en-US"/>
        </w:rPr>
        <w:t>when the</w:t>
      </w:r>
      <w:r w:rsidRPr="000A431F">
        <w:rPr>
          <w:rFonts w:ascii="Palatino Linotype" w:hAnsi="Palatino Linotype" w:cs="Times New Roman"/>
          <w:sz w:val="20"/>
          <w:szCs w:val="20"/>
          <w:lang w:val="en-US"/>
        </w:rPr>
        <w:t xml:space="preserve"> overall score</w:t>
      </w:r>
      <w:r w:rsidR="00984981">
        <w:rPr>
          <w:rFonts w:ascii="Palatino Linotype" w:hAnsi="Palatino Linotype" w:cs="Times New Roman"/>
          <w:sz w:val="20"/>
          <w:szCs w:val="20"/>
          <w:lang w:val="en-US"/>
        </w:rPr>
        <w:t xml:space="preserve"> is</w:t>
      </w:r>
      <w:r w:rsidRPr="000A431F">
        <w:rPr>
          <w:rFonts w:ascii="Palatino Linotype" w:hAnsi="Palatino Linotype" w:cs="Times New Roman"/>
          <w:sz w:val="20"/>
          <w:szCs w:val="20"/>
          <w:lang w:val="en-US"/>
        </w:rPr>
        <w:t xml:space="preserve"> equal to or greater than 1.5.</w:t>
      </w:r>
    </w:p>
    <w:p w14:paraId="7E898C9F" w14:textId="77777777" w:rsidR="00A160F0" w:rsidRPr="000A431F" w:rsidRDefault="00A160F0" w:rsidP="00D21072">
      <w:pPr>
        <w:pStyle w:val="ListParagraph"/>
        <w:numPr>
          <w:ilvl w:val="0"/>
          <w:numId w:val="39"/>
        </w:numPr>
        <w:adjustRightInd w:val="0"/>
        <w:snapToGrid w:val="0"/>
        <w:spacing w:after="60" w:line="280" w:lineRule="atLeast"/>
        <w:ind w:left="3033" w:hanging="425"/>
        <w:contextualSpacing w:val="0"/>
        <w:rPr>
          <w:rFonts w:ascii="Palatino Linotype" w:hAnsi="Palatino Linotype" w:cs="Times New Roman"/>
          <w:sz w:val="20"/>
          <w:szCs w:val="20"/>
          <w:lang w:val="en-US"/>
        </w:rPr>
      </w:pPr>
      <w:r w:rsidRPr="000A431F">
        <w:rPr>
          <w:rFonts w:ascii="Palatino Linotype" w:hAnsi="Palatino Linotype" w:cs="Times New Roman"/>
          <w:sz w:val="20"/>
          <w:szCs w:val="20"/>
          <w:lang w:val="en-US"/>
        </w:rPr>
        <w:t>For individuals aged 75 years or older, atrophy is considered when the overall score is equal to or greater than 2.</w:t>
      </w:r>
    </w:p>
    <w:p w14:paraId="7DE4A2C6" w14:textId="6F96DDFC" w:rsidR="00A160F0" w:rsidRPr="000A431F" w:rsidRDefault="00A160F0" w:rsidP="00A23ACB">
      <w:pPr>
        <w:pStyle w:val="MDPI41tablecaption"/>
      </w:pPr>
      <w:r w:rsidRPr="000A431F">
        <w:rPr>
          <w:b/>
          <w:bCs/>
        </w:rPr>
        <w:t>Table 2.</w:t>
      </w:r>
      <w:r w:rsidRPr="000A431F">
        <w:rPr>
          <w:b/>
        </w:rPr>
        <w:t xml:space="preserve"> </w:t>
      </w:r>
      <w:r w:rsidRPr="000A431F">
        <w:t>Characteristics and assessment of the Medial Temporal Lobe Atrophy scale [</w:t>
      </w:r>
      <w:r w:rsidRPr="000A431F">
        <w:rPr>
          <w:highlight w:val="yellow"/>
        </w:rPr>
        <w:t>30</w:t>
      </w:r>
      <w:r w:rsidRPr="000A431F">
        <w:t>].</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
        <w:gridCol w:w="3167"/>
        <w:gridCol w:w="3592"/>
        <w:gridCol w:w="2764"/>
      </w:tblGrid>
      <w:tr w:rsidR="00A23ACB" w:rsidRPr="000A431F" w14:paraId="6FCD68B5" w14:textId="77777777" w:rsidTr="00A23ACB">
        <w:trPr>
          <w:jc w:val="center"/>
        </w:trPr>
        <w:tc>
          <w:tcPr>
            <w:tcW w:w="945" w:type="dxa"/>
            <w:tcBorders>
              <w:top w:val="single" w:sz="8" w:space="0" w:color="auto"/>
              <w:bottom w:val="single" w:sz="4" w:space="0" w:color="auto"/>
            </w:tcBorders>
            <w:shd w:val="clear" w:color="auto" w:fill="auto"/>
            <w:vAlign w:val="center"/>
            <w:hideMark/>
          </w:tcPr>
          <w:p w14:paraId="47457F3D" w14:textId="77777777" w:rsidR="00A160F0" w:rsidRPr="000A431F" w:rsidRDefault="00A160F0" w:rsidP="00A23ACB">
            <w:pPr>
              <w:autoSpaceDE w:val="0"/>
              <w:autoSpaceDN w:val="0"/>
              <w:adjustRightInd w:val="0"/>
              <w:snapToGrid w:val="0"/>
              <w:spacing w:line="240" w:lineRule="auto"/>
              <w:jc w:val="left"/>
              <w:rPr>
                <w:b/>
                <w:bCs/>
              </w:rPr>
            </w:pPr>
            <w:r w:rsidRPr="000A431F">
              <w:rPr>
                <w:b/>
                <w:bCs/>
              </w:rPr>
              <w:t>Score</w:t>
            </w:r>
          </w:p>
        </w:tc>
        <w:tc>
          <w:tcPr>
            <w:tcW w:w="3177" w:type="dxa"/>
            <w:tcBorders>
              <w:top w:val="single" w:sz="8" w:space="0" w:color="auto"/>
              <w:bottom w:val="single" w:sz="4" w:space="0" w:color="auto"/>
            </w:tcBorders>
            <w:shd w:val="clear" w:color="auto" w:fill="auto"/>
            <w:vAlign w:val="center"/>
            <w:hideMark/>
          </w:tcPr>
          <w:p w14:paraId="502F23FF" w14:textId="501B886D" w:rsidR="00A160F0" w:rsidRPr="000A431F" w:rsidRDefault="00A160F0" w:rsidP="00A23ACB">
            <w:pPr>
              <w:autoSpaceDE w:val="0"/>
              <w:autoSpaceDN w:val="0"/>
              <w:adjustRightInd w:val="0"/>
              <w:snapToGrid w:val="0"/>
              <w:spacing w:line="240" w:lineRule="auto"/>
              <w:jc w:val="left"/>
              <w:rPr>
                <w:b/>
                <w:bCs/>
              </w:rPr>
            </w:pPr>
            <w:r w:rsidRPr="000A431F">
              <w:rPr>
                <w:b/>
                <w:bCs/>
              </w:rPr>
              <w:t xml:space="preserve">Choroidal </w:t>
            </w:r>
            <w:r w:rsidR="004F15E1" w:rsidRPr="000A431F">
              <w:rPr>
                <w:b/>
                <w:bCs/>
              </w:rPr>
              <w:t>Fissure Width</w:t>
            </w:r>
          </w:p>
        </w:tc>
        <w:tc>
          <w:tcPr>
            <w:tcW w:w="3604" w:type="dxa"/>
            <w:tcBorders>
              <w:top w:val="single" w:sz="8" w:space="0" w:color="auto"/>
              <w:bottom w:val="single" w:sz="4" w:space="0" w:color="auto"/>
            </w:tcBorders>
            <w:shd w:val="clear" w:color="auto" w:fill="auto"/>
            <w:vAlign w:val="center"/>
            <w:hideMark/>
          </w:tcPr>
          <w:p w14:paraId="3B84C980" w14:textId="6116DE48" w:rsidR="00A160F0" w:rsidRPr="000A431F" w:rsidRDefault="00A160F0" w:rsidP="00A23ACB">
            <w:pPr>
              <w:autoSpaceDE w:val="0"/>
              <w:autoSpaceDN w:val="0"/>
              <w:adjustRightInd w:val="0"/>
              <w:snapToGrid w:val="0"/>
              <w:spacing w:line="240" w:lineRule="auto"/>
              <w:jc w:val="left"/>
              <w:rPr>
                <w:b/>
                <w:bCs/>
              </w:rPr>
            </w:pPr>
            <w:r w:rsidRPr="000A431F">
              <w:rPr>
                <w:b/>
                <w:bCs/>
              </w:rPr>
              <w:t xml:space="preserve">Width of the </w:t>
            </w:r>
            <w:r w:rsidR="004F15E1" w:rsidRPr="000A431F">
              <w:rPr>
                <w:b/>
                <w:bCs/>
              </w:rPr>
              <w:t>Temporal Horn</w:t>
            </w:r>
          </w:p>
        </w:tc>
        <w:tc>
          <w:tcPr>
            <w:tcW w:w="2773" w:type="dxa"/>
            <w:tcBorders>
              <w:top w:val="single" w:sz="8" w:space="0" w:color="auto"/>
              <w:bottom w:val="single" w:sz="4" w:space="0" w:color="auto"/>
            </w:tcBorders>
            <w:shd w:val="clear" w:color="auto" w:fill="auto"/>
            <w:vAlign w:val="center"/>
            <w:hideMark/>
          </w:tcPr>
          <w:p w14:paraId="7033017F" w14:textId="35485CA0" w:rsidR="00A160F0" w:rsidRPr="000A431F" w:rsidRDefault="00A160F0" w:rsidP="00A23ACB">
            <w:pPr>
              <w:autoSpaceDE w:val="0"/>
              <w:autoSpaceDN w:val="0"/>
              <w:adjustRightInd w:val="0"/>
              <w:snapToGrid w:val="0"/>
              <w:spacing w:line="240" w:lineRule="auto"/>
              <w:jc w:val="left"/>
              <w:rPr>
                <w:b/>
                <w:bCs/>
              </w:rPr>
            </w:pPr>
            <w:r w:rsidRPr="000A431F">
              <w:rPr>
                <w:b/>
                <w:bCs/>
              </w:rPr>
              <w:t xml:space="preserve">Hippocampal </w:t>
            </w:r>
            <w:r w:rsidR="004F15E1" w:rsidRPr="000A431F">
              <w:rPr>
                <w:b/>
                <w:bCs/>
              </w:rPr>
              <w:t>Height</w:t>
            </w:r>
          </w:p>
        </w:tc>
      </w:tr>
      <w:tr w:rsidR="00A160F0" w:rsidRPr="000A431F" w14:paraId="6A5C7D47" w14:textId="77777777" w:rsidTr="00A23ACB">
        <w:trPr>
          <w:jc w:val="center"/>
        </w:trPr>
        <w:tc>
          <w:tcPr>
            <w:tcW w:w="945" w:type="dxa"/>
            <w:tcBorders>
              <w:top w:val="single" w:sz="4" w:space="0" w:color="auto"/>
            </w:tcBorders>
            <w:shd w:val="clear" w:color="auto" w:fill="auto"/>
            <w:vAlign w:val="center"/>
            <w:hideMark/>
          </w:tcPr>
          <w:p w14:paraId="3636E675" w14:textId="77777777" w:rsidR="00A160F0" w:rsidRPr="000A431F" w:rsidRDefault="00A160F0" w:rsidP="00A23ACB">
            <w:pPr>
              <w:autoSpaceDE w:val="0"/>
              <w:autoSpaceDN w:val="0"/>
              <w:adjustRightInd w:val="0"/>
              <w:snapToGrid w:val="0"/>
              <w:spacing w:line="240" w:lineRule="auto"/>
              <w:jc w:val="left"/>
            </w:pPr>
            <w:r w:rsidRPr="000A431F">
              <w:t>0</w:t>
            </w:r>
          </w:p>
        </w:tc>
        <w:tc>
          <w:tcPr>
            <w:tcW w:w="3177" w:type="dxa"/>
            <w:tcBorders>
              <w:top w:val="single" w:sz="4" w:space="0" w:color="auto"/>
            </w:tcBorders>
            <w:shd w:val="clear" w:color="auto" w:fill="auto"/>
            <w:vAlign w:val="center"/>
            <w:hideMark/>
          </w:tcPr>
          <w:p w14:paraId="7333F656" w14:textId="77777777" w:rsidR="00A160F0" w:rsidRPr="000A431F" w:rsidRDefault="00A160F0" w:rsidP="00A23ACB">
            <w:pPr>
              <w:autoSpaceDE w:val="0"/>
              <w:autoSpaceDN w:val="0"/>
              <w:adjustRightInd w:val="0"/>
              <w:snapToGrid w:val="0"/>
              <w:spacing w:line="240" w:lineRule="auto"/>
              <w:jc w:val="left"/>
            </w:pPr>
            <w:r w:rsidRPr="000A431F">
              <w:t>Normal</w:t>
            </w:r>
          </w:p>
        </w:tc>
        <w:tc>
          <w:tcPr>
            <w:tcW w:w="3604" w:type="dxa"/>
            <w:tcBorders>
              <w:top w:val="single" w:sz="4" w:space="0" w:color="auto"/>
            </w:tcBorders>
            <w:shd w:val="clear" w:color="auto" w:fill="auto"/>
            <w:vAlign w:val="center"/>
            <w:hideMark/>
          </w:tcPr>
          <w:p w14:paraId="2B7E274C" w14:textId="77777777" w:rsidR="00A160F0" w:rsidRPr="000A431F" w:rsidRDefault="00A160F0" w:rsidP="00A23ACB">
            <w:pPr>
              <w:autoSpaceDE w:val="0"/>
              <w:autoSpaceDN w:val="0"/>
              <w:adjustRightInd w:val="0"/>
              <w:snapToGrid w:val="0"/>
              <w:spacing w:line="240" w:lineRule="auto"/>
              <w:jc w:val="left"/>
            </w:pPr>
            <w:r w:rsidRPr="000A431F">
              <w:t>Normal</w:t>
            </w:r>
          </w:p>
        </w:tc>
        <w:tc>
          <w:tcPr>
            <w:tcW w:w="2773" w:type="dxa"/>
            <w:tcBorders>
              <w:top w:val="single" w:sz="4" w:space="0" w:color="auto"/>
            </w:tcBorders>
            <w:shd w:val="clear" w:color="auto" w:fill="auto"/>
            <w:vAlign w:val="center"/>
            <w:hideMark/>
          </w:tcPr>
          <w:p w14:paraId="21B6515F" w14:textId="77777777" w:rsidR="00A160F0" w:rsidRPr="000A431F" w:rsidRDefault="00A160F0" w:rsidP="00A23ACB">
            <w:pPr>
              <w:autoSpaceDE w:val="0"/>
              <w:autoSpaceDN w:val="0"/>
              <w:adjustRightInd w:val="0"/>
              <w:snapToGrid w:val="0"/>
              <w:spacing w:line="240" w:lineRule="auto"/>
              <w:jc w:val="left"/>
            </w:pPr>
            <w:r w:rsidRPr="000A431F">
              <w:t>Normal</w:t>
            </w:r>
          </w:p>
        </w:tc>
      </w:tr>
      <w:tr w:rsidR="00A160F0" w:rsidRPr="000A431F" w14:paraId="7E4892E7" w14:textId="77777777" w:rsidTr="00A23ACB">
        <w:trPr>
          <w:jc w:val="center"/>
        </w:trPr>
        <w:tc>
          <w:tcPr>
            <w:tcW w:w="945" w:type="dxa"/>
            <w:shd w:val="clear" w:color="auto" w:fill="auto"/>
            <w:vAlign w:val="center"/>
            <w:hideMark/>
          </w:tcPr>
          <w:p w14:paraId="793F0FD7" w14:textId="77777777" w:rsidR="00A160F0" w:rsidRPr="000A431F" w:rsidRDefault="00A160F0" w:rsidP="00A23ACB">
            <w:pPr>
              <w:autoSpaceDE w:val="0"/>
              <w:autoSpaceDN w:val="0"/>
              <w:adjustRightInd w:val="0"/>
              <w:snapToGrid w:val="0"/>
              <w:spacing w:line="240" w:lineRule="auto"/>
              <w:jc w:val="left"/>
            </w:pPr>
            <w:r w:rsidRPr="000A431F">
              <w:t>1</w:t>
            </w:r>
          </w:p>
        </w:tc>
        <w:tc>
          <w:tcPr>
            <w:tcW w:w="3177" w:type="dxa"/>
            <w:shd w:val="clear" w:color="auto" w:fill="auto"/>
            <w:vAlign w:val="center"/>
            <w:hideMark/>
          </w:tcPr>
          <w:p w14:paraId="034F9F66" w14:textId="77777777" w:rsidR="00A160F0" w:rsidRPr="000A431F" w:rsidRDefault="00A160F0" w:rsidP="00A23ACB">
            <w:pPr>
              <w:autoSpaceDE w:val="0"/>
              <w:autoSpaceDN w:val="0"/>
              <w:adjustRightInd w:val="0"/>
              <w:snapToGrid w:val="0"/>
              <w:spacing w:line="240" w:lineRule="auto"/>
              <w:jc w:val="left"/>
            </w:pPr>
            <w:commentRangeStart w:id="16"/>
            <w:r w:rsidRPr="000A431F">
              <w:rPr>
                <w:rFonts w:ascii="Times New Roman" w:hAnsi="Times New Roman"/>
                <w:highlight w:val="yellow"/>
              </w:rPr>
              <w:t>↑</w:t>
            </w:r>
            <w:commentRangeEnd w:id="16"/>
            <w:r w:rsidR="00122849" w:rsidRPr="000A431F">
              <w:rPr>
                <w:rStyle w:val="CommentReference"/>
              </w:rPr>
              <w:commentReference w:id="16"/>
            </w:r>
          </w:p>
        </w:tc>
        <w:tc>
          <w:tcPr>
            <w:tcW w:w="3604" w:type="dxa"/>
            <w:shd w:val="clear" w:color="auto" w:fill="auto"/>
            <w:vAlign w:val="center"/>
            <w:hideMark/>
          </w:tcPr>
          <w:p w14:paraId="20A2BBF0" w14:textId="77777777" w:rsidR="00A160F0" w:rsidRPr="000A431F" w:rsidRDefault="00A160F0" w:rsidP="00A23ACB">
            <w:pPr>
              <w:autoSpaceDE w:val="0"/>
              <w:autoSpaceDN w:val="0"/>
              <w:adjustRightInd w:val="0"/>
              <w:snapToGrid w:val="0"/>
              <w:spacing w:line="240" w:lineRule="auto"/>
              <w:jc w:val="left"/>
            </w:pPr>
            <w:r w:rsidRPr="000A431F">
              <w:t>Normal</w:t>
            </w:r>
          </w:p>
        </w:tc>
        <w:tc>
          <w:tcPr>
            <w:tcW w:w="2773" w:type="dxa"/>
            <w:shd w:val="clear" w:color="auto" w:fill="auto"/>
            <w:vAlign w:val="center"/>
            <w:hideMark/>
          </w:tcPr>
          <w:p w14:paraId="1E109C4A" w14:textId="77777777" w:rsidR="00A160F0" w:rsidRPr="000A431F" w:rsidRDefault="00A160F0" w:rsidP="00A23ACB">
            <w:pPr>
              <w:autoSpaceDE w:val="0"/>
              <w:autoSpaceDN w:val="0"/>
              <w:adjustRightInd w:val="0"/>
              <w:snapToGrid w:val="0"/>
              <w:spacing w:line="240" w:lineRule="auto"/>
              <w:jc w:val="left"/>
            </w:pPr>
            <w:r w:rsidRPr="000A431F">
              <w:t>Normal</w:t>
            </w:r>
          </w:p>
        </w:tc>
      </w:tr>
      <w:tr w:rsidR="00A160F0" w:rsidRPr="000A431F" w14:paraId="0F62FBBD" w14:textId="77777777" w:rsidTr="00A23ACB">
        <w:trPr>
          <w:jc w:val="center"/>
        </w:trPr>
        <w:tc>
          <w:tcPr>
            <w:tcW w:w="945" w:type="dxa"/>
            <w:shd w:val="clear" w:color="auto" w:fill="auto"/>
            <w:vAlign w:val="center"/>
            <w:hideMark/>
          </w:tcPr>
          <w:p w14:paraId="4138A7D2" w14:textId="77777777" w:rsidR="00A160F0" w:rsidRPr="000A431F" w:rsidRDefault="00A160F0" w:rsidP="00A23ACB">
            <w:pPr>
              <w:autoSpaceDE w:val="0"/>
              <w:autoSpaceDN w:val="0"/>
              <w:adjustRightInd w:val="0"/>
              <w:snapToGrid w:val="0"/>
              <w:spacing w:line="240" w:lineRule="auto"/>
              <w:jc w:val="left"/>
            </w:pPr>
            <w:r w:rsidRPr="000A431F">
              <w:lastRenderedPageBreak/>
              <w:t>2</w:t>
            </w:r>
          </w:p>
        </w:tc>
        <w:tc>
          <w:tcPr>
            <w:tcW w:w="3177" w:type="dxa"/>
            <w:shd w:val="clear" w:color="auto" w:fill="auto"/>
            <w:vAlign w:val="center"/>
            <w:hideMark/>
          </w:tcPr>
          <w:p w14:paraId="358AFF87" w14:textId="77777777" w:rsidR="00A160F0" w:rsidRPr="000A431F" w:rsidRDefault="00A160F0" w:rsidP="00A23ACB">
            <w:pPr>
              <w:autoSpaceDE w:val="0"/>
              <w:autoSpaceDN w:val="0"/>
              <w:adjustRightInd w:val="0"/>
              <w:snapToGrid w:val="0"/>
              <w:spacing w:line="240" w:lineRule="auto"/>
              <w:jc w:val="left"/>
              <w:rPr>
                <w:highlight w:val="yellow"/>
              </w:rPr>
            </w:pPr>
            <w:r w:rsidRPr="000A431F">
              <w:rPr>
                <w:rFonts w:ascii="Times New Roman" w:hAnsi="Times New Roman"/>
                <w:highlight w:val="yellow"/>
              </w:rPr>
              <w:t>↑↑</w:t>
            </w:r>
          </w:p>
        </w:tc>
        <w:tc>
          <w:tcPr>
            <w:tcW w:w="3604" w:type="dxa"/>
            <w:shd w:val="clear" w:color="auto" w:fill="auto"/>
            <w:vAlign w:val="center"/>
            <w:hideMark/>
          </w:tcPr>
          <w:p w14:paraId="3079A886" w14:textId="77777777" w:rsidR="00A160F0" w:rsidRPr="000A431F" w:rsidRDefault="00A160F0" w:rsidP="00A23ACB">
            <w:pPr>
              <w:autoSpaceDE w:val="0"/>
              <w:autoSpaceDN w:val="0"/>
              <w:adjustRightInd w:val="0"/>
              <w:snapToGrid w:val="0"/>
              <w:spacing w:line="240" w:lineRule="auto"/>
              <w:jc w:val="left"/>
              <w:rPr>
                <w:highlight w:val="yellow"/>
              </w:rPr>
            </w:pPr>
            <w:r w:rsidRPr="000A431F">
              <w:rPr>
                <w:rFonts w:ascii="Times New Roman" w:hAnsi="Times New Roman"/>
                <w:highlight w:val="yellow"/>
              </w:rPr>
              <w:t>↑</w:t>
            </w:r>
          </w:p>
        </w:tc>
        <w:tc>
          <w:tcPr>
            <w:tcW w:w="2773" w:type="dxa"/>
            <w:shd w:val="clear" w:color="auto" w:fill="auto"/>
            <w:vAlign w:val="center"/>
            <w:hideMark/>
          </w:tcPr>
          <w:p w14:paraId="4642E549" w14:textId="77777777" w:rsidR="00A160F0" w:rsidRPr="000A431F" w:rsidRDefault="00A160F0" w:rsidP="00A23ACB">
            <w:pPr>
              <w:autoSpaceDE w:val="0"/>
              <w:autoSpaceDN w:val="0"/>
              <w:adjustRightInd w:val="0"/>
              <w:snapToGrid w:val="0"/>
              <w:spacing w:line="240" w:lineRule="auto"/>
              <w:jc w:val="left"/>
              <w:rPr>
                <w:highlight w:val="yellow"/>
              </w:rPr>
            </w:pPr>
            <w:r w:rsidRPr="000A431F">
              <w:rPr>
                <w:rFonts w:ascii="Times New Roman" w:hAnsi="Times New Roman"/>
                <w:highlight w:val="yellow"/>
              </w:rPr>
              <w:t>↓</w:t>
            </w:r>
          </w:p>
        </w:tc>
      </w:tr>
      <w:tr w:rsidR="00A160F0" w:rsidRPr="000A431F" w14:paraId="6B206794" w14:textId="77777777" w:rsidTr="00A23ACB">
        <w:trPr>
          <w:jc w:val="center"/>
        </w:trPr>
        <w:tc>
          <w:tcPr>
            <w:tcW w:w="945" w:type="dxa"/>
            <w:shd w:val="clear" w:color="auto" w:fill="auto"/>
            <w:vAlign w:val="center"/>
            <w:hideMark/>
          </w:tcPr>
          <w:p w14:paraId="63602972" w14:textId="77777777" w:rsidR="00A160F0" w:rsidRPr="000A431F" w:rsidRDefault="00A160F0" w:rsidP="00A23ACB">
            <w:pPr>
              <w:autoSpaceDE w:val="0"/>
              <w:autoSpaceDN w:val="0"/>
              <w:adjustRightInd w:val="0"/>
              <w:snapToGrid w:val="0"/>
              <w:spacing w:line="240" w:lineRule="auto"/>
              <w:jc w:val="left"/>
            </w:pPr>
            <w:r w:rsidRPr="000A431F">
              <w:t>3</w:t>
            </w:r>
          </w:p>
        </w:tc>
        <w:tc>
          <w:tcPr>
            <w:tcW w:w="3177" w:type="dxa"/>
            <w:shd w:val="clear" w:color="auto" w:fill="auto"/>
            <w:vAlign w:val="center"/>
            <w:hideMark/>
          </w:tcPr>
          <w:p w14:paraId="7B22E58F" w14:textId="77777777" w:rsidR="00A160F0" w:rsidRPr="000A431F" w:rsidRDefault="00A160F0" w:rsidP="00A23ACB">
            <w:pPr>
              <w:autoSpaceDE w:val="0"/>
              <w:autoSpaceDN w:val="0"/>
              <w:adjustRightInd w:val="0"/>
              <w:snapToGrid w:val="0"/>
              <w:spacing w:line="240" w:lineRule="auto"/>
              <w:jc w:val="left"/>
              <w:rPr>
                <w:highlight w:val="yellow"/>
              </w:rPr>
            </w:pPr>
            <w:r w:rsidRPr="000A431F">
              <w:rPr>
                <w:rFonts w:ascii="Times New Roman" w:hAnsi="Times New Roman"/>
                <w:highlight w:val="yellow"/>
              </w:rPr>
              <w:t>↑↑↑</w:t>
            </w:r>
          </w:p>
        </w:tc>
        <w:tc>
          <w:tcPr>
            <w:tcW w:w="3604" w:type="dxa"/>
            <w:shd w:val="clear" w:color="auto" w:fill="auto"/>
            <w:vAlign w:val="center"/>
            <w:hideMark/>
          </w:tcPr>
          <w:p w14:paraId="04CD956A" w14:textId="77777777" w:rsidR="00A160F0" w:rsidRPr="000A431F" w:rsidRDefault="00A160F0" w:rsidP="00A23ACB">
            <w:pPr>
              <w:autoSpaceDE w:val="0"/>
              <w:autoSpaceDN w:val="0"/>
              <w:adjustRightInd w:val="0"/>
              <w:snapToGrid w:val="0"/>
              <w:spacing w:line="240" w:lineRule="auto"/>
              <w:jc w:val="left"/>
              <w:rPr>
                <w:highlight w:val="yellow"/>
              </w:rPr>
            </w:pPr>
            <w:r w:rsidRPr="000A431F">
              <w:rPr>
                <w:rFonts w:ascii="Times New Roman" w:hAnsi="Times New Roman"/>
                <w:highlight w:val="yellow"/>
              </w:rPr>
              <w:t>↑↑</w:t>
            </w:r>
          </w:p>
        </w:tc>
        <w:tc>
          <w:tcPr>
            <w:tcW w:w="2773" w:type="dxa"/>
            <w:shd w:val="clear" w:color="auto" w:fill="auto"/>
            <w:vAlign w:val="center"/>
            <w:hideMark/>
          </w:tcPr>
          <w:p w14:paraId="5DE9BDBA" w14:textId="77777777" w:rsidR="00A160F0" w:rsidRPr="000A431F" w:rsidRDefault="00A160F0" w:rsidP="00A23ACB">
            <w:pPr>
              <w:autoSpaceDE w:val="0"/>
              <w:autoSpaceDN w:val="0"/>
              <w:adjustRightInd w:val="0"/>
              <w:snapToGrid w:val="0"/>
              <w:spacing w:line="240" w:lineRule="auto"/>
              <w:jc w:val="left"/>
              <w:rPr>
                <w:highlight w:val="yellow"/>
              </w:rPr>
            </w:pPr>
            <w:r w:rsidRPr="000A431F">
              <w:rPr>
                <w:rFonts w:ascii="Times New Roman" w:hAnsi="Times New Roman"/>
                <w:highlight w:val="yellow"/>
              </w:rPr>
              <w:t>↓↓</w:t>
            </w:r>
          </w:p>
        </w:tc>
      </w:tr>
      <w:tr w:rsidR="00A160F0" w:rsidRPr="000A431F" w14:paraId="65D684F5" w14:textId="77777777" w:rsidTr="00A23ACB">
        <w:trPr>
          <w:jc w:val="center"/>
        </w:trPr>
        <w:tc>
          <w:tcPr>
            <w:tcW w:w="945" w:type="dxa"/>
            <w:shd w:val="clear" w:color="auto" w:fill="auto"/>
            <w:vAlign w:val="center"/>
            <w:hideMark/>
          </w:tcPr>
          <w:p w14:paraId="55327EE4" w14:textId="77777777" w:rsidR="00A160F0" w:rsidRPr="000A431F" w:rsidRDefault="00A160F0" w:rsidP="00A23ACB">
            <w:pPr>
              <w:autoSpaceDE w:val="0"/>
              <w:autoSpaceDN w:val="0"/>
              <w:adjustRightInd w:val="0"/>
              <w:snapToGrid w:val="0"/>
              <w:spacing w:line="240" w:lineRule="auto"/>
              <w:jc w:val="left"/>
            </w:pPr>
            <w:r w:rsidRPr="000A431F">
              <w:t>4</w:t>
            </w:r>
          </w:p>
        </w:tc>
        <w:tc>
          <w:tcPr>
            <w:tcW w:w="3177" w:type="dxa"/>
            <w:shd w:val="clear" w:color="auto" w:fill="auto"/>
            <w:vAlign w:val="center"/>
            <w:hideMark/>
          </w:tcPr>
          <w:p w14:paraId="0D3AE0D9" w14:textId="77777777" w:rsidR="00A160F0" w:rsidRPr="000A431F" w:rsidRDefault="00A160F0" w:rsidP="00A23ACB">
            <w:pPr>
              <w:autoSpaceDE w:val="0"/>
              <w:autoSpaceDN w:val="0"/>
              <w:adjustRightInd w:val="0"/>
              <w:snapToGrid w:val="0"/>
              <w:spacing w:line="240" w:lineRule="auto"/>
              <w:jc w:val="left"/>
              <w:rPr>
                <w:highlight w:val="yellow"/>
              </w:rPr>
            </w:pPr>
            <w:r w:rsidRPr="000A431F">
              <w:rPr>
                <w:rFonts w:ascii="Times New Roman" w:hAnsi="Times New Roman"/>
                <w:highlight w:val="yellow"/>
              </w:rPr>
              <w:t>↑↑↑</w:t>
            </w:r>
          </w:p>
        </w:tc>
        <w:tc>
          <w:tcPr>
            <w:tcW w:w="3604" w:type="dxa"/>
            <w:shd w:val="clear" w:color="auto" w:fill="auto"/>
            <w:vAlign w:val="center"/>
            <w:hideMark/>
          </w:tcPr>
          <w:p w14:paraId="26D0AD84" w14:textId="77777777" w:rsidR="00A160F0" w:rsidRPr="000A431F" w:rsidRDefault="00A160F0" w:rsidP="00A23ACB">
            <w:pPr>
              <w:autoSpaceDE w:val="0"/>
              <w:autoSpaceDN w:val="0"/>
              <w:adjustRightInd w:val="0"/>
              <w:snapToGrid w:val="0"/>
              <w:spacing w:line="240" w:lineRule="auto"/>
              <w:jc w:val="left"/>
              <w:rPr>
                <w:highlight w:val="yellow"/>
              </w:rPr>
            </w:pPr>
            <w:r w:rsidRPr="000A431F">
              <w:rPr>
                <w:rFonts w:ascii="Times New Roman" w:hAnsi="Times New Roman"/>
                <w:highlight w:val="yellow"/>
              </w:rPr>
              <w:t>↑↑↑</w:t>
            </w:r>
          </w:p>
        </w:tc>
        <w:tc>
          <w:tcPr>
            <w:tcW w:w="2773" w:type="dxa"/>
            <w:shd w:val="clear" w:color="auto" w:fill="auto"/>
            <w:vAlign w:val="center"/>
            <w:hideMark/>
          </w:tcPr>
          <w:p w14:paraId="2E9D5BC6" w14:textId="77777777" w:rsidR="00A160F0" w:rsidRPr="000A431F" w:rsidRDefault="00A160F0" w:rsidP="00A23ACB">
            <w:pPr>
              <w:autoSpaceDE w:val="0"/>
              <w:autoSpaceDN w:val="0"/>
              <w:adjustRightInd w:val="0"/>
              <w:snapToGrid w:val="0"/>
              <w:spacing w:line="240" w:lineRule="auto"/>
              <w:jc w:val="left"/>
              <w:rPr>
                <w:highlight w:val="yellow"/>
              </w:rPr>
            </w:pPr>
            <w:r w:rsidRPr="000A431F">
              <w:rPr>
                <w:rFonts w:ascii="Times New Roman" w:hAnsi="Times New Roman"/>
                <w:highlight w:val="yellow"/>
              </w:rPr>
              <w:t>↓↓↓</w:t>
            </w:r>
          </w:p>
        </w:tc>
      </w:tr>
    </w:tbl>
    <w:p w14:paraId="2B16859F" w14:textId="3C2EFA5A" w:rsidR="00A160F0" w:rsidRPr="000A431F" w:rsidRDefault="00A160F0" w:rsidP="00640BAB">
      <w:pPr>
        <w:pStyle w:val="MDPI31text"/>
        <w:spacing w:before="240"/>
      </w:pPr>
      <w:r w:rsidRPr="000A431F">
        <w:rPr>
          <w:i/>
          <w:iCs/>
          <w:highlight w:val="yellow"/>
        </w:rPr>
        <w:t>Fazekas Scale</w:t>
      </w:r>
      <w:r w:rsidRPr="000A431F">
        <w:t xml:space="preserve"> (Table 3) [33]: </w:t>
      </w:r>
      <w:r w:rsidR="00984981">
        <w:t>This</w:t>
      </w:r>
      <w:r w:rsidRPr="000A431F">
        <w:t xml:space="preserve"> is used to quantify the number of hyperintense lesions in T2/T2 FLAIR of the white matter. The scale was originally designed to differentiate between lesions located in the periventricular white matter and in the deep white matter (corona radiata</w:t>
      </w:r>
      <w:r w:rsidR="00984981">
        <w:t xml:space="preserve"> and</w:t>
      </w:r>
      <w:r w:rsidRPr="000A431F">
        <w:t xml:space="preserve"> semioval centers). However, in clinical practice, a single global value, corresponding to the highest scoring category of both white matter locations, is normally used.</w:t>
      </w:r>
    </w:p>
    <w:p w14:paraId="1A10F0D1" w14:textId="71471E0B" w:rsidR="00A160F0" w:rsidRPr="000A431F" w:rsidRDefault="00A160F0" w:rsidP="008F4618">
      <w:pPr>
        <w:pStyle w:val="MDPI41tablecaption"/>
        <w:jc w:val="both"/>
      </w:pPr>
      <w:r w:rsidRPr="000A431F">
        <w:rPr>
          <w:b/>
          <w:bCs/>
        </w:rPr>
        <w:t>Table 3.</w:t>
      </w:r>
      <w:r w:rsidRPr="000A431F">
        <w:rPr>
          <w:b/>
        </w:rPr>
        <w:t xml:space="preserve"> </w:t>
      </w:r>
      <w:r w:rsidRPr="000A431F">
        <w:t>Characteristics of the Fazekas scale [</w:t>
      </w:r>
      <w:r w:rsidRPr="000A431F">
        <w:rPr>
          <w:highlight w:val="yellow"/>
        </w:rPr>
        <w:t>34</w:t>
      </w:r>
      <w:r w:rsidRPr="000A431F">
        <w:t>]. The thresholds are based on the considerations of Wahlund et al.</w:t>
      </w:r>
      <w:r w:rsidR="00984981">
        <w:t>’s</w:t>
      </w:r>
      <w:r w:rsidRPr="000A431F">
        <w:t xml:space="preserve"> study [</w:t>
      </w:r>
      <w:r w:rsidRPr="000A431F">
        <w:rPr>
          <w:highlight w:val="yellow"/>
        </w:rPr>
        <w:t>35</w:t>
      </w:r>
      <w:r w:rsidRPr="000A431F">
        <w:t>].</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6"/>
        <w:gridCol w:w="4322"/>
        <w:gridCol w:w="2972"/>
        <w:gridCol w:w="2455"/>
      </w:tblGrid>
      <w:tr w:rsidR="00A160F0" w:rsidRPr="000A431F" w14:paraId="173CAACB" w14:textId="77777777" w:rsidTr="008F4618">
        <w:trPr>
          <w:jc w:val="center"/>
        </w:trPr>
        <w:tc>
          <w:tcPr>
            <w:tcW w:w="716" w:type="dxa"/>
            <w:tcBorders>
              <w:top w:val="single" w:sz="8" w:space="0" w:color="auto"/>
              <w:bottom w:val="single" w:sz="4" w:space="0" w:color="auto"/>
            </w:tcBorders>
            <w:shd w:val="clear" w:color="auto" w:fill="auto"/>
            <w:vAlign w:val="center"/>
          </w:tcPr>
          <w:p w14:paraId="16F3436A" w14:textId="77777777" w:rsidR="00A160F0" w:rsidRPr="000A431F" w:rsidRDefault="00A160F0" w:rsidP="008F4618">
            <w:pPr>
              <w:autoSpaceDE w:val="0"/>
              <w:autoSpaceDN w:val="0"/>
              <w:adjustRightInd w:val="0"/>
              <w:snapToGrid w:val="0"/>
              <w:spacing w:line="240" w:lineRule="auto"/>
              <w:jc w:val="left"/>
              <w:rPr>
                <w:b/>
                <w:bCs/>
              </w:rPr>
            </w:pPr>
            <w:r w:rsidRPr="000A431F">
              <w:rPr>
                <w:b/>
                <w:bCs/>
              </w:rPr>
              <w:t>Score</w:t>
            </w:r>
          </w:p>
        </w:tc>
        <w:tc>
          <w:tcPr>
            <w:tcW w:w="4318" w:type="dxa"/>
            <w:tcBorders>
              <w:top w:val="single" w:sz="8" w:space="0" w:color="auto"/>
              <w:bottom w:val="single" w:sz="4" w:space="0" w:color="auto"/>
            </w:tcBorders>
            <w:shd w:val="clear" w:color="auto" w:fill="auto"/>
            <w:vAlign w:val="center"/>
          </w:tcPr>
          <w:p w14:paraId="0D6E09E9" w14:textId="76C17F3A" w:rsidR="00A160F0" w:rsidRPr="000A431F" w:rsidRDefault="00A160F0" w:rsidP="008F4618">
            <w:pPr>
              <w:autoSpaceDE w:val="0"/>
              <w:autoSpaceDN w:val="0"/>
              <w:adjustRightInd w:val="0"/>
              <w:snapToGrid w:val="0"/>
              <w:spacing w:line="240" w:lineRule="auto"/>
              <w:jc w:val="left"/>
              <w:rPr>
                <w:b/>
                <w:bCs/>
              </w:rPr>
            </w:pPr>
            <w:r w:rsidRPr="000A431F">
              <w:rPr>
                <w:b/>
                <w:bCs/>
              </w:rPr>
              <w:t xml:space="preserve">Periventricular </w:t>
            </w:r>
            <w:r w:rsidR="008F4618" w:rsidRPr="000A431F">
              <w:rPr>
                <w:b/>
                <w:bCs/>
              </w:rPr>
              <w:t>Lesions</w:t>
            </w:r>
          </w:p>
        </w:tc>
        <w:tc>
          <w:tcPr>
            <w:tcW w:w="2969" w:type="dxa"/>
            <w:tcBorders>
              <w:top w:val="single" w:sz="8" w:space="0" w:color="auto"/>
              <w:bottom w:val="single" w:sz="4" w:space="0" w:color="auto"/>
            </w:tcBorders>
            <w:shd w:val="clear" w:color="auto" w:fill="auto"/>
            <w:vAlign w:val="center"/>
          </w:tcPr>
          <w:p w14:paraId="517EDF4C" w14:textId="49E8135A" w:rsidR="00A160F0" w:rsidRPr="000A431F" w:rsidRDefault="00A160F0" w:rsidP="008F4618">
            <w:pPr>
              <w:autoSpaceDE w:val="0"/>
              <w:autoSpaceDN w:val="0"/>
              <w:adjustRightInd w:val="0"/>
              <w:snapToGrid w:val="0"/>
              <w:spacing w:line="240" w:lineRule="auto"/>
              <w:jc w:val="left"/>
              <w:rPr>
                <w:b/>
                <w:bCs/>
              </w:rPr>
            </w:pPr>
            <w:r w:rsidRPr="000A431F">
              <w:rPr>
                <w:b/>
                <w:bCs/>
              </w:rPr>
              <w:t xml:space="preserve">Deep </w:t>
            </w:r>
            <w:r w:rsidR="008F4618" w:rsidRPr="000A431F">
              <w:rPr>
                <w:b/>
                <w:bCs/>
              </w:rPr>
              <w:t>White Matter Lesions</w:t>
            </w:r>
          </w:p>
        </w:tc>
        <w:tc>
          <w:tcPr>
            <w:tcW w:w="2453" w:type="dxa"/>
            <w:tcBorders>
              <w:top w:val="single" w:sz="8" w:space="0" w:color="auto"/>
              <w:bottom w:val="single" w:sz="4" w:space="0" w:color="auto"/>
            </w:tcBorders>
            <w:shd w:val="clear" w:color="auto" w:fill="auto"/>
            <w:vAlign w:val="center"/>
          </w:tcPr>
          <w:p w14:paraId="0B495488" w14:textId="77777777" w:rsidR="00A160F0" w:rsidRPr="000A431F" w:rsidRDefault="00A160F0" w:rsidP="008F4618">
            <w:pPr>
              <w:autoSpaceDE w:val="0"/>
              <w:autoSpaceDN w:val="0"/>
              <w:adjustRightInd w:val="0"/>
              <w:snapToGrid w:val="0"/>
              <w:spacing w:line="240" w:lineRule="auto"/>
              <w:jc w:val="left"/>
              <w:rPr>
                <w:b/>
                <w:bCs/>
              </w:rPr>
            </w:pPr>
            <w:r w:rsidRPr="000A431F">
              <w:rPr>
                <w:b/>
                <w:bCs/>
              </w:rPr>
              <w:t>Threshold</w:t>
            </w:r>
          </w:p>
        </w:tc>
      </w:tr>
      <w:tr w:rsidR="00A160F0" w:rsidRPr="000A431F" w14:paraId="43CFECDF" w14:textId="77777777" w:rsidTr="008F4618">
        <w:trPr>
          <w:jc w:val="center"/>
        </w:trPr>
        <w:tc>
          <w:tcPr>
            <w:tcW w:w="716" w:type="dxa"/>
            <w:tcBorders>
              <w:top w:val="single" w:sz="4" w:space="0" w:color="auto"/>
            </w:tcBorders>
            <w:shd w:val="clear" w:color="auto" w:fill="auto"/>
            <w:vAlign w:val="center"/>
          </w:tcPr>
          <w:p w14:paraId="0D70E8DE" w14:textId="77777777" w:rsidR="00A160F0" w:rsidRPr="000A431F" w:rsidRDefault="00A160F0" w:rsidP="008F4618">
            <w:pPr>
              <w:autoSpaceDE w:val="0"/>
              <w:autoSpaceDN w:val="0"/>
              <w:adjustRightInd w:val="0"/>
              <w:snapToGrid w:val="0"/>
              <w:spacing w:line="240" w:lineRule="auto"/>
              <w:jc w:val="left"/>
            </w:pPr>
            <w:r w:rsidRPr="000A431F">
              <w:t>0</w:t>
            </w:r>
          </w:p>
        </w:tc>
        <w:tc>
          <w:tcPr>
            <w:tcW w:w="4318" w:type="dxa"/>
            <w:tcBorders>
              <w:top w:val="single" w:sz="4" w:space="0" w:color="auto"/>
            </w:tcBorders>
            <w:shd w:val="clear" w:color="auto" w:fill="auto"/>
            <w:vAlign w:val="center"/>
          </w:tcPr>
          <w:p w14:paraId="3FA24C30" w14:textId="77777777" w:rsidR="00A160F0" w:rsidRPr="000A431F" w:rsidRDefault="00A160F0" w:rsidP="008F4618">
            <w:pPr>
              <w:autoSpaceDE w:val="0"/>
              <w:autoSpaceDN w:val="0"/>
              <w:adjustRightInd w:val="0"/>
              <w:snapToGrid w:val="0"/>
              <w:spacing w:line="240" w:lineRule="auto"/>
              <w:jc w:val="left"/>
            </w:pPr>
            <w:r w:rsidRPr="000A431F">
              <w:t>Absent</w:t>
            </w:r>
          </w:p>
        </w:tc>
        <w:tc>
          <w:tcPr>
            <w:tcW w:w="2969" w:type="dxa"/>
            <w:tcBorders>
              <w:top w:val="single" w:sz="4" w:space="0" w:color="auto"/>
            </w:tcBorders>
            <w:shd w:val="clear" w:color="auto" w:fill="auto"/>
            <w:vAlign w:val="center"/>
          </w:tcPr>
          <w:p w14:paraId="5051A87A" w14:textId="77777777" w:rsidR="00A160F0" w:rsidRPr="000A431F" w:rsidRDefault="00A160F0" w:rsidP="008F4618">
            <w:pPr>
              <w:autoSpaceDE w:val="0"/>
              <w:autoSpaceDN w:val="0"/>
              <w:adjustRightInd w:val="0"/>
              <w:snapToGrid w:val="0"/>
              <w:spacing w:line="240" w:lineRule="auto"/>
              <w:jc w:val="left"/>
            </w:pPr>
            <w:r w:rsidRPr="000A431F">
              <w:t>Absent or isolated</w:t>
            </w:r>
          </w:p>
        </w:tc>
        <w:tc>
          <w:tcPr>
            <w:tcW w:w="2453" w:type="dxa"/>
            <w:tcBorders>
              <w:top w:val="single" w:sz="4" w:space="0" w:color="auto"/>
            </w:tcBorders>
            <w:shd w:val="clear" w:color="auto" w:fill="auto"/>
            <w:vAlign w:val="center"/>
          </w:tcPr>
          <w:p w14:paraId="67B91E65" w14:textId="77777777" w:rsidR="00A160F0" w:rsidRPr="000A431F" w:rsidRDefault="00A160F0" w:rsidP="008F4618">
            <w:pPr>
              <w:autoSpaceDE w:val="0"/>
              <w:autoSpaceDN w:val="0"/>
              <w:adjustRightInd w:val="0"/>
              <w:snapToGrid w:val="0"/>
              <w:spacing w:line="240" w:lineRule="auto"/>
              <w:jc w:val="left"/>
            </w:pPr>
            <w:r w:rsidRPr="000A431F">
              <w:t>Normal at any age</w:t>
            </w:r>
          </w:p>
        </w:tc>
      </w:tr>
      <w:tr w:rsidR="00A160F0" w:rsidRPr="000A431F" w14:paraId="56BC9E13" w14:textId="77777777" w:rsidTr="008F4618">
        <w:trPr>
          <w:jc w:val="center"/>
        </w:trPr>
        <w:tc>
          <w:tcPr>
            <w:tcW w:w="716" w:type="dxa"/>
            <w:shd w:val="clear" w:color="auto" w:fill="auto"/>
            <w:vAlign w:val="center"/>
          </w:tcPr>
          <w:p w14:paraId="1ABEFB3C" w14:textId="77777777" w:rsidR="00A160F0" w:rsidRPr="000A431F" w:rsidRDefault="00A160F0" w:rsidP="008F4618">
            <w:pPr>
              <w:autoSpaceDE w:val="0"/>
              <w:autoSpaceDN w:val="0"/>
              <w:adjustRightInd w:val="0"/>
              <w:snapToGrid w:val="0"/>
              <w:spacing w:line="240" w:lineRule="auto"/>
              <w:jc w:val="left"/>
            </w:pPr>
            <w:r w:rsidRPr="000A431F">
              <w:t>1</w:t>
            </w:r>
          </w:p>
        </w:tc>
        <w:tc>
          <w:tcPr>
            <w:tcW w:w="4318" w:type="dxa"/>
            <w:shd w:val="clear" w:color="auto" w:fill="auto"/>
            <w:vAlign w:val="center"/>
          </w:tcPr>
          <w:p w14:paraId="2BB8E691" w14:textId="77777777" w:rsidR="00A160F0" w:rsidRPr="000A431F" w:rsidRDefault="00A160F0" w:rsidP="008F4618">
            <w:pPr>
              <w:autoSpaceDE w:val="0"/>
              <w:autoSpaceDN w:val="0"/>
              <w:adjustRightInd w:val="0"/>
              <w:snapToGrid w:val="0"/>
              <w:spacing w:line="240" w:lineRule="auto"/>
              <w:jc w:val="left"/>
            </w:pPr>
            <w:r w:rsidRPr="000A431F">
              <w:t>Layer or fine line</w:t>
            </w:r>
          </w:p>
        </w:tc>
        <w:tc>
          <w:tcPr>
            <w:tcW w:w="2969" w:type="dxa"/>
            <w:shd w:val="clear" w:color="auto" w:fill="auto"/>
            <w:vAlign w:val="center"/>
          </w:tcPr>
          <w:p w14:paraId="6F72243C" w14:textId="77777777" w:rsidR="00A160F0" w:rsidRPr="000A431F" w:rsidRDefault="00A160F0" w:rsidP="008F4618">
            <w:pPr>
              <w:autoSpaceDE w:val="0"/>
              <w:autoSpaceDN w:val="0"/>
              <w:adjustRightInd w:val="0"/>
              <w:snapToGrid w:val="0"/>
              <w:spacing w:line="240" w:lineRule="auto"/>
              <w:jc w:val="left"/>
            </w:pPr>
            <w:r w:rsidRPr="000A431F">
              <w:t>Multiple punctate foci</w:t>
            </w:r>
          </w:p>
        </w:tc>
        <w:tc>
          <w:tcPr>
            <w:tcW w:w="2453" w:type="dxa"/>
            <w:shd w:val="clear" w:color="auto" w:fill="auto"/>
            <w:vAlign w:val="center"/>
          </w:tcPr>
          <w:p w14:paraId="08E510A7" w14:textId="77777777" w:rsidR="00A160F0" w:rsidRPr="000A431F" w:rsidRDefault="00A160F0" w:rsidP="008F4618">
            <w:pPr>
              <w:autoSpaceDE w:val="0"/>
              <w:autoSpaceDN w:val="0"/>
              <w:adjustRightInd w:val="0"/>
              <w:snapToGrid w:val="0"/>
              <w:spacing w:line="240" w:lineRule="auto"/>
              <w:jc w:val="left"/>
            </w:pPr>
            <w:r w:rsidRPr="000A431F">
              <w:t>Normal at any age</w:t>
            </w:r>
          </w:p>
        </w:tc>
      </w:tr>
      <w:tr w:rsidR="00A160F0" w:rsidRPr="000A431F" w14:paraId="23C295D6" w14:textId="77777777" w:rsidTr="008F4618">
        <w:trPr>
          <w:jc w:val="center"/>
        </w:trPr>
        <w:tc>
          <w:tcPr>
            <w:tcW w:w="716" w:type="dxa"/>
            <w:shd w:val="clear" w:color="auto" w:fill="auto"/>
            <w:vAlign w:val="center"/>
          </w:tcPr>
          <w:p w14:paraId="1D091CB7" w14:textId="77777777" w:rsidR="00A160F0" w:rsidRPr="000A431F" w:rsidRDefault="00A160F0" w:rsidP="008F4618">
            <w:pPr>
              <w:autoSpaceDE w:val="0"/>
              <w:autoSpaceDN w:val="0"/>
              <w:adjustRightInd w:val="0"/>
              <w:snapToGrid w:val="0"/>
              <w:spacing w:line="240" w:lineRule="auto"/>
              <w:jc w:val="left"/>
            </w:pPr>
            <w:r w:rsidRPr="000A431F">
              <w:t>2</w:t>
            </w:r>
          </w:p>
        </w:tc>
        <w:tc>
          <w:tcPr>
            <w:tcW w:w="4318" w:type="dxa"/>
            <w:shd w:val="clear" w:color="auto" w:fill="auto"/>
            <w:vAlign w:val="center"/>
          </w:tcPr>
          <w:p w14:paraId="019F5BD8" w14:textId="77777777" w:rsidR="00A160F0" w:rsidRPr="000A431F" w:rsidRDefault="00A160F0" w:rsidP="008F4618">
            <w:pPr>
              <w:autoSpaceDE w:val="0"/>
              <w:autoSpaceDN w:val="0"/>
              <w:adjustRightInd w:val="0"/>
              <w:snapToGrid w:val="0"/>
              <w:spacing w:line="240" w:lineRule="auto"/>
              <w:jc w:val="left"/>
            </w:pPr>
            <w:r w:rsidRPr="000A431F">
              <w:t>Hyperintensities extending up to 10 mm from the ventricles</w:t>
            </w:r>
          </w:p>
        </w:tc>
        <w:tc>
          <w:tcPr>
            <w:tcW w:w="2969" w:type="dxa"/>
            <w:shd w:val="clear" w:color="auto" w:fill="auto"/>
            <w:vAlign w:val="center"/>
          </w:tcPr>
          <w:p w14:paraId="59932C42" w14:textId="77777777" w:rsidR="00A160F0" w:rsidRPr="000A431F" w:rsidRDefault="00A160F0" w:rsidP="008F4618">
            <w:pPr>
              <w:autoSpaceDE w:val="0"/>
              <w:autoSpaceDN w:val="0"/>
              <w:adjustRightInd w:val="0"/>
              <w:snapToGrid w:val="0"/>
              <w:spacing w:line="240" w:lineRule="auto"/>
              <w:jc w:val="left"/>
            </w:pPr>
            <w:r w:rsidRPr="000A431F">
              <w:t>Partial confluence of hyperintensities</w:t>
            </w:r>
          </w:p>
        </w:tc>
        <w:tc>
          <w:tcPr>
            <w:tcW w:w="2453" w:type="dxa"/>
            <w:shd w:val="clear" w:color="auto" w:fill="auto"/>
            <w:vAlign w:val="center"/>
          </w:tcPr>
          <w:p w14:paraId="7E15C20E" w14:textId="77777777" w:rsidR="00A160F0" w:rsidRPr="000A431F" w:rsidRDefault="00A160F0" w:rsidP="008F4618">
            <w:pPr>
              <w:autoSpaceDE w:val="0"/>
              <w:autoSpaceDN w:val="0"/>
              <w:adjustRightInd w:val="0"/>
              <w:snapToGrid w:val="0"/>
              <w:spacing w:line="240" w:lineRule="auto"/>
              <w:jc w:val="left"/>
            </w:pPr>
            <w:r w:rsidRPr="000A431F">
              <w:t>Pathological up to 70 years of age</w:t>
            </w:r>
          </w:p>
        </w:tc>
      </w:tr>
      <w:tr w:rsidR="00A160F0" w:rsidRPr="000A431F" w14:paraId="672A62B3" w14:textId="77777777" w:rsidTr="008F4618">
        <w:trPr>
          <w:jc w:val="center"/>
        </w:trPr>
        <w:tc>
          <w:tcPr>
            <w:tcW w:w="716" w:type="dxa"/>
            <w:shd w:val="clear" w:color="auto" w:fill="auto"/>
            <w:vAlign w:val="center"/>
          </w:tcPr>
          <w:p w14:paraId="7AFB0B3B" w14:textId="77777777" w:rsidR="00A160F0" w:rsidRPr="000A431F" w:rsidRDefault="00A160F0" w:rsidP="008F4618">
            <w:pPr>
              <w:autoSpaceDE w:val="0"/>
              <w:autoSpaceDN w:val="0"/>
              <w:adjustRightInd w:val="0"/>
              <w:snapToGrid w:val="0"/>
              <w:spacing w:line="240" w:lineRule="auto"/>
              <w:jc w:val="left"/>
            </w:pPr>
            <w:r w:rsidRPr="000A431F">
              <w:t>3</w:t>
            </w:r>
          </w:p>
        </w:tc>
        <w:tc>
          <w:tcPr>
            <w:tcW w:w="4318" w:type="dxa"/>
            <w:shd w:val="clear" w:color="auto" w:fill="auto"/>
            <w:vAlign w:val="center"/>
          </w:tcPr>
          <w:p w14:paraId="0BEAC422" w14:textId="77777777" w:rsidR="00A160F0" w:rsidRPr="000A431F" w:rsidRDefault="00A160F0" w:rsidP="008F4618">
            <w:pPr>
              <w:autoSpaceDE w:val="0"/>
              <w:autoSpaceDN w:val="0"/>
              <w:adjustRightInd w:val="0"/>
              <w:snapToGrid w:val="0"/>
              <w:spacing w:line="240" w:lineRule="auto"/>
              <w:jc w:val="left"/>
            </w:pPr>
            <w:r w:rsidRPr="000A431F">
              <w:t>Hyperintensities extending more than 10 mm from the ventricles.</w:t>
            </w:r>
          </w:p>
        </w:tc>
        <w:tc>
          <w:tcPr>
            <w:tcW w:w="2969" w:type="dxa"/>
            <w:shd w:val="clear" w:color="auto" w:fill="auto"/>
            <w:vAlign w:val="center"/>
          </w:tcPr>
          <w:p w14:paraId="4872FCD4" w14:textId="77777777" w:rsidR="00A160F0" w:rsidRPr="000A431F" w:rsidRDefault="00A160F0" w:rsidP="008F4618">
            <w:pPr>
              <w:autoSpaceDE w:val="0"/>
              <w:autoSpaceDN w:val="0"/>
              <w:adjustRightInd w:val="0"/>
              <w:snapToGrid w:val="0"/>
              <w:spacing w:line="240" w:lineRule="auto"/>
              <w:jc w:val="left"/>
            </w:pPr>
            <w:r w:rsidRPr="000A431F">
              <w:t>Large confluent areas of hyperintensities</w:t>
            </w:r>
          </w:p>
        </w:tc>
        <w:tc>
          <w:tcPr>
            <w:tcW w:w="2453" w:type="dxa"/>
            <w:shd w:val="clear" w:color="auto" w:fill="auto"/>
            <w:vAlign w:val="center"/>
          </w:tcPr>
          <w:p w14:paraId="7E5A3EDB" w14:textId="77777777" w:rsidR="00A160F0" w:rsidRPr="000A431F" w:rsidRDefault="00A160F0" w:rsidP="008F4618">
            <w:pPr>
              <w:autoSpaceDE w:val="0"/>
              <w:autoSpaceDN w:val="0"/>
              <w:adjustRightInd w:val="0"/>
              <w:snapToGrid w:val="0"/>
              <w:spacing w:line="240" w:lineRule="auto"/>
              <w:jc w:val="left"/>
            </w:pPr>
            <w:r w:rsidRPr="000A431F">
              <w:t>Pathological at any age</w:t>
            </w:r>
          </w:p>
        </w:tc>
      </w:tr>
    </w:tbl>
    <w:p w14:paraId="601952B4" w14:textId="5BE3FA84" w:rsidR="00A160F0" w:rsidRPr="000A431F" w:rsidRDefault="00A64023" w:rsidP="00A64023">
      <w:pPr>
        <w:pStyle w:val="MDPI22heading2"/>
        <w:spacing w:before="240"/>
      </w:pPr>
      <w:r w:rsidRPr="000A431F">
        <w:t xml:space="preserve">2.3. </w:t>
      </w:r>
      <w:r w:rsidR="00A160F0" w:rsidRPr="000A431F">
        <w:t xml:space="preserve">Statistical </w:t>
      </w:r>
      <w:r w:rsidR="00642B3D" w:rsidRPr="000A431F">
        <w:t>Analysis</w:t>
      </w:r>
    </w:p>
    <w:p w14:paraId="4686AFE3" w14:textId="5058738C" w:rsidR="00A160F0" w:rsidRPr="000A431F" w:rsidRDefault="00A160F0" w:rsidP="00A64023">
      <w:pPr>
        <w:pStyle w:val="MDPI31text"/>
      </w:pPr>
      <w:r w:rsidRPr="000A431F">
        <w:t xml:space="preserve">Univariate descriptive analyses were performed. For the quantitative variable </w:t>
      </w:r>
      <w:r w:rsidR="00B42EB7" w:rsidRPr="000A431F">
        <w:t>“</w:t>
      </w:r>
      <w:r w:rsidRPr="000A431F">
        <w:t>age</w:t>
      </w:r>
      <w:r w:rsidR="00B42EB7" w:rsidRPr="000A431F">
        <w:t>”</w:t>
      </w:r>
      <w:r w:rsidRPr="000A431F">
        <w:t xml:space="preserve">, normality analyses were carried out using the </w:t>
      </w:r>
      <w:r w:rsidR="000A431F" w:rsidRPr="000A431F">
        <w:t>Shapiro–Wilk</w:t>
      </w:r>
      <w:r w:rsidRPr="000A431F">
        <w:t xml:space="preserve"> test and an analysis of its distribution according to sex, expressing its central distribution and main dispersion parameters. Qualitative variables were expressed as absolute and relative frequencies.</w:t>
      </w:r>
    </w:p>
    <w:p w14:paraId="381671E7" w14:textId="6C559CE5" w:rsidR="00A160F0" w:rsidRPr="000A431F" w:rsidRDefault="00A160F0" w:rsidP="00A64023">
      <w:pPr>
        <w:pStyle w:val="MDPI31text"/>
      </w:pPr>
      <w:r w:rsidRPr="000A431F">
        <w:t>Subsequently, bivariate contrastive analyses were performed using two-tailed Fisher</w:t>
      </w:r>
      <w:r w:rsidR="00B42EB7" w:rsidRPr="000A431F">
        <w:t>’</w:t>
      </w:r>
      <w:r w:rsidRPr="000A431F">
        <w:t>s exact tests to study the association between GCA, MTA and Fazekas scores according to age ranges of the patients, establishing those corresponding to the thresholds previously described for each scale</w:t>
      </w:r>
      <w:r w:rsidR="00AE6471">
        <w:t xml:space="preserve"> </w:t>
      </w:r>
      <w:r w:rsidR="00AE6471" w:rsidRPr="000A431F">
        <w:t xml:space="preserve">as </w:t>
      </w:r>
      <w:r w:rsidR="00AE6471">
        <w:t xml:space="preserve">the </w:t>
      </w:r>
      <w:r w:rsidR="00AE6471" w:rsidRPr="000A431F">
        <w:t>cut-off points</w:t>
      </w:r>
      <w:r w:rsidRPr="000A431F">
        <w:t>. This way, we aimed to provide more specific cues on the distribution of radiological abnormalities</w:t>
      </w:r>
      <w:r w:rsidR="00AE6471">
        <w:t>,</w:t>
      </w:r>
      <w:r w:rsidRPr="000A431F">
        <w:t xml:space="preserve"> considering previously established thresholds.</w:t>
      </w:r>
    </w:p>
    <w:p w14:paraId="727F683D" w14:textId="5D5CEECC" w:rsidR="00A160F0" w:rsidRPr="000A431F" w:rsidRDefault="00A64023" w:rsidP="00A64023">
      <w:pPr>
        <w:pStyle w:val="MDPI21heading1"/>
      </w:pPr>
      <w:r w:rsidRPr="000A431F">
        <w:t xml:space="preserve">3. </w:t>
      </w:r>
      <w:r w:rsidR="00A160F0" w:rsidRPr="000A431F">
        <w:t>Results</w:t>
      </w:r>
    </w:p>
    <w:p w14:paraId="1CCEE3C0" w14:textId="1E5B124B" w:rsidR="00A160F0" w:rsidRPr="000A431F" w:rsidRDefault="00A64023" w:rsidP="00A64023">
      <w:pPr>
        <w:pStyle w:val="MDPI22heading2"/>
      </w:pPr>
      <w:r w:rsidRPr="000A431F">
        <w:t xml:space="preserve">3.1. </w:t>
      </w:r>
      <w:r w:rsidR="00A160F0" w:rsidRPr="000A431F">
        <w:t xml:space="preserve">Characteristics of the </w:t>
      </w:r>
      <w:r w:rsidR="00E67447" w:rsidRPr="000A431F">
        <w:t xml:space="preserve">Subjects Included </w:t>
      </w:r>
      <w:r w:rsidR="00A160F0" w:rsidRPr="000A431F">
        <w:t xml:space="preserve">in the </w:t>
      </w:r>
      <w:r w:rsidR="00E67447" w:rsidRPr="000A431F">
        <w:t>Study</w:t>
      </w:r>
    </w:p>
    <w:p w14:paraId="4803EC54" w14:textId="771A8E7F" w:rsidR="00A160F0" w:rsidRPr="000A431F" w:rsidRDefault="00A160F0" w:rsidP="00A64023">
      <w:pPr>
        <w:pStyle w:val="MDPI31text"/>
      </w:pPr>
      <w:r w:rsidRPr="000A431F">
        <w:t>Of the 4715 patients with ICD-10 coding related to psychotic symptoms (F20</w:t>
      </w:r>
      <w:r w:rsidR="00402AAA" w:rsidRPr="000A431F">
        <w:t>–</w:t>
      </w:r>
      <w:r w:rsidRPr="000A431F">
        <w:t>F29), 382 corresponded to Brief Psychotic Disorder (F23), which included 277 duplicated records that were removed. After applying the inclusion and exclusion criteria, the final study sample consisted of 105 patients. Figure 1 shows the flow diagram of the study.</w:t>
      </w:r>
    </w:p>
    <w:p w14:paraId="403F7A19" w14:textId="77777777" w:rsidR="00A160F0" w:rsidRPr="000A431F" w:rsidRDefault="00A160F0" w:rsidP="00A64023">
      <w:pPr>
        <w:pStyle w:val="MDPI52figure"/>
        <w:ind w:left="2608"/>
        <w:jc w:val="left"/>
      </w:pPr>
      <w:r w:rsidRPr="000A431F">
        <w:rPr>
          <w:noProof/>
        </w:rPr>
        <w:lastRenderedPageBreak/>
        <w:drawing>
          <wp:inline distT="0" distB="0" distL="0" distR="0" wp14:anchorId="1A38D26D" wp14:editId="10ED58D9">
            <wp:extent cx="4912168" cy="318293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5472" cy="3191556"/>
                    </a:xfrm>
                    <a:prstGeom prst="rect">
                      <a:avLst/>
                    </a:prstGeom>
                    <a:noFill/>
                    <a:ln>
                      <a:noFill/>
                    </a:ln>
                  </pic:spPr>
                </pic:pic>
              </a:graphicData>
            </a:graphic>
          </wp:inline>
        </w:drawing>
      </w:r>
    </w:p>
    <w:p w14:paraId="5E3BF230" w14:textId="77777777" w:rsidR="00A160F0" w:rsidRPr="000A431F" w:rsidRDefault="00A160F0" w:rsidP="00A64023">
      <w:pPr>
        <w:pStyle w:val="MDPI51figurecaption"/>
      </w:pPr>
      <w:r w:rsidRPr="000A431F">
        <w:rPr>
          <w:b/>
          <w:bCs/>
        </w:rPr>
        <w:t>Figure 1.</w:t>
      </w:r>
      <w:r w:rsidRPr="000A431F">
        <w:rPr>
          <w:b/>
        </w:rPr>
        <w:t xml:space="preserve"> </w:t>
      </w:r>
      <w:r w:rsidRPr="000A431F">
        <w:t>Flow chart of the patients’ selection process.</w:t>
      </w:r>
    </w:p>
    <w:p w14:paraId="3CC704DD" w14:textId="26F291D2" w:rsidR="00A160F0" w:rsidRPr="000A431F" w:rsidRDefault="00A160F0" w:rsidP="00A64023">
      <w:pPr>
        <w:pStyle w:val="MDPI31text"/>
      </w:pPr>
      <w:r w:rsidRPr="000A431F">
        <w:t xml:space="preserve">The median age of the sample was 36 years, with a similar distribution by sex (52.4% in men). The </w:t>
      </w:r>
      <w:r w:rsidR="000A431F" w:rsidRPr="000A431F">
        <w:t>Shapiro–Wilk</w:t>
      </w:r>
      <w:r w:rsidRPr="000A431F">
        <w:t xml:space="preserve"> test showed that the hypothesis of normality for age could not be accepted (</w:t>
      </w:r>
      <w:r w:rsidR="009D16F5" w:rsidRPr="000A431F">
        <w:rPr>
          <w:i/>
        </w:rPr>
        <w:t>p</w:t>
      </w:r>
      <w:r w:rsidRPr="000A431F">
        <w:t xml:space="preserve"> = 0.001). The analysis of this variable according to sex showed that it followed a normal distribution in women (</w:t>
      </w:r>
      <w:r w:rsidR="009D16F5" w:rsidRPr="000A431F">
        <w:rPr>
          <w:i/>
        </w:rPr>
        <w:t>p</w:t>
      </w:r>
      <w:r w:rsidRPr="000A431F">
        <w:t xml:space="preserve"> = 0.115), but not in men (</w:t>
      </w:r>
      <w:r w:rsidR="009D16F5" w:rsidRPr="000A431F">
        <w:rPr>
          <w:i/>
        </w:rPr>
        <w:t>p</w:t>
      </w:r>
      <w:r w:rsidRPr="000A431F">
        <w:t xml:space="preserve"> = 0.008). The Wilcoxon test to compare both groups showed a tendency </w:t>
      </w:r>
      <w:r w:rsidR="00AE6471">
        <w:t>towards</w:t>
      </w:r>
      <w:r w:rsidR="00AE6471" w:rsidRPr="000A431F">
        <w:t xml:space="preserve"> </w:t>
      </w:r>
      <w:r w:rsidRPr="000A431F">
        <w:t>significance</w:t>
      </w:r>
      <w:r w:rsidR="00AE6471">
        <w:t>,</w:t>
      </w:r>
      <w:r w:rsidRPr="000A431F">
        <w:t xml:space="preserve"> indicating greater age in women than in men (</w:t>
      </w:r>
      <w:r w:rsidR="009D16F5" w:rsidRPr="000A431F">
        <w:rPr>
          <w:i/>
        </w:rPr>
        <w:t>p</w:t>
      </w:r>
      <w:r w:rsidRPr="000A431F">
        <w:t xml:space="preserve"> = 0.06). </w:t>
      </w:r>
      <w:commentRangeStart w:id="17"/>
      <w:r w:rsidRPr="000A431F">
        <w:rPr>
          <w:highlight w:val="yellow"/>
        </w:rPr>
        <w:t xml:space="preserve">Supplementary Figure </w:t>
      </w:r>
      <w:r w:rsidR="00F066FF" w:rsidRPr="000A431F">
        <w:rPr>
          <w:highlight w:val="yellow"/>
        </w:rPr>
        <w:t>S</w:t>
      </w:r>
      <w:r w:rsidRPr="000A431F">
        <w:rPr>
          <w:highlight w:val="yellow"/>
        </w:rPr>
        <w:t>1</w:t>
      </w:r>
      <w:commentRangeEnd w:id="17"/>
      <w:r w:rsidR="00F066FF" w:rsidRPr="000A431F">
        <w:rPr>
          <w:rStyle w:val="CommentReference"/>
          <w:rFonts w:eastAsia="宋体"/>
          <w:noProof/>
          <w:snapToGrid/>
          <w:lang w:eastAsia="zh-CN" w:bidi="ar-SA"/>
          <w14:ligatures w14:val="none"/>
        </w:rPr>
        <w:commentReference w:id="17"/>
      </w:r>
      <w:r w:rsidRPr="000A431F">
        <w:t xml:space="preserve"> shows the age distribution in the sample</w:t>
      </w:r>
      <w:r w:rsidR="00AE6471">
        <w:t>,</w:t>
      </w:r>
      <w:r w:rsidRPr="000A431F">
        <w:t xml:space="preserve"> and </w:t>
      </w:r>
      <w:commentRangeStart w:id="18"/>
      <w:r w:rsidRPr="000A431F">
        <w:rPr>
          <w:highlight w:val="yellow"/>
        </w:rPr>
        <w:t xml:space="preserve">Supplementary Figure </w:t>
      </w:r>
      <w:r w:rsidR="007A62C8" w:rsidRPr="000A431F">
        <w:rPr>
          <w:highlight w:val="yellow"/>
        </w:rPr>
        <w:t>S</w:t>
      </w:r>
      <w:r w:rsidRPr="000A431F">
        <w:rPr>
          <w:highlight w:val="yellow"/>
        </w:rPr>
        <w:t>2</w:t>
      </w:r>
      <w:r w:rsidRPr="000A431F">
        <w:t xml:space="preserve"> </w:t>
      </w:r>
      <w:commentRangeEnd w:id="18"/>
      <w:r w:rsidR="007A62C8" w:rsidRPr="000A431F">
        <w:rPr>
          <w:rStyle w:val="CommentReference"/>
          <w:rFonts w:eastAsia="宋体"/>
          <w:noProof/>
          <w:snapToGrid/>
          <w:lang w:eastAsia="zh-CN" w:bidi="ar-SA"/>
          <w14:ligatures w14:val="none"/>
        </w:rPr>
        <w:commentReference w:id="18"/>
      </w:r>
      <w:r w:rsidRPr="000A431F">
        <w:t>shows the age distribution according to sex.</w:t>
      </w:r>
    </w:p>
    <w:p w14:paraId="3A125B91" w14:textId="77777777" w:rsidR="00A160F0" w:rsidRPr="000A431F" w:rsidRDefault="00A160F0" w:rsidP="00A64023">
      <w:pPr>
        <w:pStyle w:val="MDPI31text"/>
      </w:pPr>
      <w:r w:rsidRPr="000A431F">
        <w:t>A total of 80 cases (76.2%) corresponded exclusively to CT, 8 (7.6%) to MRI, and 17 (16.2%) underwent both CT and MRI during admission. Supplementary Figure S3 shows the distribution of age by neuroimaging tests used in the sample.</w:t>
      </w:r>
    </w:p>
    <w:p w14:paraId="6D4F95E0" w14:textId="5A9B5CA0" w:rsidR="00A160F0" w:rsidRPr="000A431F" w:rsidRDefault="00A160F0" w:rsidP="00A64023">
      <w:pPr>
        <w:pStyle w:val="MDPI31text"/>
      </w:pPr>
      <w:r w:rsidRPr="000A431F">
        <w:t xml:space="preserve">Considering the age ranges for which certain non-specific brain alterations (GCA, MTA and Fazekas scores) can be considered within normal range, the number of cases with any type of structural alteration was 48 (45.7%). </w:t>
      </w:r>
      <w:commentRangeStart w:id="19"/>
      <w:r w:rsidRPr="000A431F">
        <w:rPr>
          <w:highlight w:val="yellow"/>
        </w:rPr>
        <w:t xml:space="preserve">Supplementary Figure </w:t>
      </w:r>
      <w:r w:rsidR="00602EF1" w:rsidRPr="000A431F">
        <w:rPr>
          <w:highlight w:val="yellow"/>
        </w:rPr>
        <w:t>S</w:t>
      </w:r>
      <w:r w:rsidRPr="000A431F">
        <w:rPr>
          <w:highlight w:val="yellow"/>
        </w:rPr>
        <w:t>4</w:t>
      </w:r>
      <w:r w:rsidRPr="000A431F">
        <w:t xml:space="preserve"> </w:t>
      </w:r>
      <w:commentRangeEnd w:id="19"/>
      <w:r w:rsidR="00602EF1" w:rsidRPr="000A431F">
        <w:rPr>
          <w:rStyle w:val="CommentReference"/>
          <w:rFonts w:eastAsia="宋体"/>
          <w:noProof/>
          <w:snapToGrid/>
          <w:lang w:eastAsia="zh-CN" w:bidi="ar-SA"/>
          <w14:ligatures w14:val="none"/>
        </w:rPr>
        <w:commentReference w:id="19"/>
      </w:r>
      <w:r w:rsidRPr="000A431F">
        <w:t xml:space="preserve">shows the distribution of cases with in-range and out-of-range non-specific abnormalities in the sample. </w:t>
      </w:r>
      <w:commentRangeStart w:id="20"/>
      <w:r w:rsidRPr="000A431F">
        <w:t xml:space="preserve">In addition, another case without alterations in these scales presented </w:t>
      </w:r>
      <w:r w:rsidR="00AE6471">
        <w:t>a</w:t>
      </w:r>
      <w:r w:rsidRPr="000A431F">
        <w:t xml:space="preserve"> specific structural lesion, so the total number of cases with structural </w:t>
      </w:r>
      <w:r w:rsidR="00AE6471">
        <w:t xml:space="preserve">lesions </w:t>
      </w:r>
      <w:r w:rsidRPr="000A431F">
        <w:t xml:space="preserve">was 49 </w:t>
      </w:r>
      <w:commentRangeEnd w:id="20"/>
      <w:r w:rsidR="00AE6471">
        <w:rPr>
          <w:rStyle w:val="CommentReference"/>
          <w:rFonts w:eastAsia="宋体"/>
          <w:noProof/>
          <w:snapToGrid/>
          <w:lang w:eastAsia="zh-CN" w:bidi="ar-SA"/>
          <w14:ligatures w14:val="none"/>
        </w:rPr>
        <w:commentReference w:id="20"/>
      </w:r>
      <w:r w:rsidRPr="000A431F">
        <w:t>(46.7%). Table 4 shows the main characteristics and findings in the sample.</w:t>
      </w:r>
    </w:p>
    <w:p w14:paraId="118224EB" w14:textId="77777777" w:rsidR="00AB6D95" w:rsidRPr="000A431F" w:rsidRDefault="00AB6D95">
      <w:pPr>
        <w:spacing w:line="240" w:lineRule="auto"/>
        <w:jc w:val="left"/>
        <w:rPr>
          <w:rFonts w:eastAsia="Times New Roman" w:cstheme="minorBidi"/>
          <w:b/>
          <w:bCs/>
          <w:noProof w:val="0"/>
          <w:sz w:val="18"/>
          <w:szCs w:val="22"/>
          <w:lang w:eastAsia="de-DE" w:bidi="en-US"/>
          <w14:ligatures w14:val="standardContextual"/>
        </w:rPr>
      </w:pPr>
      <w:r w:rsidRPr="000A431F">
        <w:rPr>
          <w:b/>
          <w:bCs/>
        </w:rPr>
        <w:br w:type="page"/>
      </w:r>
    </w:p>
    <w:p w14:paraId="22811B6A" w14:textId="153D5DF0" w:rsidR="00A160F0" w:rsidRPr="000A431F" w:rsidRDefault="00A160F0" w:rsidP="00A64023">
      <w:pPr>
        <w:pStyle w:val="MDPI41tablecaption"/>
        <w:jc w:val="both"/>
      </w:pPr>
      <w:commentRangeStart w:id="21"/>
      <w:r w:rsidRPr="000A431F">
        <w:rPr>
          <w:b/>
          <w:bCs/>
          <w:highlight w:val="yellow"/>
        </w:rPr>
        <w:lastRenderedPageBreak/>
        <w:t>Table 4.</w:t>
      </w:r>
      <w:r w:rsidRPr="000A431F">
        <w:rPr>
          <w:b/>
        </w:rPr>
        <w:t xml:space="preserve"> </w:t>
      </w:r>
      <w:commentRangeEnd w:id="21"/>
      <w:r w:rsidR="00BD0286" w:rsidRPr="000A431F">
        <w:rPr>
          <w:rStyle w:val="CommentReference"/>
          <w:rFonts w:eastAsia="宋体" w:cs="Times New Roman"/>
          <w:noProof/>
          <w:lang w:eastAsia="zh-CN" w:bidi="ar-SA"/>
          <w14:ligatures w14:val="none"/>
        </w:rPr>
        <w:commentReference w:id="21"/>
      </w:r>
      <w:r w:rsidRPr="000A431F">
        <w:t xml:space="preserve">Characteristics and main results in the study sample. GCA, Global Cortical Atrophy. MTA, Medial Temporal Lobe Atrophy. Quantitative variables are expressed as mean and standard deviation (X </w:t>
      </w:r>
      <w:r w:rsidR="00CB2F6A" w:rsidRPr="000A431F">
        <w:t>±</w:t>
      </w:r>
      <w:r w:rsidRPr="000A431F">
        <w:t xml:space="preserve"> S.D.). Qualitative variables are expressed as absolute and relative frequencies (N [%]). The </w:t>
      </w:r>
      <w:r w:rsidR="000A431F" w:rsidRPr="000A431F">
        <w:t>Shapiro–Wilk</w:t>
      </w:r>
      <w:r w:rsidRPr="000A431F">
        <w:t xml:space="preserve"> test showed that age does not follow a normal distribution under the conventional significance threshold (</w:t>
      </w:r>
      <w:r w:rsidR="009D16F5" w:rsidRPr="000A431F">
        <w:rPr>
          <w:i/>
        </w:rPr>
        <w:t xml:space="preserve">p </w:t>
      </w:r>
      <w:r w:rsidR="009D16F5" w:rsidRPr="000A431F">
        <w:t>=</w:t>
      </w:r>
      <w:r w:rsidR="009D16F5" w:rsidRPr="000A431F">
        <w:rPr>
          <w:i/>
        </w:rPr>
        <w:t xml:space="preserve"> </w:t>
      </w:r>
      <w:r w:rsidR="009D16F5" w:rsidRPr="000A431F">
        <w:t>0</w:t>
      </w:r>
      <w:r w:rsidRPr="000A431F">
        <w:t>.001); the median and interquartile range is 36 (2</w:t>
      </w:r>
      <w:r w:rsidR="009D16F5" w:rsidRPr="000A431F">
        <w:t>8–53</w:t>
      </w:r>
      <w:r w:rsidRPr="000A431F">
        <w:t>) years. *</w:t>
      </w:r>
      <w:r w:rsidR="00AB6D95" w:rsidRPr="000A431F">
        <w:t xml:space="preserve"> </w:t>
      </w:r>
      <w:r w:rsidRPr="000A431F">
        <w:t>MRI was not performed, so the scale is not applicable. **</w:t>
      </w:r>
      <w:r w:rsidR="00AB6D95" w:rsidRPr="000A431F">
        <w:t xml:space="preserve"> </w:t>
      </w:r>
      <w:r w:rsidRPr="000A431F">
        <w:t>Including non-specific abnormalities for age (48 cases) and specific structural lesions (1 case).</w:t>
      </w:r>
    </w:p>
    <w:tbl>
      <w:tblPr>
        <w:tblStyle w:val="TableGrid"/>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11"/>
        <w:gridCol w:w="3146"/>
      </w:tblGrid>
      <w:tr w:rsidR="002C7470" w:rsidRPr="000A431F" w14:paraId="3048A407" w14:textId="77777777" w:rsidTr="002C7470">
        <w:tc>
          <w:tcPr>
            <w:tcW w:w="5093" w:type="dxa"/>
            <w:tcBorders>
              <w:top w:val="single" w:sz="8" w:space="0" w:color="auto"/>
              <w:bottom w:val="single" w:sz="4" w:space="0" w:color="auto"/>
            </w:tcBorders>
            <w:shd w:val="clear" w:color="auto" w:fill="auto"/>
            <w:vAlign w:val="center"/>
            <w:hideMark/>
          </w:tcPr>
          <w:p w14:paraId="4E058846" w14:textId="77777777" w:rsidR="00A160F0" w:rsidRPr="000A431F" w:rsidRDefault="00A160F0" w:rsidP="002C7470">
            <w:pPr>
              <w:autoSpaceDE w:val="0"/>
              <w:autoSpaceDN w:val="0"/>
              <w:adjustRightInd w:val="0"/>
              <w:snapToGrid w:val="0"/>
              <w:spacing w:line="240" w:lineRule="auto"/>
              <w:jc w:val="left"/>
              <w:rPr>
                <w:b/>
                <w:bCs/>
              </w:rPr>
            </w:pPr>
            <w:r w:rsidRPr="000A431F">
              <w:rPr>
                <w:b/>
                <w:bCs/>
              </w:rPr>
              <w:t>Variable</w:t>
            </w:r>
          </w:p>
        </w:tc>
        <w:tc>
          <w:tcPr>
            <w:tcW w:w="3401" w:type="dxa"/>
            <w:tcBorders>
              <w:top w:val="single" w:sz="8" w:space="0" w:color="auto"/>
              <w:bottom w:val="single" w:sz="4" w:space="0" w:color="auto"/>
            </w:tcBorders>
            <w:shd w:val="clear" w:color="auto" w:fill="auto"/>
            <w:vAlign w:val="center"/>
            <w:hideMark/>
          </w:tcPr>
          <w:p w14:paraId="4549CC4E" w14:textId="43A66C59" w:rsidR="00A160F0" w:rsidRPr="000A431F" w:rsidRDefault="00A160F0" w:rsidP="002C7470">
            <w:pPr>
              <w:autoSpaceDE w:val="0"/>
              <w:autoSpaceDN w:val="0"/>
              <w:adjustRightInd w:val="0"/>
              <w:snapToGrid w:val="0"/>
              <w:spacing w:line="240" w:lineRule="auto"/>
              <w:jc w:val="left"/>
              <w:rPr>
                <w:b/>
                <w:bCs/>
              </w:rPr>
            </w:pPr>
            <w:r w:rsidRPr="000A431F">
              <w:rPr>
                <w:b/>
                <w:bCs/>
              </w:rPr>
              <w:t xml:space="preserve">Total </w:t>
            </w:r>
            <w:r w:rsidR="00A64023" w:rsidRPr="000A431F">
              <w:rPr>
                <w:b/>
                <w:bCs/>
              </w:rPr>
              <w:t xml:space="preserve">Sample </w:t>
            </w:r>
            <w:r w:rsidRPr="000A431F">
              <w:rPr>
                <w:b/>
                <w:bCs/>
              </w:rPr>
              <w:t>(n = 105)</w:t>
            </w:r>
          </w:p>
          <w:p w14:paraId="3B2FB53C" w14:textId="6B253E73" w:rsidR="00A160F0" w:rsidRPr="000A431F" w:rsidRDefault="00A160F0" w:rsidP="002C7470">
            <w:pPr>
              <w:autoSpaceDE w:val="0"/>
              <w:autoSpaceDN w:val="0"/>
              <w:adjustRightInd w:val="0"/>
              <w:snapToGrid w:val="0"/>
              <w:spacing w:line="240" w:lineRule="auto"/>
              <w:jc w:val="left"/>
              <w:rPr>
                <w:b/>
                <w:bCs/>
              </w:rPr>
            </w:pPr>
            <w:r w:rsidRPr="000A431F">
              <w:rPr>
                <w:b/>
                <w:bCs/>
              </w:rPr>
              <w:t>X</w:t>
            </w:r>
            <w:r w:rsidR="00FB5E20" w:rsidRPr="000A431F">
              <w:rPr>
                <w:b/>
                <w:bCs/>
              </w:rPr>
              <w:t xml:space="preserve"> ±</w:t>
            </w:r>
            <w:r w:rsidRPr="000A431F">
              <w:rPr>
                <w:b/>
                <w:bCs/>
              </w:rPr>
              <w:t xml:space="preserve"> S.D./N (%)</w:t>
            </w:r>
          </w:p>
        </w:tc>
      </w:tr>
      <w:tr w:rsidR="00A160F0" w:rsidRPr="000A431F" w14:paraId="66802DAD" w14:textId="77777777" w:rsidTr="002C7470">
        <w:tc>
          <w:tcPr>
            <w:tcW w:w="5093" w:type="dxa"/>
            <w:tcBorders>
              <w:top w:val="single" w:sz="4" w:space="0" w:color="auto"/>
            </w:tcBorders>
            <w:shd w:val="clear" w:color="auto" w:fill="auto"/>
            <w:vAlign w:val="center"/>
            <w:hideMark/>
          </w:tcPr>
          <w:p w14:paraId="6DC9633A" w14:textId="77777777" w:rsidR="00A160F0" w:rsidRPr="000A431F" w:rsidRDefault="00A160F0" w:rsidP="002C7470">
            <w:pPr>
              <w:autoSpaceDE w:val="0"/>
              <w:autoSpaceDN w:val="0"/>
              <w:adjustRightInd w:val="0"/>
              <w:snapToGrid w:val="0"/>
              <w:spacing w:line="240" w:lineRule="auto"/>
              <w:jc w:val="left"/>
            </w:pPr>
            <w:r w:rsidRPr="000A431F">
              <w:t>Age</w:t>
            </w:r>
            <w:commentRangeStart w:id="22"/>
            <w:r w:rsidRPr="000A431F">
              <w:rPr>
                <w:highlight w:val="yellow"/>
              </w:rPr>
              <w:t>^</w:t>
            </w:r>
            <w:commentRangeEnd w:id="22"/>
            <w:r w:rsidR="000946A2" w:rsidRPr="000A431F">
              <w:rPr>
                <w:rStyle w:val="CommentReference"/>
              </w:rPr>
              <w:commentReference w:id="22"/>
            </w:r>
          </w:p>
        </w:tc>
        <w:tc>
          <w:tcPr>
            <w:tcW w:w="3401" w:type="dxa"/>
            <w:tcBorders>
              <w:top w:val="single" w:sz="4" w:space="0" w:color="auto"/>
            </w:tcBorders>
            <w:shd w:val="clear" w:color="auto" w:fill="auto"/>
            <w:vAlign w:val="center"/>
            <w:hideMark/>
          </w:tcPr>
          <w:p w14:paraId="61F09B3C" w14:textId="29C77B26" w:rsidR="00A160F0" w:rsidRPr="000A431F" w:rsidRDefault="00A160F0" w:rsidP="002C7470">
            <w:pPr>
              <w:autoSpaceDE w:val="0"/>
              <w:autoSpaceDN w:val="0"/>
              <w:adjustRightInd w:val="0"/>
              <w:snapToGrid w:val="0"/>
              <w:spacing w:line="240" w:lineRule="auto"/>
              <w:jc w:val="left"/>
            </w:pPr>
            <w:r w:rsidRPr="000A431F">
              <w:t>39.5</w:t>
            </w:r>
            <w:r w:rsidR="00FB5E20" w:rsidRPr="000A431F">
              <w:t xml:space="preserve"> ±</w:t>
            </w:r>
            <w:r w:rsidRPr="000A431F">
              <w:t xml:space="preserve"> 15.0</w:t>
            </w:r>
          </w:p>
        </w:tc>
      </w:tr>
      <w:tr w:rsidR="00A160F0" w:rsidRPr="000A431F" w14:paraId="273BC7D8" w14:textId="77777777" w:rsidTr="002C7470">
        <w:tc>
          <w:tcPr>
            <w:tcW w:w="5093" w:type="dxa"/>
            <w:shd w:val="clear" w:color="auto" w:fill="auto"/>
            <w:vAlign w:val="center"/>
            <w:hideMark/>
          </w:tcPr>
          <w:p w14:paraId="5E6540BB" w14:textId="77777777" w:rsidR="00A160F0" w:rsidRPr="000A431F" w:rsidRDefault="00A160F0" w:rsidP="002C7470">
            <w:pPr>
              <w:autoSpaceDE w:val="0"/>
              <w:autoSpaceDN w:val="0"/>
              <w:adjustRightInd w:val="0"/>
              <w:snapToGrid w:val="0"/>
              <w:spacing w:line="240" w:lineRule="auto"/>
              <w:jc w:val="left"/>
            </w:pPr>
            <w:r w:rsidRPr="000A431F">
              <w:t>Gender (Female)</w:t>
            </w:r>
          </w:p>
        </w:tc>
        <w:tc>
          <w:tcPr>
            <w:tcW w:w="3401" w:type="dxa"/>
            <w:shd w:val="clear" w:color="auto" w:fill="auto"/>
            <w:vAlign w:val="center"/>
            <w:hideMark/>
          </w:tcPr>
          <w:p w14:paraId="6D711B93" w14:textId="77777777" w:rsidR="00A160F0" w:rsidRPr="000A431F" w:rsidRDefault="00A160F0" w:rsidP="002C7470">
            <w:pPr>
              <w:autoSpaceDE w:val="0"/>
              <w:autoSpaceDN w:val="0"/>
              <w:adjustRightInd w:val="0"/>
              <w:snapToGrid w:val="0"/>
              <w:spacing w:line="240" w:lineRule="auto"/>
              <w:jc w:val="left"/>
            </w:pPr>
            <w:r w:rsidRPr="000A431F">
              <w:t>50 (47.6)</w:t>
            </w:r>
          </w:p>
        </w:tc>
      </w:tr>
      <w:tr w:rsidR="00A160F0" w:rsidRPr="000A431F" w14:paraId="2643782C" w14:textId="77777777" w:rsidTr="002C7470">
        <w:tc>
          <w:tcPr>
            <w:tcW w:w="5093" w:type="dxa"/>
            <w:shd w:val="clear" w:color="auto" w:fill="auto"/>
            <w:vAlign w:val="center"/>
            <w:hideMark/>
          </w:tcPr>
          <w:p w14:paraId="3B6E839C" w14:textId="77777777" w:rsidR="00A160F0" w:rsidRPr="000A431F" w:rsidRDefault="00A160F0" w:rsidP="002C7470">
            <w:pPr>
              <w:autoSpaceDE w:val="0"/>
              <w:autoSpaceDN w:val="0"/>
              <w:adjustRightInd w:val="0"/>
              <w:snapToGrid w:val="0"/>
              <w:spacing w:line="240" w:lineRule="auto"/>
              <w:jc w:val="left"/>
              <w:rPr>
                <w:highlight w:val="yellow"/>
              </w:rPr>
            </w:pPr>
            <w:commentRangeStart w:id="23"/>
            <w:r w:rsidRPr="000A431F">
              <w:rPr>
                <w:highlight w:val="yellow"/>
              </w:rPr>
              <w:t>Neuroimaging test</w:t>
            </w:r>
          </w:p>
          <w:p w14:paraId="19BBBEDB" w14:textId="77777777" w:rsidR="00A160F0" w:rsidRPr="000A431F" w:rsidRDefault="00A160F0" w:rsidP="002C7470">
            <w:pPr>
              <w:autoSpaceDE w:val="0"/>
              <w:autoSpaceDN w:val="0"/>
              <w:adjustRightInd w:val="0"/>
              <w:snapToGrid w:val="0"/>
              <w:spacing w:line="240" w:lineRule="auto"/>
              <w:jc w:val="left"/>
              <w:rPr>
                <w:highlight w:val="yellow"/>
              </w:rPr>
            </w:pPr>
            <w:r w:rsidRPr="000A431F">
              <w:rPr>
                <w:highlight w:val="yellow"/>
              </w:rPr>
              <w:t>CT only</w:t>
            </w:r>
          </w:p>
          <w:p w14:paraId="5295A077" w14:textId="77777777" w:rsidR="00A160F0" w:rsidRPr="000A431F" w:rsidRDefault="00A160F0" w:rsidP="002C7470">
            <w:pPr>
              <w:autoSpaceDE w:val="0"/>
              <w:autoSpaceDN w:val="0"/>
              <w:adjustRightInd w:val="0"/>
              <w:snapToGrid w:val="0"/>
              <w:spacing w:line="240" w:lineRule="auto"/>
              <w:jc w:val="left"/>
              <w:rPr>
                <w:highlight w:val="yellow"/>
              </w:rPr>
            </w:pPr>
            <w:r w:rsidRPr="000A431F">
              <w:rPr>
                <w:highlight w:val="yellow"/>
              </w:rPr>
              <w:t>MRI only</w:t>
            </w:r>
          </w:p>
          <w:p w14:paraId="5139C4F4" w14:textId="77777777" w:rsidR="00A160F0" w:rsidRPr="000A431F" w:rsidRDefault="00A160F0" w:rsidP="002C7470">
            <w:pPr>
              <w:autoSpaceDE w:val="0"/>
              <w:autoSpaceDN w:val="0"/>
              <w:adjustRightInd w:val="0"/>
              <w:snapToGrid w:val="0"/>
              <w:spacing w:line="240" w:lineRule="auto"/>
              <w:jc w:val="left"/>
            </w:pPr>
            <w:r w:rsidRPr="000A431F">
              <w:rPr>
                <w:highlight w:val="yellow"/>
              </w:rPr>
              <w:t>CT and MRI</w:t>
            </w:r>
            <w:commentRangeEnd w:id="23"/>
            <w:r w:rsidR="00B079B8" w:rsidRPr="000A431F">
              <w:rPr>
                <w:rStyle w:val="CommentReference"/>
              </w:rPr>
              <w:commentReference w:id="23"/>
            </w:r>
          </w:p>
        </w:tc>
        <w:tc>
          <w:tcPr>
            <w:tcW w:w="3401" w:type="dxa"/>
            <w:shd w:val="clear" w:color="auto" w:fill="auto"/>
            <w:vAlign w:val="center"/>
            <w:hideMark/>
          </w:tcPr>
          <w:p w14:paraId="3045A8AC" w14:textId="77777777" w:rsidR="00A160F0" w:rsidRPr="000A431F" w:rsidRDefault="00A160F0" w:rsidP="002C7470">
            <w:pPr>
              <w:autoSpaceDE w:val="0"/>
              <w:autoSpaceDN w:val="0"/>
              <w:adjustRightInd w:val="0"/>
              <w:snapToGrid w:val="0"/>
              <w:spacing w:line="240" w:lineRule="auto"/>
              <w:jc w:val="left"/>
            </w:pPr>
          </w:p>
          <w:p w14:paraId="7B6494C4" w14:textId="77777777" w:rsidR="00A160F0" w:rsidRPr="000A431F" w:rsidRDefault="00A160F0" w:rsidP="002C7470">
            <w:pPr>
              <w:autoSpaceDE w:val="0"/>
              <w:autoSpaceDN w:val="0"/>
              <w:adjustRightInd w:val="0"/>
              <w:snapToGrid w:val="0"/>
              <w:spacing w:line="240" w:lineRule="auto"/>
              <w:jc w:val="left"/>
            </w:pPr>
            <w:r w:rsidRPr="000A431F">
              <w:t>80 (76.2)</w:t>
            </w:r>
          </w:p>
          <w:p w14:paraId="5CAC0B94" w14:textId="77777777" w:rsidR="00A160F0" w:rsidRPr="000A431F" w:rsidRDefault="00A160F0" w:rsidP="002C7470">
            <w:pPr>
              <w:autoSpaceDE w:val="0"/>
              <w:autoSpaceDN w:val="0"/>
              <w:adjustRightInd w:val="0"/>
              <w:snapToGrid w:val="0"/>
              <w:spacing w:line="240" w:lineRule="auto"/>
              <w:jc w:val="left"/>
            </w:pPr>
            <w:r w:rsidRPr="000A431F">
              <w:t>8 (7.6)</w:t>
            </w:r>
          </w:p>
          <w:p w14:paraId="4F4507A7" w14:textId="77777777" w:rsidR="00A160F0" w:rsidRPr="000A431F" w:rsidRDefault="00A160F0" w:rsidP="002C7470">
            <w:pPr>
              <w:autoSpaceDE w:val="0"/>
              <w:autoSpaceDN w:val="0"/>
              <w:adjustRightInd w:val="0"/>
              <w:snapToGrid w:val="0"/>
              <w:spacing w:line="240" w:lineRule="auto"/>
              <w:jc w:val="left"/>
            </w:pPr>
            <w:r w:rsidRPr="000A431F">
              <w:t>17 (16.2)</w:t>
            </w:r>
          </w:p>
        </w:tc>
      </w:tr>
      <w:tr w:rsidR="00A160F0" w:rsidRPr="000A431F" w14:paraId="2C24D1C2" w14:textId="77777777" w:rsidTr="002C7470">
        <w:tc>
          <w:tcPr>
            <w:tcW w:w="5093" w:type="dxa"/>
            <w:shd w:val="clear" w:color="auto" w:fill="auto"/>
            <w:vAlign w:val="center"/>
            <w:hideMark/>
          </w:tcPr>
          <w:p w14:paraId="0565F60C" w14:textId="77777777" w:rsidR="00A160F0" w:rsidRPr="000A431F" w:rsidRDefault="00A160F0" w:rsidP="002C7470">
            <w:pPr>
              <w:autoSpaceDE w:val="0"/>
              <w:autoSpaceDN w:val="0"/>
              <w:adjustRightInd w:val="0"/>
              <w:snapToGrid w:val="0"/>
              <w:spacing w:line="240" w:lineRule="auto"/>
              <w:jc w:val="left"/>
            </w:pPr>
            <w:r w:rsidRPr="000A431F">
              <w:t>GCA scale score</w:t>
            </w:r>
          </w:p>
          <w:p w14:paraId="339CD778" w14:textId="77777777" w:rsidR="00A160F0" w:rsidRPr="000A431F" w:rsidRDefault="00A160F0" w:rsidP="002C7470">
            <w:pPr>
              <w:autoSpaceDE w:val="0"/>
              <w:autoSpaceDN w:val="0"/>
              <w:adjustRightInd w:val="0"/>
              <w:snapToGrid w:val="0"/>
              <w:spacing w:line="240" w:lineRule="auto"/>
              <w:jc w:val="left"/>
            </w:pPr>
            <w:r w:rsidRPr="000A431F">
              <w:t>0</w:t>
            </w:r>
          </w:p>
          <w:p w14:paraId="2302D769" w14:textId="77777777" w:rsidR="00A160F0" w:rsidRPr="000A431F" w:rsidRDefault="00A160F0" w:rsidP="002C7470">
            <w:pPr>
              <w:autoSpaceDE w:val="0"/>
              <w:autoSpaceDN w:val="0"/>
              <w:adjustRightInd w:val="0"/>
              <w:snapToGrid w:val="0"/>
              <w:spacing w:line="240" w:lineRule="auto"/>
              <w:jc w:val="left"/>
            </w:pPr>
            <w:r w:rsidRPr="000A431F">
              <w:t>1</w:t>
            </w:r>
          </w:p>
          <w:p w14:paraId="3F0E8F31" w14:textId="77777777" w:rsidR="00A160F0" w:rsidRPr="000A431F" w:rsidRDefault="00A160F0" w:rsidP="002C7470">
            <w:pPr>
              <w:autoSpaceDE w:val="0"/>
              <w:autoSpaceDN w:val="0"/>
              <w:adjustRightInd w:val="0"/>
              <w:snapToGrid w:val="0"/>
              <w:spacing w:line="240" w:lineRule="auto"/>
              <w:jc w:val="left"/>
            </w:pPr>
            <w:r w:rsidRPr="000A431F">
              <w:t>2</w:t>
            </w:r>
          </w:p>
          <w:p w14:paraId="2C981F8C" w14:textId="77777777" w:rsidR="00A160F0" w:rsidRPr="000A431F" w:rsidRDefault="00A160F0" w:rsidP="002C7470">
            <w:pPr>
              <w:autoSpaceDE w:val="0"/>
              <w:autoSpaceDN w:val="0"/>
              <w:adjustRightInd w:val="0"/>
              <w:snapToGrid w:val="0"/>
              <w:spacing w:line="240" w:lineRule="auto"/>
              <w:jc w:val="left"/>
            </w:pPr>
            <w:r w:rsidRPr="000A431F">
              <w:t>3</w:t>
            </w:r>
          </w:p>
        </w:tc>
        <w:tc>
          <w:tcPr>
            <w:tcW w:w="3401" w:type="dxa"/>
            <w:shd w:val="clear" w:color="auto" w:fill="auto"/>
            <w:vAlign w:val="center"/>
            <w:hideMark/>
          </w:tcPr>
          <w:p w14:paraId="62FF020B" w14:textId="77777777" w:rsidR="00A160F0" w:rsidRPr="000A431F" w:rsidRDefault="00A160F0" w:rsidP="002C7470">
            <w:pPr>
              <w:autoSpaceDE w:val="0"/>
              <w:autoSpaceDN w:val="0"/>
              <w:adjustRightInd w:val="0"/>
              <w:snapToGrid w:val="0"/>
              <w:spacing w:line="240" w:lineRule="auto"/>
              <w:jc w:val="left"/>
            </w:pPr>
          </w:p>
          <w:p w14:paraId="6BFE4512" w14:textId="77777777" w:rsidR="00A160F0" w:rsidRPr="000A431F" w:rsidRDefault="00A160F0" w:rsidP="002C7470">
            <w:pPr>
              <w:autoSpaceDE w:val="0"/>
              <w:autoSpaceDN w:val="0"/>
              <w:adjustRightInd w:val="0"/>
              <w:snapToGrid w:val="0"/>
              <w:spacing w:line="240" w:lineRule="auto"/>
              <w:jc w:val="left"/>
            </w:pPr>
            <w:r w:rsidRPr="000A431F">
              <w:t>71 (67.6)</w:t>
            </w:r>
          </w:p>
          <w:p w14:paraId="14ACC505" w14:textId="77777777" w:rsidR="00A160F0" w:rsidRPr="000A431F" w:rsidRDefault="00A160F0" w:rsidP="002C7470">
            <w:pPr>
              <w:autoSpaceDE w:val="0"/>
              <w:autoSpaceDN w:val="0"/>
              <w:adjustRightInd w:val="0"/>
              <w:snapToGrid w:val="0"/>
              <w:spacing w:line="240" w:lineRule="auto"/>
              <w:jc w:val="left"/>
            </w:pPr>
            <w:r w:rsidRPr="000A431F">
              <w:t>27 (25.7)</w:t>
            </w:r>
          </w:p>
          <w:p w14:paraId="430EFF7F" w14:textId="77777777" w:rsidR="00A160F0" w:rsidRPr="000A431F" w:rsidRDefault="00A160F0" w:rsidP="002C7470">
            <w:pPr>
              <w:autoSpaceDE w:val="0"/>
              <w:autoSpaceDN w:val="0"/>
              <w:adjustRightInd w:val="0"/>
              <w:snapToGrid w:val="0"/>
              <w:spacing w:line="240" w:lineRule="auto"/>
              <w:jc w:val="left"/>
            </w:pPr>
            <w:r w:rsidRPr="000A431F">
              <w:t>6 (5.7)</w:t>
            </w:r>
          </w:p>
          <w:p w14:paraId="316C8B32" w14:textId="77777777" w:rsidR="00A160F0" w:rsidRPr="000A431F" w:rsidRDefault="00A160F0" w:rsidP="002C7470">
            <w:pPr>
              <w:autoSpaceDE w:val="0"/>
              <w:autoSpaceDN w:val="0"/>
              <w:adjustRightInd w:val="0"/>
              <w:snapToGrid w:val="0"/>
              <w:spacing w:line="240" w:lineRule="auto"/>
              <w:jc w:val="left"/>
            </w:pPr>
            <w:r w:rsidRPr="000A431F">
              <w:t>1 (1)</w:t>
            </w:r>
          </w:p>
        </w:tc>
      </w:tr>
      <w:tr w:rsidR="00A160F0" w:rsidRPr="000A431F" w14:paraId="04152CBE" w14:textId="77777777" w:rsidTr="002C7470">
        <w:tc>
          <w:tcPr>
            <w:tcW w:w="5093" w:type="dxa"/>
            <w:shd w:val="clear" w:color="auto" w:fill="auto"/>
            <w:vAlign w:val="center"/>
            <w:hideMark/>
          </w:tcPr>
          <w:p w14:paraId="1B8FDC17" w14:textId="6D7720BF" w:rsidR="00A160F0" w:rsidRPr="000A431F" w:rsidRDefault="00A160F0" w:rsidP="002C7470">
            <w:pPr>
              <w:autoSpaceDE w:val="0"/>
              <w:autoSpaceDN w:val="0"/>
              <w:adjustRightInd w:val="0"/>
              <w:snapToGrid w:val="0"/>
              <w:spacing w:line="240" w:lineRule="auto"/>
              <w:jc w:val="left"/>
            </w:pPr>
            <w:r w:rsidRPr="000A431F">
              <w:t>MTA scale score</w:t>
            </w:r>
            <w:r w:rsidR="00AE6471">
              <w:t>,</w:t>
            </w:r>
            <w:r w:rsidRPr="000A431F">
              <w:t xml:space="preserve"> right</w:t>
            </w:r>
          </w:p>
          <w:p w14:paraId="78FB254F" w14:textId="77777777" w:rsidR="00A160F0" w:rsidRPr="000A431F" w:rsidRDefault="00A160F0" w:rsidP="002C7470">
            <w:pPr>
              <w:autoSpaceDE w:val="0"/>
              <w:autoSpaceDN w:val="0"/>
              <w:adjustRightInd w:val="0"/>
              <w:snapToGrid w:val="0"/>
              <w:spacing w:line="240" w:lineRule="auto"/>
              <w:jc w:val="left"/>
            </w:pPr>
            <w:r w:rsidRPr="000A431F">
              <w:t>0</w:t>
            </w:r>
          </w:p>
          <w:p w14:paraId="55D3486D" w14:textId="77777777" w:rsidR="00A160F0" w:rsidRPr="000A431F" w:rsidRDefault="00A160F0" w:rsidP="002C7470">
            <w:pPr>
              <w:autoSpaceDE w:val="0"/>
              <w:autoSpaceDN w:val="0"/>
              <w:adjustRightInd w:val="0"/>
              <w:snapToGrid w:val="0"/>
              <w:spacing w:line="240" w:lineRule="auto"/>
              <w:jc w:val="left"/>
            </w:pPr>
            <w:r w:rsidRPr="000A431F">
              <w:t>1</w:t>
            </w:r>
          </w:p>
          <w:p w14:paraId="258E59D6" w14:textId="77777777" w:rsidR="00A160F0" w:rsidRPr="000A431F" w:rsidRDefault="00A160F0" w:rsidP="002C7470">
            <w:pPr>
              <w:autoSpaceDE w:val="0"/>
              <w:autoSpaceDN w:val="0"/>
              <w:adjustRightInd w:val="0"/>
              <w:snapToGrid w:val="0"/>
              <w:spacing w:line="240" w:lineRule="auto"/>
              <w:jc w:val="left"/>
            </w:pPr>
            <w:r w:rsidRPr="000A431F">
              <w:t>2</w:t>
            </w:r>
          </w:p>
          <w:p w14:paraId="61193138" w14:textId="77777777" w:rsidR="00A160F0" w:rsidRPr="000A431F" w:rsidRDefault="00A160F0" w:rsidP="002C7470">
            <w:pPr>
              <w:autoSpaceDE w:val="0"/>
              <w:autoSpaceDN w:val="0"/>
              <w:adjustRightInd w:val="0"/>
              <w:snapToGrid w:val="0"/>
              <w:spacing w:line="240" w:lineRule="auto"/>
              <w:jc w:val="left"/>
            </w:pPr>
            <w:r w:rsidRPr="000A431F">
              <w:t>3</w:t>
            </w:r>
          </w:p>
          <w:p w14:paraId="1E822051" w14:textId="77777777" w:rsidR="00A160F0" w:rsidRPr="000A431F" w:rsidRDefault="00A160F0" w:rsidP="002C7470">
            <w:pPr>
              <w:autoSpaceDE w:val="0"/>
              <w:autoSpaceDN w:val="0"/>
              <w:adjustRightInd w:val="0"/>
              <w:snapToGrid w:val="0"/>
              <w:spacing w:line="240" w:lineRule="auto"/>
              <w:jc w:val="left"/>
            </w:pPr>
            <w:r w:rsidRPr="000A431F">
              <w:t>4</w:t>
            </w:r>
          </w:p>
        </w:tc>
        <w:tc>
          <w:tcPr>
            <w:tcW w:w="3401" w:type="dxa"/>
            <w:shd w:val="clear" w:color="auto" w:fill="auto"/>
            <w:vAlign w:val="center"/>
            <w:hideMark/>
          </w:tcPr>
          <w:p w14:paraId="011E7748" w14:textId="77777777" w:rsidR="00A160F0" w:rsidRPr="000A431F" w:rsidRDefault="00A160F0" w:rsidP="002C7470">
            <w:pPr>
              <w:autoSpaceDE w:val="0"/>
              <w:autoSpaceDN w:val="0"/>
              <w:adjustRightInd w:val="0"/>
              <w:snapToGrid w:val="0"/>
              <w:spacing w:line="240" w:lineRule="auto"/>
              <w:jc w:val="left"/>
            </w:pPr>
          </w:p>
          <w:p w14:paraId="08D2ACF2" w14:textId="77777777" w:rsidR="00A160F0" w:rsidRPr="000A431F" w:rsidRDefault="00A160F0" w:rsidP="002C7470">
            <w:pPr>
              <w:autoSpaceDE w:val="0"/>
              <w:autoSpaceDN w:val="0"/>
              <w:adjustRightInd w:val="0"/>
              <w:snapToGrid w:val="0"/>
              <w:spacing w:line="240" w:lineRule="auto"/>
              <w:jc w:val="left"/>
            </w:pPr>
            <w:r w:rsidRPr="000A431F">
              <w:t>63 (60.0)</w:t>
            </w:r>
          </w:p>
          <w:p w14:paraId="154184B4" w14:textId="77777777" w:rsidR="00A160F0" w:rsidRPr="000A431F" w:rsidRDefault="00A160F0" w:rsidP="002C7470">
            <w:pPr>
              <w:autoSpaceDE w:val="0"/>
              <w:autoSpaceDN w:val="0"/>
              <w:adjustRightInd w:val="0"/>
              <w:snapToGrid w:val="0"/>
              <w:spacing w:line="240" w:lineRule="auto"/>
              <w:jc w:val="left"/>
            </w:pPr>
            <w:r w:rsidRPr="000A431F">
              <w:t>35 (33.3)</w:t>
            </w:r>
          </w:p>
          <w:p w14:paraId="0D8CA2A1" w14:textId="77777777" w:rsidR="00A160F0" w:rsidRPr="000A431F" w:rsidRDefault="00A160F0" w:rsidP="002C7470">
            <w:pPr>
              <w:autoSpaceDE w:val="0"/>
              <w:autoSpaceDN w:val="0"/>
              <w:adjustRightInd w:val="0"/>
              <w:snapToGrid w:val="0"/>
              <w:spacing w:line="240" w:lineRule="auto"/>
              <w:jc w:val="left"/>
            </w:pPr>
            <w:r w:rsidRPr="000A431F">
              <w:t>7 (6.7)</w:t>
            </w:r>
          </w:p>
          <w:p w14:paraId="6747C347" w14:textId="77777777" w:rsidR="00A160F0" w:rsidRPr="000A431F" w:rsidRDefault="00A160F0" w:rsidP="002C7470">
            <w:pPr>
              <w:autoSpaceDE w:val="0"/>
              <w:autoSpaceDN w:val="0"/>
              <w:adjustRightInd w:val="0"/>
              <w:snapToGrid w:val="0"/>
              <w:spacing w:line="240" w:lineRule="auto"/>
              <w:jc w:val="left"/>
            </w:pPr>
            <w:r w:rsidRPr="000A431F">
              <w:t>0 (0)</w:t>
            </w:r>
          </w:p>
          <w:p w14:paraId="471B799C" w14:textId="77777777" w:rsidR="00A160F0" w:rsidRPr="000A431F" w:rsidRDefault="00A160F0" w:rsidP="002C7470">
            <w:pPr>
              <w:autoSpaceDE w:val="0"/>
              <w:autoSpaceDN w:val="0"/>
              <w:adjustRightInd w:val="0"/>
              <w:snapToGrid w:val="0"/>
              <w:spacing w:line="240" w:lineRule="auto"/>
              <w:jc w:val="left"/>
            </w:pPr>
            <w:r w:rsidRPr="000A431F">
              <w:t>0 (0)</w:t>
            </w:r>
          </w:p>
        </w:tc>
      </w:tr>
      <w:tr w:rsidR="00A160F0" w:rsidRPr="000A431F" w14:paraId="6CAAC159" w14:textId="77777777" w:rsidTr="002C7470">
        <w:tc>
          <w:tcPr>
            <w:tcW w:w="5093" w:type="dxa"/>
            <w:shd w:val="clear" w:color="auto" w:fill="auto"/>
            <w:vAlign w:val="center"/>
            <w:hideMark/>
          </w:tcPr>
          <w:p w14:paraId="3B622B0C" w14:textId="71E3B0A9" w:rsidR="00A160F0" w:rsidRPr="000A431F" w:rsidRDefault="00A160F0" w:rsidP="002C7470">
            <w:pPr>
              <w:autoSpaceDE w:val="0"/>
              <w:autoSpaceDN w:val="0"/>
              <w:adjustRightInd w:val="0"/>
              <w:snapToGrid w:val="0"/>
              <w:spacing w:line="240" w:lineRule="auto"/>
              <w:jc w:val="left"/>
            </w:pPr>
            <w:r w:rsidRPr="000A431F">
              <w:t>MTA scale score</w:t>
            </w:r>
            <w:r w:rsidR="00AE6471">
              <w:t>,</w:t>
            </w:r>
            <w:r w:rsidRPr="000A431F">
              <w:t xml:space="preserve"> left</w:t>
            </w:r>
          </w:p>
          <w:p w14:paraId="401A43C6" w14:textId="77777777" w:rsidR="00A160F0" w:rsidRPr="000A431F" w:rsidRDefault="00A160F0" w:rsidP="002C7470">
            <w:pPr>
              <w:autoSpaceDE w:val="0"/>
              <w:autoSpaceDN w:val="0"/>
              <w:adjustRightInd w:val="0"/>
              <w:snapToGrid w:val="0"/>
              <w:spacing w:line="240" w:lineRule="auto"/>
              <w:jc w:val="left"/>
            </w:pPr>
            <w:r w:rsidRPr="000A431F">
              <w:t>0</w:t>
            </w:r>
          </w:p>
          <w:p w14:paraId="4AA6E9A8" w14:textId="77777777" w:rsidR="00A160F0" w:rsidRPr="000A431F" w:rsidRDefault="00A160F0" w:rsidP="002C7470">
            <w:pPr>
              <w:autoSpaceDE w:val="0"/>
              <w:autoSpaceDN w:val="0"/>
              <w:adjustRightInd w:val="0"/>
              <w:snapToGrid w:val="0"/>
              <w:spacing w:line="240" w:lineRule="auto"/>
              <w:jc w:val="left"/>
            </w:pPr>
            <w:r w:rsidRPr="000A431F">
              <w:t>1</w:t>
            </w:r>
          </w:p>
          <w:p w14:paraId="005EAD00" w14:textId="77777777" w:rsidR="00A160F0" w:rsidRPr="000A431F" w:rsidRDefault="00A160F0" w:rsidP="002C7470">
            <w:pPr>
              <w:autoSpaceDE w:val="0"/>
              <w:autoSpaceDN w:val="0"/>
              <w:adjustRightInd w:val="0"/>
              <w:snapToGrid w:val="0"/>
              <w:spacing w:line="240" w:lineRule="auto"/>
              <w:jc w:val="left"/>
            </w:pPr>
            <w:r w:rsidRPr="000A431F">
              <w:t>2</w:t>
            </w:r>
          </w:p>
          <w:p w14:paraId="4B1F79BE" w14:textId="77777777" w:rsidR="00A160F0" w:rsidRPr="000A431F" w:rsidRDefault="00A160F0" w:rsidP="002C7470">
            <w:pPr>
              <w:autoSpaceDE w:val="0"/>
              <w:autoSpaceDN w:val="0"/>
              <w:adjustRightInd w:val="0"/>
              <w:snapToGrid w:val="0"/>
              <w:spacing w:line="240" w:lineRule="auto"/>
              <w:jc w:val="left"/>
            </w:pPr>
            <w:r w:rsidRPr="000A431F">
              <w:t>3</w:t>
            </w:r>
          </w:p>
          <w:p w14:paraId="118E5654" w14:textId="77777777" w:rsidR="00A160F0" w:rsidRPr="000A431F" w:rsidRDefault="00A160F0" w:rsidP="002C7470">
            <w:pPr>
              <w:autoSpaceDE w:val="0"/>
              <w:autoSpaceDN w:val="0"/>
              <w:adjustRightInd w:val="0"/>
              <w:snapToGrid w:val="0"/>
              <w:spacing w:line="240" w:lineRule="auto"/>
              <w:jc w:val="left"/>
            </w:pPr>
            <w:r w:rsidRPr="000A431F">
              <w:t>4</w:t>
            </w:r>
          </w:p>
        </w:tc>
        <w:tc>
          <w:tcPr>
            <w:tcW w:w="3401" w:type="dxa"/>
            <w:shd w:val="clear" w:color="auto" w:fill="auto"/>
            <w:vAlign w:val="center"/>
            <w:hideMark/>
          </w:tcPr>
          <w:p w14:paraId="1C929063" w14:textId="77777777" w:rsidR="00A160F0" w:rsidRPr="000A431F" w:rsidRDefault="00A160F0" w:rsidP="002C7470">
            <w:pPr>
              <w:autoSpaceDE w:val="0"/>
              <w:autoSpaceDN w:val="0"/>
              <w:adjustRightInd w:val="0"/>
              <w:snapToGrid w:val="0"/>
              <w:spacing w:line="240" w:lineRule="auto"/>
              <w:jc w:val="left"/>
            </w:pPr>
          </w:p>
          <w:p w14:paraId="3DB9DE76" w14:textId="77777777" w:rsidR="00A160F0" w:rsidRPr="000A431F" w:rsidRDefault="00A160F0" w:rsidP="002C7470">
            <w:pPr>
              <w:autoSpaceDE w:val="0"/>
              <w:autoSpaceDN w:val="0"/>
              <w:adjustRightInd w:val="0"/>
              <w:snapToGrid w:val="0"/>
              <w:spacing w:line="240" w:lineRule="auto"/>
              <w:jc w:val="left"/>
            </w:pPr>
            <w:r w:rsidRPr="000A431F">
              <w:t>65 (61.9)</w:t>
            </w:r>
          </w:p>
          <w:p w14:paraId="1E982D0F" w14:textId="77777777" w:rsidR="00A160F0" w:rsidRPr="000A431F" w:rsidRDefault="00A160F0" w:rsidP="002C7470">
            <w:pPr>
              <w:autoSpaceDE w:val="0"/>
              <w:autoSpaceDN w:val="0"/>
              <w:adjustRightInd w:val="0"/>
              <w:snapToGrid w:val="0"/>
              <w:spacing w:line="240" w:lineRule="auto"/>
              <w:jc w:val="left"/>
            </w:pPr>
            <w:r w:rsidRPr="000A431F">
              <w:t>32 (30.5)</w:t>
            </w:r>
          </w:p>
          <w:p w14:paraId="4F056A45" w14:textId="77777777" w:rsidR="00A160F0" w:rsidRPr="000A431F" w:rsidRDefault="00A160F0" w:rsidP="002C7470">
            <w:pPr>
              <w:autoSpaceDE w:val="0"/>
              <w:autoSpaceDN w:val="0"/>
              <w:adjustRightInd w:val="0"/>
              <w:snapToGrid w:val="0"/>
              <w:spacing w:line="240" w:lineRule="auto"/>
              <w:jc w:val="left"/>
            </w:pPr>
            <w:r w:rsidRPr="000A431F">
              <w:t>7 (6.7)</w:t>
            </w:r>
          </w:p>
          <w:p w14:paraId="1DCAC065" w14:textId="77777777" w:rsidR="00A160F0" w:rsidRPr="000A431F" w:rsidRDefault="00A160F0" w:rsidP="002C7470">
            <w:pPr>
              <w:autoSpaceDE w:val="0"/>
              <w:autoSpaceDN w:val="0"/>
              <w:adjustRightInd w:val="0"/>
              <w:snapToGrid w:val="0"/>
              <w:spacing w:line="240" w:lineRule="auto"/>
              <w:jc w:val="left"/>
            </w:pPr>
            <w:r w:rsidRPr="000A431F">
              <w:t>1 (1)</w:t>
            </w:r>
          </w:p>
          <w:p w14:paraId="0643A8AE" w14:textId="77777777" w:rsidR="00A160F0" w:rsidRPr="000A431F" w:rsidRDefault="00A160F0" w:rsidP="002C7470">
            <w:pPr>
              <w:autoSpaceDE w:val="0"/>
              <w:autoSpaceDN w:val="0"/>
              <w:adjustRightInd w:val="0"/>
              <w:snapToGrid w:val="0"/>
              <w:spacing w:line="240" w:lineRule="auto"/>
              <w:jc w:val="left"/>
            </w:pPr>
            <w:r w:rsidRPr="000A431F">
              <w:t>0 (0)</w:t>
            </w:r>
          </w:p>
        </w:tc>
      </w:tr>
      <w:tr w:rsidR="00A160F0" w:rsidRPr="000A431F" w14:paraId="15C29E44" w14:textId="77777777" w:rsidTr="002C7470">
        <w:tc>
          <w:tcPr>
            <w:tcW w:w="5093" w:type="dxa"/>
            <w:shd w:val="clear" w:color="auto" w:fill="auto"/>
            <w:vAlign w:val="center"/>
          </w:tcPr>
          <w:p w14:paraId="6DC85EA0" w14:textId="77777777" w:rsidR="00A160F0" w:rsidRPr="000A431F" w:rsidRDefault="00A160F0" w:rsidP="002C7470">
            <w:pPr>
              <w:autoSpaceDE w:val="0"/>
              <w:autoSpaceDN w:val="0"/>
              <w:adjustRightInd w:val="0"/>
              <w:snapToGrid w:val="0"/>
              <w:spacing w:line="240" w:lineRule="auto"/>
              <w:jc w:val="left"/>
            </w:pPr>
            <w:r w:rsidRPr="000A431F">
              <w:t>Periventricular Fazekas scale score</w:t>
            </w:r>
          </w:p>
          <w:p w14:paraId="3AE32486" w14:textId="77777777" w:rsidR="00A160F0" w:rsidRPr="000A431F" w:rsidRDefault="00A160F0" w:rsidP="002C7470">
            <w:pPr>
              <w:autoSpaceDE w:val="0"/>
              <w:autoSpaceDN w:val="0"/>
              <w:adjustRightInd w:val="0"/>
              <w:snapToGrid w:val="0"/>
              <w:spacing w:line="240" w:lineRule="auto"/>
              <w:jc w:val="left"/>
            </w:pPr>
            <w:r w:rsidRPr="000A431F">
              <w:t>0</w:t>
            </w:r>
          </w:p>
          <w:p w14:paraId="36FD0105" w14:textId="77777777" w:rsidR="00A160F0" w:rsidRPr="000A431F" w:rsidRDefault="00A160F0" w:rsidP="002C7470">
            <w:pPr>
              <w:autoSpaceDE w:val="0"/>
              <w:autoSpaceDN w:val="0"/>
              <w:adjustRightInd w:val="0"/>
              <w:snapToGrid w:val="0"/>
              <w:spacing w:line="240" w:lineRule="auto"/>
              <w:jc w:val="left"/>
            </w:pPr>
            <w:r w:rsidRPr="000A431F">
              <w:t>1</w:t>
            </w:r>
          </w:p>
          <w:p w14:paraId="231CFC94" w14:textId="77777777" w:rsidR="00A160F0" w:rsidRPr="000A431F" w:rsidRDefault="00A160F0" w:rsidP="002C7470">
            <w:pPr>
              <w:autoSpaceDE w:val="0"/>
              <w:autoSpaceDN w:val="0"/>
              <w:adjustRightInd w:val="0"/>
              <w:snapToGrid w:val="0"/>
              <w:spacing w:line="240" w:lineRule="auto"/>
              <w:jc w:val="left"/>
            </w:pPr>
            <w:r w:rsidRPr="000A431F">
              <w:t>2</w:t>
            </w:r>
          </w:p>
          <w:p w14:paraId="2A12727D" w14:textId="77777777" w:rsidR="00A160F0" w:rsidRPr="000A431F" w:rsidRDefault="00A160F0" w:rsidP="002C7470">
            <w:pPr>
              <w:autoSpaceDE w:val="0"/>
              <w:autoSpaceDN w:val="0"/>
              <w:adjustRightInd w:val="0"/>
              <w:snapToGrid w:val="0"/>
              <w:spacing w:line="240" w:lineRule="auto"/>
              <w:jc w:val="left"/>
            </w:pPr>
            <w:r w:rsidRPr="000A431F">
              <w:t>3</w:t>
            </w:r>
          </w:p>
          <w:p w14:paraId="20BEEC25" w14:textId="7BE3275B" w:rsidR="00A160F0" w:rsidRPr="000A431F" w:rsidRDefault="00A160F0" w:rsidP="002C7470">
            <w:pPr>
              <w:autoSpaceDE w:val="0"/>
              <w:autoSpaceDN w:val="0"/>
              <w:adjustRightInd w:val="0"/>
              <w:snapToGrid w:val="0"/>
              <w:spacing w:line="240" w:lineRule="auto"/>
              <w:jc w:val="left"/>
            </w:pPr>
            <w:r w:rsidRPr="000A431F">
              <w:t>Not assessed</w:t>
            </w:r>
            <w:r w:rsidR="00AB6D95" w:rsidRPr="000A431F">
              <w:t xml:space="preserve"> </w:t>
            </w:r>
            <w:r w:rsidRPr="000A431F">
              <w:t>*</w:t>
            </w:r>
          </w:p>
        </w:tc>
        <w:tc>
          <w:tcPr>
            <w:tcW w:w="3401" w:type="dxa"/>
            <w:shd w:val="clear" w:color="auto" w:fill="auto"/>
            <w:vAlign w:val="center"/>
          </w:tcPr>
          <w:p w14:paraId="57760CE6" w14:textId="77777777" w:rsidR="00A160F0" w:rsidRPr="000A431F" w:rsidRDefault="00A160F0" w:rsidP="002C7470">
            <w:pPr>
              <w:autoSpaceDE w:val="0"/>
              <w:autoSpaceDN w:val="0"/>
              <w:adjustRightInd w:val="0"/>
              <w:snapToGrid w:val="0"/>
              <w:spacing w:line="240" w:lineRule="auto"/>
              <w:jc w:val="left"/>
            </w:pPr>
          </w:p>
          <w:p w14:paraId="66D9BC01" w14:textId="77777777" w:rsidR="00A160F0" w:rsidRPr="000A431F" w:rsidRDefault="00A160F0" w:rsidP="002C7470">
            <w:pPr>
              <w:autoSpaceDE w:val="0"/>
              <w:autoSpaceDN w:val="0"/>
              <w:adjustRightInd w:val="0"/>
              <w:snapToGrid w:val="0"/>
              <w:spacing w:line="240" w:lineRule="auto"/>
              <w:jc w:val="left"/>
            </w:pPr>
            <w:r w:rsidRPr="000A431F">
              <w:t>16 (15.2)</w:t>
            </w:r>
          </w:p>
          <w:p w14:paraId="4A0E5425" w14:textId="77777777" w:rsidR="00A160F0" w:rsidRPr="000A431F" w:rsidRDefault="00A160F0" w:rsidP="002C7470">
            <w:pPr>
              <w:autoSpaceDE w:val="0"/>
              <w:autoSpaceDN w:val="0"/>
              <w:adjustRightInd w:val="0"/>
              <w:snapToGrid w:val="0"/>
              <w:spacing w:line="240" w:lineRule="auto"/>
              <w:jc w:val="left"/>
            </w:pPr>
            <w:r w:rsidRPr="000A431F">
              <w:t>8 (7.6)</w:t>
            </w:r>
          </w:p>
          <w:p w14:paraId="22BEEADB" w14:textId="77777777" w:rsidR="00A160F0" w:rsidRPr="000A431F" w:rsidRDefault="00A160F0" w:rsidP="002C7470">
            <w:pPr>
              <w:autoSpaceDE w:val="0"/>
              <w:autoSpaceDN w:val="0"/>
              <w:adjustRightInd w:val="0"/>
              <w:snapToGrid w:val="0"/>
              <w:spacing w:line="240" w:lineRule="auto"/>
              <w:jc w:val="left"/>
            </w:pPr>
            <w:r w:rsidRPr="000A431F">
              <w:t>1 (1)</w:t>
            </w:r>
          </w:p>
          <w:p w14:paraId="11449E1E" w14:textId="77777777" w:rsidR="00A160F0" w:rsidRPr="000A431F" w:rsidRDefault="00A160F0" w:rsidP="002C7470">
            <w:pPr>
              <w:autoSpaceDE w:val="0"/>
              <w:autoSpaceDN w:val="0"/>
              <w:adjustRightInd w:val="0"/>
              <w:snapToGrid w:val="0"/>
              <w:spacing w:line="240" w:lineRule="auto"/>
              <w:jc w:val="left"/>
            </w:pPr>
            <w:r w:rsidRPr="000A431F">
              <w:t>0 (0)</w:t>
            </w:r>
          </w:p>
          <w:p w14:paraId="10728E1D" w14:textId="77777777" w:rsidR="00A160F0" w:rsidRPr="000A431F" w:rsidRDefault="00A160F0" w:rsidP="002C7470">
            <w:pPr>
              <w:autoSpaceDE w:val="0"/>
              <w:autoSpaceDN w:val="0"/>
              <w:adjustRightInd w:val="0"/>
              <w:snapToGrid w:val="0"/>
              <w:spacing w:line="240" w:lineRule="auto"/>
              <w:jc w:val="left"/>
            </w:pPr>
            <w:r w:rsidRPr="000A431F">
              <w:t>80 (76.2)</w:t>
            </w:r>
          </w:p>
        </w:tc>
      </w:tr>
      <w:tr w:rsidR="00A160F0" w:rsidRPr="000A431F" w14:paraId="5E7CB9D5" w14:textId="77777777" w:rsidTr="002C7470">
        <w:tc>
          <w:tcPr>
            <w:tcW w:w="5093" w:type="dxa"/>
            <w:shd w:val="clear" w:color="auto" w:fill="auto"/>
            <w:vAlign w:val="center"/>
          </w:tcPr>
          <w:p w14:paraId="663E653A" w14:textId="77777777" w:rsidR="00A160F0" w:rsidRPr="000A431F" w:rsidRDefault="00A160F0" w:rsidP="002C7470">
            <w:pPr>
              <w:autoSpaceDE w:val="0"/>
              <w:autoSpaceDN w:val="0"/>
              <w:adjustRightInd w:val="0"/>
              <w:snapToGrid w:val="0"/>
              <w:spacing w:line="240" w:lineRule="auto"/>
              <w:jc w:val="left"/>
            </w:pPr>
            <w:r w:rsidRPr="000A431F">
              <w:t>Fazekas score deep white matter</w:t>
            </w:r>
          </w:p>
          <w:p w14:paraId="02BE49B3" w14:textId="77777777" w:rsidR="00A160F0" w:rsidRPr="000A431F" w:rsidRDefault="00A160F0" w:rsidP="002C7470">
            <w:pPr>
              <w:autoSpaceDE w:val="0"/>
              <w:autoSpaceDN w:val="0"/>
              <w:adjustRightInd w:val="0"/>
              <w:snapToGrid w:val="0"/>
              <w:spacing w:line="240" w:lineRule="auto"/>
              <w:jc w:val="left"/>
            </w:pPr>
            <w:r w:rsidRPr="000A431F">
              <w:t>0</w:t>
            </w:r>
          </w:p>
          <w:p w14:paraId="591E1385" w14:textId="77777777" w:rsidR="00A160F0" w:rsidRPr="000A431F" w:rsidRDefault="00A160F0" w:rsidP="002C7470">
            <w:pPr>
              <w:autoSpaceDE w:val="0"/>
              <w:autoSpaceDN w:val="0"/>
              <w:adjustRightInd w:val="0"/>
              <w:snapToGrid w:val="0"/>
              <w:spacing w:line="240" w:lineRule="auto"/>
              <w:jc w:val="left"/>
            </w:pPr>
            <w:r w:rsidRPr="000A431F">
              <w:t>1</w:t>
            </w:r>
          </w:p>
          <w:p w14:paraId="71DFB7B2" w14:textId="77777777" w:rsidR="00A160F0" w:rsidRPr="000A431F" w:rsidRDefault="00A160F0" w:rsidP="002C7470">
            <w:pPr>
              <w:autoSpaceDE w:val="0"/>
              <w:autoSpaceDN w:val="0"/>
              <w:adjustRightInd w:val="0"/>
              <w:snapToGrid w:val="0"/>
              <w:spacing w:line="240" w:lineRule="auto"/>
              <w:jc w:val="left"/>
            </w:pPr>
            <w:r w:rsidRPr="000A431F">
              <w:t>2</w:t>
            </w:r>
          </w:p>
          <w:p w14:paraId="2E972B77" w14:textId="77777777" w:rsidR="00A160F0" w:rsidRPr="000A431F" w:rsidRDefault="00A160F0" w:rsidP="002C7470">
            <w:pPr>
              <w:autoSpaceDE w:val="0"/>
              <w:autoSpaceDN w:val="0"/>
              <w:adjustRightInd w:val="0"/>
              <w:snapToGrid w:val="0"/>
              <w:spacing w:line="240" w:lineRule="auto"/>
              <w:jc w:val="left"/>
            </w:pPr>
            <w:r w:rsidRPr="000A431F">
              <w:t>3</w:t>
            </w:r>
          </w:p>
          <w:p w14:paraId="786B3B2F" w14:textId="3A57EBB3" w:rsidR="00A160F0" w:rsidRPr="000A431F" w:rsidRDefault="00A160F0" w:rsidP="002C7470">
            <w:pPr>
              <w:autoSpaceDE w:val="0"/>
              <w:autoSpaceDN w:val="0"/>
              <w:adjustRightInd w:val="0"/>
              <w:snapToGrid w:val="0"/>
              <w:spacing w:line="240" w:lineRule="auto"/>
              <w:jc w:val="left"/>
            </w:pPr>
            <w:r w:rsidRPr="000A431F">
              <w:t>Not assessed</w:t>
            </w:r>
            <w:r w:rsidR="00AB6D95" w:rsidRPr="000A431F">
              <w:t xml:space="preserve"> </w:t>
            </w:r>
            <w:r w:rsidRPr="000A431F">
              <w:t>*</w:t>
            </w:r>
          </w:p>
        </w:tc>
        <w:tc>
          <w:tcPr>
            <w:tcW w:w="3401" w:type="dxa"/>
            <w:shd w:val="clear" w:color="auto" w:fill="auto"/>
            <w:vAlign w:val="center"/>
          </w:tcPr>
          <w:p w14:paraId="44CA7ACD" w14:textId="77777777" w:rsidR="00A160F0" w:rsidRPr="000A431F" w:rsidRDefault="00A160F0" w:rsidP="002C7470">
            <w:pPr>
              <w:autoSpaceDE w:val="0"/>
              <w:autoSpaceDN w:val="0"/>
              <w:adjustRightInd w:val="0"/>
              <w:snapToGrid w:val="0"/>
              <w:spacing w:line="240" w:lineRule="auto"/>
              <w:jc w:val="left"/>
            </w:pPr>
          </w:p>
          <w:p w14:paraId="26D5E6B6" w14:textId="77777777" w:rsidR="00A160F0" w:rsidRPr="000A431F" w:rsidRDefault="00A160F0" w:rsidP="002C7470">
            <w:pPr>
              <w:autoSpaceDE w:val="0"/>
              <w:autoSpaceDN w:val="0"/>
              <w:adjustRightInd w:val="0"/>
              <w:snapToGrid w:val="0"/>
              <w:spacing w:line="240" w:lineRule="auto"/>
              <w:jc w:val="left"/>
            </w:pPr>
            <w:r w:rsidRPr="000A431F">
              <w:t>14 (13.3)</w:t>
            </w:r>
          </w:p>
          <w:p w14:paraId="77009E98" w14:textId="77777777" w:rsidR="00A160F0" w:rsidRPr="000A431F" w:rsidRDefault="00A160F0" w:rsidP="002C7470">
            <w:pPr>
              <w:autoSpaceDE w:val="0"/>
              <w:autoSpaceDN w:val="0"/>
              <w:adjustRightInd w:val="0"/>
              <w:snapToGrid w:val="0"/>
              <w:spacing w:line="240" w:lineRule="auto"/>
              <w:jc w:val="left"/>
            </w:pPr>
            <w:r w:rsidRPr="000A431F">
              <w:t>10 (9.5)</w:t>
            </w:r>
          </w:p>
          <w:p w14:paraId="6DD11C2F" w14:textId="77777777" w:rsidR="00A160F0" w:rsidRPr="000A431F" w:rsidRDefault="00A160F0" w:rsidP="002C7470">
            <w:pPr>
              <w:autoSpaceDE w:val="0"/>
              <w:autoSpaceDN w:val="0"/>
              <w:adjustRightInd w:val="0"/>
              <w:snapToGrid w:val="0"/>
              <w:spacing w:line="240" w:lineRule="auto"/>
              <w:jc w:val="left"/>
            </w:pPr>
            <w:r w:rsidRPr="000A431F">
              <w:t>1 (1)</w:t>
            </w:r>
          </w:p>
          <w:p w14:paraId="0A3337BB" w14:textId="77777777" w:rsidR="00A160F0" w:rsidRPr="000A431F" w:rsidRDefault="00A160F0" w:rsidP="002C7470">
            <w:pPr>
              <w:autoSpaceDE w:val="0"/>
              <w:autoSpaceDN w:val="0"/>
              <w:adjustRightInd w:val="0"/>
              <w:snapToGrid w:val="0"/>
              <w:spacing w:line="240" w:lineRule="auto"/>
              <w:jc w:val="left"/>
            </w:pPr>
            <w:r w:rsidRPr="000A431F">
              <w:t>0 (0)</w:t>
            </w:r>
          </w:p>
          <w:p w14:paraId="69EDAFC3" w14:textId="77777777" w:rsidR="00A160F0" w:rsidRPr="000A431F" w:rsidRDefault="00A160F0" w:rsidP="002C7470">
            <w:pPr>
              <w:autoSpaceDE w:val="0"/>
              <w:autoSpaceDN w:val="0"/>
              <w:adjustRightInd w:val="0"/>
              <w:snapToGrid w:val="0"/>
              <w:spacing w:line="240" w:lineRule="auto"/>
              <w:jc w:val="left"/>
            </w:pPr>
            <w:r w:rsidRPr="000A431F">
              <w:t>80 (76.2)</w:t>
            </w:r>
          </w:p>
        </w:tc>
      </w:tr>
      <w:tr w:rsidR="00A160F0" w:rsidRPr="000A431F" w14:paraId="3C719E6B" w14:textId="77777777" w:rsidTr="002C7470">
        <w:tc>
          <w:tcPr>
            <w:tcW w:w="5093" w:type="dxa"/>
            <w:shd w:val="clear" w:color="auto" w:fill="auto"/>
            <w:vAlign w:val="center"/>
          </w:tcPr>
          <w:p w14:paraId="71F21317" w14:textId="77777777" w:rsidR="00A160F0" w:rsidRPr="000A431F" w:rsidRDefault="00A160F0" w:rsidP="002C7470">
            <w:pPr>
              <w:autoSpaceDE w:val="0"/>
              <w:autoSpaceDN w:val="0"/>
              <w:adjustRightInd w:val="0"/>
              <w:snapToGrid w:val="0"/>
              <w:spacing w:line="240" w:lineRule="auto"/>
              <w:jc w:val="left"/>
            </w:pPr>
            <w:r w:rsidRPr="000A431F">
              <w:t>Global Fazekas score</w:t>
            </w:r>
          </w:p>
          <w:p w14:paraId="6ED35D14" w14:textId="77777777" w:rsidR="00A160F0" w:rsidRPr="000A431F" w:rsidRDefault="00A160F0" w:rsidP="002C7470">
            <w:pPr>
              <w:autoSpaceDE w:val="0"/>
              <w:autoSpaceDN w:val="0"/>
              <w:adjustRightInd w:val="0"/>
              <w:snapToGrid w:val="0"/>
              <w:spacing w:line="240" w:lineRule="auto"/>
              <w:jc w:val="left"/>
            </w:pPr>
            <w:r w:rsidRPr="000A431F">
              <w:t>0</w:t>
            </w:r>
          </w:p>
          <w:p w14:paraId="3DA6AEB1" w14:textId="77777777" w:rsidR="00A160F0" w:rsidRPr="000A431F" w:rsidRDefault="00A160F0" w:rsidP="002C7470">
            <w:pPr>
              <w:autoSpaceDE w:val="0"/>
              <w:autoSpaceDN w:val="0"/>
              <w:adjustRightInd w:val="0"/>
              <w:snapToGrid w:val="0"/>
              <w:spacing w:line="240" w:lineRule="auto"/>
              <w:jc w:val="left"/>
            </w:pPr>
            <w:r w:rsidRPr="000A431F">
              <w:t>1</w:t>
            </w:r>
          </w:p>
          <w:p w14:paraId="3E88A1D4" w14:textId="77777777" w:rsidR="00A160F0" w:rsidRPr="000A431F" w:rsidRDefault="00A160F0" w:rsidP="002C7470">
            <w:pPr>
              <w:autoSpaceDE w:val="0"/>
              <w:autoSpaceDN w:val="0"/>
              <w:adjustRightInd w:val="0"/>
              <w:snapToGrid w:val="0"/>
              <w:spacing w:line="240" w:lineRule="auto"/>
              <w:jc w:val="left"/>
            </w:pPr>
            <w:r w:rsidRPr="000A431F">
              <w:t>2</w:t>
            </w:r>
          </w:p>
          <w:p w14:paraId="1AB52094" w14:textId="77777777" w:rsidR="00A160F0" w:rsidRPr="000A431F" w:rsidRDefault="00A160F0" w:rsidP="002C7470">
            <w:pPr>
              <w:autoSpaceDE w:val="0"/>
              <w:autoSpaceDN w:val="0"/>
              <w:adjustRightInd w:val="0"/>
              <w:snapToGrid w:val="0"/>
              <w:spacing w:line="240" w:lineRule="auto"/>
              <w:jc w:val="left"/>
            </w:pPr>
            <w:r w:rsidRPr="000A431F">
              <w:t>3</w:t>
            </w:r>
          </w:p>
          <w:p w14:paraId="31AF8A16" w14:textId="56FCC67F" w:rsidR="00A160F0" w:rsidRPr="000A431F" w:rsidRDefault="00A160F0" w:rsidP="002C7470">
            <w:pPr>
              <w:autoSpaceDE w:val="0"/>
              <w:autoSpaceDN w:val="0"/>
              <w:adjustRightInd w:val="0"/>
              <w:snapToGrid w:val="0"/>
              <w:spacing w:line="240" w:lineRule="auto"/>
              <w:jc w:val="left"/>
            </w:pPr>
            <w:r w:rsidRPr="000A431F">
              <w:t>Not assessed</w:t>
            </w:r>
            <w:r w:rsidR="00AB6D95" w:rsidRPr="000A431F">
              <w:t xml:space="preserve"> </w:t>
            </w:r>
            <w:r w:rsidRPr="000A431F">
              <w:t>*</w:t>
            </w:r>
          </w:p>
        </w:tc>
        <w:tc>
          <w:tcPr>
            <w:tcW w:w="3401" w:type="dxa"/>
            <w:shd w:val="clear" w:color="auto" w:fill="auto"/>
            <w:vAlign w:val="center"/>
          </w:tcPr>
          <w:p w14:paraId="365129F0" w14:textId="77777777" w:rsidR="00A160F0" w:rsidRPr="000A431F" w:rsidRDefault="00A160F0" w:rsidP="002C7470">
            <w:pPr>
              <w:autoSpaceDE w:val="0"/>
              <w:autoSpaceDN w:val="0"/>
              <w:adjustRightInd w:val="0"/>
              <w:snapToGrid w:val="0"/>
              <w:spacing w:line="240" w:lineRule="auto"/>
              <w:jc w:val="left"/>
            </w:pPr>
          </w:p>
          <w:p w14:paraId="62C29BA6" w14:textId="77777777" w:rsidR="00A160F0" w:rsidRPr="000A431F" w:rsidRDefault="00A160F0" w:rsidP="002C7470">
            <w:pPr>
              <w:autoSpaceDE w:val="0"/>
              <w:autoSpaceDN w:val="0"/>
              <w:adjustRightInd w:val="0"/>
              <w:snapToGrid w:val="0"/>
              <w:spacing w:line="240" w:lineRule="auto"/>
              <w:jc w:val="left"/>
            </w:pPr>
            <w:r w:rsidRPr="000A431F">
              <w:t>13 (2.4)</w:t>
            </w:r>
          </w:p>
          <w:p w14:paraId="5EDA29BC" w14:textId="77777777" w:rsidR="00A160F0" w:rsidRPr="000A431F" w:rsidRDefault="00A160F0" w:rsidP="002C7470">
            <w:pPr>
              <w:autoSpaceDE w:val="0"/>
              <w:autoSpaceDN w:val="0"/>
              <w:adjustRightInd w:val="0"/>
              <w:snapToGrid w:val="0"/>
              <w:spacing w:line="240" w:lineRule="auto"/>
              <w:jc w:val="left"/>
            </w:pPr>
            <w:r w:rsidRPr="000A431F">
              <w:t>10 (9.5)</w:t>
            </w:r>
          </w:p>
          <w:p w14:paraId="728009DB" w14:textId="77777777" w:rsidR="00A160F0" w:rsidRPr="000A431F" w:rsidRDefault="00A160F0" w:rsidP="002C7470">
            <w:pPr>
              <w:autoSpaceDE w:val="0"/>
              <w:autoSpaceDN w:val="0"/>
              <w:adjustRightInd w:val="0"/>
              <w:snapToGrid w:val="0"/>
              <w:spacing w:line="240" w:lineRule="auto"/>
              <w:jc w:val="left"/>
            </w:pPr>
            <w:r w:rsidRPr="000A431F">
              <w:t>2 (1.9)</w:t>
            </w:r>
          </w:p>
          <w:p w14:paraId="3506FA5D" w14:textId="77777777" w:rsidR="00A160F0" w:rsidRPr="000A431F" w:rsidRDefault="00A160F0" w:rsidP="002C7470">
            <w:pPr>
              <w:autoSpaceDE w:val="0"/>
              <w:autoSpaceDN w:val="0"/>
              <w:adjustRightInd w:val="0"/>
              <w:snapToGrid w:val="0"/>
              <w:spacing w:line="240" w:lineRule="auto"/>
              <w:jc w:val="left"/>
            </w:pPr>
            <w:r w:rsidRPr="000A431F">
              <w:t>0 (0)</w:t>
            </w:r>
          </w:p>
          <w:p w14:paraId="67BF9986" w14:textId="77777777" w:rsidR="00A160F0" w:rsidRPr="000A431F" w:rsidRDefault="00A160F0" w:rsidP="002C7470">
            <w:pPr>
              <w:autoSpaceDE w:val="0"/>
              <w:autoSpaceDN w:val="0"/>
              <w:adjustRightInd w:val="0"/>
              <w:snapToGrid w:val="0"/>
              <w:spacing w:line="240" w:lineRule="auto"/>
              <w:jc w:val="left"/>
            </w:pPr>
            <w:r w:rsidRPr="000A431F">
              <w:t>80 (76.2)</w:t>
            </w:r>
          </w:p>
        </w:tc>
      </w:tr>
      <w:tr w:rsidR="00A160F0" w:rsidRPr="000A431F" w14:paraId="5FD9167D" w14:textId="77777777" w:rsidTr="002C7470">
        <w:tc>
          <w:tcPr>
            <w:tcW w:w="5093" w:type="dxa"/>
            <w:shd w:val="clear" w:color="auto" w:fill="auto"/>
            <w:vAlign w:val="center"/>
            <w:hideMark/>
          </w:tcPr>
          <w:p w14:paraId="7707800B" w14:textId="34246C8A" w:rsidR="00A160F0" w:rsidRPr="000A431F" w:rsidRDefault="00A160F0" w:rsidP="002C7470">
            <w:pPr>
              <w:autoSpaceDE w:val="0"/>
              <w:autoSpaceDN w:val="0"/>
              <w:adjustRightInd w:val="0"/>
              <w:snapToGrid w:val="0"/>
              <w:spacing w:line="240" w:lineRule="auto"/>
              <w:jc w:val="left"/>
            </w:pPr>
            <w:r w:rsidRPr="000A431F">
              <w:t>Presence of any structural abnormality</w:t>
            </w:r>
            <w:r w:rsidR="00AB6D95" w:rsidRPr="000A431F">
              <w:t xml:space="preserve"> </w:t>
            </w:r>
            <w:r w:rsidRPr="000A431F">
              <w:t>**</w:t>
            </w:r>
          </w:p>
        </w:tc>
        <w:tc>
          <w:tcPr>
            <w:tcW w:w="3401" w:type="dxa"/>
            <w:shd w:val="clear" w:color="auto" w:fill="auto"/>
            <w:vAlign w:val="center"/>
            <w:hideMark/>
          </w:tcPr>
          <w:p w14:paraId="1B9936D4" w14:textId="7FF694DF" w:rsidR="00A160F0" w:rsidRPr="000A431F" w:rsidRDefault="00A160F0" w:rsidP="002C7470">
            <w:pPr>
              <w:autoSpaceDE w:val="0"/>
              <w:autoSpaceDN w:val="0"/>
              <w:adjustRightInd w:val="0"/>
              <w:snapToGrid w:val="0"/>
              <w:spacing w:line="240" w:lineRule="auto"/>
              <w:jc w:val="left"/>
            </w:pPr>
            <w:r w:rsidRPr="000A431F">
              <w:t>49 (46.7)</w:t>
            </w:r>
          </w:p>
        </w:tc>
      </w:tr>
    </w:tbl>
    <w:p w14:paraId="2640B172" w14:textId="6E4984AB" w:rsidR="00A160F0" w:rsidRPr="000A431F" w:rsidRDefault="004D283F" w:rsidP="004D283F">
      <w:pPr>
        <w:pStyle w:val="MDPI22heading2"/>
        <w:spacing w:before="240"/>
      </w:pPr>
      <w:r w:rsidRPr="000A431F">
        <w:lastRenderedPageBreak/>
        <w:t xml:space="preserve">3.2. </w:t>
      </w:r>
      <w:r w:rsidR="00A160F0" w:rsidRPr="000A431F">
        <w:t xml:space="preserve">Cortical </w:t>
      </w:r>
      <w:r w:rsidR="00F5143C" w:rsidRPr="000A431F">
        <w:t>Atrophy</w:t>
      </w:r>
      <w:r w:rsidR="00A160F0" w:rsidRPr="000A431F">
        <w:t xml:space="preserve">, </w:t>
      </w:r>
      <w:r w:rsidR="00F5143C" w:rsidRPr="000A431F">
        <w:t>Medial Temporal Lobe Atrophy</w:t>
      </w:r>
      <w:r w:rsidR="00A160F0" w:rsidRPr="000A431F">
        <w:t xml:space="preserve"> and </w:t>
      </w:r>
      <w:r w:rsidR="00F5143C" w:rsidRPr="000A431F">
        <w:t>Non</w:t>
      </w:r>
      <w:r w:rsidR="00A160F0" w:rsidRPr="000A431F">
        <w:t>-</w:t>
      </w:r>
      <w:r w:rsidR="00F5143C" w:rsidRPr="000A431F">
        <w:t>Specific White Matter Lesions</w:t>
      </w:r>
    </w:p>
    <w:p w14:paraId="1AE43BCE" w14:textId="7B20DE25" w:rsidR="00A160F0" w:rsidRPr="000A431F" w:rsidRDefault="004D283F" w:rsidP="004D283F">
      <w:pPr>
        <w:pStyle w:val="MDPI23heading3"/>
      </w:pPr>
      <w:r w:rsidRPr="000A431F">
        <w:t xml:space="preserve">3.2.1. </w:t>
      </w:r>
      <w:r w:rsidR="00A160F0" w:rsidRPr="000A431F">
        <w:t xml:space="preserve">Cortical </w:t>
      </w:r>
      <w:r w:rsidR="00E44DEE" w:rsidRPr="000A431F">
        <w:t>Atrophy</w:t>
      </w:r>
    </w:p>
    <w:p w14:paraId="40D71C10" w14:textId="0E2AC49C" w:rsidR="00A160F0" w:rsidRPr="000A431F" w:rsidRDefault="00A160F0" w:rsidP="004D283F">
      <w:pPr>
        <w:pStyle w:val="MDPI31text"/>
      </w:pPr>
      <w:r w:rsidRPr="000A431F">
        <w:t>The GCA score was 1 in 28 patients (26.7%), 2 in 5 patients (4.8%) and 3 in 1 patient (1%). In total, 34 patients (32.4%) had an abnormal GCA score considering the age range. Fisher</w:t>
      </w:r>
      <w:r w:rsidR="00B42EB7" w:rsidRPr="000A431F">
        <w:t>’</w:t>
      </w:r>
      <w:r w:rsidRPr="000A431F">
        <w:t xml:space="preserve">s exact test showed a statistically significant association, with a higher presence of abnormal GCA for age in patients aged 65 years or </w:t>
      </w:r>
      <w:r w:rsidR="00AE6471">
        <w:t>older</w:t>
      </w:r>
      <w:r w:rsidRPr="000A431F">
        <w:t xml:space="preserve">. Table 5 and </w:t>
      </w:r>
      <w:commentRangeStart w:id="24"/>
      <w:r w:rsidRPr="000A431F">
        <w:rPr>
          <w:highlight w:val="yellow"/>
        </w:rPr>
        <w:t xml:space="preserve">Supplementary Figure </w:t>
      </w:r>
      <w:r w:rsidR="00371C69" w:rsidRPr="000A431F">
        <w:rPr>
          <w:highlight w:val="yellow"/>
        </w:rPr>
        <w:t>S</w:t>
      </w:r>
      <w:r w:rsidRPr="000A431F">
        <w:rPr>
          <w:highlight w:val="yellow"/>
        </w:rPr>
        <w:t>4</w:t>
      </w:r>
      <w:r w:rsidRPr="000A431F">
        <w:t xml:space="preserve"> </w:t>
      </w:r>
      <w:commentRangeEnd w:id="24"/>
      <w:r w:rsidR="00371C69" w:rsidRPr="000A431F">
        <w:rPr>
          <w:rStyle w:val="CommentReference"/>
          <w:rFonts w:eastAsia="宋体"/>
          <w:noProof/>
          <w:snapToGrid/>
          <w:lang w:eastAsia="zh-CN" w:bidi="ar-SA"/>
          <w14:ligatures w14:val="none"/>
        </w:rPr>
        <w:commentReference w:id="24"/>
      </w:r>
      <w:r w:rsidRPr="000A431F">
        <w:t>show the distribution of in-range and out-of-range GCA according to the age cut-off. Figure 2 shows illustrative examples of the GCA scale in patients from the sample.</w:t>
      </w:r>
    </w:p>
    <w:p w14:paraId="175C5D91" w14:textId="0753DF55" w:rsidR="00A160F0" w:rsidRPr="000A431F" w:rsidRDefault="00A160F0" w:rsidP="004D283F">
      <w:pPr>
        <w:pStyle w:val="MDPI41tablecaption"/>
        <w:jc w:val="both"/>
      </w:pPr>
      <w:r w:rsidRPr="000A431F">
        <w:rPr>
          <w:b/>
          <w:bCs/>
        </w:rPr>
        <w:t>Table 5.</w:t>
      </w:r>
      <w:r w:rsidRPr="000A431F">
        <w:rPr>
          <w:b/>
        </w:rPr>
        <w:t xml:space="preserve"> </w:t>
      </w:r>
      <w:r w:rsidRPr="000A431F">
        <w:t xml:space="preserve">Distribution of normal and abnormal Global Cortical Atrophy (GCA) scores by age cut-offs in the sample. </w:t>
      </w:r>
      <w:r w:rsidR="00EE0FC4" w:rsidRPr="000A431F">
        <w:rPr>
          <w:sz w:val="20"/>
          <w:vertAlign w:val="superscript"/>
        </w:rPr>
        <w:t>a</w:t>
      </w:r>
      <w:r w:rsidRPr="000A431F">
        <w:t xml:space="preserve"> In this column</w:t>
      </w:r>
      <w:r w:rsidR="00AE6471">
        <w:t>,</w:t>
      </w:r>
      <w:r w:rsidRPr="000A431F">
        <w:t xml:space="preserve"> the percentage corresponds to the column counts. </w:t>
      </w:r>
      <w:r w:rsidRPr="000A431F">
        <w:rPr>
          <w:vertAlign w:val="superscript"/>
        </w:rPr>
        <w:t xml:space="preserve">b </w:t>
      </w:r>
      <w:r w:rsidRPr="000A431F">
        <w:t>In these columns</w:t>
      </w:r>
      <w:r w:rsidR="00AE6471">
        <w:t>,</w:t>
      </w:r>
      <w:r w:rsidRPr="000A431F">
        <w:t xml:space="preserve"> the percentages correspond to the row counts. *</w:t>
      </w:r>
      <w:r w:rsidR="00435E8A" w:rsidRPr="000A431F">
        <w:t xml:space="preserve"> </w:t>
      </w:r>
      <w:r w:rsidRPr="000A431F">
        <w:t>Significance value for Fisher</w:t>
      </w:r>
      <w:r w:rsidR="00B42EB7" w:rsidRPr="000A431F">
        <w:t>’</w:t>
      </w:r>
      <w:r w:rsidRPr="000A431F">
        <w:t>s exact test.</w:t>
      </w:r>
    </w:p>
    <w:tbl>
      <w:tblPr>
        <w:tblStyle w:val="TableGrid"/>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6"/>
        <w:gridCol w:w="1416"/>
        <w:gridCol w:w="1841"/>
        <w:gridCol w:w="1832"/>
        <w:gridCol w:w="1352"/>
      </w:tblGrid>
      <w:tr w:rsidR="00A160F0" w:rsidRPr="000A431F" w14:paraId="235B7A67" w14:textId="77777777" w:rsidTr="004D283F">
        <w:tc>
          <w:tcPr>
            <w:tcW w:w="1417" w:type="dxa"/>
            <w:tcBorders>
              <w:top w:val="single" w:sz="8" w:space="0" w:color="auto"/>
              <w:bottom w:val="single" w:sz="4" w:space="0" w:color="auto"/>
            </w:tcBorders>
            <w:shd w:val="clear" w:color="auto" w:fill="auto"/>
            <w:vAlign w:val="center"/>
          </w:tcPr>
          <w:p w14:paraId="4D7E4FA7" w14:textId="45DB84C3" w:rsidR="00A160F0" w:rsidRPr="000A431F" w:rsidRDefault="00A160F0" w:rsidP="004D283F">
            <w:pPr>
              <w:autoSpaceDE w:val="0"/>
              <w:autoSpaceDN w:val="0"/>
              <w:adjustRightInd w:val="0"/>
              <w:snapToGrid w:val="0"/>
              <w:spacing w:line="240" w:lineRule="auto"/>
              <w:jc w:val="center"/>
              <w:rPr>
                <w:b/>
                <w:bCs/>
              </w:rPr>
            </w:pPr>
            <w:r w:rsidRPr="000A431F">
              <w:rPr>
                <w:b/>
                <w:bCs/>
              </w:rPr>
              <w:t xml:space="preserve">Age </w:t>
            </w:r>
            <w:r w:rsidR="004D283F" w:rsidRPr="000A431F">
              <w:rPr>
                <w:b/>
                <w:bCs/>
              </w:rPr>
              <w:t>Range</w:t>
            </w:r>
          </w:p>
        </w:tc>
        <w:tc>
          <w:tcPr>
            <w:tcW w:w="1418" w:type="dxa"/>
            <w:tcBorders>
              <w:top w:val="single" w:sz="8" w:space="0" w:color="auto"/>
              <w:bottom w:val="single" w:sz="4" w:space="0" w:color="auto"/>
            </w:tcBorders>
            <w:shd w:val="clear" w:color="auto" w:fill="auto"/>
            <w:vAlign w:val="center"/>
          </w:tcPr>
          <w:p w14:paraId="01C29A8E" w14:textId="1DFE31FB" w:rsidR="00A160F0" w:rsidRPr="000A431F" w:rsidRDefault="00A160F0" w:rsidP="004D283F">
            <w:pPr>
              <w:autoSpaceDE w:val="0"/>
              <w:autoSpaceDN w:val="0"/>
              <w:adjustRightInd w:val="0"/>
              <w:snapToGrid w:val="0"/>
              <w:spacing w:line="240" w:lineRule="auto"/>
              <w:jc w:val="center"/>
              <w:rPr>
                <w:b/>
                <w:bCs/>
              </w:rPr>
            </w:pPr>
            <w:r w:rsidRPr="000A431F">
              <w:rPr>
                <w:b/>
                <w:bCs/>
              </w:rPr>
              <w:t xml:space="preserve">Total </w:t>
            </w:r>
            <w:r w:rsidR="004D283F" w:rsidRPr="000A431F">
              <w:rPr>
                <w:b/>
                <w:bCs/>
              </w:rPr>
              <w:t>Sample</w:t>
            </w:r>
          </w:p>
          <w:p w14:paraId="21AFE7BE" w14:textId="253C67D3" w:rsidR="00A160F0" w:rsidRPr="000A431F" w:rsidRDefault="00A160F0" w:rsidP="004D283F">
            <w:pPr>
              <w:autoSpaceDE w:val="0"/>
              <w:autoSpaceDN w:val="0"/>
              <w:adjustRightInd w:val="0"/>
              <w:snapToGrid w:val="0"/>
              <w:spacing w:line="240" w:lineRule="auto"/>
              <w:jc w:val="center"/>
              <w:rPr>
                <w:b/>
                <w:bCs/>
              </w:rPr>
            </w:pPr>
            <w:r w:rsidRPr="000A431F">
              <w:rPr>
                <w:b/>
                <w:bCs/>
              </w:rPr>
              <w:t>(N = 105)</w:t>
            </w:r>
            <w:r w:rsidR="00EE0FC4" w:rsidRPr="000A431F">
              <w:rPr>
                <w:b/>
                <w:bCs/>
              </w:rPr>
              <w:t xml:space="preserve"> </w:t>
            </w:r>
            <w:r w:rsidRPr="000A431F">
              <w:rPr>
                <w:b/>
                <w:bCs/>
                <w:vertAlign w:val="superscript"/>
              </w:rPr>
              <w:t>a</w:t>
            </w:r>
          </w:p>
        </w:tc>
        <w:tc>
          <w:tcPr>
            <w:tcW w:w="1843" w:type="dxa"/>
            <w:tcBorders>
              <w:top w:val="single" w:sz="8" w:space="0" w:color="auto"/>
              <w:bottom w:val="single" w:sz="4" w:space="0" w:color="auto"/>
            </w:tcBorders>
            <w:shd w:val="clear" w:color="auto" w:fill="auto"/>
            <w:vAlign w:val="center"/>
          </w:tcPr>
          <w:p w14:paraId="745A39AA" w14:textId="3B6A7E6B" w:rsidR="00A160F0" w:rsidRPr="000A431F" w:rsidRDefault="00A160F0" w:rsidP="004D283F">
            <w:pPr>
              <w:autoSpaceDE w:val="0"/>
              <w:autoSpaceDN w:val="0"/>
              <w:adjustRightInd w:val="0"/>
              <w:snapToGrid w:val="0"/>
              <w:spacing w:line="240" w:lineRule="auto"/>
              <w:jc w:val="center"/>
              <w:rPr>
                <w:b/>
                <w:bCs/>
              </w:rPr>
            </w:pPr>
            <w:r w:rsidRPr="000A431F">
              <w:rPr>
                <w:b/>
                <w:bCs/>
              </w:rPr>
              <w:t xml:space="preserve">GCA in </w:t>
            </w:r>
            <w:r w:rsidR="004D283F" w:rsidRPr="000A431F">
              <w:rPr>
                <w:b/>
                <w:bCs/>
              </w:rPr>
              <w:t>Range</w:t>
            </w:r>
          </w:p>
          <w:p w14:paraId="44633734" w14:textId="4F552647" w:rsidR="00A160F0" w:rsidRPr="000A431F" w:rsidRDefault="00A160F0" w:rsidP="004D283F">
            <w:pPr>
              <w:autoSpaceDE w:val="0"/>
              <w:autoSpaceDN w:val="0"/>
              <w:adjustRightInd w:val="0"/>
              <w:snapToGrid w:val="0"/>
              <w:spacing w:line="240" w:lineRule="auto"/>
              <w:jc w:val="center"/>
              <w:rPr>
                <w:b/>
                <w:bCs/>
              </w:rPr>
            </w:pPr>
            <w:r w:rsidRPr="000A431F">
              <w:rPr>
                <w:b/>
                <w:bCs/>
              </w:rPr>
              <w:t>(N = 71)</w:t>
            </w:r>
            <w:r w:rsidR="00EE0FC4" w:rsidRPr="000A431F">
              <w:rPr>
                <w:b/>
                <w:bCs/>
              </w:rPr>
              <w:t xml:space="preserve"> </w:t>
            </w:r>
            <w:r w:rsidRPr="000A431F">
              <w:rPr>
                <w:b/>
                <w:bCs/>
                <w:vertAlign w:val="superscript"/>
              </w:rPr>
              <w:t>b</w:t>
            </w:r>
          </w:p>
        </w:tc>
        <w:tc>
          <w:tcPr>
            <w:tcW w:w="1834" w:type="dxa"/>
            <w:tcBorders>
              <w:top w:val="single" w:sz="8" w:space="0" w:color="auto"/>
              <w:bottom w:val="single" w:sz="4" w:space="0" w:color="auto"/>
            </w:tcBorders>
            <w:shd w:val="clear" w:color="auto" w:fill="auto"/>
            <w:vAlign w:val="center"/>
          </w:tcPr>
          <w:p w14:paraId="2D4996E4" w14:textId="05C6C071" w:rsidR="00A160F0" w:rsidRPr="000A431F" w:rsidRDefault="00A160F0" w:rsidP="004D283F">
            <w:pPr>
              <w:autoSpaceDE w:val="0"/>
              <w:autoSpaceDN w:val="0"/>
              <w:adjustRightInd w:val="0"/>
              <w:snapToGrid w:val="0"/>
              <w:spacing w:line="240" w:lineRule="auto"/>
              <w:jc w:val="center"/>
              <w:rPr>
                <w:b/>
                <w:bCs/>
              </w:rPr>
            </w:pPr>
            <w:r w:rsidRPr="000A431F">
              <w:rPr>
                <w:b/>
                <w:bCs/>
              </w:rPr>
              <w:t xml:space="preserve">GCA out of </w:t>
            </w:r>
            <w:r w:rsidR="004D283F" w:rsidRPr="000A431F">
              <w:rPr>
                <w:b/>
                <w:bCs/>
              </w:rPr>
              <w:t>Range</w:t>
            </w:r>
          </w:p>
          <w:p w14:paraId="7B2E69DD" w14:textId="10AA5BE5" w:rsidR="00A160F0" w:rsidRPr="000A431F" w:rsidRDefault="00A160F0" w:rsidP="004D283F">
            <w:pPr>
              <w:autoSpaceDE w:val="0"/>
              <w:autoSpaceDN w:val="0"/>
              <w:adjustRightInd w:val="0"/>
              <w:snapToGrid w:val="0"/>
              <w:spacing w:line="240" w:lineRule="auto"/>
              <w:jc w:val="center"/>
              <w:rPr>
                <w:b/>
                <w:bCs/>
              </w:rPr>
            </w:pPr>
            <w:r w:rsidRPr="000A431F">
              <w:rPr>
                <w:b/>
                <w:bCs/>
              </w:rPr>
              <w:t>(N = 34)</w:t>
            </w:r>
            <w:r w:rsidR="00EE0FC4" w:rsidRPr="000A431F">
              <w:rPr>
                <w:b/>
                <w:bCs/>
              </w:rPr>
              <w:t xml:space="preserve"> </w:t>
            </w:r>
            <w:r w:rsidRPr="000A431F">
              <w:rPr>
                <w:b/>
                <w:bCs/>
                <w:vertAlign w:val="superscript"/>
              </w:rPr>
              <w:t>b</w:t>
            </w:r>
          </w:p>
        </w:tc>
        <w:tc>
          <w:tcPr>
            <w:tcW w:w="1354" w:type="dxa"/>
            <w:tcBorders>
              <w:top w:val="single" w:sz="8" w:space="0" w:color="auto"/>
              <w:bottom w:val="single" w:sz="4" w:space="0" w:color="auto"/>
            </w:tcBorders>
            <w:shd w:val="clear" w:color="auto" w:fill="auto"/>
            <w:vAlign w:val="center"/>
          </w:tcPr>
          <w:p w14:paraId="3EA0369A" w14:textId="227DA0FC" w:rsidR="00A160F0" w:rsidRPr="000A431F" w:rsidRDefault="00A160F0" w:rsidP="004D283F">
            <w:pPr>
              <w:autoSpaceDE w:val="0"/>
              <w:autoSpaceDN w:val="0"/>
              <w:adjustRightInd w:val="0"/>
              <w:snapToGrid w:val="0"/>
              <w:spacing w:line="240" w:lineRule="auto"/>
              <w:jc w:val="center"/>
              <w:rPr>
                <w:b/>
                <w:bCs/>
              </w:rPr>
            </w:pPr>
            <w:r w:rsidRPr="000A431F">
              <w:rPr>
                <w:b/>
                <w:bCs/>
              </w:rPr>
              <w:t>Significance (</w:t>
            </w:r>
            <w:r w:rsidR="009D16F5" w:rsidRPr="000A431F">
              <w:rPr>
                <w:b/>
                <w:bCs/>
                <w:i/>
              </w:rPr>
              <w:t>p</w:t>
            </w:r>
            <w:r w:rsidRPr="000A431F">
              <w:rPr>
                <w:b/>
                <w:bCs/>
              </w:rPr>
              <w:t>-</w:t>
            </w:r>
            <w:r w:rsidR="00435E8A" w:rsidRPr="000A431F">
              <w:rPr>
                <w:b/>
                <w:bCs/>
              </w:rPr>
              <w:t>Value</w:t>
            </w:r>
            <w:r w:rsidRPr="000A431F">
              <w:rPr>
                <w:b/>
                <w:bCs/>
              </w:rPr>
              <w:t>)</w:t>
            </w:r>
            <w:r w:rsidR="00435E8A" w:rsidRPr="000A431F">
              <w:rPr>
                <w:b/>
                <w:bCs/>
              </w:rPr>
              <w:t xml:space="preserve"> </w:t>
            </w:r>
            <w:r w:rsidRPr="000A431F">
              <w:rPr>
                <w:b/>
                <w:bCs/>
              </w:rPr>
              <w:t>*</w:t>
            </w:r>
          </w:p>
        </w:tc>
      </w:tr>
      <w:tr w:rsidR="00A160F0" w:rsidRPr="000A431F" w14:paraId="41F5DB0A" w14:textId="77777777" w:rsidTr="004D283F">
        <w:tc>
          <w:tcPr>
            <w:tcW w:w="1417" w:type="dxa"/>
            <w:tcBorders>
              <w:top w:val="single" w:sz="4" w:space="0" w:color="auto"/>
            </w:tcBorders>
            <w:shd w:val="clear" w:color="auto" w:fill="auto"/>
            <w:vAlign w:val="center"/>
          </w:tcPr>
          <w:p w14:paraId="07738DB3" w14:textId="77777777" w:rsidR="00A160F0" w:rsidRPr="000A431F" w:rsidRDefault="00A160F0" w:rsidP="004D283F">
            <w:pPr>
              <w:autoSpaceDE w:val="0"/>
              <w:autoSpaceDN w:val="0"/>
              <w:adjustRightInd w:val="0"/>
              <w:snapToGrid w:val="0"/>
              <w:spacing w:line="240" w:lineRule="auto"/>
              <w:jc w:val="center"/>
            </w:pPr>
            <w:r w:rsidRPr="000A431F">
              <w:t>&lt;65 years</w:t>
            </w:r>
          </w:p>
        </w:tc>
        <w:tc>
          <w:tcPr>
            <w:tcW w:w="1418" w:type="dxa"/>
            <w:tcBorders>
              <w:top w:val="single" w:sz="4" w:space="0" w:color="auto"/>
            </w:tcBorders>
            <w:shd w:val="clear" w:color="auto" w:fill="auto"/>
            <w:vAlign w:val="center"/>
          </w:tcPr>
          <w:p w14:paraId="770FBC0E" w14:textId="77777777" w:rsidR="00A160F0" w:rsidRPr="000A431F" w:rsidRDefault="00A160F0" w:rsidP="004D283F">
            <w:pPr>
              <w:autoSpaceDE w:val="0"/>
              <w:autoSpaceDN w:val="0"/>
              <w:adjustRightInd w:val="0"/>
              <w:snapToGrid w:val="0"/>
              <w:spacing w:line="240" w:lineRule="auto"/>
              <w:jc w:val="center"/>
            </w:pPr>
            <w:r w:rsidRPr="000A431F">
              <w:t>99 (94.3)</w:t>
            </w:r>
          </w:p>
        </w:tc>
        <w:tc>
          <w:tcPr>
            <w:tcW w:w="1843" w:type="dxa"/>
            <w:tcBorders>
              <w:top w:val="single" w:sz="4" w:space="0" w:color="auto"/>
            </w:tcBorders>
            <w:shd w:val="clear" w:color="auto" w:fill="auto"/>
            <w:vAlign w:val="center"/>
          </w:tcPr>
          <w:p w14:paraId="31AE4F7C" w14:textId="77777777" w:rsidR="00A160F0" w:rsidRPr="000A431F" w:rsidRDefault="00A160F0" w:rsidP="004D283F">
            <w:pPr>
              <w:autoSpaceDE w:val="0"/>
              <w:autoSpaceDN w:val="0"/>
              <w:adjustRightInd w:val="0"/>
              <w:snapToGrid w:val="0"/>
              <w:spacing w:line="240" w:lineRule="auto"/>
              <w:jc w:val="center"/>
            </w:pPr>
            <w:r w:rsidRPr="000A431F">
              <w:t>71 (71.7)</w:t>
            </w:r>
          </w:p>
        </w:tc>
        <w:tc>
          <w:tcPr>
            <w:tcW w:w="1834" w:type="dxa"/>
            <w:tcBorders>
              <w:top w:val="single" w:sz="4" w:space="0" w:color="auto"/>
            </w:tcBorders>
            <w:shd w:val="clear" w:color="auto" w:fill="auto"/>
            <w:vAlign w:val="center"/>
          </w:tcPr>
          <w:p w14:paraId="072C1F31" w14:textId="77777777" w:rsidR="00A160F0" w:rsidRPr="000A431F" w:rsidRDefault="00A160F0" w:rsidP="004D283F">
            <w:pPr>
              <w:autoSpaceDE w:val="0"/>
              <w:autoSpaceDN w:val="0"/>
              <w:adjustRightInd w:val="0"/>
              <w:snapToGrid w:val="0"/>
              <w:spacing w:line="240" w:lineRule="auto"/>
              <w:jc w:val="center"/>
            </w:pPr>
            <w:r w:rsidRPr="000A431F">
              <w:t>28 (28.3)</w:t>
            </w:r>
          </w:p>
        </w:tc>
        <w:tc>
          <w:tcPr>
            <w:tcW w:w="1354" w:type="dxa"/>
            <w:vMerge w:val="restart"/>
            <w:tcBorders>
              <w:top w:val="single" w:sz="4" w:space="0" w:color="auto"/>
            </w:tcBorders>
            <w:shd w:val="clear" w:color="auto" w:fill="auto"/>
            <w:vAlign w:val="center"/>
          </w:tcPr>
          <w:p w14:paraId="42B557CB" w14:textId="77777777" w:rsidR="00A160F0" w:rsidRPr="000A431F" w:rsidRDefault="00A160F0" w:rsidP="004D283F">
            <w:pPr>
              <w:autoSpaceDE w:val="0"/>
              <w:autoSpaceDN w:val="0"/>
              <w:adjustRightInd w:val="0"/>
              <w:snapToGrid w:val="0"/>
              <w:spacing w:line="240" w:lineRule="auto"/>
              <w:jc w:val="center"/>
            </w:pPr>
            <w:r w:rsidRPr="000A431F">
              <w:t>&lt;0.001</w:t>
            </w:r>
          </w:p>
        </w:tc>
      </w:tr>
      <w:tr w:rsidR="00A160F0" w:rsidRPr="000A431F" w14:paraId="053E4B78" w14:textId="77777777" w:rsidTr="004D283F">
        <w:tc>
          <w:tcPr>
            <w:tcW w:w="1417" w:type="dxa"/>
            <w:shd w:val="clear" w:color="auto" w:fill="auto"/>
            <w:vAlign w:val="center"/>
          </w:tcPr>
          <w:p w14:paraId="0FE0F5BD" w14:textId="66021A10" w:rsidR="00A160F0" w:rsidRPr="000A431F" w:rsidRDefault="008F432F" w:rsidP="004D283F">
            <w:pPr>
              <w:autoSpaceDE w:val="0"/>
              <w:autoSpaceDN w:val="0"/>
              <w:adjustRightInd w:val="0"/>
              <w:snapToGrid w:val="0"/>
              <w:spacing w:line="240" w:lineRule="auto"/>
              <w:jc w:val="center"/>
            </w:pPr>
            <w:r w:rsidRPr="000A431F">
              <w:t>≥</w:t>
            </w:r>
            <w:r w:rsidR="00A160F0" w:rsidRPr="000A431F">
              <w:t>65 years old</w:t>
            </w:r>
          </w:p>
        </w:tc>
        <w:tc>
          <w:tcPr>
            <w:tcW w:w="1418" w:type="dxa"/>
            <w:shd w:val="clear" w:color="auto" w:fill="auto"/>
            <w:vAlign w:val="center"/>
          </w:tcPr>
          <w:p w14:paraId="444004BD" w14:textId="77777777" w:rsidR="00A160F0" w:rsidRPr="000A431F" w:rsidRDefault="00A160F0" w:rsidP="004D283F">
            <w:pPr>
              <w:autoSpaceDE w:val="0"/>
              <w:autoSpaceDN w:val="0"/>
              <w:adjustRightInd w:val="0"/>
              <w:snapToGrid w:val="0"/>
              <w:spacing w:line="240" w:lineRule="auto"/>
              <w:jc w:val="center"/>
            </w:pPr>
            <w:r w:rsidRPr="000A431F">
              <w:t>6 (5.7)</w:t>
            </w:r>
          </w:p>
        </w:tc>
        <w:tc>
          <w:tcPr>
            <w:tcW w:w="1843" w:type="dxa"/>
            <w:shd w:val="clear" w:color="auto" w:fill="auto"/>
            <w:vAlign w:val="center"/>
          </w:tcPr>
          <w:p w14:paraId="67029F86" w14:textId="77777777" w:rsidR="00A160F0" w:rsidRPr="000A431F" w:rsidRDefault="00A160F0" w:rsidP="004D283F">
            <w:pPr>
              <w:autoSpaceDE w:val="0"/>
              <w:autoSpaceDN w:val="0"/>
              <w:adjustRightInd w:val="0"/>
              <w:snapToGrid w:val="0"/>
              <w:spacing w:line="240" w:lineRule="auto"/>
              <w:jc w:val="center"/>
            </w:pPr>
            <w:r w:rsidRPr="000A431F">
              <w:t>0 (0)</w:t>
            </w:r>
          </w:p>
        </w:tc>
        <w:tc>
          <w:tcPr>
            <w:tcW w:w="1834" w:type="dxa"/>
            <w:shd w:val="clear" w:color="auto" w:fill="auto"/>
            <w:vAlign w:val="center"/>
          </w:tcPr>
          <w:p w14:paraId="6AAEC1DA" w14:textId="77777777" w:rsidR="00A160F0" w:rsidRPr="000A431F" w:rsidRDefault="00A160F0" w:rsidP="004D283F">
            <w:pPr>
              <w:autoSpaceDE w:val="0"/>
              <w:autoSpaceDN w:val="0"/>
              <w:adjustRightInd w:val="0"/>
              <w:snapToGrid w:val="0"/>
              <w:spacing w:line="240" w:lineRule="auto"/>
              <w:jc w:val="center"/>
            </w:pPr>
            <w:r w:rsidRPr="000A431F">
              <w:t>6 (100)</w:t>
            </w:r>
          </w:p>
        </w:tc>
        <w:tc>
          <w:tcPr>
            <w:tcW w:w="1354" w:type="dxa"/>
            <w:vMerge/>
            <w:shd w:val="clear" w:color="auto" w:fill="auto"/>
            <w:vAlign w:val="center"/>
          </w:tcPr>
          <w:p w14:paraId="4D4FB0CB" w14:textId="77777777" w:rsidR="00A160F0" w:rsidRPr="000A431F" w:rsidRDefault="00A160F0" w:rsidP="004D283F">
            <w:pPr>
              <w:autoSpaceDE w:val="0"/>
              <w:autoSpaceDN w:val="0"/>
              <w:adjustRightInd w:val="0"/>
              <w:snapToGrid w:val="0"/>
              <w:spacing w:line="240" w:lineRule="auto"/>
              <w:jc w:val="center"/>
            </w:pPr>
          </w:p>
        </w:tc>
      </w:tr>
    </w:tbl>
    <w:p w14:paraId="127725B9" w14:textId="68C6A995" w:rsidR="00A160F0" w:rsidRPr="000A431F" w:rsidRDefault="00A160F0" w:rsidP="003805E9">
      <w:pPr>
        <w:pStyle w:val="MDPI52figure"/>
      </w:pPr>
      <w:r w:rsidRPr="000A431F">
        <w:rPr>
          <w:noProof/>
        </w:rPr>
        <w:drawing>
          <wp:inline distT="0" distB="0" distL="0" distR="0" wp14:anchorId="7C76279D" wp14:editId="5BDAA75F">
            <wp:extent cx="6635750" cy="46228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750" cy="4622800"/>
                    </a:xfrm>
                    <a:prstGeom prst="rect">
                      <a:avLst/>
                    </a:prstGeom>
                    <a:noFill/>
                    <a:ln>
                      <a:noFill/>
                    </a:ln>
                  </pic:spPr>
                </pic:pic>
              </a:graphicData>
            </a:graphic>
          </wp:inline>
        </w:drawing>
      </w:r>
    </w:p>
    <w:p w14:paraId="7FEEF2BC" w14:textId="65D2855A" w:rsidR="00A160F0" w:rsidRPr="000A431F" w:rsidRDefault="00A160F0" w:rsidP="003805E9">
      <w:pPr>
        <w:pStyle w:val="MDPI51figurecaption"/>
        <w:jc w:val="both"/>
      </w:pPr>
      <w:r w:rsidRPr="000A431F">
        <w:rPr>
          <w:b/>
          <w:bCs/>
        </w:rPr>
        <w:t>Figure 2.</w:t>
      </w:r>
      <w:r w:rsidRPr="000A431F">
        <w:rPr>
          <w:b/>
        </w:rPr>
        <w:t xml:space="preserve"> </w:t>
      </w:r>
      <w:r w:rsidRPr="000A431F">
        <w:t xml:space="preserve">Illustrative examples of the GCA scale in magnetic resonance imaging (MRI) and computed tomography (CT) in our sample. </w:t>
      </w:r>
      <w:r w:rsidR="00AC198A" w:rsidRPr="000A431F">
        <w:t>(</w:t>
      </w:r>
      <w:r w:rsidRPr="000A431F">
        <w:rPr>
          <w:b/>
          <w:bCs/>
        </w:rPr>
        <w:t>A</w:t>
      </w:r>
      <w:r w:rsidRPr="000A431F">
        <w:t xml:space="preserve">) </w:t>
      </w:r>
      <w:r w:rsidR="000A431F">
        <w:rPr>
          <w:u w:color="8969CD"/>
        </w:rPr>
        <w:t xml:space="preserve">GCA </w:t>
      </w:r>
      <w:r w:rsidRPr="000A431F">
        <w:t xml:space="preserve">0 in a patient aged 30 years who presented with auditive and visual hallucinations. </w:t>
      </w:r>
      <w:r w:rsidR="00AC198A" w:rsidRPr="000A431F">
        <w:t>(</w:t>
      </w:r>
      <w:r w:rsidRPr="000A431F">
        <w:rPr>
          <w:b/>
          <w:bCs/>
        </w:rPr>
        <w:t>B</w:t>
      </w:r>
      <w:r w:rsidRPr="000A431F">
        <w:t xml:space="preserve">) GCA 1 in a 53-year-old patient who presented with visual hallucinations. </w:t>
      </w:r>
      <w:r w:rsidR="00AC198A" w:rsidRPr="000A431F">
        <w:t>(</w:t>
      </w:r>
      <w:r w:rsidRPr="000A431F">
        <w:rPr>
          <w:b/>
          <w:bCs/>
        </w:rPr>
        <w:t>C</w:t>
      </w:r>
      <w:r w:rsidRPr="000A431F">
        <w:t xml:space="preserve">) GCA 2 in a 70-year-old patient who presented with auditive hallucinations (note a slightly more pronounced sulci opening in the left hemisphere due to asynclitic horizontal disposition of the slice). </w:t>
      </w:r>
      <w:r w:rsidR="00AC198A" w:rsidRPr="000A431F">
        <w:t>(</w:t>
      </w:r>
      <w:r w:rsidRPr="000A431F">
        <w:rPr>
          <w:b/>
          <w:bCs/>
        </w:rPr>
        <w:t>D</w:t>
      </w:r>
      <w:r w:rsidRPr="000A431F">
        <w:t xml:space="preserve">) CT findings consistent with GCA 2 in an </w:t>
      </w:r>
      <w:r w:rsidR="00AE6471">
        <w:t>80-year-old</w:t>
      </w:r>
      <w:r w:rsidRPr="000A431F">
        <w:t xml:space="preserve"> patient who presented with visual hallucinations (note significant bilateral frontal atrophy). </w:t>
      </w:r>
      <w:r w:rsidR="00AC198A" w:rsidRPr="000A431F">
        <w:t>(</w:t>
      </w:r>
      <w:r w:rsidRPr="000A431F">
        <w:rPr>
          <w:b/>
          <w:bCs/>
        </w:rPr>
        <w:t>E</w:t>
      </w:r>
      <w:r w:rsidRPr="000A431F">
        <w:t xml:space="preserve">) Different slices showing </w:t>
      </w:r>
      <w:r w:rsidRPr="000A431F">
        <w:lastRenderedPageBreak/>
        <w:t>CT findings consistent with severe atrophy (GCA 3), more pronounced in the temporal and left frontal gyri, in a 79-year-old patient.</w:t>
      </w:r>
    </w:p>
    <w:p w14:paraId="7DE609A0" w14:textId="32DDF03F" w:rsidR="00A160F0" w:rsidRPr="000A431F" w:rsidRDefault="00BB2456" w:rsidP="00BB2456">
      <w:pPr>
        <w:pStyle w:val="MDPI23heading3"/>
        <w:spacing w:before="240"/>
      </w:pPr>
      <w:r w:rsidRPr="000A431F">
        <w:t xml:space="preserve">3.2.2. </w:t>
      </w:r>
      <w:r w:rsidR="00A160F0" w:rsidRPr="000A431F">
        <w:t xml:space="preserve">Medial </w:t>
      </w:r>
      <w:r w:rsidR="00650487" w:rsidRPr="000A431F">
        <w:t>Temporal Lobe Atrophy</w:t>
      </w:r>
    </w:p>
    <w:p w14:paraId="7D0C30DD" w14:textId="5852AE47" w:rsidR="00A160F0" w:rsidRPr="000A431F" w:rsidRDefault="00A160F0" w:rsidP="003805E9">
      <w:pPr>
        <w:pStyle w:val="MDPI31text"/>
      </w:pPr>
      <w:r w:rsidRPr="000A431F">
        <w:t>In the case of global MTA (average of right and left MTA), altered (MTA &gt; 0) values were found in a total of 40 patients (38.1%), of which 38 patients (36.2%) were abnormal considering the age range. Fisher</w:t>
      </w:r>
      <w:r w:rsidR="00B42EB7" w:rsidRPr="000A431F">
        <w:t>’</w:t>
      </w:r>
      <w:r w:rsidRPr="000A431F">
        <w:t xml:space="preserve">s exact test showed a statistically significant association, with a higher presence of abnormal MTA for age in patients </w:t>
      </w:r>
      <w:r w:rsidR="00AE6471">
        <w:t>aged 50 years or older</w:t>
      </w:r>
      <w:r w:rsidRPr="000A431F">
        <w:t xml:space="preserve">. The distribution of </w:t>
      </w:r>
      <w:r w:rsidR="00AE6471">
        <w:t xml:space="preserve">the </w:t>
      </w:r>
      <w:r w:rsidRPr="000A431F">
        <w:t xml:space="preserve">overall MTA score by age range cut-offs is shown in Table 6 (and </w:t>
      </w:r>
      <w:commentRangeStart w:id="25"/>
      <w:r w:rsidRPr="000A431F">
        <w:rPr>
          <w:highlight w:val="yellow"/>
        </w:rPr>
        <w:t>Supplementary Figure</w:t>
      </w:r>
      <w:commentRangeEnd w:id="25"/>
      <w:r w:rsidR="001F5269" w:rsidRPr="000A431F">
        <w:rPr>
          <w:rStyle w:val="CommentReference"/>
          <w:rFonts w:eastAsia="宋体"/>
          <w:noProof/>
          <w:snapToGrid/>
          <w:lang w:eastAsia="zh-CN" w:bidi="ar-SA"/>
          <w14:ligatures w14:val="none"/>
        </w:rPr>
        <w:commentReference w:id="25"/>
      </w:r>
      <w:r w:rsidRPr="000A431F">
        <w:rPr>
          <w:highlight w:val="yellow"/>
        </w:rPr>
        <w:t xml:space="preserve"> </w:t>
      </w:r>
      <w:r w:rsidR="001F5269" w:rsidRPr="000A431F">
        <w:rPr>
          <w:highlight w:val="yellow"/>
        </w:rPr>
        <w:t>S</w:t>
      </w:r>
      <w:r w:rsidRPr="000A431F">
        <w:rPr>
          <w:highlight w:val="yellow"/>
        </w:rPr>
        <w:t>4</w:t>
      </w:r>
      <w:r w:rsidRPr="000A431F">
        <w:t>). Figure 3 shows illustrative examples of different MTA scores in patients from the sample.</w:t>
      </w:r>
    </w:p>
    <w:p w14:paraId="4FCF34BF" w14:textId="142998EE" w:rsidR="00A160F0" w:rsidRPr="000A431F" w:rsidRDefault="00A160F0" w:rsidP="003805E9">
      <w:pPr>
        <w:pStyle w:val="MDPI41tablecaption"/>
        <w:jc w:val="both"/>
      </w:pPr>
      <w:r w:rsidRPr="000A431F">
        <w:rPr>
          <w:b/>
          <w:bCs/>
        </w:rPr>
        <w:t xml:space="preserve">Table 6. </w:t>
      </w:r>
      <w:r w:rsidRPr="000A431F">
        <w:t xml:space="preserve">Distribution of normal and abnormal Medial Temporal Lobe Atrophy (MTA) scores by age ranges in the sample. </w:t>
      </w:r>
      <w:r w:rsidR="00133AF5" w:rsidRPr="000A431F">
        <w:rPr>
          <w:sz w:val="20"/>
          <w:vertAlign w:val="superscript"/>
        </w:rPr>
        <w:t>a</w:t>
      </w:r>
      <w:r w:rsidRPr="000A431F">
        <w:t xml:space="preserve"> In this column</w:t>
      </w:r>
      <w:r w:rsidR="00AE6471">
        <w:t>,</w:t>
      </w:r>
      <w:r w:rsidRPr="000A431F">
        <w:t xml:space="preserve"> the percentage corresponds to the column counts. </w:t>
      </w:r>
      <w:r w:rsidRPr="000A431F">
        <w:rPr>
          <w:vertAlign w:val="superscript"/>
        </w:rPr>
        <w:t>b</w:t>
      </w:r>
      <w:r w:rsidR="00133AF5" w:rsidRPr="000A431F">
        <w:t xml:space="preserve"> </w:t>
      </w:r>
      <w:r w:rsidRPr="000A431F">
        <w:t>In these columns</w:t>
      </w:r>
      <w:r w:rsidR="00AE6471">
        <w:t>,</w:t>
      </w:r>
      <w:r w:rsidRPr="000A431F">
        <w:t xml:space="preserve"> the percentages correspond to the row counts. *</w:t>
      </w:r>
      <w:r w:rsidR="00AC6281" w:rsidRPr="000A431F">
        <w:t xml:space="preserve"> </w:t>
      </w:r>
      <w:r w:rsidRPr="000A431F">
        <w:t>Significance value for Fisher</w:t>
      </w:r>
      <w:r w:rsidR="00B42EB7" w:rsidRPr="000A431F">
        <w:t>’</w:t>
      </w:r>
      <w:r w:rsidRPr="000A431F">
        <w:t>s exact test.</w:t>
      </w:r>
    </w:p>
    <w:tbl>
      <w:tblPr>
        <w:tblStyle w:val="TableGrid"/>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8"/>
        <w:gridCol w:w="1410"/>
        <w:gridCol w:w="1550"/>
        <w:gridCol w:w="1939"/>
        <w:gridCol w:w="1550"/>
      </w:tblGrid>
      <w:tr w:rsidR="0005264A" w:rsidRPr="000A431F" w14:paraId="308B0E52" w14:textId="77777777" w:rsidTr="003805E9">
        <w:tc>
          <w:tcPr>
            <w:tcW w:w="1417" w:type="dxa"/>
            <w:tcBorders>
              <w:top w:val="single" w:sz="8" w:space="0" w:color="auto"/>
              <w:bottom w:val="single" w:sz="4" w:space="0" w:color="auto"/>
            </w:tcBorders>
            <w:shd w:val="clear" w:color="auto" w:fill="auto"/>
            <w:vAlign w:val="center"/>
          </w:tcPr>
          <w:p w14:paraId="5B2754C2" w14:textId="459A2D13" w:rsidR="00A160F0" w:rsidRPr="000A431F" w:rsidRDefault="00A160F0" w:rsidP="003805E9">
            <w:pPr>
              <w:autoSpaceDE w:val="0"/>
              <w:autoSpaceDN w:val="0"/>
              <w:adjustRightInd w:val="0"/>
              <w:snapToGrid w:val="0"/>
              <w:spacing w:line="240" w:lineRule="auto"/>
              <w:jc w:val="center"/>
              <w:rPr>
                <w:b/>
                <w:bCs/>
                <w:color w:val="auto"/>
              </w:rPr>
            </w:pPr>
            <w:r w:rsidRPr="000A431F">
              <w:rPr>
                <w:b/>
                <w:bCs/>
                <w:color w:val="auto"/>
              </w:rPr>
              <w:t xml:space="preserve">Age </w:t>
            </w:r>
            <w:r w:rsidR="003805E9" w:rsidRPr="000A431F">
              <w:rPr>
                <w:b/>
                <w:bCs/>
                <w:color w:val="auto"/>
              </w:rPr>
              <w:t>Range</w:t>
            </w:r>
          </w:p>
        </w:tc>
        <w:tc>
          <w:tcPr>
            <w:tcW w:w="1418" w:type="dxa"/>
            <w:tcBorders>
              <w:top w:val="single" w:sz="8" w:space="0" w:color="auto"/>
              <w:bottom w:val="single" w:sz="4" w:space="0" w:color="auto"/>
            </w:tcBorders>
            <w:shd w:val="clear" w:color="auto" w:fill="auto"/>
            <w:vAlign w:val="center"/>
          </w:tcPr>
          <w:p w14:paraId="0EEB7A5C" w14:textId="51867E93" w:rsidR="00A160F0" w:rsidRPr="000A431F" w:rsidRDefault="00A160F0" w:rsidP="003805E9">
            <w:pPr>
              <w:autoSpaceDE w:val="0"/>
              <w:autoSpaceDN w:val="0"/>
              <w:adjustRightInd w:val="0"/>
              <w:snapToGrid w:val="0"/>
              <w:spacing w:line="240" w:lineRule="auto"/>
              <w:jc w:val="center"/>
              <w:rPr>
                <w:b/>
                <w:bCs/>
                <w:color w:val="auto"/>
              </w:rPr>
            </w:pPr>
            <w:r w:rsidRPr="000A431F">
              <w:rPr>
                <w:b/>
                <w:bCs/>
                <w:color w:val="auto"/>
              </w:rPr>
              <w:t xml:space="preserve">Total </w:t>
            </w:r>
            <w:r w:rsidR="003805E9" w:rsidRPr="000A431F">
              <w:rPr>
                <w:b/>
                <w:bCs/>
                <w:color w:val="auto"/>
              </w:rPr>
              <w:t>Sample</w:t>
            </w:r>
          </w:p>
          <w:p w14:paraId="7AC1D3C4" w14:textId="486186A8" w:rsidR="00A160F0" w:rsidRPr="000A431F" w:rsidRDefault="00A160F0" w:rsidP="003805E9">
            <w:pPr>
              <w:autoSpaceDE w:val="0"/>
              <w:autoSpaceDN w:val="0"/>
              <w:adjustRightInd w:val="0"/>
              <w:snapToGrid w:val="0"/>
              <w:spacing w:line="240" w:lineRule="auto"/>
              <w:jc w:val="center"/>
              <w:rPr>
                <w:b/>
                <w:bCs/>
                <w:color w:val="auto"/>
              </w:rPr>
            </w:pPr>
            <w:r w:rsidRPr="000A431F">
              <w:rPr>
                <w:b/>
                <w:bCs/>
                <w:color w:val="auto"/>
              </w:rPr>
              <w:t>(N = 105)</w:t>
            </w:r>
            <w:r w:rsidR="000F382A" w:rsidRPr="000A431F">
              <w:rPr>
                <w:b/>
                <w:bCs/>
                <w:color w:val="auto"/>
              </w:rPr>
              <w:t xml:space="preserve"> </w:t>
            </w:r>
            <w:r w:rsidR="00133AF5" w:rsidRPr="000A431F">
              <w:rPr>
                <w:b/>
                <w:bCs/>
                <w:color w:val="auto"/>
                <w:vertAlign w:val="superscript"/>
              </w:rPr>
              <w:t>a</w:t>
            </w:r>
          </w:p>
        </w:tc>
        <w:tc>
          <w:tcPr>
            <w:tcW w:w="1559" w:type="dxa"/>
            <w:tcBorders>
              <w:top w:val="single" w:sz="8" w:space="0" w:color="auto"/>
              <w:bottom w:val="single" w:sz="4" w:space="0" w:color="auto"/>
            </w:tcBorders>
            <w:shd w:val="clear" w:color="auto" w:fill="auto"/>
            <w:vAlign w:val="center"/>
          </w:tcPr>
          <w:p w14:paraId="78E5F6D1" w14:textId="7256D7BF" w:rsidR="00A160F0" w:rsidRPr="000A431F" w:rsidRDefault="00A160F0" w:rsidP="003805E9">
            <w:pPr>
              <w:autoSpaceDE w:val="0"/>
              <w:autoSpaceDN w:val="0"/>
              <w:adjustRightInd w:val="0"/>
              <w:snapToGrid w:val="0"/>
              <w:spacing w:line="240" w:lineRule="auto"/>
              <w:jc w:val="center"/>
              <w:rPr>
                <w:b/>
                <w:bCs/>
                <w:color w:val="auto"/>
              </w:rPr>
            </w:pPr>
            <w:r w:rsidRPr="000A431F">
              <w:rPr>
                <w:b/>
                <w:bCs/>
                <w:color w:val="auto"/>
              </w:rPr>
              <w:t xml:space="preserve">MTA in </w:t>
            </w:r>
            <w:r w:rsidR="003805E9" w:rsidRPr="000A431F">
              <w:rPr>
                <w:b/>
                <w:bCs/>
                <w:color w:val="auto"/>
              </w:rPr>
              <w:t>Range</w:t>
            </w:r>
          </w:p>
          <w:p w14:paraId="293AB06E" w14:textId="4A8F1BBB" w:rsidR="00A160F0" w:rsidRPr="000A431F" w:rsidRDefault="00A160F0" w:rsidP="003805E9">
            <w:pPr>
              <w:autoSpaceDE w:val="0"/>
              <w:autoSpaceDN w:val="0"/>
              <w:adjustRightInd w:val="0"/>
              <w:snapToGrid w:val="0"/>
              <w:spacing w:line="240" w:lineRule="auto"/>
              <w:jc w:val="center"/>
              <w:rPr>
                <w:b/>
                <w:bCs/>
                <w:color w:val="auto"/>
              </w:rPr>
            </w:pPr>
            <w:r w:rsidRPr="000A431F">
              <w:rPr>
                <w:b/>
                <w:bCs/>
                <w:color w:val="auto"/>
              </w:rPr>
              <w:t>(N = 67)</w:t>
            </w:r>
            <w:r w:rsidR="000F382A" w:rsidRPr="000A431F">
              <w:rPr>
                <w:b/>
                <w:bCs/>
                <w:color w:val="auto"/>
              </w:rPr>
              <w:t xml:space="preserve"> </w:t>
            </w:r>
            <w:r w:rsidRPr="000A431F">
              <w:rPr>
                <w:b/>
                <w:bCs/>
                <w:color w:val="auto"/>
                <w:vertAlign w:val="superscript"/>
              </w:rPr>
              <w:t>b</w:t>
            </w:r>
          </w:p>
        </w:tc>
        <w:tc>
          <w:tcPr>
            <w:tcW w:w="1950" w:type="dxa"/>
            <w:tcBorders>
              <w:top w:val="single" w:sz="8" w:space="0" w:color="auto"/>
              <w:bottom w:val="single" w:sz="4" w:space="0" w:color="auto"/>
            </w:tcBorders>
            <w:shd w:val="clear" w:color="auto" w:fill="auto"/>
            <w:vAlign w:val="center"/>
          </w:tcPr>
          <w:p w14:paraId="4B8F3338" w14:textId="3874839A" w:rsidR="00A160F0" w:rsidRPr="000A431F" w:rsidRDefault="00A160F0" w:rsidP="003805E9">
            <w:pPr>
              <w:autoSpaceDE w:val="0"/>
              <w:autoSpaceDN w:val="0"/>
              <w:adjustRightInd w:val="0"/>
              <w:snapToGrid w:val="0"/>
              <w:spacing w:line="240" w:lineRule="auto"/>
              <w:jc w:val="center"/>
              <w:rPr>
                <w:b/>
                <w:bCs/>
                <w:color w:val="auto"/>
              </w:rPr>
            </w:pPr>
            <w:r w:rsidRPr="000A431F">
              <w:rPr>
                <w:b/>
                <w:bCs/>
                <w:color w:val="auto"/>
              </w:rPr>
              <w:t xml:space="preserve">MTA </w:t>
            </w:r>
            <w:r w:rsidR="00AE7EB8" w:rsidRPr="000A431F">
              <w:rPr>
                <w:b/>
                <w:bCs/>
                <w:color w:val="auto"/>
              </w:rPr>
              <w:t xml:space="preserve">Out </w:t>
            </w:r>
            <w:r w:rsidRPr="000A431F">
              <w:rPr>
                <w:b/>
                <w:bCs/>
                <w:color w:val="auto"/>
              </w:rPr>
              <w:t xml:space="preserve">of </w:t>
            </w:r>
            <w:r w:rsidR="003805E9" w:rsidRPr="000A431F">
              <w:rPr>
                <w:b/>
                <w:bCs/>
                <w:color w:val="auto"/>
              </w:rPr>
              <w:t>Range</w:t>
            </w:r>
          </w:p>
          <w:p w14:paraId="4FACBB37" w14:textId="08EE6624" w:rsidR="00A160F0" w:rsidRPr="000A431F" w:rsidRDefault="00A160F0" w:rsidP="003805E9">
            <w:pPr>
              <w:autoSpaceDE w:val="0"/>
              <w:autoSpaceDN w:val="0"/>
              <w:adjustRightInd w:val="0"/>
              <w:snapToGrid w:val="0"/>
              <w:spacing w:line="240" w:lineRule="auto"/>
              <w:jc w:val="center"/>
              <w:rPr>
                <w:b/>
                <w:bCs/>
                <w:color w:val="auto"/>
              </w:rPr>
            </w:pPr>
            <w:r w:rsidRPr="000A431F">
              <w:rPr>
                <w:b/>
                <w:bCs/>
                <w:color w:val="auto"/>
              </w:rPr>
              <w:t>(N = 38)</w:t>
            </w:r>
            <w:r w:rsidR="00133AF5" w:rsidRPr="000A431F">
              <w:rPr>
                <w:b/>
                <w:bCs/>
                <w:color w:val="auto"/>
              </w:rPr>
              <w:t xml:space="preserve"> </w:t>
            </w:r>
            <w:r w:rsidRPr="000A431F">
              <w:rPr>
                <w:b/>
                <w:bCs/>
                <w:color w:val="auto"/>
                <w:vertAlign w:val="superscript"/>
              </w:rPr>
              <w:t>b</w:t>
            </w:r>
          </w:p>
        </w:tc>
        <w:tc>
          <w:tcPr>
            <w:tcW w:w="1559" w:type="dxa"/>
            <w:tcBorders>
              <w:top w:val="single" w:sz="8" w:space="0" w:color="auto"/>
              <w:bottom w:val="single" w:sz="4" w:space="0" w:color="auto"/>
            </w:tcBorders>
            <w:shd w:val="clear" w:color="auto" w:fill="auto"/>
            <w:vAlign w:val="center"/>
          </w:tcPr>
          <w:p w14:paraId="30971EF3" w14:textId="3CDB0810" w:rsidR="00A160F0" w:rsidRPr="000A431F" w:rsidRDefault="00A160F0" w:rsidP="003805E9">
            <w:pPr>
              <w:autoSpaceDE w:val="0"/>
              <w:autoSpaceDN w:val="0"/>
              <w:adjustRightInd w:val="0"/>
              <w:snapToGrid w:val="0"/>
              <w:spacing w:line="240" w:lineRule="auto"/>
              <w:jc w:val="center"/>
              <w:rPr>
                <w:b/>
                <w:bCs/>
                <w:color w:val="auto"/>
              </w:rPr>
            </w:pPr>
            <w:r w:rsidRPr="000A431F">
              <w:rPr>
                <w:b/>
                <w:bCs/>
                <w:color w:val="auto"/>
              </w:rPr>
              <w:t>Significance (</w:t>
            </w:r>
            <w:r w:rsidR="009D16F5" w:rsidRPr="000A431F">
              <w:rPr>
                <w:b/>
                <w:bCs/>
                <w:i/>
                <w:color w:val="auto"/>
              </w:rPr>
              <w:t>p</w:t>
            </w:r>
            <w:r w:rsidRPr="000A431F">
              <w:rPr>
                <w:b/>
                <w:bCs/>
                <w:color w:val="auto"/>
              </w:rPr>
              <w:t>-</w:t>
            </w:r>
            <w:r w:rsidR="00AC6281" w:rsidRPr="000A431F">
              <w:rPr>
                <w:b/>
                <w:bCs/>
                <w:color w:val="auto"/>
              </w:rPr>
              <w:t>Value</w:t>
            </w:r>
            <w:r w:rsidRPr="000A431F">
              <w:rPr>
                <w:b/>
                <w:bCs/>
                <w:color w:val="auto"/>
              </w:rPr>
              <w:t>)</w:t>
            </w:r>
            <w:r w:rsidR="00AC6281" w:rsidRPr="000A431F">
              <w:rPr>
                <w:b/>
                <w:bCs/>
                <w:color w:val="auto"/>
              </w:rPr>
              <w:t xml:space="preserve"> </w:t>
            </w:r>
            <w:r w:rsidRPr="000A431F">
              <w:rPr>
                <w:b/>
                <w:bCs/>
                <w:color w:val="auto"/>
              </w:rPr>
              <w:t>*</w:t>
            </w:r>
          </w:p>
        </w:tc>
      </w:tr>
      <w:tr w:rsidR="0005264A" w:rsidRPr="000A431F" w14:paraId="66260BDF" w14:textId="77777777" w:rsidTr="003805E9">
        <w:tc>
          <w:tcPr>
            <w:tcW w:w="1417" w:type="dxa"/>
            <w:tcBorders>
              <w:top w:val="single" w:sz="4" w:space="0" w:color="auto"/>
            </w:tcBorders>
            <w:shd w:val="clear" w:color="auto" w:fill="auto"/>
            <w:vAlign w:val="center"/>
          </w:tcPr>
          <w:p w14:paraId="61B1228C"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&lt;50 years</w:t>
            </w:r>
          </w:p>
        </w:tc>
        <w:tc>
          <w:tcPr>
            <w:tcW w:w="1418" w:type="dxa"/>
            <w:tcBorders>
              <w:top w:val="single" w:sz="4" w:space="0" w:color="auto"/>
            </w:tcBorders>
            <w:shd w:val="clear" w:color="auto" w:fill="auto"/>
            <w:vAlign w:val="center"/>
          </w:tcPr>
          <w:p w14:paraId="63874EFE"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74 (70.5)</w:t>
            </w:r>
          </w:p>
        </w:tc>
        <w:tc>
          <w:tcPr>
            <w:tcW w:w="1559" w:type="dxa"/>
            <w:tcBorders>
              <w:top w:val="single" w:sz="4" w:space="0" w:color="auto"/>
            </w:tcBorders>
            <w:shd w:val="clear" w:color="auto" w:fill="auto"/>
            <w:vAlign w:val="center"/>
          </w:tcPr>
          <w:p w14:paraId="58EE42F5"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61 (86.5)</w:t>
            </w:r>
          </w:p>
        </w:tc>
        <w:tc>
          <w:tcPr>
            <w:tcW w:w="1950" w:type="dxa"/>
            <w:tcBorders>
              <w:top w:val="single" w:sz="4" w:space="0" w:color="auto"/>
            </w:tcBorders>
            <w:shd w:val="clear" w:color="auto" w:fill="auto"/>
            <w:vAlign w:val="center"/>
          </w:tcPr>
          <w:p w14:paraId="478BA54B"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13 (13.5)</w:t>
            </w:r>
          </w:p>
        </w:tc>
        <w:tc>
          <w:tcPr>
            <w:tcW w:w="1559" w:type="dxa"/>
            <w:vMerge w:val="restart"/>
            <w:tcBorders>
              <w:top w:val="single" w:sz="4" w:space="0" w:color="auto"/>
            </w:tcBorders>
            <w:shd w:val="clear" w:color="auto" w:fill="auto"/>
            <w:vAlign w:val="center"/>
          </w:tcPr>
          <w:p w14:paraId="5351047D"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&lt;0.001</w:t>
            </w:r>
          </w:p>
        </w:tc>
      </w:tr>
      <w:tr w:rsidR="0005264A" w:rsidRPr="000A431F" w14:paraId="2F2434E8" w14:textId="77777777" w:rsidTr="003805E9">
        <w:tc>
          <w:tcPr>
            <w:tcW w:w="1417" w:type="dxa"/>
            <w:shd w:val="clear" w:color="auto" w:fill="auto"/>
            <w:vAlign w:val="center"/>
          </w:tcPr>
          <w:p w14:paraId="5CA24965" w14:textId="57E1753B" w:rsidR="00A160F0" w:rsidRPr="000A431F" w:rsidRDefault="00A160F0" w:rsidP="003805E9">
            <w:pPr>
              <w:autoSpaceDE w:val="0"/>
              <w:autoSpaceDN w:val="0"/>
              <w:adjustRightInd w:val="0"/>
              <w:snapToGrid w:val="0"/>
              <w:spacing w:line="240" w:lineRule="auto"/>
              <w:jc w:val="center"/>
              <w:rPr>
                <w:color w:val="auto"/>
              </w:rPr>
            </w:pPr>
            <w:r w:rsidRPr="000A431F">
              <w:rPr>
                <w:color w:val="auto"/>
              </w:rPr>
              <w:t>5</w:t>
            </w:r>
            <w:r w:rsidR="009D16F5" w:rsidRPr="000A431F">
              <w:rPr>
                <w:color w:val="auto"/>
              </w:rPr>
              <w:t>0–64</w:t>
            </w:r>
            <w:r w:rsidRPr="000A431F">
              <w:rPr>
                <w:color w:val="auto"/>
              </w:rPr>
              <w:t xml:space="preserve"> years</w:t>
            </w:r>
          </w:p>
        </w:tc>
        <w:tc>
          <w:tcPr>
            <w:tcW w:w="1418" w:type="dxa"/>
            <w:shd w:val="clear" w:color="auto" w:fill="auto"/>
            <w:vAlign w:val="center"/>
          </w:tcPr>
          <w:p w14:paraId="58E68A4C"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25 (23.8)</w:t>
            </w:r>
          </w:p>
        </w:tc>
        <w:tc>
          <w:tcPr>
            <w:tcW w:w="1559" w:type="dxa"/>
            <w:shd w:val="clear" w:color="auto" w:fill="auto"/>
            <w:vAlign w:val="center"/>
          </w:tcPr>
          <w:p w14:paraId="1F5460F3"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4 (16)</w:t>
            </w:r>
          </w:p>
        </w:tc>
        <w:tc>
          <w:tcPr>
            <w:tcW w:w="1950" w:type="dxa"/>
            <w:shd w:val="clear" w:color="auto" w:fill="auto"/>
            <w:vAlign w:val="center"/>
          </w:tcPr>
          <w:p w14:paraId="03180DDE"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 xml:space="preserve">21 (84) </w:t>
            </w:r>
          </w:p>
        </w:tc>
        <w:tc>
          <w:tcPr>
            <w:tcW w:w="1559" w:type="dxa"/>
            <w:vMerge/>
            <w:shd w:val="clear" w:color="auto" w:fill="auto"/>
            <w:vAlign w:val="center"/>
          </w:tcPr>
          <w:p w14:paraId="4CD8AAFB" w14:textId="77777777" w:rsidR="00A160F0" w:rsidRPr="000A431F" w:rsidRDefault="00A160F0" w:rsidP="003805E9">
            <w:pPr>
              <w:autoSpaceDE w:val="0"/>
              <w:autoSpaceDN w:val="0"/>
              <w:adjustRightInd w:val="0"/>
              <w:snapToGrid w:val="0"/>
              <w:spacing w:line="240" w:lineRule="auto"/>
              <w:jc w:val="center"/>
              <w:rPr>
                <w:color w:val="auto"/>
              </w:rPr>
            </w:pPr>
          </w:p>
        </w:tc>
      </w:tr>
      <w:tr w:rsidR="0005264A" w:rsidRPr="000A431F" w14:paraId="7DFC6DC3" w14:textId="77777777" w:rsidTr="003805E9">
        <w:tc>
          <w:tcPr>
            <w:tcW w:w="1417" w:type="dxa"/>
            <w:shd w:val="clear" w:color="auto" w:fill="auto"/>
            <w:vAlign w:val="center"/>
          </w:tcPr>
          <w:p w14:paraId="1B0E6AF8" w14:textId="08C6B70C" w:rsidR="00A160F0" w:rsidRPr="000A431F" w:rsidRDefault="00A160F0" w:rsidP="003805E9">
            <w:pPr>
              <w:autoSpaceDE w:val="0"/>
              <w:autoSpaceDN w:val="0"/>
              <w:adjustRightInd w:val="0"/>
              <w:snapToGrid w:val="0"/>
              <w:spacing w:line="240" w:lineRule="auto"/>
              <w:jc w:val="center"/>
              <w:rPr>
                <w:color w:val="auto"/>
              </w:rPr>
            </w:pPr>
            <w:r w:rsidRPr="000A431F">
              <w:rPr>
                <w:color w:val="auto"/>
              </w:rPr>
              <w:t>6</w:t>
            </w:r>
            <w:r w:rsidR="009D16F5" w:rsidRPr="000A431F">
              <w:rPr>
                <w:color w:val="auto"/>
              </w:rPr>
              <w:t>5–74</w:t>
            </w:r>
            <w:r w:rsidRPr="000A431F">
              <w:rPr>
                <w:color w:val="auto"/>
              </w:rPr>
              <w:t xml:space="preserve"> years</w:t>
            </w:r>
          </w:p>
        </w:tc>
        <w:tc>
          <w:tcPr>
            <w:tcW w:w="1418" w:type="dxa"/>
            <w:shd w:val="clear" w:color="auto" w:fill="auto"/>
            <w:vAlign w:val="center"/>
          </w:tcPr>
          <w:p w14:paraId="132A78E6"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4 (3.8)</w:t>
            </w:r>
          </w:p>
        </w:tc>
        <w:tc>
          <w:tcPr>
            <w:tcW w:w="1559" w:type="dxa"/>
            <w:shd w:val="clear" w:color="auto" w:fill="auto"/>
            <w:vAlign w:val="center"/>
          </w:tcPr>
          <w:p w14:paraId="5F6CC9FF"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2 (50)</w:t>
            </w:r>
          </w:p>
        </w:tc>
        <w:tc>
          <w:tcPr>
            <w:tcW w:w="1950" w:type="dxa"/>
            <w:shd w:val="clear" w:color="auto" w:fill="auto"/>
            <w:vAlign w:val="center"/>
          </w:tcPr>
          <w:p w14:paraId="6B8E2F8C"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2 (50)</w:t>
            </w:r>
          </w:p>
        </w:tc>
        <w:tc>
          <w:tcPr>
            <w:tcW w:w="1559" w:type="dxa"/>
            <w:vMerge/>
            <w:shd w:val="clear" w:color="auto" w:fill="auto"/>
            <w:vAlign w:val="center"/>
          </w:tcPr>
          <w:p w14:paraId="48C30DFD" w14:textId="77777777" w:rsidR="00A160F0" w:rsidRPr="000A431F" w:rsidRDefault="00A160F0" w:rsidP="003805E9">
            <w:pPr>
              <w:autoSpaceDE w:val="0"/>
              <w:autoSpaceDN w:val="0"/>
              <w:adjustRightInd w:val="0"/>
              <w:snapToGrid w:val="0"/>
              <w:spacing w:line="240" w:lineRule="auto"/>
              <w:jc w:val="center"/>
              <w:rPr>
                <w:color w:val="auto"/>
              </w:rPr>
            </w:pPr>
          </w:p>
        </w:tc>
      </w:tr>
      <w:tr w:rsidR="0005264A" w:rsidRPr="000A431F" w14:paraId="53A2C6D7" w14:textId="77777777" w:rsidTr="003805E9">
        <w:tc>
          <w:tcPr>
            <w:tcW w:w="1417" w:type="dxa"/>
            <w:shd w:val="clear" w:color="auto" w:fill="auto"/>
            <w:vAlign w:val="center"/>
          </w:tcPr>
          <w:p w14:paraId="580BBD49" w14:textId="14590521" w:rsidR="00A160F0" w:rsidRPr="000A431F" w:rsidRDefault="00587B3D" w:rsidP="003805E9">
            <w:pPr>
              <w:autoSpaceDE w:val="0"/>
              <w:autoSpaceDN w:val="0"/>
              <w:adjustRightInd w:val="0"/>
              <w:snapToGrid w:val="0"/>
              <w:spacing w:line="240" w:lineRule="auto"/>
              <w:jc w:val="center"/>
              <w:rPr>
                <w:color w:val="auto"/>
              </w:rPr>
            </w:pPr>
            <w:r w:rsidRPr="000A431F">
              <w:rPr>
                <w:color w:val="auto"/>
              </w:rPr>
              <w:t>≥</w:t>
            </w:r>
            <w:r w:rsidR="00A160F0" w:rsidRPr="000A431F">
              <w:rPr>
                <w:color w:val="auto"/>
              </w:rPr>
              <w:t>75 years</w:t>
            </w:r>
          </w:p>
        </w:tc>
        <w:tc>
          <w:tcPr>
            <w:tcW w:w="1418" w:type="dxa"/>
            <w:shd w:val="clear" w:color="auto" w:fill="auto"/>
            <w:vAlign w:val="center"/>
          </w:tcPr>
          <w:p w14:paraId="556985A4"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2 (1.9)</w:t>
            </w:r>
          </w:p>
        </w:tc>
        <w:tc>
          <w:tcPr>
            <w:tcW w:w="1559" w:type="dxa"/>
            <w:shd w:val="clear" w:color="auto" w:fill="auto"/>
            <w:vAlign w:val="center"/>
          </w:tcPr>
          <w:p w14:paraId="4C38C28A"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0 (0)</w:t>
            </w:r>
          </w:p>
        </w:tc>
        <w:tc>
          <w:tcPr>
            <w:tcW w:w="1950" w:type="dxa"/>
            <w:shd w:val="clear" w:color="auto" w:fill="auto"/>
            <w:vAlign w:val="center"/>
          </w:tcPr>
          <w:p w14:paraId="388BF96E" w14:textId="77777777" w:rsidR="00A160F0" w:rsidRPr="000A431F" w:rsidRDefault="00A160F0" w:rsidP="003805E9">
            <w:pPr>
              <w:autoSpaceDE w:val="0"/>
              <w:autoSpaceDN w:val="0"/>
              <w:adjustRightInd w:val="0"/>
              <w:snapToGrid w:val="0"/>
              <w:spacing w:line="240" w:lineRule="auto"/>
              <w:jc w:val="center"/>
              <w:rPr>
                <w:color w:val="auto"/>
              </w:rPr>
            </w:pPr>
            <w:r w:rsidRPr="000A431F">
              <w:rPr>
                <w:color w:val="auto"/>
              </w:rPr>
              <w:t>2 (100)</w:t>
            </w:r>
          </w:p>
        </w:tc>
        <w:tc>
          <w:tcPr>
            <w:tcW w:w="1559" w:type="dxa"/>
            <w:vMerge/>
            <w:shd w:val="clear" w:color="auto" w:fill="auto"/>
            <w:vAlign w:val="center"/>
          </w:tcPr>
          <w:p w14:paraId="6CECCDDF" w14:textId="77777777" w:rsidR="00A160F0" w:rsidRPr="000A431F" w:rsidRDefault="00A160F0" w:rsidP="003805E9">
            <w:pPr>
              <w:autoSpaceDE w:val="0"/>
              <w:autoSpaceDN w:val="0"/>
              <w:adjustRightInd w:val="0"/>
              <w:snapToGrid w:val="0"/>
              <w:spacing w:line="240" w:lineRule="auto"/>
              <w:jc w:val="center"/>
              <w:rPr>
                <w:color w:val="auto"/>
              </w:rPr>
            </w:pPr>
          </w:p>
        </w:tc>
      </w:tr>
    </w:tbl>
    <w:p w14:paraId="3F7011CA" w14:textId="77777777" w:rsidR="00A160F0" w:rsidRPr="000A431F" w:rsidRDefault="00A160F0" w:rsidP="009756FC">
      <w:pPr>
        <w:pStyle w:val="MDPI52figure"/>
        <w:rPr>
          <w:sz w:val="18"/>
        </w:rPr>
      </w:pPr>
      <w:r w:rsidRPr="000A431F">
        <w:rPr>
          <w:noProof/>
        </w:rPr>
        <w:drawing>
          <wp:inline distT="0" distB="0" distL="0" distR="0" wp14:anchorId="6E53D2BB" wp14:editId="20C84D5E">
            <wp:extent cx="6642100" cy="35496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3549650"/>
                    </a:xfrm>
                    <a:prstGeom prst="rect">
                      <a:avLst/>
                    </a:prstGeom>
                    <a:noFill/>
                    <a:ln>
                      <a:noFill/>
                    </a:ln>
                  </pic:spPr>
                </pic:pic>
              </a:graphicData>
            </a:graphic>
          </wp:inline>
        </w:drawing>
      </w:r>
    </w:p>
    <w:p w14:paraId="49674315" w14:textId="5F419A4E" w:rsidR="00A160F0" w:rsidRPr="000A431F" w:rsidRDefault="00A160F0" w:rsidP="009756FC">
      <w:pPr>
        <w:pStyle w:val="MDPI51figurecaption"/>
        <w:jc w:val="both"/>
      </w:pPr>
      <w:r w:rsidRPr="000A431F">
        <w:rPr>
          <w:b/>
          <w:bCs/>
        </w:rPr>
        <w:t>Figure 3.</w:t>
      </w:r>
      <w:r w:rsidRPr="000A431F">
        <w:rPr>
          <w:b/>
        </w:rPr>
        <w:t xml:space="preserve"> </w:t>
      </w:r>
      <w:r w:rsidRPr="000A431F">
        <w:t>Examples of Medial Temporal Lobe Atrophy (MTA) scores in the sample. Bilateral MTA 0 in a 28-year-old patient who presented with auditive hallucinations on CT (</w:t>
      </w:r>
      <w:r w:rsidRPr="000A431F">
        <w:rPr>
          <w:b/>
          <w:bCs/>
        </w:rPr>
        <w:t>A</w:t>
      </w:r>
      <w:r w:rsidRPr="000A431F">
        <w:t>) and MRI (</w:t>
      </w:r>
      <w:r w:rsidRPr="000A431F">
        <w:rPr>
          <w:b/>
          <w:bCs/>
        </w:rPr>
        <w:t>D</w:t>
      </w:r>
      <w:r w:rsidRPr="000A431F">
        <w:t xml:space="preserve">); </w:t>
      </w:r>
      <w:r w:rsidR="00AE6471">
        <w:t>r</w:t>
      </w:r>
      <w:r w:rsidRPr="000A431F">
        <w:t>ight MTA 1 and left MTA 0 on CT in a 40 year-old patient who presented with auditive and visual hallucinations (</w:t>
      </w:r>
      <w:r w:rsidRPr="000A431F">
        <w:rPr>
          <w:b/>
          <w:bCs/>
        </w:rPr>
        <w:t>B</w:t>
      </w:r>
      <w:r w:rsidRPr="000A431F">
        <w:t>) and in a 48</w:t>
      </w:r>
      <w:r w:rsidR="00AE6471">
        <w:t>-</w:t>
      </w:r>
      <w:r w:rsidRPr="000A431F">
        <w:t>year</w:t>
      </w:r>
      <w:r w:rsidR="00AE6471">
        <w:t>-</w:t>
      </w:r>
      <w:r w:rsidRPr="000A431F">
        <w:t>old patient who presented with auditive hallucinations on MRI (</w:t>
      </w:r>
      <w:r w:rsidRPr="000A431F">
        <w:rPr>
          <w:b/>
          <w:bCs/>
        </w:rPr>
        <w:t>E</w:t>
      </w:r>
      <w:r w:rsidRPr="000A431F">
        <w:t>); left MTA 2 and right MTA 1 on MRI in a 65</w:t>
      </w:r>
      <w:r w:rsidR="00AE6471">
        <w:t>-</w:t>
      </w:r>
      <w:r w:rsidRPr="000A431F">
        <w:t>year</w:t>
      </w:r>
      <w:r w:rsidR="00AE6471">
        <w:t>-</w:t>
      </w:r>
      <w:r w:rsidRPr="000A431F">
        <w:t>old patient who presented with auditive and visual hallucinations (</w:t>
      </w:r>
      <w:r w:rsidRPr="000A431F">
        <w:rPr>
          <w:b/>
          <w:bCs/>
        </w:rPr>
        <w:t>C</w:t>
      </w:r>
      <w:r w:rsidRPr="000A431F">
        <w:t xml:space="preserve">); right MTA 2 and left MTA 3 on MRI in a 77-year-old patient who presented with auditive </w:t>
      </w:r>
      <w:commentRangeStart w:id="26"/>
      <w:r w:rsidRPr="000A431F">
        <w:rPr>
          <w:highlight w:val="yellow"/>
        </w:rPr>
        <w:t>hallucinations</w:t>
      </w:r>
      <w:commentRangeEnd w:id="26"/>
      <w:r w:rsidR="00510CF2" w:rsidRPr="000A431F">
        <w:rPr>
          <w:rStyle w:val="CommentReference"/>
          <w:rFonts w:eastAsia="宋体"/>
          <w:noProof/>
          <w:lang w:eastAsia="zh-CN" w:bidi="ar-SA"/>
          <w14:ligatures w14:val="none"/>
        </w:rPr>
        <w:commentReference w:id="26"/>
      </w:r>
      <w:r w:rsidRPr="000A431F">
        <w:rPr>
          <w:highlight w:val="yellow"/>
        </w:rPr>
        <w:t>.</w:t>
      </w:r>
    </w:p>
    <w:p w14:paraId="292E03F8" w14:textId="72C992BA" w:rsidR="00A160F0" w:rsidRPr="000A431F" w:rsidRDefault="009756FC" w:rsidP="009756FC">
      <w:pPr>
        <w:pStyle w:val="MDPI23heading3"/>
        <w:spacing w:before="240"/>
      </w:pPr>
      <w:r w:rsidRPr="000A431F">
        <w:lastRenderedPageBreak/>
        <w:t xml:space="preserve">3.2.3. </w:t>
      </w:r>
      <w:r w:rsidR="000A431F">
        <w:t>Non-specific</w:t>
      </w:r>
      <w:r w:rsidR="00A160F0" w:rsidRPr="000A431F">
        <w:t xml:space="preserve"> </w:t>
      </w:r>
      <w:r w:rsidR="00006882" w:rsidRPr="000A431F">
        <w:t>White Matter Lesions</w:t>
      </w:r>
    </w:p>
    <w:p w14:paraId="655B07F9" w14:textId="6611C65E" w:rsidR="00A160F0" w:rsidRPr="000A431F" w:rsidRDefault="00A160F0" w:rsidP="009756FC">
      <w:pPr>
        <w:pStyle w:val="MDPI31text"/>
      </w:pPr>
      <w:r w:rsidRPr="000A431F">
        <w:t xml:space="preserve">Within the group of patients with available MRI (n = 25), </w:t>
      </w:r>
      <w:r w:rsidR="000A431F">
        <w:t>non-specific</w:t>
      </w:r>
      <w:r w:rsidRPr="000A431F">
        <w:t xml:space="preserve"> alterations of the white matter were found in 12 cases (48%)</w:t>
      </w:r>
      <w:r w:rsidR="00AE6471">
        <w:t xml:space="preserve">; in </w:t>
      </w:r>
      <w:r w:rsidRPr="000A431F">
        <w:t xml:space="preserve">1 </w:t>
      </w:r>
      <w:r w:rsidR="00AE6471">
        <w:t xml:space="preserve">of these </w:t>
      </w:r>
      <w:r w:rsidRPr="000A431F">
        <w:t>case</w:t>
      </w:r>
      <w:r w:rsidR="00AE6471">
        <w:t>s</w:t>
      </w:r>
      <w:r w:rsidRPr="000A431F">
        <w:t xml:space="preserve"> (4.3% of the total)</w:t>
      </w:r>
      <w:r w:rsidR="00AE6471">
        <w:t>,</w:t>
      </w:r>
      <w:r w:rsidRPr="000A431F">
        <w:t xml:space="preserve"> the Fazekas scale indicated a number of lesions higher than expected considering age. The bivariate analysis according to the cut-off point of 70 years was not statistically significant, probably due to the low sample size (Table 7). Figure 4 shows examples of different Fazekas scale scores in the sample.</w:t>
      </w:r>
    </w:p>
    <w:p w14:paraId="74F97F2F" w14:textId="6390BE00" w:rsidR="00A160F0" w:rsidRPr="000A431F" w:rsidRDefault="00A160F0" w:rsidP="009756FC">
      <w:pPr>
        <w:pStyle w:val="MDPI41tablecaption"/>
        <w:jc w:val="both"/>
      </w:pPr>
      <w:r w:rsidRPr="000A431F">
        <w:rPr>
          <w:b/>
          <w:bCs/>
        </w:rPr>
        <w:t>Table 7.</w:t>
      </w:r>
      <w:r w:rsidRPr="000A431F">
        <w:rPr>
          <w:b/>
        </w:rPr>
        <w:t xml:space="preserve"> </w:t>
      </w:r>
      <w:r w:rsidRPr="000A431F">
        <w:t xml:space="preserve">Distribution of normal and abnormal Fazekas scores by age cut-offs. </w:t>
      </w:r>
      <w:r w:rsidR="00B2406A" w:rsidRPr="000A431F">
        <w:rPr>
          <w:sz w:val="20"/>
          <w:vertAlign w:val="superscript"/>
        </w:rPr>
        <w:t>a</w:t>
      </w:r>
      <w:r w:rsidRPr="000A431F">
        <w:t xml:space="preserve"> In this column</w:t>
      </w:r>
      <w:r w:rsidR="00AE6471">
        <w:t>,</w:t>
      </w:r>
      <w:r w:rsidRPr="000A431F">
        <w:t xml:space="preserve"> the percentage corresponds to the column counts. </w:t>
      </w:r>
      <w:r w:rsidRPr="000A431F">
        <w:rPr>
          <w:b/>
          <w:bCs/>
          <w:vertAlign w:val="superscript"/>
        </w:rPr>
        <w:t xml:space="preserve">b </w:t>
      </w:r>
      <w:r w:rsidRPr="000A431F">
        <w:t>In these columns</w:t>
      </w:r>
      <w:r w:rsidR="00AE6471">
        <w:t>,</w:t>
      </w:r>
      <w:r w:rsidRPr="000A431F">
        <w:t xml:space="preserve"> the percentages correspond to the row counts. *</w:t>
      </w:r>
      <w:r w:rsidR="00E6289B" w:rsidRPr="000A431F">
        <w:t xml:space="preserve"> </w:t>
      </w:r>
      <w:r w:rsidR="009D16F5" w:rsidRPr="000A431F">
        <w:rPr>
          <w:i/>
        </w:rPr>
        <w:t>p</w:t>
      </w:r>
      <w:r w:rsidRPr="000A431F">
        <w:t>-value for Fisher</w:t>
      </w:r>
      <w:r w:rsidR="00B42EB7" w:rsidRPr="000A431F">
        <w:t>’</w:t>
      </w:r>
      <w:r w:rsidRPr="000A431F">
        <w:t>s exact test.</w:t>
      </w:r>
    </w:p>
    <w:tbl>
      <w:tblPr>
        <w:tblStyle w:val="TableGrid"/>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7"/>
        <w:gridCol w:w="1363"/>
        <w:gridCol w:w="1771"/>
        <w:gridCol w:w="2045"/>
        <w:gridCol w:w="1451"/>
      </w:tblGrid>
      <w:tr w:rsidR="009756FC" w:rsidRPr="000A431F" w14:paraId="2F3B948D" w14:textId="77777777" w:rsidTr="009756FC">
        <w:tc>
          <w:tcPr>
            <w:tcW w:w="1276" w:type="dxa"/>
            <w:tcBorders>
              <w:top w:val="single" w:sz="8" w:space="0" w:color="auto"/>
              <w:bottom w:val="single" w:sz="4" w:space="0" w:color="auto"/>
            </w:tcBorders>
            <w:shd w:val="clear" w:color="auto" w:fill="auto"/>
            <w:vAlign w:val="center"/>
          </w:tcPr>
          <w:p w14:paraId="229136F8" w14:textId="757052E2" w:rsidR="00A160F0" w:rsidRPr="000A431F" w:rsidRDefault="00A160F0" w:rsidP="009756FC">
            <w:pPr>
              <w:autoSpaceDE w:val="0"/>
              <w:autoSpaceDN w:val="0"/>
              <w:adjustRightInd w:val="0"/>
              <w:snapToGrid w:val="0"/>
              <w:spacing w:line="240" w:lineRule="auto"/>
              <w:jc w:val="center"/>
              <w:rPr>
                <w:b/>
                <w:bCs/>
              </w:rPr>
            </w:pPr>
            <w:r w:rsidRPr="000A431F">
              <w:rPr>
                <w:b/>
                <w:bCs/>
              </w:rPr>
              <w:t xml:space="preserve">Age </w:t>
            </w:r>
            <w:r w:rsidR="009756FC" w:rsidRPr="000A431F">
              <w:rPr>
                <w:b/>
                <w:bCs/>
              </w:rPr>
              <w:t>Range</w:t>
            </w:r>
          </w:p>
        </w:tc>
        <w:tc>
          <w:tcPr>
            <w:tcW w:w="1418" w:type="dxa"/>
            <w:tcBorders>
              <w:top w:val="single" w:sz="8" w:space="0" w:color="auto"/>
              <w:bottom w:val="single" w:sz="4" w:space="0" w:color="auto"/>
            </w:tcBorders>
            <w:shd w:val="clear" w:color="auto" w:fill="auto"/>
            <w:vAlign w:val="center"/>
          </w:tcPr>
          <w:p w14:paraId="37F69C8A" w14:textId="4134D9D8" w:rsidR="00A160F0" w:rsidRPr="000A431F" w:rsidRDefault="00A160F0" w:rsidP="009756FC">
            <w:pPr>
              <w:autoSpaceDE w:val="0"/>
              <w:autoSpaceDN w:val="0"/>
              <w:adjustRightInd w:val="0"/>
              <w:snapToGrid w:val="0"/>
              <w:spacing w:line="240" w:lineRule="auto"/>
              <w:jc w:val="center"/>
              <w:rPr>
                <w:b/>
                <w:bCs/>
              </w:rPr>
            </w:pPr>
            <w:r w:rsidRPr="000A431F">
              <w:rPr>
                <w:b/>
                <w:bCs/>
              </w:rPr>
              <w:t xml:space="preserve">Total </w:t>
            </w:r>
            <w:r w:rsidR="009756FC" w:rsidRPr="000A431F">
              <w:rPr>
                <w:b/>
                <w:bCs/>
              </w:rPr>
              <w:t>Sample</w:t>
            </w:r>
          </w:p>
          <w:p w14:paraId="0AE028D0" w14:textId="1A52BE35" w:rsidR="00A160F0" w:rsidRPr="000A431F" w:rsidRDefault="00A160F0" w:rsidP="009756FC">
            <w:pPr>
              <w:autoSpaceDE w:val="0"/>
              <w:autoSpaceDN w:val="0"/>
              <w:adjustRightInd w:val="0"/>
              <w:snapToGrid w:val="0"/>
              <w:spacing w:line="240" w:lineRule="auto"/>
              <w:jc w:val="center"/>
              <w:rPr>
                <w:b/>
                <w:bCs/>
              </w:rPr>
            </w:pPr>
            <w:r w:rsidRPr="000A431F">
              <w:rPr>
                <w:b/>
                <w:bCs/>
              </w:rPr>
              <w:t>(N = 25)</w:t>
            </w:r>
            <w:r w:rsidR="008E7AC1" w:rsidRPr="000A431F">
              <w:rPr>
                <w:b/>
                <w:bCs/>
              </w:rPr>
              <w:t xml:space="preserve"> </w:t>
            </w:r>
            <w:r w:rsidR="00796E42" w:rsidRPr="000A431F">
              <w:rPr>
                <w:b/>
                <w:bCs/>
                <w:vertAlign w:val="superscript"/>
              </w:rPr>
              <w:t>a</w:t>
            </w:r>
          </w:p>
        </w:tc>
        <w:tc>
          <w:tcPr>
            <w:tcW w:w="1842" w:type="dxa"/>
            <w:tcBorders>
              <w:top w:val="single" w:sz="8" w:space="0" w:color="auto"/>
              <w:bottom w:val="single" w:sz="4" w:space="0" w:color="auto"/>
            </w:tcBorders>
            <w:shd w:val="clear" w:color="auto" w:fill="auto"/>
            <w:vAlign w:val="center"/>
          </w:tcPr>
          <w:p w14:paraId="548A5C66" w14:textId="4C057E57" w:rsidR="00A160F0" w:rsidRPr="000A431F" w:rsidRDefault="00A160F0" w:rsidP="009756FC">
            <w:pPr>
              <w:autoSpaceDE w:val="0"/>
              <w:autoSpaceDN w:val="0"/>
              <w:adjustRightInd w:val="0"/>
              <w:snapToGrid w:val="0"/>
              <w:spacing w:line="240" w:lineRule="auto"/>
              <w:jc w:val="center"/>
              <w:rPr>
                <w:b/>
                <w:bCs/>
              </w:rPr>
            </w:pPr>
            <w:r w:rsidRPr="000A431F">
              <w:rPr>
                <w:b/>
                <w:bCs/>
              </w:rPr>
              <w:t xml:space="preserve">Fazekas in </w:t>
            </w:r>
            <w:r w:rsidR="009756FC" w:rsidRPr="000A431F">
              <w:rPr>
                <w:b/>
                <w:bCs/>
              </w:rPr>
              <w:t>Range</w:t>
            </w:r>
          </w:p>
          <w:p w14:paraId="5B078EAB" w14:textId="79A1CA44" w:rsidR="00A160F0" w:rsidRPr="000A431F" w:rsidRDefault="00A160F0" w:rsidP="009756FC">
            <w:pPr>
              <w:autoSpaceDE w:val="0"/>
              <w:autoSpaceDN w:val="0"/>
              <w:adjustRightInd w:val="0"/>
              <w:snapToGrid w:val="0"/>
              <w:spacing w:line="240" w:lineRule="auto"/>
              <w:jc w:val="center"/>
              <w:rPr>
                <w:b/>
                <w:bCs/>
              </w:rPr>
            </w:pPr>
            <w:r w:rsidRPr="000A431F">
              <w:rPr>
                <w:b/>
                <w:bCs/>
              </w:rPr>
              <w:t>(N = 23)</w:t>
            </w:r>
            <w:r w:rsidR="008E7AC1" w:rsidRPr="000A431F">
              <w:rPr>
                <w:b/>
                <w:bCs/>
              </w:rPr>
              <w:t xml:space="preserve"> </w:t>
            </w:r>
            <w:r w:rsidRPr="000A431F">
              <w:rPr>
                <w:b/>
                <w:bCs/>
                <w:vertAlign w:val="superscript"/>
              </w:rPr>
              <w:t>b</w:t>
            </w:r>
          </w:p>
        </w:tc>
        <w:tc>
          <w:tcPr>
            <w:tcW w:w="2127" w:type="dxa"/>
            <w:tcBorders>
              <w:top w:val="single" w:sz="8" w:space="0" w:color="auto"/>
              <w:bottom w:val="single" w:sz="4" w:space="0" w:color="auto"/>
            </w:tcBorders>
            <w:shd w:val="clear" w:color="auto" w:fill="auto"/>
            <w:vAlign w:val="center"/>
          </w:tcPr>
          <w:p w14:paraId="4BF91940" w14:textId="375B97FB" w:rsidR="00A160F0" w:rsidRPr="000A431F" w:rsidRDefault="00A160F0" w:rsidP="009756FC">
            <w:pPr>
              <w:autoSpaceDE w:val="0"/>
              <w:autoSpaceDN w:val="0"/>
              <w:adjustRightInd w:val="0"/>
              <w:snapToGrid w:val="0"/>
              <w:spacing w:line="240" w:lineRule="auto"/>
              <w:jc w:val="center"/>
              <w:rPr>
                <w:b/>
                <w:bCs/>
              </w:rPr>
            </w:pPr>
            <w:r w:rsidRPr="000A431F">
              <w:rPr>
                <w:b/>
                <w:bCs/>
              </w:rPr>
              <w:t xml:space="preserve">Fazekas </w:t>
            </w:r>
            <w:r w:rsidR="004824A2" w:rsidRPr="000A431F">
              <w:rPr>
                <w:b/>
                <w:bCs/>
              </w:rPr>
              <w:t xml:space="preserve">Out </w:t>
            </w:r>
            <w:r w:rsidRPr="000A431F">
              <w:rPr>
                <w:b/>
                <w:bCs/>
              </w:rPr>
              <w:t xml:space="preserve">of </w:t>
            </w:r>
            <w:r w:rsidR="009756FC" w:rsidRPr="000A431F">
              <w:rPr>
                <w:b/>
                <w:bCs/>
              </w:rPr>
              <w:t>Range</w:t>
            </w:r>
          </w:p>
          <w:p w14:paraId="2E4A9201" w14:textId="7DAE6525" w:rsidR="00A160F0" w:rsidRPr="000A431F" w:rsidRDefault="00A160F0" w:rsidP="009756FC">
            <w:pPr>
              <w:autoSpaceDE w:val="0"/>
              <w:autoSpaceDN w:val="0"/>
              <w:adjustRightInd w:val="0"/>
              <w:snapToGrid w:val="0"/>
              <w:spacing w:line="240" w:lineRule="auto"/>
              <w:jc w:val="center"/>
              <w:rPr>
                <w:b/>
                <w:bCs/>
              </w:rPr>
            </w:pPr>
            <w:r w:rsidRPr="000A431F">
              <w:rPr>
                <w:b/>
                <w:bCs/>
              </w:rPr>
              <w:t>(N = 1)</w:t>
            </w:r>
            <w:r w:rsidR="00796E42" w:rsidRPr="000A431F">
              <w:rPr>
                <w:b/>
                <w:bCs/>
              </w:rPr>
              <w:t xml:space="preserve"> </w:t>
            </w:r>
            <w:r w:rsidRPr="000A431F">
              <w:rPr>
                <w:b/>
                <w:bCs/>
                <w:vertAlign w:val="superscript"/>
              </w:rPr>
              <w:t>b</w:t>
            </w:r>
          </w:p>
        </w:tc>
        <w:tc>
          <w:tcPr>
            <w:tcW w:w="1509" w:type="dxa"/>
            <w:tcBorders>
              <w:top w:val="single" w:sz="8" w:space="0" w:color="auto"/>
              <w:bottom w:val="single" w:sz="4" w:space="0" w:color="auto"/>
            </w:tcBorders>
            <w:shd w:val="clear" w:color="auto" w:fill="auto"/>
            <w:vAlign w:val="center"/>
          </w:tcPr>
          <w:p w14:paraId="7DCFFD76" w14:textId="17879481" w:rsidR="00A160F0" w:rsidRPr="000A431F" w:rsidRDefault="00A160F0" w:rsidP="009756FC">
            <w:pPr>
              <w:autoSpaceDE w:val="0"/>
              <w:autoSpaceDN w:val="0"/>
              <w:adjustRightInd w:val="0"/>
              <w:snapToGrid w:val="0"/>
              <w:spacing w:line="240" w:lineRule="auto"/>
              <w:jc w:val="center"/>
              <w:rPr>
                <w:b/>
                <w:bCs/>
              </w:rPr>
            </w:pPr>
            <w:r w:rsidRPr="000A431F">
              <w:rPr>
                <w:b/>
                <w:bCs/>
              </w:rPr>
              <w:t>Significance (</w:t>
            </w:r>
            <w:r w:rsidR="009D16F5" w:rsidRPr="000A431F">
              <w:rPr>
                <w:b/>
                <w:bCs/>
                <w:i/>
              </w:rPr>
              <w:t>p</w:t>
            </w:r>
            <w:r w:rsidRPr="000A431F">
              <w:rPr>
                <w:b/>
                <w:bCs/>
              </w:rPr>
              <w:t>-</w:t>
            </w:r>
            <w:r w:rsidR="00995615" w:rsidRPr="000A431F">
              <w:rPr>
                <w:b/>
                <w:bCs/>
              </w:rPr>
              <w:t>Value</w:t>
            </w:r>
            <w:r w:rsidRPr="000A431F">
              <w:rPr>
                <w:b/>
                <w:bCs/>
              </w:rPr>
              <w:t>)</w:t>
            </w:r>
            <w:r w:rsidR="004824A2" w:rsidRPr="000A431F">
              <w:rPr>
                <w:b/>
                <w:bCs/>
              </w:rPr>
              <w:t xml:space="preserve"> </w:t>
            </w:r>
            <w:r w:rsidRPr="000A431F">
              <w:rPr>
                <w:b/>
                <w:bCs/>
              </w:rPr>
              <w:t>*</w:t>
            </w:r>
            <w:r w:rsidR="00E6289B" w:rsidRPr="000A431F">
              <w:rPr>
                <w:b/>
                <w:bCs/>
              </w:rPr>
              <w:t xml:space="preserve"> </w:t>
            </w:r>
          </w:p>
        </w:tc>
      </w:tr>
      <w:tr w:rsidR="00A160F0" w:rsidRPr="000A431F" w14:paraId="6304A4A2" w14:textId="77777777" w:rsidTr="009756FC">
        <w:tc>
          <w:tcPr>
            <w:tcW w:w="1276" w:type="dxa"/>
            <w:tcBorders>
              <w:top w:val="single" w:sz="4" w:space="0" w:color="auto"/>
            </w:tcBorders>
            <w:shd w:val="clear" w:color="auto" w:fill="auto"/>
            <w:vAlign w:val="center"/>
          </w:tcPr>
          <w:p w14:paraId="1BBEA24B" w14:textId="77777777" w:rsidR="00A160F0" w:rsidRPr="000A431F" w:rsidRDefault="00A160F0" w:rsidP="009756FC">
            <w:pPr>
              <w:autoSpaceDE w:val="0"/>
              <w:autoSpaceDN w:val="0"/>
              <w:adjustRightInd w:val="0"/>
              <w:snapToGrid w:val="0"/>
              <w:spacing w:line="240" w:lineRule="auto"/>
              <w:jc w:val="center"/>
            </w:pPr>
            <w:r w:rsidRPr="000A431F">
              <w:t>&lt;70 years</w:t>
            </w:r>
          </w:p>
        </w:tc>
        <w:tc>
          <w:tcPr>
            <w:tcW w:w="1418" w:type="dxa"/>
            <w:tcBorders>
              <w:top w:val="single" w:sz="4" w:space="0" w:color="auto"/>
            </w:tcBorders>
            <w:shd w:val="clear" w:color="auto" w:fill="auto"/>
            <w:vAlign w:val="center"/>
          </w:tcPr>
          <w:p w14:paraId="7B64CC24" w14:textId="77777777" w:rsidR="00A160F0" w:rsidRPr="000A431F" w:rsidRDefault="00A160F0" w:rsidP="009756FC">
            <w:pPr>
              <w:autoSpaceDE w:val="0"/>
              <w:autoSpaceDN w:val="0"/>
              <w:adjustRightInd w:val="0"/>
              <w:snapToGrid w:val="0"/>
              <w:spacing w:line="240" w:lineRule="auto"/>
              <w:jc w:val="center"/>
            </w:pPr>
            <w:r w:rsidRPr="000A431F">
              <w:t>23 (92)</w:t>
            </w:r>
          </w:p>
        </w:tc>
        <w:tc>
          <w:tcPr>
            <w:tcW w:w="1842" w:type="dxa"/>
            <w:tcBorders>
              <w:top w:val="single" w:sz="4" w:space="0" w:color="auto"/>
            </w:tcBorders>
            <w:shd w:val="clear" w:color="auto" w:fill="auto"/>
            <w:vAlign w:val="center"/>
          </w:tcPr>
          <w:p w14:paraId="64F88A6B" w14:textId="77777777" w:rsidR="00A160F0" w:rsidRPr="000A431F" w:rsidRDefault="00A160F0" w:rsidP="009756FC">
            <w:pPr>
              <w:autoSpaceDE w:val="0"/>
              <w:autoSpaceDN w:val="0"/>
              <w:adjustRightInd w:val="0"/>
              <w:snapToGrid w:val="0"/>
              <w:spacing w:line="240" w:lineRule="auto"/>
              <w:jc w:val="center"/>
            </w:pPr>
            <w:r w:rsidRPr="000A431F">
              <w:t>22 (95.7)</w:t>
            </w:r>
          </w:p>
        </w:tc>
        <w:tc>
          <w:tcPr>
            <w:tcW w:w="2127" w:type="dxa"/>
            <w:tcBorders>
              <w:top w:val="single" w:sz="4" w:space="0" w:color="auto"/>
            </w:tcBorders>
            <w:shd w:val="clear" w:color="auto" w:fill="auto"/>
            <w:vAlign w:val="center"/>
          </w:tcPr>
          <w:p w14:paraId="2DE32920" w14:textId="77777777" w:rsidR="00A160F0" w:rsidRPr="000A431F" w:rsidRDefault="00A160F0" w:rsidP="009756FC">
            <w:pPr>
              <w:autoSpaceDE w:val="0"/>
              <w:autoSpaceDN w:val="0"/>
              <w:adjustRightInd w:val="0"/>
              <w:snapToGrid w:val="0"/>
              <w:spacing w:line="240" w:lineRule="auto"/>
              <w:jc w:val="center"/>
            </w:pPr>
            <w:r w:rsidRPr="000A431F">
              <w:t>1 (4.3)</w:t>
            </w:r>
          </w:p>
        </w:tc>
        <w:tc>
          <w:tcPr>
            <w:tcW w:w="1509" w:type="dxa"/>
            <w:vMerge w:val="restart"/>
            <w:tcBorders>
              <w:top w:val="single" w:sz="4" w:space="0" w:color="auto"/>
            </w:tcBorders>
            <w:shd w:val="clear" w:color="auto" w:fill="auto"/>
            <w:vAlign w:val="center"/>
          </w:tcPr>
          <w:p w14:paraId="7EAD8CEF" w14:textId="77777777" w:rsidR="00A160F0" w:rsidRPr="000A431F" w:rsidRDefault="00A160F0" w:rsidP="009756FC">
            <w:pPr>
              <w:autoSpaceDE w:val="0"/>
              <w:autoSpaceDN w:val="0"/>
              <w:adjustRightInd w:val="0"/>
              <w:snapToGrid w:val="0"/>
              <w:spacing w:line="240" w:lineRule="auto"/>
              <w:jc w:val="center"/>
            </w:pPr>
            <w:r w:rsidRPr="000A431F">
              <w:t>1</w:t>
            </w:r>
          </w:p>
        </w:tc>
      </w:tr>
      <w:tr w:rsidR="00A160F0" w:rsidRPr="000A431F" w14:paraId="0BD2CF8A" w14:textId="77777777" w:rsidTr="009756FC">
        <w:tc>
          <w:tcPr>
            <w:tcW w:w="1276" w:type="dxa"/>
            <w:shd w:val="clear" w:color="auto" w:fill="auto"/>
            <w:vAlign w:val="center"/>
          </w:tcPr>
          <w:p w14:paraId="442CC5C6" w14:textId="70377C72" w:rsidR="00A160F0" w:rsidRPr="000A431F" w:rsidRDefault="00E6289B" w:rsidP="009756FC">
            <w:pPr>
              <w:autoSpaceDE w:val="0"/>
              <w:autoSpaceDN w:val="0"/>
              <w:adjustRightInd w:val="0"/>
              <w:snapToGrid w:val="0"/>
              <w:spacing w:line="240" w:lineRule="auto"/>
              <w:jc w:val="center"/>
            </w:pPr>
            <w:r w:rsidRPr="000A431F">
              <w:t>≥</w:t>
            </w:r>
            <w:r w:rsidR="00A160F0" w:rsidRPr="000A431F">
              <w:t>70 years</w:t>
            </w:r>
          </w:p>
        </w:tc>
        <w:tc>
          <w:tcPr>
            <w:tcW w:w="1418" w:type="dxa"/>
            <w:shd w:val="clear" w:color="auto" w:fill="auto"/>
            <w:vAlign w:val="center"/>
          </w:tcPr>
          <w:p w14:paraId="04AC1E7E" w14:textId="77777777" w:rsidR="00A160F0" w:rsidRPr="000A431F" w:rsidRDefault="00A160F0" w:rsidP="009756FC">
            <w:pPr>
              <w:autoSpaceDE w:val="0"/>
              <w:autoSpaceDN w:val="0"/>
              <w:adjustRightInd w:val="0"/>
              <w:snapToGrid w:val="0"/>
              <w:spacing w:line="240" w:lineRule="auto"/>
              <w:jc w:val="center"/>
            </w:pPr>
            <w:r w:rsidRPr="000A431F">
              <w:t>2 (8)</w:t>
            </w:r>
          </w:p>
        </w:tc>
        <w:tc>
          <w:tcPr>
            <w:tcW w:w="1842" w:type="dxa"/>
            <w:shd w:val="clear" w:color="auto" w:fill="auto"/>
            <w:vAlign w:val="center"/>
          </w:tcPr>
          <w:p w14:paraId="5A1A67EB" w14:textId="77777777" w:rsidR="00A160F0" w:rsidRPr="000A431F" w:rsidRDefault="00A160F0" w:rsidP="009756FC">
            <w:pPr>
              <w:autoSpaceDE w:val="0"/>
              <w:autoSpaceDN w:val="0"/>
              <w:adjustRightInd w:val="0"/>
              <w:snapToGrid w:val="0"/>
              <w:spacing w:line="240" w:lineRule="auto"/>
              <w:jc w:val="center"/>
            </w:pPr>
            <w:r w:rsidRPr="000A431F">
              <w:t>2 (100)</w:t>
            </w:r>
          </w:p>
        </w:tc>
        <w:tc>
          <w:tcPr>
            <w:tcW w:w="2127" w:type="dxa"/>
            <w:shd w:val="clear" w:color="auto" w:fill="auto"/>
            <w:vAlign w:val="center"/>
          </w:tcPr>
          <w:p w14:paraId="4211794A" w14:textId="77777777" w:rsidR="00A160F0" w:rsidRPr="000A431F" w:rsidRDefault="00A160F0" w:rsidP="009756FC">
            <w:pPr>
              <w:autoSpaceDE w:val="0"/>
              <w:autoSpaceDN w:val="0"/>
              <w:adjustRightInd w:val="0"/>
              <w:snapToGrid w:val="0"/>
              <w:spacing w:line="240" w:lineRule="auto"/>
              <w:jc w:val="center"/>
            </w:pPr>
            <w:r w:rsidRPr="000A431F">
              <w:t>0 (0)</w:t>
            </w:r>
          </w:p>
        </w:tc>
        <w:tc>
          <w:tcPr>
            <w:tcW w:w="1509" w:type="dxa"/>
            <w:vMerge/>
            <w:shd w:val="clear" w:color="auto" w:fill="auto"/>
            <w:vAlign w:val="center"/>
          </w:tcPr>
          <w:p w14:paraId="3366DA55" w14:textId="77777777" w:rsidR="00A160F0" w:rsidRPr="000A431F" w:rsidRDefault="00A160F0" w:rsidP="009756FC">
            <w:pPr>
              <w:autoSpaceDE w:val="0"/>
              <w:autoSpaceDN w:val="0"/>
              <w:adjustRightInd w:val="0"/>
              <w:snapToGrid w:val="0"/>
              <w:spacing w:line="240" w:lineRule="auto"/>
              <w:jc w:val="center"/>
            </w:pPr>
          </w:p>
        </w:tc>
      </w:tr>
    </w:tbl>
    <w:p w14:paraId="48D3A165" w14:textId="77777777" w:rsidR="00A160F0" w:rsidRPr="000A431F" w:rsidRDefault="00A160F0" w:rsidP="008E3449">
      <w:pPr>
        <w:pStyle w:val="MDPI52figure"/>
      </w:pPr>
      <w:r w:rsidRPr="000A431F">
        <w:rPr>
          <w:noProof/>
        </w:rPr>
        <w:drawing>
          <wp:inline distT="0" distB="0" distL="0" distR="0" wp14:anchorId="3F4CC552" wp14:editId="7F3AC123">
            <wp:extent cx="6489630" cy="512445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31521" cy="5157528"/>
                    </a:xfrm>
                    <a:prstGeom prst="rect">
                      <a:avLst/>
                    </a:prstGeom>
                  </pic:spPr>
                </pic:pic>
              </a:graphicData>
            </a:graphic>
          </wp:inline>
        </w:drawing>
      </w:r>
    </w:p>
    <w:p w14:paraId="79E369A4" w14:textId="754C6E64" w:rsidR="00A160F0" w:rsidRPr="000A431F" w:rsidRDefault="00A160F0" w:rsidP="008E3449">
      <w:pPr>
        <w:pStyle w:val="MDPI51figurecaption"/>
        <w:jc w:val="both"/>
      </w:pPr>
      <w:r w:rsidRPr="000A431F">
        <w:rPr>
          <w:b/>
          <w:bCs/>
        </w:rPr>
        <w:t>Figure 4.</w:t>
      </w:r>
      <w:r w:rsidRPr="000A431F">
        <w:rPr>
          <w:b/>
        </w:rPr>
        <w:t xml:space="preserve"> </w:t>
      </w:r>
      <w:r w:rsidRPr="000A431F">
        <w:t xml:space="preserve">Illustrative examples of </w:t>
      </w:r>
      <w:r w:rsidR="000A431F">
        <w:t>non-specific</w:t>
      </w:r>
      <w:r w:rsidRPr="000A431F">
        <w:t xml:space="preserve"> white matter lesions according to the Fazekas scale in two patients aged 53 and 77 years old who presented with first-episode auditive and visual hallucinations, respectively. </w:t>
      </w:r>
      <w:r w:rsidR="000F27DB" w:rsidRPr="000A431F">
        <w:t>(</w:t>
      </w:r>
      <w:r w:rsidRPr="000A431F">
        <w:rPr>
          <w:b/>
          <w:bCs/>
        </w:rPr>
        <w:t>A</w:t>
      </w:r>
      <w:r w:rsidR="000F27DB" w:rsidRPr="000A431F">
        <w:t>–</w:t>
      </w:r>
      <w:r w:rsidRPr="000A431F">
        <w:rPr>
          <w:b/>
          <w:bCs/>
        </w:rPr>
        <w:t>F</w:t>
      </w:r>
      <w:r w:rsidRPr="000A431F">
        <w:t xml:space="preserve">) Axial T2 FLAIR sequences. Hyperintense T2 FLAIR foci can be observed in the deep white matter (arrows) </w:t>
      </w:r>
      <w:r w:rsidR="00AE6471">
        <w:t xml:space="preserve">and </w:t>
      </w:r>
      <w:r w:rsidRPr="000A431F">
        <w:t>in the periventricular white matter (circles).</w:t>
      </w:r>
    </w:p>
    <w:p w14:paraId="7C50AFFB" w14:textId="7CC03E13" w:rsidR="00A160F0" w:rsidRPr="000A431F" w:rsidRDefault="008E3449" w:rsidP="008E3449">
      <w:pPr>
        <w:pStyle w:val="MDPI22heading2"/>
        <w:spacing w:before="240"/>
      </w:pPr>
      <w:r w:rsidRPr="000A431F">
        <w:lastRenderedPageBreak/>
        <w:t xml:space="preserve">3.3. </w:t>
      </w:r>
      <w:r w:rsidR="00A160F0" w:rsidRPr="000A431F">
        <w:t xml:space="preserve">Specific </w:t>
      </w:r>
      <w:r w:rsidR="00D922AF" w:rsidRPr="000A431F">
        <w:t>Structural Brain Lesions</w:t>
      </w:r>
    </w:p>
    <w:p w14:paraId="3E7C3003" w14:textId="1033F1B6" w:rsidR="00A160F0" w:rsidRPr="000A431F" w:rsidRDefault="00A160F0" w:rsidP="008E3449">
      <w:pPr>
        <w:pStyle w:val="MDPI31text"/>
      </w:pPr>
      <w:r w:rsidRPr="000A431F">
        <w:t xml:space="preserve">In one patient (1% of the total sample) who underwent both CT and MRI, a specific structural lesion was identified, which was a right frontal opercular cavernoma. The patient was a 38-year-old male with a history of </w:t>
      </w:r>
      <w:r w:rsidR="00AE6471">
        <w:t>anxiolytic</w:t>
      </w:r>
      <w:r w:rsidR="00AE6471" w:rsidRPr="000A431F">
        <w:t xml:space="preserve"> </w:t>
      </w:r>
      <w:r w:rsidRPr="000A431F">
        <w:t xml:space="preserve">use after a crash accident. He was brought to our hospital by the police after being arrested for breaking into a nursery school. The patient presented </w:t>
      </w:r>
      <w:r w:rsidR="007A5687">
        <w:t xml:space="preserve">with </w:t>
      </w:r>
      <w:r w:rsidRPr="000A431F">
        <w:t>psychotic contact with high internal tension that occasionally erupted into crying. His behavioral/cognitive disorganization was striking. His speech was completely disjointed and incomprehensible, bordering on gibberish, with neologisms and dysnomia. He made delusional, disconnected and unstructured statements, but these revealed feelings of guilt and a demand for punishment. No obvious hallucinatory phenomena were observed, but they could not be ruled out. Figure 5 shows the main imaging findings for this case.</w:t>
      </w:r>
    </w:p>
    <w:p w14:paraId="3D4AB86F" w14:textId="77777777" w:rsidR="00A160F0" w:rsidRPr="000A431F" w:rsidRDefault="00A160F0" w:rsidP="008E3449">
      <w:pPr>
        <w:pStyle w:val="MDPI52figure"/>
      </w:pPr>
      <w:r w:rsidRPr="000A431F">
        <w:rPr>
          <w:noProof/>
        </w:rPr>
        <w:drawing>
          <wp:inline distT="0" distB="0" distL="0" distR="0" wp14:anchorId="0C106091" wp14:editId="6B555019">
            <wp:extent cx="5029895" cy="41771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6514" cy="4190946"/>
                    </a:xfrm>
                    <a:prstGeom prst="rect">
                      <a:avLst/>
                    </a:prstGeom>
                  </pic:spPr>
                </pic:pic>
              </a:graphicData>
            </a:graphic>
          </wp:inline>
        </w:drawing>
      </w:r>
    </w:p>
    <w:p w14:paraId="76924FE4" w14:textId="5E7BC606" w:rsidR="00A160F0" w:rsidRPr="000A431F" w:rsidRDefault="00A160F0" w:rsidP="008E3449">
      <w:pPr>
        <w:pStyle w:val="MDPI51figurecaption"/>
        <w:jc w:val="both"/>
      </w:pPr>
      <w:r w:rsidRPr="000A431F">
        <w:rPr>
          <w:b/>
          <w:bCs/>
        </w:rPr>
        <w:t>Figure 5.</w:t>
      </w:r>
      <w:r w:rsidRPr="000A431F">
        <w:rPr>
          <w:b/>
        </w:rPr>
        <w:t xml:space="preserve"> </w:t>
      </w:r>
      <w:r w:rsidRPr="000A431F">
        <w:t>Right frontal opercular cavernoma on magnetic resonance imaging (MRI) (</w:t>
      </w:r>
      <w:r w:rsidRPr="000A431F">
        <w:rPr>
          <w:b/>
          <w:bCs/>
        </w:rPr>
        <w:t>A</w:t>
      </w:r>
      <w:r w:rsidR="00776505" w:rsidRPr="000A431F">
        <w:t>–</w:t>
      </w:r>
      <w:r w:rsidRPr="000A431F">
        <w:rPr>
          <w:b/>
          <w:bCs/>
        </w:rPr>
        <w:t>E</w:t>
      </w:r>
      <w:r w:rsidRPr="000A431F">
        <w:t>) and computed tomography (CT) (</w:t>
      </w:r>
      <w:r w:rsidRPr="000A431F">
        <w:rPr>
          <w:b/>
          <w:bCs/>
        </w:rPr>
        <w:t>F</w:t>
      </w:r>
      <w:r w:rsidRPr="000A431F">
        <w:t>). T1-weighted sequences without intravenous contrast in sagittal (A) and axial planes (</w:t>
      </w:r>
      <w:r w:rsidRPr="000A431F">
        <w:rPr>
          <w:b/>
          <w:bCs/>
        </w:rPr>
        <w:t>B</w:t>
      </w:r>
      <w:r w:rsidRPr="000A431F">
        <w:t>), axial post-contrast T1-weighted (</w:t>
      </w:r>
      <w:r w:rsidRPr="000A431F">
        <w:rPr>
          <w:b/>
          <w:bCs/>
        </w:rPr>
        <w:t>C</w:t>
      </w:r>
      <w:r w:rsidRPr="000A431F">
        <w:t>), T2-weighted (</w:t>
      </w:r>
      <w:r w:rsidRPr="000A431F">
        <w:rPr>
          <w:b/>
          <w:bCs/>
        </w:rPr>
        <w:t>D</w:t>
      </w:r>
      <w:r w:rsidRPr="000A431F">
        <w:t>) and T2 GRE (</w:t>
      </w:r>
      <w:r w:rsidRPr="000A431F">
        <w:rPr>
          <w:b/>
          <w:bCs/>
        </w:rPr>
        <w:t>E</w:t>
      </w:r>
      <w:r w:rsidRPr="000A431F">
        <w:t>) images. There is an ovoid-like lesion in the right frontal opercular gyri containing hyperintense T1 and T2 areas, peripheral hypointense T2 rim, blooming artifact in T2 GRE and slight enhancement after intravenous contrast administration. In axial CT (</w:t>
      </w:r>
      <w:r w:rsidRPr="000A431F">
        <w:rPr>
          <w:b/>
          <w:bCs/>
        </w:rPr>
        <w:t>F</w:t>
      </w:r>
      <w:r w:rsidRPr="000A431F">
        <w:t xml:space="preserve">), the lesion corresponded to a hyperdense image with small punctiform calcifications. These findings are consistent with an opercular cavernoma (arrows). Note that no signs of acute </w:t>
      </w:r>
      <w:r w:rsidR="007A5687">
        <w:t>complications</w:t>
      </w:r>
      <w:r w:rsidR="007A5687" w:rsidRPr="000A431F">
        <w:t xml:space="preserve"> </w:t>
      </w:r>
      <w:r w:rsidR="007A5687">
        <w:t>were</w:t>
      </w:r>
      <w:r w:rsidR="007A5687" w:rsidRPr="000A431F">
        <w:t xml:space="preserve"> </w:t>
      </w:r>
      <w:r w:rsidRPr="000A431F">
        <w:t>observed.</w:t>
      </w:r>
    </w:p>
    <w:p w14:paraId="06841029" w14:textId="3633BCBD" w:rsidR="00A160F0" w:rsidRPr="000A431F" w:rsidRDefault="008E3449" w:rsidP="008E3449">
      <w:pPr>
        <w:pStyle w:val="MDPI21heading1"/>
      </w:pPr>
      <w:r w:rsidRPr="000A431F">
        <w:t xml:space="preserve">4. </w:t>
      </w:r>
      <w:r w:rsidR="00A160F0" w:rsidRPr="000A431F">
        <w:t>Discussion</w:t>
      </w:r>
    </w:p>
    <w:p w14:paraId="136CB4BD" w14:textId="085E9C69" w:rsidR="00A160F0" w:rsidRPr="000A431F" w:rsidRDefault="00A160F0" w:rsidP="008E3449">
      <w:pPr>
        <w:pStyle w:val="MDPI31text"/>
      </w:pPr>
      <w:r w:rsidRPr="000A431F">
        <w:t xml:space="preserve">The present study shows results of interest for both clinical research and practice. First, we found a clear predominance of CT use (sole imaging examination in 76.2% of cases) compared to MRI (sole imaging examination in 7.6%). Second, we found that the presence of </w:t>
      </w:r>
      <w:commentRangeStart w:id="27"/>
      <w:r w:rsidRPr="000A431F">
        <w:rPr>
          <w:i/>
          <w:iCs/>
          <w:highlight w:val="yellow"/>
        </w:rPr>
        <w:t>any</w:t>
      </w:r>
      <w:r w:rsidRPr="000A431F">
        <w:t xml:space="preserve"> </w:t>
      </w:r>
      <w:commentRangeEnd w:id="27"/>
      <w:r w:rsidR="008F0CA6" w:rsidRPr="000A431F">
        <w:rPr>
          <w:rStyle w:val="CommentReference"/>
          <w:rFonts w:eastAsia="宋体"/>
          <w:noProof/>
          <w:snapToGrid/>
          <w:lang w:eastAsia="zh-CN" w:bidi="ar-SA"/>
          <w14:ligatures w14:val="none"/>
        </w:rPr>
        <w:commentReference w:id="27"/>
      </w:r>
      <w:r w:rsidRPr="000A431F">
        <w:t xml:space="preserve">non-specific structural abnormalities for age is high (45.7%) in FEP </w:t>
      </w:r>
      <w:r w:rsidRPr="000A431F">
        <w:lastRenderedPageBreak/>
        <w:t xml:space="preserve">patients: cortical atrophy in 32.4%, medial temporal atrophy in 36.2% and </w:t>
      </w:r>
      <w:r w:rsidR="000A431F">
        <w:t>non-specific</w:t>
      </w:r>
      <w:r w:rsidRPr="000A431F">
        <w:t xml:space="preserve"> white matter lesions in 4.3%. Finally, only one case (1%) presented a specific structural lesion (non-complicated cavernoma) located in the right frontal operculum. These findings suggest that the use of CT does not seem to be routinely justified in patients with FEP, and the usefulness and systematic use of MRI may be controversial, since it is necessary to determine the role and potential change in clinical </w:t>
      </w:r>
      <w:r w:rsidR="000A431F">
        <w:rPr>
          <w:u w:color="89CE94"/>
        </w:rPr>
        <w:t>decision-making</w:t>
      </w:r>
      <w:r w:rsidRPr="000A431F">
        <w:t xml:space="preserve"> of the </w:t>
      </w:r>
      <w:r w:rsidR="000A431F">
        <w:t>non-specific</w:t>
      </w:r>
      <w:r w:rsidRPr="000A431F">
        <w:t xml:space="preserve"> alterations found. However, this real-world study has several limitations that warrant further investigations, highlighting the lack of a control group and the thresholds to consider non-specific alterations as abnormal for age.</w:t>
      </w:r>
    </w:p>
    <w:p w14:paraId="4C5E60D8" w14:textId="47DF3AAB" w:rsidR="00A160F0" w:rsidRPr="000A431F" w:rsidRDefault="00A160F0" w:rsidP="008E3449">
      <w:pPr>
        <w:pStyle w:val="MDPI31text"/>
      </w:pPr>
      <w:r w:rsidRPr="000A431F">
        <w:t xml:space="preserve">One of the most relevant findings worth discussing lies in the nature and potential relevance of non-specific brain abnormalities in FEP. Indeed, all but one of the detected alterations are related to age-related changes whose relationship with psychosis is questionable. However, considering the age thresholds described </w:t>
      </w:r>
      <w:r w:rsidR="000A431F">
        <w:rPr>
          <w:u w:color="8969CD"/>
        </w:rPr>
        <w:t>in previous studies</w:t>
      </w:r>
      <w:r w:rsidR="000A431F" w:rsidRPr="000A431F">
        <w:t xml:space="preserve"> </w:t>
      </w:r>
      <w:r w:rsidR="000A431F">
        <w:t xml:space="preserve">on </w:t>
      </w:r>
      <w:r w:rsidRPr="000A431F">
        <w:t xml:space="preserve">the different types of alterations explored (cortical atrophy, mesial temporal and </w:t>
      </w:r>
      <w:r w:rsidR="000A431F">
        <w:t>non-specific</w:t>
      </w:r>
      <w:r w:rsidRPr="000A431F">
        <w:t xml:space="preserve"> white matter lesions), a significant number of patients in our sample presented findings not in accordance with age.</w:t>
      </w:r>
    </w:p>
    <w:p w14:paraId="5BB6226C" w14:textId="2E8BE14F" w:rsidR="00A160F0" w:rsidRPr="000A431F" w:rsidRDefault="00A160F0" w:rsidP="008E3449">
      <w:pPr>
        <w:pStyle w:val="MDPI31text"/>
      </w:pPr>
      <w:r w:rsidRPr="000A431F">
        <w:t xml:space="preserve">To put our findings into context, we conducted a non-systematic review of the literature examining previous research studies that reported brain abnormalities in patients with FEP. The results (19 studies) are summarized in </w:t>
      </w:r>
      <w:commentRangeStart w:id="28"/>
      <w:r w:rsidRPr="000A431F">
        <w:rPr>
          <w:highlight w:val="yellow"/>
        </w:rPr>
        <w:t xml:space="preserve">Supplementary Table </w:t>
      </w:r>
      <w:r w:rsidR="00996A7A" w:rsidRPr="000A431F">
        <w:rPr>
          <w:highlight w:val="yellow"/>
        </w:rPr>
        <w:t>S</w:t>
      </w:r>
      <w:r w:rsidRPr="000A431F">
        <w:rPr>
          <w:highlight w:val="yellow"/>
        </w:rPr>
        <w:t>1</w:t>
      </w:r>
      <w:commentRangeEnd w:id="28"/>
      <w:r w:rsidR="00955F67" w:rsidRPr="000A431F">
        <w:rPr>
          <w:rStyle w:val="CommentReference"/>
          <w:rFonts w:eastAsia="宋体"/>
          <w:noProof/>
          <w:snapToGrid/>
          <w:lang w:eastAsia="zh-CN" w:bidi="ar-SA"/>
          <w14:ligatures w14:val="none"/>
        </w:rPr>
        <w:commentReference w:id="28"/>
      </w:r>
      <w:r w:rsidRPr="000A431F">
        <w:t>. Not surprisingly, a high heterogeneity in terms of study design, selection criteria, structural lesions considered and conclusions regarding the utility of neuroimaging in FEP was found. Notably, five studies concluded that there were structural lesions associated with FEP</w:t>
      </w:r>
      <w:r w:rsidRPr="000A431F">
        <w:rPr>
          <w:sz w:val="18"/>
          <w:szCs w:val="18"/>
        </w:rPr>
        <w:t xml:space="preserve"> [19,20,36–38]</w:t>
      </w:r>
      <w:r w:rsidRPr="000A431F">
        <w:t xml:space="preserve">, while </w:t>
      </w:r>
      <w:r w:rsidR="007A5687">
        <w:t>thirteen</w:t>
      </w:r>
      <w:r w:rsidRPr="000A431F">
        <w:t xml:space="preserve"> studies concluded that only incidental abnormalities were observed without </w:t>
      </w:r>
      <w:r w:rsidR="007A5687">
        <w:t xml:space="preserve">a </w:t>
      </w:r>
      <w:r w:rsidRPr="000A431F">
        <w:t>causal relationship with FEP</w:t>
      </w:r>
      <w:r w:rsidRPr="000A431F">
        <w:rPr>
          <w:sz w:val="18"/>
          <w:szCs w:val="18"/>
        </w:rPr>
        <w:t xml:space="preserve"> [11,25,39</w:t>
      </w:r>
      <w:r w:rsidR="007533CD" w:rsidRPr="000A431F">
        <w:rPr>
          <w:sz w:val="18"/>
          <w:szCs w:val="18"/>
        </w:rPr>
        <w:t>–</w:t>
      </w:r>
      <w:r w:rsidRPr="000A431F">
        <w:rPr>
          <w:sz w:val="18"/>
          <w:szCs w:val="18"/>
        </w:rPr>
        <w:t>49]</w:t>
      </w:r>
      <w:r w:rsidRPr="000A431F">
        <w:t>. One study was explicitly inconclusive [50].</w:t>
      </w:r>
    </w:p>
    <w:p w14:paraId="75536EE9" w14:textId="1833328E" w:rsidR="00A160F0" w:rsidRPr="000A431F" w:rsidRDefault="00A160F0" w:rsidP="008E3449">
      <w:pPr>
        <w:pStyle w:val="MDPI31text"/>
      </w:pPr>
      <w:r w:rsidRPr="000A431F">
        <w:t xml:space="preserve">Research on neuroanatomical structural alterations in FEP is profuse and dates </w:t>
      </w:r>
      <w:r w:rsidR="007A5687">
        <w:t xml:space="preserve">back several </w:t>
      </w:r>
      <w:r w:rsidRPr="000A431F">
        <w:t xml:space="preserve">decades [41]. Recently, Vieira et al. conducted a multi-centric </w:t>
      </w:r>
      <w:r w:rsidR="007A5687">
        <w:t>meta-analysis</w:t>
      </w:r>
      <w:r w:rsidRPr="000A431F">
        <w:t xml:space="preserve"> to analyze structural MRI abnormalities using voxel-based morphometry in more than 500 FEP patients and controls [51]. They found a consistent pattern of fronto-temporal, insular and occipital abnormalities in FEP, associated with the severity of symptoms and disease duration. Furthermore, the identification of specific microstructural alterations, such as reductions in the superior thalamic nuclei (mediodorsal and pulvinar), highlights the possibility of early biomarkers that could inform early intervention strategies in disorders such as schizophrenia [36]. Although these studies are of undoubted research interest, they are far from clinical practice because they require the use of complex image processing methods, such as diffeomorphic image registration optimized by twisted lie algebra [51,52].</w:t>
      </w:r>
    </w:p>
    <w:p w14:paraId="50E869B5" w14:textId="1F9CBC42" w:rsidR="00B42EB7" w:rsidRPr="000A431F" w:rsidRDefault="00A160F0" w:rsidP="008E3449">
      <w:pPr>
        <w:pStyle w:val="MDPI31text"/>
      </w:pPr>
      <w:r w:rsidRPr="000A431F">
        <w:t xml:space="preserve">On the other hand, previous studies have focused on examining the findings of neuroimaging in FEP in clinical practice, similar to our approach. Most of these studies supported the lack of impact of imaging findings </w:t>
      </w:r>
      <w:r w:rsidR="007A5687">
        <w:t>on</w:t>
      </w:r>
      <w:r w:rsidR="007A5687" w:rsidRPr="000A431F">
        <w:t xml:space="preserve"> </w:t>
      </w:r>
      <w:r w:rsidRPr="000A431F">
        <w:t>treatment approaches and subsequent prognosis. For instance, Lubman et al. [11] showed that the rate and severity of imaging abnormalities in FEP increase with age, being equivalent after age adjustment and in controls. Forbes et al. [12] analyzed multiple findings on neuroimaging tests to conclude that these were generally not necessary. Khandanpour et al. [25] also subscribed that routine implementation would not be necessary because most lesions are incidental.</w:t>
      </w:r>
    </w:p>
    <w:p w14:paraId="5E14B884" w14:textId="51841E00" w:rsidR="00A160F0" w:rsidRPr="000A431F" w:rsidRDefault="00A160F0" w:rsidP="008E3449">
      <w:pPr>
        <w:pStyle w:val="MDPI31text"/>
      </w:pPr>
      <w:r w:rsidRPr="000A431F">
        <w:t>Importantly, authors like Dazzan et al. [45] noted that neuroimaging may be useful to better understand the underlying mechanisms of the disease. In this regard, some studies suggest that neuroimaging may be instrumental in identifying key variations in the development of FEP and its possible evolution, in line with a neurodevelopmentalist approach to the disease as highlighted by Bellani et al. [20], in which white matter hyperintensities and ventricular asymmetries could indicate an increased risk of schizophrenia.</w:t>
      </w:r>
    </w:p>
    <w:p w14:paraId="5BF78302" w14:textId="3412B8F5" w:rsidR="00A160F0" w:rsidRPr="000A431F" w:rsidRDefault="007A5687" w:rsidP="008E3449">
      <w:pPr>
        <w:pStyle w:val="MDPI31text"/>
      </w:pPr>
      <w:r>
        <w:lastRenderedPageBreak/>
        <w:t>Contrary</w:t>
      </w:r>
      <w:r w:rsidRPr="000A431F">
        <w:t xml:space="preserve"> </w:t>
      </w:r>
      <w:r w:rsidR="00A160F0" w:rsidRPr="000A431F">
        <w:t>to the previously cited studies, the recent meta-analysis by Blackman et al. [24] reported a 6% prevalence of clinically significant findings (e.g.</w:t>
      </w:r>
      <w:r w:rsidR="00B42EB7" w:rsidRPr="000A431F">
        <w:t>,</w:t>
      </w:r>
      <w:r w:rsidR="00A160F0" w:rsidRPr="000A431F">
        <w:t xml:space="preserve"> empty sella turcica, cortical atrophy, multiple vascular alterations, white matter hyperintensities, cysts </w:t>
      </w:r>
      <w:r>
        <w:t xml:space="preserve">and </w:t>
      </w:r>
      <w:r w:rsidR="00A160F0" w:rsidRPr="000A431F">
        <w:t>tumors) that required a change in clinical management. In the sensitivity analyses, the exclusion of a specific study [53] resulted in a 2.1 relative risk of clinically relevant abnormalities with respect to controls. According to the authors, these findings support the routine use of MRI as part of the initial assessment in patients presenting with FEP. However, one should question how and to what extent findings such as white matter abnormalities imply a clinical change in the management of FEP patients.</w:t>
      </w:r>
    </w:p>
    <w:p w14:paraId="4169C283" w14:textId="4D4E66D2" w:rsidR="00A160F0" w:rsidRPr="000A431F" w:rsidRDefault="00A160F0" w:rsidP="008E3449">
      <w:pPr>
        <w:pStyle w:val="MDPI31text"/>
      </w:pPr>
      <w:r w:rsidRPr="000A431F">
        <w:t>In agreement with our literature review, Blackman et al. highlighted the methodological heterogeneity of the included studies. In several cases, it was not possible to obtain information on the duration of treatment with antipsychotics or on other psychiatric comorbidities, which could have led to overrepresentation. In addition, many studies date from the 1990s and 2000s, when CT and MRI resolution</w:t>
      </w:r>
      <w:r w:rsidR="007A5687">
        <w:t>s</w:t>
      </w:r>
      <w:r w:rsidRPr="000A431F">
        <w:t xml:space="preserve"> </w:t>
      </w:r>
      <w:r w:rsidR="007A5687">
        <w:t>were</w:t>
      </w:r>
      <w:r w:rsidR="007A5687" w:rsidRPr="000A431F">
        <w:t xml:space="preserve"> </w:t>
      </w:r>
      <w:r w:rsidRPr="000A431F">
        <w:t>lower, suggesting that some structural alterations might not have been correctly typed or overlooked. Notably, their meta-regression analysis found no association between the prevalence of clinically relevant abnormalities and publication year.</w:t>
      </w:r>
    </w:p>
    <w:p w14:paraId="1157ECD1" w14:textId="53CB5BA2" w:rsidR="00A160F0" w:rsidRPr="000A431F" w:rsidRDefault="00A160F0" w:rsidP="008E3449">
      <w:pPr>
        <w:pStyle w:val="MDPI31text"/>
      </w:pPr>
      <w:r w:rsidRPr="000A431F">
        <w:t>Remarkably, a possible explanation for the presence of structural abnormalities not justified by age in some younger patients may lie in the influence of illicit substances. There is growing evidence that methamphetamines, cannabis and ketamine can not only increase the risk of psychosis onset but may also accelerate cortical and hippocampal atrophy through neurotoxic effects [54,55]. Cannabis, in particular, has been consistently associated with a higher risk of FEP in genetically vulnerable individuals or those exposed to heavy or early-onset use [56]. Although our study design did not include detailed substance use data, the role of these factors should be considered in future studies.</w:t>
      </w:r>
    </w:p>
    <w:p w14:paraId="7524BD81" w14:textId="0AB2812C" w:rsidR="00A160F0" w:rsidRPr="000A431F" w:rsidRDefault="00A160F0" w:rsidP="008E3449">
      <w:pPr>
        <w:pStyle w:val="MDPI31text"/>
      </w:pPr>
      <w:r w:rsidRPr="000A431F">
        <w:t xml:space="preserve">Although our study has some limitations, the findings do not support the systematic use of neuroimaging in clinical practice. Importantly, the decision to perform structural neuroimaging in FEP must weigh a number of factors, namely diagnostic yield, patient safety (especially regarding ionizing radiation), clinical impact and cost. Brain CT is widely accessible and rapid, but involves exposure to ionizing radiation, with estimated effective doses </w:t>
      </w:r>
      <w:r w:rsidR="000A431F">
        <w:rPr>
          <w:u w:color="8969CD"/>
        </w:rPr>
        <w:t>between 1.5 and 2.0</w:t>
      </w:r>
      <w:r w:rsidRPr="000A431F">
        <w:t xml:space="preserve"> mSv [57]. The lifetime projected risk of developing cancer from a single head CT in adults has been recently estimated in 1</w:t>
      </w:r>
      <w:r w:rsidR="00AC38B2" w:rsidRPr="000A431F">
        <w:t>,</w:t>
      </w:r>
      <w:r w:rsidRPr="000A431F">
        <w:t>2500 cases, based on 2023 data from CT usage in the United States [58]. By contrast, MRI avoids radiation exposure but is more expensive, less accessible in emergency settings and may be poorly tolerated by claustrophobic patients.</w:t>
      </w:r>
    </w:p>
    <w:p w14:paraId="1D86E4D1" w14:textId="3E227778" w:rsidR="00A160F0" w:rsidRPr="000A431F" w:rsidRDefault="00A160F0" w:rsidP="008E3449">
      <w:pPr>
        <w:pStyle w:val="MDPI31text"/>
      </w:pPr>
      <w:r w:rsidRPr="000A431F">
        <w:t>The key issue lies in assessing the pre-test probability that neuroimaging will provide relevant information for clinical decision-making, in proportion to the risks involved. Age plays a critical role in modulating this risk</w:t>
      </w:r>
      <w:r w:rsidR="007A5687">
        <w:t>–</w:t>
      </w:r>
      <w:r w:rsidRPr="000A431F">
        <w:t>benefit balance. In younger adults (the predominant demographic in FEP), the likelihood of identifying clinically relevant structural pathology is low, while radiation sensitivity is higher, making the overall benefit of CT less favorable. In contrast, in older patients (e.g., over 50 or 60 years), the diagnostic yield of neuroimaging increases, as new-onset psychosis may be secondary to vascular, neurodegenerative or other organic brain conditions. The age-related distribution of structural abnormalities in our study supports this observation.</w:t>
      </w:r>
    </w:p>
    <w:p w14:paraId="5B04EF94" w14:textId="4B4E093D" w:rsidR="00A160F0" w:rsidRPr="000A431F" w:rsidRDefault="00A160F0" w:rsidP="008E3449">
      <w:pPr>
        <w:pStyle w:val="MDPI31text"/>
      </w:pPr>
      <w:r w:rsidRPr="000A431F">
        <w:t>In light of the above-mentioned considerations, a rational approach would prioritize MRI (when available) or CT in cases with atypical features, while avoiding routine scanning in younger individuals with otherwise typical FEP presentations and no red flags. This strategy may help reduce unnecessary hospital costs and minimize risks associated with ionizing radiation. In fact, current clinical guidelines recommend neuroimaging only when additional clinical indicators are present—such as focal neurological deficits, recent head trauma or suspected stroke, seizure, or intracranial pathology</w:t>
      </w:r>
      <w:r w:rsidR="007533CD" w:rsidRPr="000A431F">
        <w:t xml:space="preserve"> </w:t>
      </w:r>
      <w:r w:rsidRPr="000A431F">
        <w:t>[46,59].</w:t>
      </w:r>
    </w:p>
    <w:p w14:paraId="6767EFCF" w14:textId="4E69324D" w:rsidR="00A160F0" w:rsidRPr="000A431F" w:rsidRDefault="00A160F0" w:rsidP="008E3449">
      <w:pPr>
        <w:pStyle w:val="MDPI31text"/>
      </w:pPr>
      <w:r w:rsidRPr="000A431F">
        <w:lastRenderedPageBreak/>
        <w:t xml:space="preserve">Finally, regarding the specific structural lesion identified in one </w:t>
      </w:r>
      <w:r w:rsidR="0029599A">
        <w:t>patient in</w:t>
      </w:r>
      <w:r w:rsidRPr="000A431F">
        <w:t xml:space="preserve"> our sample, we have found anecdotal case reports with similar findings in the literature. For instance, Raj et al. [60] described the case of a 21-year-old woman who developed post-partum psychosis and was found to have a small right temporal cavernoma on MRI, but the association with psychosis is more than questionable</w:t>
      </w:r>
      <w:r w:rsidR="0029599A">
        <w:t>,</w:t>
      </w:r>
      <w:r w:rsidRPr="000A431F">
        <w:t xml:space="preserve"> considering the widely known association of post-partum states and psychosis onset. The authors acknowledged this as an incidental finding, but still linked both findings in causality terms. Majarwitz et al. reported a levetiram-induced psychotic episode in a patient with cavernomatosis [61]. Finally, Pavesi et al. reported a psychotic episode following bleeding of a corpus callosum cavernoma that was resolved following surgical management [62]. These anecdotal cases, along </w:t>
      </w:r>
      <w:r w:rsidR="0029599A">
        <w:t xml:space="preserve">with </w:t>
      </w:r>
      <w:r w:rsidRPr="000A431F">
        <w:t>the one found in our study, do not clarify the potential link between cavernomas and psychosis, and in our opinion</w:t>
      </w:r>
      <w:r w:rsidR="0029599A">
        <w:t>,</w:t>
      </w:r>
      <w:r w:rsidRPr="000A431F">
        <w:t xml:space="preserve"> should be </w:t>
      </w:r>
      <w:r w:rsidR="0029599A">
        <w:t>considered</w:t>
      </w:r>
      <w:r w:rsidR="0029599A" w:rsidRPr="000A431F">
        <w:t xml:space="preserve"> </w:t>
      </w:r>
      <w:r w:rsidRPr="000A431F">
        <w:t>as incidental findings, particularly in the absence of complications.</w:t>
      </w:r>
    </w:p>
    <w:p w14:paraId="1967B962" w14:textId="49AFC442" w:rsidR="00A160F0" w:rsidRPr="000A431F" w:rsidRDefault="00A160F0" w:rsidP="008E3449">
      <w:pPr>
        <w:pStyle w:val="MDPI22heading2"/>
        <w:spacing w:before="240"/>
        <w:rPr>
          <w:iCs/>
        </w:rPr>
      </w:pPr>
      <w:commentRangeStart w:id="29"/>
      <w:r w:rsidRPr="000A431F">
        <w:rPr>
          <w:highlight w:val="yellow"/>
        </w:rPr>
        <w:t xml:space="preserve">Strengths </w:t>
      </w:r>
      <w:commentRangeEnd w:id="29"/>
      <w:r w:rsidR="00BC5B9E" w:rsidRPr="000A431F">
        <w:rPr>
          <w:rStyle w:val="CommentReference"/>
          <w:rFonts w:eastAsia="宋体"/>
          <w:i w:val="0"/>
          <w:snapToGrid/>
          <w:lang w:eastAsia="zh-CN" w:bidi="ar-SA"/>
          <w14:ligatures w14:val="none"/>
        </w:rPr>
        <w:commentReference w:id="29"/>
      </w:r>
      <w:r w:rsidRPr="000A431F">
        <w:rPr>
          <w:highlight w:val="yellow"/>
        </w:rPr>
        <w:t xml:space="preserve">and </w:t>
      </w:r>
      <w:r w:rsidR="00B43589" w:rsidRPr="000A431F">
        <w:rPr>
          <w:highlight w:val="yellow"/>
        </w:rPr>
        <w:t xml:space="preserve">Limitations </w:t>
      </w:r>
      <w:r w:rsidRPr="000A431F">
        <w:rPr>
          <w:highlight w:val="yellow"/>
        </w:rPr>
        <w:t xml:space="preserve">of </w:t>
      </w:r>
      <w:r w:rsidR="00537FC8" w:rsidRPr="000A431F">
        <w:rPr>
          <w:highlight w:val="yellow"/>
        </w:rPr>
        <w:t xml:space="preserve">Our </w:t>
      </w:r>
      <w:r w:rsidR="00B43589" w:rsidRPr="000A431F">
        <w:rPr>
          <w:highlight w:val="yellow"/>
        </w:rPr>
        <w:t>Study</w:t>
      </w:r>
      <w:r w:rsidR="0029599A">
        <w:rPr>
          <w:highlight w:val="yellow"/>
        </w:rPr>
        <w:t xml:space="preserve"> and </w:t>
      </w:r>
      <w:r w:rsidRPr="000A431F">
        <w:rPr>
          <w:highlight w:val="yellow"/>
        </w:rPr>
        <w:t xml:space="preserve">Future </w:t>
      </w:r>
      <w:r w:rsidR="00B43589" w:rsidRPr="000A431F">
        <w:rPr>
          <w:highlight w:val="yellow"/>
        </w:rPr>
        <w:t>Perspectives</w:t>
      </w:r>
    </w:p>
    <w:p w14:paraId="3B3FAEA2" w14:textId="7708EEE4" w:rsidR="00A160F0" w:rsidRPr="000A431F" w:rsidRDefault="00A160F0" w:rsidP="008E3449">
      <w:pPr>
        <w:pStyle w:val="MDPI31text"/>
      </w:pPr>
      <w:r w:rsidRPr="000A431F">
        <w:t xml:space="preserve">One of the main </w:t>
      </w:r>
      <w:r w:rsidR="0029599A">
        <w:t>strengths</w:t>
      </w:r>
      <w:r w:rsidR="0029599A" w:rsidRPr="000A431F">
        <w:t xml:space="preserve"> </w:t>
      </w:r>
      <w:r w:rsidRPr="000A431F">
        <w:t xml:space="preserve">of our study lies in the selection of FEP patients with restrictive criteria, ensuring that they were in their first known psychotic episode by using ICD-10 standard codes and ruling out prior psychotic episodes. Second, we ensured that all imaging studies were performed within a close range of the episode, eliminating potential biases that could be present in previous studies, as it is known that many patients with FEP undergo neuroimaging several months after discharge. Third, all imaging studies were reviewed by a </w:t>
      </w:r>
      <w:commentRangeStart w:id="30"/>
      <w:r w:rsidRPr="000A431F">
        <w:t xml:space="preserve">radiologist with 5 years </w:t>
      </w:r>
      <w:r w:rsidR="0029599A">
        <w:t xml:space="preserve">of experience </w:t>
      </w:r>
      <w:r w:rsidRPr="000A431F">
        <w:t>in neuroimaging</w:t>
      </w:r>
      <w:commentRangeEnd w:id="30"/>
      <w:r w:rsidR="0029599A">
        <w:rPr>
          <w:rStyle w:val="CommentReference"/>
          <w:rFonts w:eastAsia="宋体"/>
          <w:noProof/>
          <w:snapToGrid/>
          <w:lang w:eastAsia="zh-CN" w:bidi="ar-SA"/>
          <w14:ligatures w14:val="none"/>
        </w:rPr>
        <w:commentReference w:id="30"/>
      </w:r>
      <w:r w:rsidRPr="000A431F">
        <w:t>. Finally, this is a real-world study, which gives an actual view of how neuroimaging is applied in a clinical practice setting.</w:t>
      </w:r>
    </w:p>
    <w:p w14:paraId="151B4203" w14:textId="0E526BD4" w:rsidR="00A160F0" w:rsidRPr="000A431F" w:rsidRDefault="00A160F0" w:rsidP="008E3449">
      <w:pPr>
        <w:pStyle w:val="MDPI31text"/>
      </w:pPr>
      <w:r w:rsidRPr="000A431F">
        <w:t>However, this study has some limitations. First, this is a retrospective study, so there may be confounding factors that have not been controlled for, which results in an important limitation for establishing cause</w:t>
      </w:r>
      <w:r w:rsidR="0029599A">
        <w:t>–</w:t>
      </w:r>
      <w:r w:rsidRPr="000A431F">
        <w:t>effect relationships. In addition, the sample size is relatively small, which reduces the robustness of the statistical analyses, especially considering that many of the variables explored correspond to four-category scales (GCA, MTA, Fazekas). Third, no control group was used</w:t>
      </w:r>
      <w:r w:rsidR="0029599A">
        <w:t>;</w:t>
      </w:r>
      <w:r w:rsidR="0029599A" w:rsidRPr="000A431F">
        <w:t xml:space="preserve"> </w:t>
      </w:r>
      <w:r w:rsidRPr="000A431F">
        <w:t>thus</w:t>
      </w:r>
      <w:r w:rsidR="0029599A">
        <w:t>,</w:t>
      </w:r>
      <w:r w:rsidRPr="000A431F">
        <w:t xml:space="preserve"> we relegated the reference standards of </w:t>
      </w:r>
      <w:r w:rsidR="0029599A">
        <w:t>“</w:t>
      </w:r>
      <w:r w:rsidRPr="000A431F">
        <w:t>normality</w:t>
      </w:r>
      <w:r w:rsidR="0029599A">
        <w:t>”</w:t>
      </w:r>
      <w:r w:rsidRPr="000A431F">
        <w:t xml:space="preserve"> to age cut-offs previously described in the literature. In this regard, we observed a high variability in the described age thresholds for the three scales applied, and the ones chosen for this study could introduce misclassification bias. This reinforces the need for standardizing the currently applied neuroimaging scales for clinical practice, an issue that requires appropriate validation in future studies.</w:t>
      </w:r>
    </w:p>
    <w:p w14:paraId="51C039AA" w14:textId="04390701" w:rsidR="00A160F0" w:rsidRPr="000A431F" w:rsidRDefault="00A160F0" w:rsidP="008E3449">
      <w:pPr>
        <w:pStyle w:val="MDPI31text"/>
        <w:rPr>
          <w:highlight w:val="green"/>
        </w:rPr>
      </w:pPr>
      <w:r w:rsidRPr="000A431F">
        <w:t xml:space="preserve">Due to the limitations of the present study, prospective studies with larger samples and with a well-defined control group would be advisable. Although our results do not support the routine implementation of neuroimaging in FEP, the use of advanced neuroimaging techniques such as diffusion tensor imaging on MRI may improve the clinical utility of neuroimaging tests in this context. Moreover, functional-focused examinations such as single-photon emission CT (SPECT) or standardized Low-Resolution Brain Electromagnetic Tomography (sLORETA) are increasingly contributing to </w:t>
      </w:r>
      <w:r w:rsidR="0029599A">
        <w:t>advances</w:t>
      </w:r>
      <w:r w:rsidR="0029599A" w:rsidRPr="000A431F">
        <w:t xml:space="preserve"> </w:t>
      </w:r>
      <w:r w:rsidRPr="000A431F">
        <w:t>in the current knowledge on psychosis and FEP and could offer reductions in costs compared to other neuroimaging modalities [63,64]. These examinations capture dynamic brain activity patterns, which may reflect altered connectivity or baseline dysfunctions not visible on structural scans. However, these methods are often less specific for diagnostic decision-making, may require advanced post-processing, and are not always standardized in clinical psychiatry. Thus, combining both functional and structural imaging (e.g., EEG, functional MRI</w:t>
      </w:r>
      <w:r w:rsidR="0029599A">
        <w:t xml:space="preserve"> and</w:t>
      </w:r>
      <w:r w:rsidRPr="000A431F">
        <w:t xml:space="preserve"> EEG-</w:t>
      </w:r>
      <w:proofErr w:type="spellStart"/>
      <w:r w:rsidRPr="000A431F">
        <w:t>sLORETA</w:t>
      </w:r>
      <w:proofErr w:type="spellEnd"/>
      <w:r w:rsidRPr="000A431F">
        <w:t>) could help determine the most appropriate imaging assessment tools and the contextual relevance of imaging abnormalities in these patients.</w:t>
      </w:r>
    </w:p>
    <w:p w14:paraId="56712106" w14:textId="47E7F4C7" w:rsidR="00A160F0" w:rsidRPr="000A431F" w:rsidRDefault="00A160F0" w:rsidP="008E3449">
      <w:pPr>
        <w:pStyle w:val="MDPI31text"/>
      </w:pPr>
      <w:r w:rsidRPr="000A431F">
        <w:lastRenderedPageBreak/>
        <w:t>In sum, our results point to the need for a clearer definition of the criteria for the indication of neuroimaging in psychiatric practice and clinical guidelines. Should clinical guidelines evolve to recommend structural neuroimaging in specific psychiatric contexts—such as FEP with atypical features or neurological red flags—we believe that both public and private insurance providers should consider coverage, ensuring equitable access and cost-effectiveness</w:t>
      </w:r>
      <w:r w:rsidR="00956F12" w:rsidRPr="000A431F">
        <w:t>.</w:t>
      </w:r>
    </w:p>
    <w:p w14:paraId="4D0CBD18" w14:textId="21AAE7FD" w:rsidR="00A160F0" w:rsidRPr="000A431F" w:rsidRDefault="008E3449" w:rsidP="008E3449">
      <w:pPr>
        <w:pStyle w:val="MDPI21heading1"/>
      </w:pPr>
      <w:r w:rsidRPr="000A431F">
        <w:t xml:space="preserve">5. </w:t>
      </w:r>
      <w:r w:rsidR="00A160F0" w:rsidRPr="000A431F">
        <w:t>Conclusions</w:t>
      </w:r>
    </w:p>
    <w:p w14:paraId="7CBF1A5B" w14:textId="3B5F061C" w:rsidR="00A160F0" w:rsidRPr="000A431F" w:rsidRDefault="00A160F0" w:rsidP="008E3449">
      <w:pPr>
        <w:pStyle w:val="MDPI31text"/>
      </w:pPr>
      <w:r w:rsidRPr="000A431F">
        <w:t xml:space="preserve">Neuroimaging tests used in clinical practice usually show </w:t>
      </w:r>
      <w:r w:rsidR="000A431F">
        <w:t>non-specific</w:t>
      </w:r>
      <w:r w:rsidRPr="000A431F">
        <w:t xml:space="preserve"> alterations in patients with FEP</w:t>
      </w:r>
      <w:r w:rsidR="0029599A">
        <w:t>,</w:t>
      </w:r>
      <w:r w:rsidRPr="000A431F">
        <w:t xml:space="preserve"> and the percentage of specific structural lesions is very low. The main </w:t>
      </w:r>
      <w:r w:rsidR="000A431F">
        <w:t>non-specific</w:t>
      </w:r>
      <w:r w:rsidRPr="000A431F">
        <w:t xml:space="preserve"> alterations found correspond to global cortical and </w:t>
      </w:r>
      <w:r w:rsidR="000A431F">
        <w:t>Medial Temporal Lobe Atrophy</w:t>
      </w:r>
      <w:r w:rsidRPr="000A431F">
        <w:t>, which have been found in a higher percentage of cases than expected according to the thresholds previously described in the literature.</w:t>
      </w:r>
    </w:p>
    <w:p w14:paraId="4A6310B1" w14:textId="3607E2A9" w:rsidR="00A160F0" w:rsidRPr="000A431F" w:rsidRDefault="00A160F0" w:rsidP="008E3449">
      <w:pPr>
        <w:pStyle w:val="MDPI31text"/>
      </w:pPr>
      <w:r w:rsidRPr="000A431F">
        <w:t>In addition, we found a predominant use of CT scans that does not seem justified, considering the absence of radiological abnormalities that modify the clinical approach to these patients and the risks associated with ionizing radiation. These findings support the need to rethink the rational use of neuroimaging tests in this clinical context, considering risk</w:t>
      </w:r>
      <w:r w:rsidR="007A5687">
        <w:t>–</w:t>
      </w:r>
      <w:r w:rsidRPr="000A431F">
        <w:t>benefit, cost</w:t>
      </w:r>
      <w:r w:rsidR="00984981">
        <w:t xml:space="preserve"> </w:t>
      </w:r>
      <w:r w:rsidRPr="000A431F">
        <w:t>efficiency and safety factors. Our results contribute to the existing real-world evidence on structural neuroimaging abnormalities in patients with FEP but should be validated by prospective studies, ideally multicentric, including a control group.</w:t>
      </w:r>
    </w:p>
    <w:p w14:paraId="704FB552" w14:textId="678F4249" w:rsidR="00A160F0" w:rsidRPr="000A431F" w:rsidRDefault="008E3449" w:rsidP="008E3449">
      <w:pPr>
        <w:pStyle w:val="MDPI62backmatter"/>
        <w:spacing w:before="240"/>
        <w:rPr>
          <w:rFonts w:eastAsiaTheme="minorEastAsia"/>
        </w:rPr>
      </w:pPr>
      <w:r w:rsidRPr="000A431F">
        <w:rPr>
          <w:b/>
        </w:rPr>
        <w:t>Supplementary Material</w:t>
      </w:r>
      <w:r w:rsidR="00A160F0" w:rsidRPr="000A431F">
        <w:rPr>
          <w:b/>
        </w:rPr>
        <w:t xml:space="preserve">s: </w:t>
      </w:r>
      <w:r w:rsidR="00BA7E52" w:rsidRPr="000A431F">
        <w:t>The following supporting information can be downloaded at https://www.mdpi.com/article/doi/s1,</w:t>
      </w:r>
      <w:r w:rsidR="00A160F0" w:rsidRPr="000A431F">
        <w:t xml:space="preserve"> </w:t>
      </w:r>
      <w:commentRangeStart w:id="31"/>
      <w:r w:rsidR="00A160F0" w:rsidRPr="000A431F">
        <w:rPr>
          <w:highlight w:val="yellow"/>
        </w:rPr>
        <w:t>Supplementary Figure</w:t>
      </w:r>
      <w:commentRangeEnd w:id="31"/>
      <w:r w:rsidR="00747477" w:rsidRPr="000A431F">
        <w:rPr>
          <w:rStyle w:val="CommentReference"/>
          <w:rFonts w:eastAsia="宋体"/>
          <w:noProof/>
          <w:snapToGrid/>
          <w:lang w:bidi="ar-SA"/>
          <w14:ligatures w14:val="none"/>
        </w:rPr>
        <w:commentReference w:id="31"/>
      </w:r>
      <w:r w:rsidR="00A160F0" w:rsidRPr="000A431F">
        <w:rPr>
          <w:highlight w:val="yellow"/>
        </w:rPr>
        <w:t xml:space="preserve"> </w:t>
      </w:r>
      <w:r w:rsidR="007A62C8" w:rsidRPr="000A431F">
        <w:rPr>
          <w:highlight w:val="yellow"/>
        </w:rPr>
        <w:t>S</w:t>
      </w:r>
      <w:r w:rsidR="00A160F0" w:rsidRPr="000A431F">
        <w:rPr>
          <w:highlight w:val="yellow"/>
        </w:rPr>
        <w:t>1</w:t>
      </w:r>
      <w:r w:rsidR="00A160F0" w:rsidRPr="000A431F">
        <w:t xml:space="preserve">. Age distribution in the sample; </w:t>
      </w:r>
      <w:r w:rsidR="00A160F0" w:rsidRPr="000A431F">
        <w:rPr>
          <w:highlight w:val="yellow"/>
        </w:rPr>
        <w:t xml:space="preserve">Supplementary Figure </w:t>
      </w:r>
      <w:r w:rsidR="007A62C8" w:rsidRPr="000A431F">
        <w:rPr>
          <w:highlight w:val="yellow"/>
        </w:rPr>
        <w:t>S</w:t>
      </w:r>
      <w:r w:rsidR="00A160F0" w:rsidRPr="000A431F">
        <w:rPr>
          <w:highlight w:val="yellow"/>
        </w:rPr>
        <w:t>2</w:t>
      </w:r>
      <w:r w:rsidR="00A160F0" w:rsidRPr="000A431F">
        <w:t>. Age distribution by sex in the sample</w:t>
      </w:r>
      <w:r w:rsidR="00A160F0" w:rsidRPr="000A431F">
        <w:rPr>
          <w:highlight w:val="yellow"/>
        </w:rPr>
        <w:t xml:space="preserve">; Supplementary Figure </w:t>
      </w:r>
      <w:r w:rsidR="007A62C8" w:rsidRPr="000A431F">
        <w:rPr>
          <w:highlight w:val="yellow"/>
        </w:rPr>
        <w:t>S</w:t>
      </w:r>
      <w:r w:rsidR="00A160F0" w:rsidRPr="000A431F">
        <w:rPr>
          <w:highlight w:val="yellow"/>
        </w:rPr>
        <w:t>3</w:t>
      </w:r>
      <w:r w:rsidR="00A160F0" w:rsidRPr="000A431F">
        <w:t xml:space="preserve">. Age distribution by neuroimaging examinations; </w:t>
      </w:r>
      <w:r w:rsidR="00A160F0" w:rsidRPr="000A431F">
        <w:rPr>
          <w:highlight w:val="yellow"/>
        </w:rPr>
        <w:t xml:space="preserve">Supplementary Figure </w:t>
      </w:r>
      <w:r w:rsidR="007A62C8" w:rsidRPr="000A431F">
        <w:rPr>
          <w:highlight w:val="yellow"/>
        </w:rPr>
        <w:t>S</w:t>
      </w:r>
      <w:r w:rsidR="00A160F0" w:rsidRPr="000A431F">
        <w:rPr>
          <w:highlight w:val="yellow"/>
        </w:rPr>
        <w:t>4</w:t>
      </w:r>
      <w:r w:rsidR="00A160F0" w:rsidRPr="000A431F">
        <w:t>. Distribution of in-range and out-of-range non-specific brain abnormalities in the sample.</w:t>
      </w:r>
      <w:r w:rsidR="009F1A19" w:rsidRPr="000A431F">
        <w:t xml:space="preserve"> </w:t>
      </w:r>
      <w:commentRangeStart w:id="32"/>
      <w:r w:rsidR="009F1A19" w:rsidRPr="000A431F">
        <w:rPr>
          <w:highlight w:val="yellow"/>
        </w:rPr>
        <w:t>Supplementary Table S1.</w:t>
      </w:r>
      <w:commentRangeEnd w:id="32"/>
      <w:r w:rsidR="009F1A19" w:rsidRPr="000A431F">
        <w:rPr>
          <w:rStyle w:val="CommentReference"/>
          <w:rFonts w:eastAsia="宋体"/>
          <w:noProof/>
          <w:snapToGrid/>
          <w:highlight w:val="yellow"/>
          <w:lang w:bidi="ar-SA"/>
          <w14:ligatures w14:val="none"/>
        </w:rPr>
        <w:commentReference w:id="32"/>
      </w:r>
      <w:r w:rsidR="009D2140" w:rsidRPr="000A431F">
        <w:rPr>
          <w:rFonts w:eastAsiaTheme="minorEastAsia" w:hint="eastAsia"/>
          <w:highlight w:val="yellow"/>
        </w:rPr>
        <w:t xml:space="preserve"> </w:t>
      </w:r>
      <w:r w:rsidR="009D2140" w:rsidRPr="000A431F">
        <w:rPr>
          <w:rFonts w:eastAsiaTheme="minorEastAsia"/>
          <w:highlight w:val="yellow"/>
        </w:rPr>
        <w:t>Studies included in the article related to the implementation of imaging studies. X + SD. Mean (X) and standard deviation (SD). NS. Not specified. ^</w:t>
      </w:r>
      <w:r w:rsidR="000146AA" w:rsidRPr="000A431F">
        <w:rPr>
          <w:rFonts w:eastAsiaTheme="minorEastAsia" w:hint="eastAsia"/>
          <w:highlight w:val="yellow"/>
        </w:rPr>
        <w:t xml:space="preserve"> </w:t>
      </w:r>
      <w:r w:rsidR="009D2140" w:rsidRPr="000A431F">
        <w:rPr>
          <w:rFonts w:eastAsiaTheme="minorEastAsia"/>
          <w:highlight w:val="yellow"/>
        </w:rPr>
        <w:t>In some cases</w:t>
      </w:r>
      <w:r w:rsidR="0029599A">
        <w:rPr>
          <w:rFonts w:eastAsiaTheme="minorEastAsia"/>
          <w:highlight w:val="yellow"/>
        </w:rPr>
        <w:t>,</w:t>
      </w:r>
      <w:r w:rsidR="009D2140" w:rsidRPr="000A431F">
        <w:rPr>
          <w:rFonts w:eastAsiaTheme="minorEastAsia"/>
          <w:highlight w:val="yellow"/>
        </w:rPr>
        <w:t xml:space="preserve"> the study included a larger sample size. The figure indicates the number of cases with first-episode psychosis (FEP) and neuroimaging examinations. ^^ Relative percentage relative to the entire sample size. *</w:t>
      </w:r>
      <w:r w:rsidR="000146AA" w:rsidRPr="000A431F">
        <w:rPr>
          <w:rFonts w:eastAsiaTheme="minorEastAsia" w:hint="eastAsia"/>
          <w:highlight w:val="yellow"/>
        </w:rPr>
        <w:t xml:space="preserve"> </w:t>
      </w:r>
      <w:r w:rsidR="009D2140" w:rsidRPr="000A431F">
        <w:rPr>
          <w:rFonts w:eastAsiaTheme="minorEastAsia"/>
          <w:highlight w:val="yellow"/>
        </w:rPr>
        <w:t>Overall conclusion against or for the causal association between neuroimaging abnormalities and first-episode psychosis (FEP).</w:t>
      </w:r>
    </w:p>
    <w:p w14:paraId="3CEBEE4B" w14:textId="6CB4B4F3" w:rsidR="00A160F0" w:rsidRPr="000A431F" w:rsidRDefault="008E3449" w:rsidP="008E3449">
      <w:pPr>
        <w:pStyle w:val="MDPI62backmatter"/>
      </w:pPr>
      <w:commentRangeStart w:id="33"/>
      <w:r w:rsidRPr="000A431F">
        <w:rPr>
          <w:b/>
          <w:highlight w:val="yellow"/>
        </w:rPr>
        <w:t>Author Contribution</w:t>
      </w:r>
      <w:r w:rsidR="00A160F0" w:rsidRPr="000A431F">
        <w:rPr>
          <w:b/>
          <w:highlight w:val="yellow"/>
        </w:rPr>
        <w:t>s</w:t>
      </w:r>
      <w:commentRangeEnd w:id="33"/>
      <w:r w:rsidR="00976E03">
        <w:rPr>
          <w:rStyle w:val="CommentReference"/>
          <w:rFonts w:eastAsia="宋体"/>
          <w:noProof/>
          <w:snapToGrid/>
          <w:lang w:bidi="ar-SA"/>
          <w14:ligatures w14:val="none"/>
        </w:rPr>
        <w:commentReference w:id="33"/>
      </w:r>
      <w:r w:rsidR="00A160F0" w:rsidRPr="000A431F">
        <w:rPr>
          <w:b/>
        </w:rPr>
        <w:t xml:space="preserve">: </w:t>
      </w:r>
      <w:r w:rsidR="000F442B" w:rsidRPr="00FF2101">
        <w:t>Conceptualization, J.P.M.B., A.J.L.R</w:t>
      </w:r>
      <w:r w:rsidR="000F442B">
        <w:t>.</w:t>
      </w:r>
      <w:r w:rsidR="000F442B" w:rsidRPr="00FF2101">
        <w:t>-B. and J.E.M.N.; methodology, A.J.L.R</w:t>
      </w:r>
      <w:r w:rsidR="000F442B">
        <w:t>.</w:t>
      </w:r>
      <w:r w:rsidR="000F442B" w:rsidRPr="00FF2101">
        <w:t>-B</w:t>
      </w:r>
      <w:r w:rsidR="000F442B">
        <w:t>.</w:t>
      </w:r>
      <w:r w:rsidR="000F442B" w:rsidRPr="00FF2101">
        <w:t xml:space="preserve"> and B.R.B.; software, A.J.L.R</w:t>
      </w:r>
      <w:r w:rsidR="000F442B">
        <w:t>.</w:t>
      </w:r>
      <w:r w:rsidR="000F442B" w:rsidRPr="00FF2101">
        <w:t>-B</w:t>
      </w:r>
      <w:r w:rsidR="000F442B">
        <w:t>.</w:t>
      </w:r>
      <w:r w:rsidR="000F442B" w:rsidRPr="00FF2101">
        <w:t xml:space="preserve"> and J.P.M.B.; validation, J.P.M.B</w:t>
      </w:r>
      <w:r w:rsidR="000F442B">
        <w:t>.</w:t>
      </w:r>
      <w:r w:rsidR="000F442B" w:rsidRPr="00FF2101">
        <w:t>, J.P. and A.J.L.R</w:t>
      </w:r>
      <w:r w:rsidR="000F442B">
        <w:t>.</w:t>
      </w:r>
      <w:r w:rsidR="000F442B" w:rsidRPr="00FF2101">
        <w:t>-B.; formal analysis, A.J.L.R</w:t>
      </w:r>
      <w:r w:rsidR="000F442B">
        <w:t>.</w:t>
      </w:r>
      <w:r w:rsidR="000F442B" w:rsidRPr="00FF2101">
        <w:t>-B</w:t>
      </w:r>
      <w:r w:rsidR="000F442B">
        <w:t>.</w:t>
      </w:r>
      <w:r w:rsidR="000F442B" w:rsidRPr="00FF2101">
        <w:t xml:space="preserve"> and B.R.B.; investigation, J.T.C. and B.R.B.; resources, J.P.M.B.; data curation, J.T.C. and J.P.M.B.; writing—original draft preparation, J.T.C. and B.R.B.; writing—review and editing, A.J.L.R</w:t>
      </w:r>
      <w:r w:rsidR="000F442B">
        <w:t>.</w:t>
      </w:r>
      <w:r w:rsidR="000F442B" w:rsidRPr="00FF2101">
        <w:t>-B</w:t>
      </w:r>
      <w:r w:rsidR="000F442B">
        <w:t>.</w:t>
      </w:r>
      <w:r w:rsidR="000F442B" w:rsidRPr="00FF2101">
        <w:t>, J.P.M.B</w:t>
      </w:r>
      <w:r w:rsidR="000F442B">
        <w:t>.</w:t>
      </w:r>
      <w:r w:rsidR="000F442B" w:rsidRPr="00FF2101">
        <w:t>, M.G.D., J.E.M.N. and J.P.; visualization, A.J.L.R</w:t>
      </w:r>
      <w:r w:rsidR="000F442B">
        <w:t>.</w:t>
      </w:r>
      <w:r w:rsidR="000F442B" w:rsidRPr="00FF2101">
        <w:t>-B</w:t>
      </w:r>
      <w:r w:rsidR="000F442B">
        <w:t>.</w:t>
      </w:r>
      <w:r w:rsidR="000F442B" w:rsidRPr="00FF2101">
        <w:t xml:space="preserve"> and J.P.M.B.; supervision, A.J.L.R</w:t>
      </w:r>
      <w:r w:rsidR="000F442B">
        <w:t>.</w:t>
      </w:r>
      <w:r w:rsidR="000F442B" w:rsidRPr="00FF2101">
        <w:t>-B</w:t>
      </w:r>
      <w:r w:rsidR="000F442B">
        <w:t>.</w:t>
      </w:r>
      <w:r w:rsidR="000F442B" w:rsidRPr="00FF2101">
        <w:t>, J.P. and J.P.M.B.; project administration, A.J.L.R</w:t>
      </w:r>
      <w:r w:rsidR="000F442B">
        <w:t>.</w:t>
      </w:r>
      <w:r w:rsidR="000F442B" w:rsidRPr="00FF2101">
        <w:t>-B.; funding acquisition, A.J.L.R</w:t>
      </w:r>
      <w:r w:rsidR="000F442B">
        <w:t>.</w:t>
      </w:r>
      <w:r w:rsidR="000F442B" w:rsidRPr="00FF2101">
        <w:t>-B</w:t>
      </w:r>
      <w:r w:rsidR="000F442B">
        <w:t>.</w:t>
      </w:r>
      <w:r w:rsidR="000F442B" w:rsidRPr="00FF2101">
        <w:t xml:space="preserve"> and J.P. All authors have read and agreed to the published version of the manuscript.</w:t>
      </w:r>
    </w:p>
    <w:p w14:paraId="4221957A" w14:textId="77777777" w:rsidR="00A160F0" w:rsidRPr="000A431F" w:rsidRDefault="00A160F0" w:rsidP="008E3449">
      <w:pPr>
        <w:pStyle w:val="MDPI62backmatter"/>
      </w:pPr>
      <w:commentRangeStart w:id="34"/>
      <w:r w:rsidRPr="000A431F">
        <w:rPr>
          <w:b/>
          <w:highlight w:val="yellow"/>
        </w:rPr>
        <w:t>Funding</w:t>
      </w:r>
      <w:commentRangeEnd w:id="34"/>
      <w:r w:rsidR="008E3449" w:rsidRPr="000A431F">
        <w:rPr>
          <w:rStyle w:val="CommentReference"/>
          <w:rFonts w:eastAsia="宋体"/>
          <w:b/>
          <w:noProof/>
          <w:snapToGrid/>
          <w:lang w:bidi="ar-SA"/>
          <w14:ligatures w14:val="none"/>
        </w:rPr>
        <w:commentReference w:id="34"/>
      </w:r>
      <w:r w:rsidRPr="000A431F">
        <w:rPr>
          <w:b/>
        </w:rPr>
        <w:t>:</w:t>
      </w:r>
      <w:r w:rsidRPr="000A431F">
        <w:t xml:space="preserve"> The APC was funded by the Advanced Medical Imaging Group (TeCe-22) at ibs.GRANADA.</w:t>
      </w:r>
    </w:p>
    <w:p w14:paraId="1D70482F" w14:textId="4201F433" w:rsidR="00A160F0" w:rsidRPr="000A431F" w:rsidRDefault="00A160F0" w:rsidP="008E3449">
      <w:pPr>
        <w:pStyle w:val="MDPI62backmatter"/>
        <w:rPr>
          <w:rFonts w:eastAsiaTheme="minorEastAsia"/>
          <w:color w:val="auto"/>
        </w:rPr>
      </w:pPr>
      <w:bookmarkStart w:id="35" w:name="_Hlk89945590"/>
      <w:bookmarkStart w:id="36" w:name="_Hlk60054323"/>
      <w:r w:rsidRPr="000A431F">
        <w:rPr>
          <w:b/>
        </w:rPr>
        <w:t xml:space="preserve">Institutional Review Board Statement: </w:t>
      </w:r>
      <w:r w:rsidRPr="000A431F">
        <w:t xml:space="preserve">The study was conducted in accordance with the Declaration of Helsinki and approved by the Provincial Ethics Committee of Granada </w:t>
      </w:r>
      <w:commentRangeStart w:id="37"/>
      <w:r w:rsidRPr="000A431F">
        <w:t>(protocol code TFG-PEP25</w:t>
      </w:r>
      <w:r w:rsidRPr="000A431F">
        <w:rPr>
          <w:rFonts w:eastAsiaTheme="minorEastAsia" w:hint="eastAsia"/>
        </w:rPr>
        <w:t xml:space="preserve"> </w:t>
      </w:r>
      <w:r w:rsidRPr="000A431F">
        <w:rPr>
          <w:color w:val="auto"/>
        </w:rPr>
        <w:t xml:space="preserve">on </w:t>
      </w:r>
      <w:r w:rsidRPr="000A431F">
        <w:rPr>
          <w:rFonts w:eastAsiaTheme="minorEastAsia" w:hint="eastAsia"/>
          <w:color w:val="auto"/>
          <w:highlight w:val="yellow"/>
        </w:rPr>
        <w:t>20</w:t>
      </w:r>
      <w:r w:rsidRPr="000A431F">
        <w:rPr>
          <w:color w:val="auto"/>
          <w:highlight w:val="yellow"/>
        </w:rPr>
        <w:t xml:space="preserve"> </w:t>
      </w:r>
      <w:r w:rsidRPr="000A431F">
        <w:rPr>
          <w:rFonts w:eastAsiaTheme="minorEastAsia" w:hint="eastAsia"/>
          <w:color w:val="auto"/>
          <w:highlight w:val="yellow"/>
        </w:rPr>
        <w:t>May</w:t>
      </w:r>
      <w:r w:rsidRPr="000A431F">
        <w:rPr>
          <w:color w:val="auto"/>
          <w:highlight w:val="yellow"/>
        </w:rPr>
        <w:t xml:space="preserve"> 202</w:t>
      </w:r>
      <w:r w:rsidRPr="000A431F">
        <w:rPr>
          <w:rFonts w:eastAsiaTheme="minorEastAsia" w:hint="eastAsia"/>
          <w:color w:val="auto"/>
          <w:highlight w:val="yellow"/>
        </w:rPr>
        <w:t>5</w:t>
      </w:r>
      <w:r w:rsidRPr="000A431F">
        <w:rPr>
          <w:rFonts w:eastAsiaTheme="minorEastAsia" w:hint="eastAsia"/>
          <w:color w:val="auto"/>
        </w:rPr>
        <w:t>;</w:t>
      </w:r>
      <w:r w:rsidR="00EC3E86" w:rsidRPr="000A431F">
        <w:rPr>
          <w:rFonts w:eastAsiaTheme="minorEastAsia"/>
          <w:color w:val="auto"/>
        </w:rPr>
        <w:t xml:space="preserve"> </w:t>
      </w:r>
      <w:r w:rsidR="0029599A">
        <w:rPr>
          <w:rFonts w:eastAsiaTheme="minorEastAsia"/>
          <w:color w:val="auto"/>
        </w:rPr>
        <w:t>e</w:t>
      </w:r>
      <w:r w:rsidRPr="000A431F">
        <w:rPr>
          <w:rFonts w:eastAsiaTheme="minorEastAsia"/>
          <w:color w:val="auto"/>
        </w:rPr>
        <w:t xml:space="preserve">thical approval was </w:t>
      </w:r>
      <w:r w:rsidR="0029599A">
        <w:rPr>
          <w:rFonts w:eastAsiaTheme="minorEastAsia"/>
          <w:color w:val="auto"/>
        </w:rPr>
        <w:t>obtained</w:t>
      </w:r>
      <w:r w:rsidR="0029599A" w:rsidRPr="000A431F">
        <w:rPr>
          <w:rFonts w:eastAsiaTheme="minorEastAsia"/>
          <w:color w:val="auto"/>
        </w:rPr>
        <w:t xml:space="preserve"> </w:t>
      </w:r>
      <w:r w:rsidRPr="000A431F">
        <w:rPr>
          <w:rFonts w:eastAsiaTheme="minorEastAsia"/>
          <w:color w:val="auto"/>
        </w:rPr>
        <w:t xml:space="preserve">at the meeting on </w:t>
      </w:r>
      <w:r w:rsidRPr="000A431F">
        <w:rPr>
          <w:rFonts w:eastAsiaTheme="minorEastAsia"/>
          <w:color w:val="auto"/>
          <w:highlight w:val="yellow"/>
        </w:rPr>
        <w:t>29</w:t>
      </w:r>
      <w:r w:rsidRPr="000A431F">
        <w:rPr>
          <w:rFonts w:eastAsiaTheme="minorEastAsia" w:hint="eastAsia"/>
          <w:color w:val="auto"/>
          <w:highlight w:val="yellow"/>
        </w:rPr>
        <w:t xml:space="preserve"> </w:t>
      </w:r>
      <w:r w:rsidR="00F803A0" w:rsidRPr="000A431F">
        <w:rPr>
          <w:rFonts w:eastAsiaTheme="minorEastAsia"/>
          <w:color w:val="auto"/>
          <w:highlight w:val="yellow"/>
        </w:rPr>
        <w:t xml:space="preserve">April </w:t>
      </w:r>
      <w:r w:rsidRPr="000A431F">
        <w:rPr>
          <w:rFonts w:eastAsiaTheme="minorEastAsia" w:hint="eastAsia"/>
          <w:highlight w:val="yellow"/>
        </w:rPr>
        <w:t>2025</w:t>
      </w:r>
      <w:r w:rsidRPr="000A431F">
        <w:t>).</w:t>
      </w:r>
      <w:commentRangeEnd w:id="37"/>
      <w:r w:rsidR="003A4612">
        <w:rPr>
          <w:rStyle w:val="CommentReference"/>
          <w:rFonts w:eastAsia="宋体"/>
          <w:noProof/>
          <w:snapToGrid/>
          <w:lang w:bidi="ar-SA"/>
          <w14:ligatures w14:val="none"/>
        </w:rPr>
        <w:commentReference w:id="37"/>
      </w:r>
    </w:p>
    <w:bookmarkEnd w:id="35"/>
    <w:p w14:paraId="778DE4E6" w14:textId="77777777" w:rsidR="00A160F0" w:rsidRPr="000A431F" w:rsidRDefault="00A160F0" w:rsidP="008E3449">
      <w:pPr>
        <w:pStyle w:val="MDPI62backmatter"/>
      </w:pPr>
      <w:r w:rsidRPr="000A431F">
        <w:rPr>
          <w:b/>
        </w:rPr>
        <w:t xml:space="preserve">Informed Consent Statement: </w:t>
      </w:r>
      <w:r w:rsidRPr="000A431F">
        <w:t>Patient consent was waived due to the retrospective nature of the study.</w:t>
      </w:r>
      <w:bookmarkEnd w:id="36"/>
    </w:p>
    <w:p w14:paraId="199343BE" w14:textId="2C1A7997" w:rsidR="00A160F0" w:rsidRPr="000A431F" w:rsidRDefault="00A160F0" w:rsidP="008E3449">
      <w:pPr>
        <w:pStyle w:val="MDPI62backmatter"/>
      </w:pPr>
      <w:r w:rsidRPr="000A431F">
        <w:rPr>
          <w:b/>
        </w:rPr>
        <w:t xml:space="preserve">Data Availability Statement: </w:t>
      </w:r>
      <w:r w:rsidRPr="000A431F">
        <w:t>All data from this study are available upon reasonable request to the corresponding author.</w:t>
      </w:r>
    </w:p>
    <w:p w14:paraId="419A90FD" w14:textId="3224D945" w:rsidR="00A160F0" w:rsidRPr="000A431F" w:rsidRDefault="00A160F0" w:rsidP="008E3449">
      <w:pPr>
        <w:pStyle w:val="MDPI62backmatter"/>
      </w:pPr>
      <w:commentRangeStart w:id="38"/>
      <w:r w:rsidRPr="000A431F">
        <w:rPr>
          <w:b/>
          <w:highlight w:val="yellow"/>
        </w:rPr>
        <w:lastRenderedPageBreak/>
        <w:t>Acknowledgments</w:t>
      </w:r>
      <w:commentRangeEnd w:id="38"/>
      <w:r w:rsidR="008E3449" w:rsidRPr="000A431F">
        <w:rPr>
          <w:rStyle w:val="CommentReference"/>
          <w:rFonts w:eastAsia="宋体"/>
          <w:b/>
          <w:noProof/>
          <w:snapToGrid/>
          <w:lang w:bidi="ar-SA"/>
          <w14:ligatures w14:val="none"/>
        </w:rPr>
        <w:commentReference w:id="38"/>
      </w:r>
      <w:r w:rsidRPr="000A431F">
        <w:rPr>
          <w:b/>
        </w:rPr>
        <w:t>:</w:t>
      </w:r>
      <w:r w:rsidRPr="000A431F">
        <w:t xml:space="preserve"> The authors wish to thank the continuous support of the collaborators at ibs.GRANADA. This study supports the results of the final degree project of Beatriz Ramos Barbosa at the School of Medicine </w:t>
      </w:r>
      <w:r w:rsidR="0029599A">
        <w:t>of</w:t>
      </w:r>
      <w:r w:rsidR="0029599A" w:rsidRPr="000A431F">
        <w:t xml:space="preserve"> </w:t>
      </w:r>
      <w:r w:rsidRPr="000A431F">
        <w:t>the University of Granada.</w:t>
      </w:r>
    </w:p>
    <w:p w14:paraId="61B8FFE4" w14:textId="77777777" w:rsidR="00A160F0" w:rsidRPr="000A431F" w:rsidRDefault="00A160F0" w:rsidP="008E3449">
      <w:pPr>
        <w:pStyle w:val="MDPI62backmatter"/>
      </w:pPr>
      <w:r w:rsidRPr="000A431F">
        <w:rPr>
          <w:b/>
        </w:rPr>
        <w:t xml:space="preserve">Conflicts of Interest: </w:t>
      </w:r>
      <w:r w:rsidRPr="000A431F">
        <w:t>The authors declare no conflicts of interest.</w:t>
      </w:r>
    </w:p>
    <w:p w14:paraId="2A56CB60" w14:textId="77777777" w:rsidR="005A57D3" w:rsidRPr="009728C0" w:rsidRDefault="005A57D3" w:rsidP="005A57D3">
      <w:pPr>
        <w:pStyle w:val="MDPI21heading1"/>
        <w:ind w:left="0"/>
        <w:rPr>
          <w:lang w:val="es-ES"/>
        </w:rPr>
      </w:pPr>
      <w:proofErr w:type="spellStart"/>
      <w:r w:rsidRPr="009728C0">
        <w:rPr>
          <w:lang w:val="es-ES"/>
        </w:rPr>
        <w:t>References</w:t>
      </w:r>
      <w:proofErr w:type="spellEnd"/>
    </w:p>
    <w:p w14:paraId="5EC4FC7F" w14:textId="77777777" w:rsidR="005A57D3" w:rsidRPr="00C83CD6" w:rsidRDefault="005A57D3" w:rsidP="005A57D3">
      <w:pPr>
        <w:pStyle w:val="MDPI81references"/>
        <w:numPr>
          <w:ilvl w:val="0"/>
          <w:numId w:val="23"/>
        </w:numPr>
        <w:rPr>
          <w:szCs w:val="24"/>
        </w:rPr>
      </w:pPr>
      <w:r w:rsidRPr="009728C0">
        <w:rPr>
          <w:lang w:val="es-ES"/>
        </w:rPr>
        <w:t>McGrath, J.J.; Saha, S.; Al-</w:t>
      </w:r>
      <w:proofErr w:type="spellStart"/>
      <w:r w:rsidRPr="009728C0">
        <w:rPr>
          <w:lang w:val="es-ES"/>
        </w:rPr>
        <w:t>Hamzawi</w:t>
      </w:r>
      <w:proofErr w:type="spellEnd"/>
      <w:r w:rsidRPr="009728C0">
        <w:rPr>
          <w:lang w:val="es-ES"/>
        </w:rPr>
        <w:t xml:space="preserve">, A.; Alonso, J.; </w:t>
      </w:r>
      <w:proofErr w:type="spellStart"/>
      <w:r w:rsidRPr="009728C0">
        <w:rPr>
          <w:lang w:val="es-ES"/>
        </w:rPr>
        <w:t>Bromet</w:t>
      </w:r>
      <w:proofErr w:type="spellEnd"/>
      <w:r w:rsidRPr="009728C0">
        <w:rPr>
          <w:lang w:val="es-ES"/>
        </w:rPr>
        <w:t>, E.J</w:t>
      </w:r>
      <w:r w:rsidRPr="00C83CD6">
        <w:rPr>
          <w:lang w:val="es-ES"/>
        </w:rPr>
        <w:t xml:space="preserve">.; </w:t>
      </w:r>
      <w:proofErr w:type="spellStart"/>
      <w:r w:rsidRPr="00C83CD6">
        <w:rPr>
          <w:lang w:val="es-ES"/>
        </w:rPr>
        <w:t>Bruffaerts</w:t>
      </w:r>
      <w:proofErr w:type="spellEnd"/>
      <w:r w:rsidRPr="00C83CD6">
        <w:rPr>
          <w:lang w:val="es-ES"/>
        </w:rPr>
        <w:t xml:space="preserve">, R.; Caldas-de-Almeida, J.M.; </w:t>
      </w:r>
      <w:proofErr w:type="spellStart"/>
      <w:r w:rsidRPr="00C83CD6">
        <w:rPr>
          <w:lang w:val="es-ES"/>
        </w:rPr>
        <w:t>Chiu</w:t>
      </w:r>
      <w:proofErr w:type="spellEnd"/>
      <w:r w:rsidRPr="00C83CD6">
        <w:rPr>
          <w:lang w:val="es-ES"/>
        </w:rPr>
        <w:t xml:space="preserve">, W.T.; de </w:t>
      </w:r>
      <w:proofErr w:type="spellStart"/>
      <w:r w:rsidRPr="00C83CD6">
        <w:rPr>
          <w:lang w:val="es-ES"/>
        </w:rPr>
        <w:t>Jonge</w:t>
      </w:r>
      <w:proofErr w:type="spellEnd"/>
      <w:r w:rsidRPr="00C83CD6">
        <w:rPr>
          <w:lang w:val="es-ES"/>
        </w:rPr>
        <w:t xml:space="preserve">, P.; </w:t>
      </w:r>
      <w:proofErr w:type="spellStart"/>
      <w:r w:rsidRPr="00C83CD6">
        <w:rPr>
          <w:lang w:val="es-ES"/>
        </w:rPr>
        <w:t>Fayyad</w:t>
      </w:r>
      <w:proofErr w:type="spellEnd"/>
      <w:r w:rsidRPr="00C83CD6">
        <w:rPr>
          <w:lang w:val="es-ES"/>
        </w:rPr>
        <w:t xml:space="preserve">, J.; et al. </w:t>
      </w:r>
      <w:r w:rsidRPr="00C83CD6">
        <w:t xml:space="preserve">Psychotic Experiences in the General Population: A Cross-National Analysis Based on 31,261 Respondents From 18 Countries. </w:t>
      </w:r>
      <w:r w:rsidRPr="00C83CD6">
        <w:rPr>
          <w:i/>
          <w:iCs/>
        </w:rPr>
        <w:t>JAMA Psychiatry</w:t>
      </w:r>
      <w:r w:rsidRPr="00C83CD6">
        <w:t xml:space="preserve"> </w:t>
      </w:r>
      <w:r w:rsidRPr="00C83CD6">
        <w:rPr>
          <w:b/>
          <w:bCs/>
        </w:rPr>
        <w:t>2015</w:t>
      </w:r>
      <w:r w:rsidRPr="00C83CD6">
        <w:t xml:space="preserve">, </w:t>
      </w:r>
      <w:r w:rsidRPr="00C83CD6">
        <w:rPr>
          <w:i/>
          <w:iCs/>
        </w:rPr>
        <w:t>72</w:t>
      </w:r>
      <w:r w:rsidRPr="00C83CD6">
        <w:t>, 697–705. https://doi.org/10.1001/jamapsychiatry.2015.0575.</w:t>
      </w:r>
    </w:p>
    <w:p w14:paraId="461787AD" w14:textId="77777777" w:rsidR="005A57D3" w:rsidRPr="00C83CD6" w:rsidRDefault="005A57D3" w:rsidP="005A57D3">
      <w:pPr>
        <w:pStyle w:val="MDPI81references"/>
        <w:numPr>
          <w:ilvl w:val="0"/>
          <w:numId w:val="23"/>
        </w:numPr>
      </w:pPr>
      <w:r w:rsidRPr="00C83CD6">
        <w:t xml:space="preserve">Staines, L.; Healy, C.; Murphy, F.; Byrne, J.; Murphy, J.; Kelleher, I.; Cotter, D.; Cannon, M. Incidence and Persistence of Psychotic Experiences in the General Population: Systematic Review and Meta-Analysis. </w:t>
      </w:r>
      <w:proofErr w:type="spellStart"/>
      <w:r w:rsidRPr="00C83CD6">
        <w:rPr>
          <w:i/>
          <w:iCs/>
        </w:rPr>
        <w:t>Schizophr</w:t>
      </w:r>
      <w:proofErr w:type="spellEnd"/>
      <w:r w:rsidRPr="00C83CD6">
        <w:rPr>
          <w:i/>
          <w:iCs/>
        </w:rPr>
        <w:t xml:space="preserve">. Bull. </w:t>
      </w:r>
      <w:r w:rsidRPr="00C83CD6">
        <w:rPr>
          <w:b/>
          <w:bCs/>
        </w:rPr>
        <w:t>2023</w:t>
      </w:r>
      <w:r w:rsidRPr="00C83CD6">
        <w:t xml:space="preserve">, </w:t>
      </w:r>
      <w:r w:rsidRPr="00C83CD6">
        <w:rPr>
          <w:i/>
          <w:iCs/>
        </w:rPr>
        <w:t>49</w:t>
      </w:r>
      <w:r w:rsidRPr="00C83CD6">
        <w:t>, 1007–1021. https://doi.org/10.1093/schbul/sbad056.</w:t>
      </w:r>
    </w:p>
    <w:p w14:paraId="0FBCD523" w14:textId="77777777" w:rsidR="005A57D3" w:rsidRPr="00C83CD6" w:rsidRDefault="005A57D3" w:rsidP="005A57D3">
      <w:pPr>
        <w:pStyle w:val="MDPI81references"/>
        <w:numPr>
          <w:ilvl w:val="0"/>
          <w:numId w:val="23"/>
        </w:numPr>
      </w:pPr>
      <w:r w:rsidRPr="00C83CD6">
        <w:t xml:space="preserve">Wigman, J.T.W.; </w:t>
      </w:r>
      <w:proofErr w:type="spellStart"/>
      <w:r w:rsidRPr="00C83CD6">
        <w:t>Wardenaar</w:t>
      </w:r>
      <w:proofErr w:type="spellEnd"/>
      <w:r w:rsidRPr="00C83CD6">
        <w:t xml:space="preserve">, K.J.; Wanders, R.B.K.; Booij, S.H.; Jeronimus, B.F.; van der </w:t>
      </w:r>
      <w:proofErr w:type="spellStart"/>
      <w:r w:rsidRPr="00C83CD6">
        <w:t>Krieke</w:t>
      </w:r>
      <w:proofErr w:type="spellEnd"/>
      <w:r w:rsidRPr="00C83CD6">
        <w:t xml:space="preserve">, L.; Wichers, M.; de Jonge, P. Dimensional and Discrete Variations on the Psychosis Continuum in a Dutch Crowd-Sourcing Population Sample. </w:t>
      </w:r>
      <w:r w:rsidRPr="00C83CD6">
        <w:rPr>
          <w:i/>
          <w:iCs/>
        </w:rPr>
        <w:t>Eur. Psychiatry</w:t>
      </w:r>
      <w:r w:rsidRPr="00C83CD6">
        <w:t xml:space="preserve"> </w:t>
      </w:r>
      <w:r w:rsidRPr="00C83CD6">
        <w:rPr>
          <w:b/>
          <w:bCs/>
        </w:rPr>
        <w:t>2017</w:t>
      </w:r>
      <w:r w:rsidRPr="00C83CD6">
        <w:t xml:space="preserve">, </w:t>
      </w:r>
      <w:r w:rsidRPr="00C83CD6">
        <w:rPr>
          <w:i/>
          <w:iCs/>
        </w:rPr>
        <w:t>42</w:t>
      </w:r>
      <w:r w:rsidRPr="00C83CD6">
        <w:t>, 55–62. https://doi.org/10.1016/j.eurpsy.2016.11.014.</w:t>
      </w:r>
    </w:p>
    <w:p w14:paraId="5A4958A9" w14:textId="77777777" w:rsidR="005A57D3" w:rsidRPr="00C83CD6" w:rsidRDefault="005A57D3" w:rsidP="005A57D3">
      <w:pPr>
        <w:pStyle w:val="MDPI81references"/>
        <w:numPr>
          <w:ilvl w:val="0"/>
          <w:numId w:val="23"/>
        </w:numPr>
      </w:pPr>
      <w:r w:rsidRPr="00501D42">
        <w:t>“Department of Mental Health and Addiction Services” First Episode Psychosis. Avai</w:t>
      </w:r>
      <w:r w:rsidRPr="00C83CD6">
        <w:t>lable online: https://portal.ct.gov/dmhas/initiatives/evidence-based/first-episode-psychosis (accessed on 16 May 2025).</w:t>
      </w:r>
    </w:p>
    <w:p w14:paraId="4ADB2708" w14:textId="77777777" w:rsidR="005A57D3" w:rsidRPr="006B26CA" w:rsidRDefault="005A57D3" w:rsidP="005A57D3">
      <w:pPr>
        <w:pStyle w:val="MDPI81references"/>
        <w:numPr>
          <w:ilvl w:val="0"/>
          <w:numId w:val="23"/>
        </w:numPr>
      </w:pPr>
      <w:r w:rsidRPr="00C83CD6">
        <w:t xml:space="preserve">Paquin, V.; Malla, A.K.; Iyer, S.N.; Lepage, M.; </w:t>
      </w:r>
      <w:proofErr w:type="spellStart"/>
      <w:r w:rsidRPr="00C83CD6">
        <w:t>Joober</w:t>
      </w:r>
      <w:proofErr w:type="spellEnd"/>
      <w:r w:rsidRPr="00C83CD6">
        <w:t>, R.; Shah, J.L. Combinations and Temporal Associations Among Precursor Symptoms Before a First Epi</w:t>
      </w:r>
      <w:r w:rsidRPr="006B26CA">
        <w:t xml:space="preserve">sode of Psychosis. </w:t>
      </w:r>
      <w:proofErr w:type="spellStart"/>
      <w:r w:rsidRPr="006B26CA">
        <w:rPr>
          <w:i/>
          <w:iCs/>
        </w:rPr>
        <w:t>Schizophr</w:t>
      </w:r>
      <w:proofErr w:type="spellEnd"/>
      <w:r w:rsidRPr="006B26CA">
        <w:rPr>
          <w:i/>
          <w:iCs/>
        </w:rPr>
        <w:t xml:space="preserve">. Bull. </w:t>
      </w:r>
      <w:r w:rsidRPr="006B26CA">
        <w:rPr>
          <w:b/>
          <w:bCs/>
        </w:rPr>
        <w:t>2024</w:t>
      </w:r>
      <w:r w:rsidRPr="006B26CA">
        <w:t xml:space="preserve">, </w:t>
      </w:r>
      <w:r w:rsidRPr="006B26CA">
        <w:rPr>
          <w:i/>
          <w:iCs/>
        </w:rPr>
        <w:t>50</w:t>
      </w:r>
      <w:r w:rsidRPr="006B26CA">
        <w:t>, 860–870. https://doi.org/10.1093/schbul/sbad152.</w:t>
      </w:r>
    </w:p>
    <w:p w14:paraId="54753D5D" w14:textId="77777777" w:rsidR="005A57D3" w:rsidRPr="00C83CD6" w:rsidRDefault="005A57D3" w:rsidP="005A57D3">
      <w:pPr>
        <w:pStyle w:val="MDPI81references"/>
        <w:numPr>
          <w:ilvl w:val="0"/>
          <w:numId w:val="23"/>
        </w:numPr>
      </w:pPr>
      <w:r w:rsidRPr="006B26CA">
        <w:t>Cupo, L.; McIlwaine, S.V.; D</w:t>
      </w:r>
      <w:r w:rsidRPr="00C83CD6">
        <w:t xml:space="preserve">aneault, J.-G.; Malla, A.K.; Iyer, S.N.; </w:t>
      </w:r>
      <w:proofErr w:type="spellStart"/>
      <w:r w:rsidRPr="00C83CD6">
        <w:t>Joober</w:t>
      </w:r>
      <w:proofErr w:type="spellEnd"/>
      <w:r w:rsidRPr="00C83CD6">
        <w:t xml:space="preserve">, R.; Shah, J.L. Timing, Distribution, and Relationship Between Nonpsychotic and Subthreshold Psychotic Symptoms Prior to Emergence of a First Episode of Psychosis. </w:t>
      </w:r>
      <w:proofErr w:type="spellStart"/>
      <w:r w:rsidRPr="00C83CD6">
        <w:rPr>
          <w:i/>
          <w:iCs/>
        </w:rPr>
        <w:t>Schizophr</w:t>
      </w:r>
      <w:proofErr w:type="spellEnd"/>
      <w:r w:rsidRPr="00C83CD6">
        <w:rPr>
          <w:i/>
          <w:iCs/>
        </w:rPr>
        <w:t xml:space="preserve">. Bull. </w:t>
      </w:r>
      <w:r w:rsidRPr="00C83CD6">
        <w:rPr>
          <w:b/>
          <w:bCs/>
        </w:rPr>
        <w:t>2021</w:t>
      </w:r>
      <w:r w:rsidRPr="00C83CD6">
        <w:t xml:space="preserve">, </w:t>
      </w:r>
      <w:r w:rsidRPr="00C83CD6">
        <w:rPr>
          <w:i/>
          <w:iCs/>
        </w:rPr>
        <w:t>47</w:t>
      </w:r>
      <w:r w:rsidRPr="00C83CD6">
        <w:t>, 604–614. https://doi.org/10.1093/schbul/sbaa183.</w:t>
      </w:r>
    </w:p>
    <w:p w14:paraId="30C0025C" w14:textId="77777777" w:rsidR="005A57D3" w:rsidRPr="00C83CD6" w:rsidRDefault="005A57D3" w:rsidP="005A57D3">
      <w:pPr>
        <w:pStyle w:val="MDPI81references"/>
        <w:numPr>
          <w:ilvl w:val="0"/>
          <w:numId w:val="23"/>
        </w:numPr>
      </w:pPr>
      <w:r w:rsidRPr="00C83CD6">
        <w:t xml:space="preserve">Biedermann, F.; Fleischhacker, W.W. Psychotic Disorders in DSM-5 and ICD-11. </w:t>
      </w:r>
      <w:r w:rsidRPr="000A5BCF">
        <w:rPr>
          <w:i/>
          <w:iCs/>
        </w:rPr>
        <w:t xml:space="preserve">CNS </w:t>
      </w:r>
      <w:proofErr w:type="spellStart"/>
      <w:r>
        <w:rPr>
          <w:i/>
          <w:iCs/>
        </w:rPr>
        <w:t>Spectr</w:t>
      </w:r>
      <w:proofErr w:type="spellEnd"/>
      <w:r>
        <w:rPr>
          <w:i/>
          <w:iCs/>
        </w:rPr>
        <w:t xml:space="preserve">. </w:t>
      </w:r>
      <w:r w:rsidRPr="00C83CD6">
        <w:rPr>
          <w:b/>
          <w:bCs/>
        </w:rPr>
        <w:t>2016</w:t>
      </w:r>
      <w:r w:rsidRPr="00C83CD6">
        <w:t xml:space="preserve">, </w:t>
      </w:r>
      <w:r w:rsidRPr="00C83CD6">
        <w:rPr>
          <w:i/>
          <w:iCs/>
        </w:rPr>
        <w:t>21</w:t>
      </w:r>
      <w:r w:rsidRPr="00C83CD6">
        <w:t>, 349–354. https://doi.org/10.1017/S1092852916000316.</w:t>
      </w:r>
    </w:p>
    <w:p w14:paraId="51275AA3" w14:textId="77777777" w:rsidR="005A57D3" w:rsidRPr="00C83CD6" w:rsidRDefault="005A57D3" w:rsidP="005A57D3">
      <w:pPr>
        <w:pStyle w:val="MDPI81references"/>
        <w:numPr>
          <w:ilvl w:val="0"/>
          <w:numId w:val="23"/>
        </w:numPr>
      </w:pPr>
      <w:r w:rsidRPr="00C83CD6">
        <w:t xml:space="preserve">Steindel, S.J. International Classification of Diseases, 10th Edition, Clinical Modification and Procedure Coding System: Descriptive Overview of the next Generation HIPAA Code Sets. </w:t>
      </w:r>
      <w:r>
        <w:rPr>
          <w:i/>
          <w:iCs/>
        </w:rPr>
        <w:t xml:space="preserve">J. Am. Med. Inform. Assoc. </w:t>
      </w:r>
      <w:r w:rsidRPr="00C83CD6">
        <w:rPr>
          <w:b/>
          <w:bCs/>
        </w:rPr>
        <w:t>2010</w:t>
      </w:r>
      <w:r w:rsidRPr="00C83CD6">
        <w:t xml:space="preserve">, </w:t>
      </w:r>
      <w:r w:rsidRPr="00C83CD6">
        <w:rPr>
          <w:i/>
          <w:iCs/>
        </w:rPr>
        <w:t>17</w:t>
      </w:r>
      <w:r w:rsidRPr="00C83CD6">
        <w:t>, 274–282. https://doi.org/10.1136/jamia.2009.001230.</w:t>
      </w:r>
    </w:p>
    <w:p w14:paraId="6DCD0989" w14:textId="77777777" w:rsidR="005A57D3" w:rsidRPr="00C83CD6" w:rsidRDefault="005A57D3" w:rsidP="005A57D3">
      <w:pPr>
        <w:pStyle w:val="MDPI81references"/>
        <w:numPr>
          <w:ilvl w:val="0"/>
          <w:numId w:val="23"/>
        </w:numPr>
      </w:pPr>
      <w:r w:rsidRPr="00C83CD6">
        <w:t xml:space="preserve">Reed, G.M.; First, M.B.; Kogan, C.S.; Hyman, S.E.; </w:t>
      </w:r>
      <w:proofErr w:type="spellStart"/>
      <w:r w:rsidRPr="00C83CD6">
        <w:t>Gureje</w:t>
      </w:r>
      <w:proofErr w:type="spellEnd"/>
      <w:r w:rsidRPr="00C83CD6">
        <w:t xml:space="preserve">, O.; Gaebel, W.; Maj, M.; Stein, D.J.; </w:t>
      </w:r>
      <w:proofErr w:type="spellStart"/>
      <w:r w:rsidRPr="00C83CD6">
        <w:t>Maercker</w:t>
      </w:r>
      <w:proofErr w:type="spellEnd"/>
      <w:r w:rsidRPr="00C83CD6">
        <w:t xml:space="preserve">, A.; Tyrer, P.; et al. Innovations and Changes in the ICD-11 Classification of Mental, </w:t>
      </w:r>
      <w:proofErr w:type="spellStart"/>
      <w:r w:rsidRPr="00C83CD6">
        <w:t>Behavioural</w:t>
      </w:r>
      <w:proofErr w:type="spellEnd"/>
      <w:r w:rsidRPr="00C83CD6">
        <w:t xml:space="preserve"> and Neurodevelopmental Disorders. </w:t>
      </w:r>
      <w:r w:rsidRPr="00C83CD6">
        <w:rPr>
          <w:i/>
          <w:iCs/>
        </w:rPr>
        <w:t>World Psychiatry</w:t>
      </w:r>
      <w:r w:rsidRPr="00C83CD6">
        <w:t xml:space="preserve"> </w:t>
      </w:r>
      <w:r w:rsidRPr="00C83CD6">
        <w:rPr>
          <w:b/>
          <w:bCs/>
        </w:rPr>
        <w:t>2019</w:t>
      </w:r>
      <w:r w:rsidRPr="00C83CD6">
        <w:t xml:space="preserve">, </w:t>
      </w:r>
      <w:r w:rsidRPr="00C83CD6">
        <w:rPr>
          <w:i/>
          <w:iCs/>
        </w:rPr>
        <w:t>18</w:t>
      </w:r>
      <w:r w:rsidRPr="00C83CD6">
        <w:t>, 3–19. https://doi.org/10.1002/wps.20611.</w:t>
      </w:r>
    </w:p>
    <w:p w14:paraId="6DF3C34E" w14:textId="77777777" w:rsidR="005A57D3" w:rsidRPr="00C83CD6" w:rsidRDefault="005A57D3" w:rsidP="005A57D3">
      <w:pPr>
        <w:pStyle w:val="MDPI81references"/>
        <w:numPr>
          <w:ilvl w:val="0"/>
          <w:numId w:val="23"/>
        </w:numPr>
      </w:pPr>
      <w:r w:rsidRPr="00C83CD6">
        <w:t xml:space="preserve">Han, J.; </w:t>
      </w:r>
      <w:proofErr w:type="spellStart"/>
      <w:r w:rsidRPr="00C83CD6">
        <w:t>Pontikes</w:t>
      </w:r>
      <w:proofErr w:type="spellEnd"/>
      <w:r w:rsidRPr="00C83CD6">
        <w:t xml:space="preserve">, T.K.; Zabinski, J.; Gilbert, C.; Hicks, C.; Fayez, R.; </w:t>
      </w:r>
      <w:proofErr w:type="spellStart"/>
      <w:r w:rsidRPr="00C83CD6">
        <w:t>Walterfang</w:t>
      </w:r>
      <w:proofErr w:type="spellEnd"/>
      <w:r w:rsidRPr="00C83CD6">
        <w:t xml:space="preserve">, M.; </w:t>
      </w:r>
      <w:proofErr w:type="spellStart"/>
      <w:r w:rsidRPr="00C83CD6">
        <w:t>Mahdanian</w:t>
      </w:r>
      <w:proofErr w:type="spellEnd"/>
      <w:r w:rsidRPr="00C83CD6">
        <w:t xml:space="preserve">, A.; Nanavati, J.; Lobner, K.; et al. First-Onset Psychosis After COVID-19 Infection: A Systematic Review of the Literature. </w:t>
      </w:r>
      <w:r w:rsidRPr="00C83CD6">
        <w:rPr>
          <w:i/>
          <w:iCs/>
        </w:rPr>
        <w:t>J. Acad. Consult. Liaison Psychiatry</w:t>
      </w:r>
      <w:r w:rsidRPr="00C83CD6">
        <w:t xml:space="preserve"> </w:t>
      </w:r>
      <w:r w:rsidRPr="00C83CD6">
        <w:rPr>
          <w:b/>
          <w:bCs/>
        </w:rPr>
        <w:t>2023</w:t>
      </w:r>
      <w:r w:rsidRPr="00C83CD6">
        <w:t xml:space="preserve">, </w:t>
      </w:r>
      <w:r w:rsidRPr="00C83CD6">
        <w:rPr>
          <w:i/>
          <w:iCs/>
        </w:rPr>
        <w:t>64</w:t>
      </w:r>
      <w:r w:rsidRPr="00C83CD6">
        <w:t>, 533–549. https://doi.org/10.1016/j.jaclp.2023.07.002.</w:t>
      </w:r>
    </w:p>
    <w:p w14:paraId="3B986EF6" w14:textId="77777777" w:rsidR="005A57D3" w:rsidRPr="00C83CD6" w:rsidRDefault="005A57D3" w:rsidP="005A57D3">
      <w:pPr>
        <w:pStyle w:val="MDPI81references"/>
        <w:numPr>
          <w:ilvl w:val="0"/>
          <w:numId w:val="23"/>
        </w:numPr>
      </w:pPr>
      <w:r w:rsidRPr="00C83CD6">
        <w:t xml:space="preserve">Lubman, D.I.; </w:t>
      </w:r>
      <w:proofErr w:type="spellStart"/>
      <w:r w:rsidRPr="00C83CD6">
        <w:t>Velakoulis</w:t>
      </w:r>
      <w:proofErr w:type="spellEnd"/>
      <w:r w:rsidRPr="00C83CD6">
        <w:t xml:space="preserve">, D.; McGorry, P.D.; Smith, D.J.; Brewer, W.; Stuart, G.; Desmond, P.; Tress, B.; Pantelis, C. Incidental Radiological Findings on Brain Magnetic Resonance Imaging in First-Episode Psychosis and Chronic Schizophrenia. </w:t>
      </w:r>
      <w:r w:rsidRPr="00C83CD6">
        <w:rPr>
          <w:i/>
          <w:iCs/>
        </w:rPr>
        <w:t xml:space="preserve">Acta </w:t>
      </w:r>
      <w:proofErr w:type="spellStart"/>
      <w:r w:rsidRPr="00C83CD6">
        <w:rPr>
          <w:i/>
          <w:iCs/>
        </w:rPr>
        <w:t>Psychiatr</w:t>
      </w:r>
      <w:proofErr w:type="spellEnd"/>
      <w:r w:rsidRPr="00C83CD6">
        <w:rPr>
          <w:i/>
          <w:iCs/>
        </w:rPr>
        <w:t xml:space="preserve">. Scand. </w:t>
      </w:r>
      <w:r w:rsidRPr="00C83CD6">
        <w:rPr>
          <w:b/>
          <w:bCs/>
        </w:rPr>
        <w:t>2002</w:t>
      </w:r>
      <w:r w:rsidRPr="00C83CD6">
        <w:t xml:space="preserve">, </w:t>
      </w:r>
      <w:r w:rsidRPr="00C83CD6">
        <w:rPr>
          <w:i/>
          <w:iCs/>
        </w:rPr>
        <w:t>106</w:t>
      </w:r>
      <w:r w:rsidRPr="00C83CD6">
        <w:t>, 331–336. https://doi.org/10.1034/j.1600-0447.2002.02217.x.</w:t>
      </w:r>
    </w:p>
    <w:p w14:paraId="61E5B54C" w14:textId="77777777" w:rsidR="005A57D3" w:rsidRPr="00C83CD6" w:rsidRDefault="005A57D3" w:rsidP="005A57D3">
      <w:pPr>
        <w:pStyle w:val="MDPI81references"/>
        <w:numPr>
          <w:ilvl w:val="0"/>
          <w:numId w:val="23"/>
        </w:numPr>
      </w:pPr>
      <w:r w:rsidRPr="00C83CD6">
        <w:t xml:space="preserve">Forbes, M.; </w:t>
      </w:r>
      <w:proofErr w:type="spellStart"/>
      <w:r w:rsidRPr="00C83CD6">
        <w:t>Stefler</w:t>
      </w:r>
      <w:proofErr w:type="spellEnd"/>
      <w:r w:rsidRPr="00C83CD6">
        <w:t xml:space="preserve">, D.; </w:t>
      </w:r>
      <w:proofErr w:type="spellStart"/>
      <w:r w:rsidRPr="00C83CD6">
        <w:t>Velakoulis</w:t>
      </w:r>
      <w:proofErr w:type="spellEnd"/>
      <w:r w:rsidRPr="00C83CD6">
        <w:t xml:space="preserve">, D.; Stuckey, S.; Trudel, J.-F.; Eyre, H.; Boyd, M.; </w:t>
      </w:r>
      <w:proofErr w:type="spellStart"/>
      <w:r w:rsidRPr="00C83CD6">
        <w:t>Kisely</w:t>
      </w:r>
      <w:proofErr w:type="spellEnd"/>
      <w:r w:rsidRPr="00C83CD6">
        <w:t xml:space="preserve">, S. The Clinical Utility of Structural Neuroimaging in First-Episode Psychosis: A Systematic Review. </w:t>
      </w:r>
      <w:r>
        <w:rPr>
          <w:i/>
          <w:iCs/>
        </w:rPr>
        <w:t xml:space="preserve">Aust. </w:t>
      </w:r>
      <w:r w:rsidRPr="00987A40">
        <w:rPr>
          <w:i/>
          <w:iCs/>
        </w:rPr>
        <w:t>N</w:t>
      </w:r>
      <w:r>
        <w:rPr>
          <w:i/>
          <w:iCs/>
        </w:rPr>
        <w:t>.</w:t>
      </w:r>
      <w:r w:rsidRPr="00987A40">
        <w:rPr>
          <w:i/>
          <w:iCs/>
        </w:rPr>
        <w:t xml:space="preserve"> Z</w:t>
      </w:r>
      <w:r>
        <w:rPr>
          <w:i/>
          <w:iCs/>
        </w:rPr>
        <w:t>.</w:t>
      </w:r>
      <w:r w:rsidRPr="00987A40">
        <w:rPr>
          <w:i/>
          <w:iCs/>
        </w:rPr>
        <w:t xml:space="preserve"> </w:t>
      </w:r>
      <w:r>
        <w:rPr>
          <w:i/>
          <w:iCs/>
        </w:rPr>
        <w:t xml:space="preserve">J. </w:t>
      </w:r>
      <w:r w:rsidRPr="00987A40">
        <w:rPr>
          <w:i/>
          <w:iCs/>
        </w:rPr>
        <w:t>Psychiatry</w:t>
      </w:r>
      <w:r w:rsidRPr="00C83CD6">
        <w:t xml:space="preserve"> </w:t>
      </w:r>
      <w:r w:rsidRPr="00C83CD6">
        <w:rPr>
          <w:b/>
          <w:bCs/>
        </w:rPr>
        <w:t>2019</w:t>
      </w:r>
      <w:r w:rsidRPr="00C83CD6">
        <w:t xml:space="preserve">, </w:t>
      </w:r>
      <w:r w:rsidRPr="00C83CD6">
        <w:rPr>
          <w:i/>
          <w:iCs/>
        </w:rPr>
        <w:t>53</w:t>
      </w:r>
      <w:r w:rsidRPr="00C83CD6">
        <w:t>, 1093–1104. https://doi.org/10.1177/0004867419848035.</w:t>
      </w:r>
    </w:p>
    <w:p w14:paraId="44690DF5" w14:textId="77777777" w:rsidR="005A57D3" w:rsidRPr="009728C0" w:rsidRDefault="005A57D3" w:rsidP="005A57D3">
      <w:pPr>
        <w:pStyle w:val="MDPI81references"/>
        <w:numPr>
          <w:ilvl w:val="0"/>
          <w:numId w:val="23"/>
        </w:numPr>
      </w:pPr>
      <w:proofErr w:type="spellStart"/>
      <w:r w:rsidRPr="00C83CD6">
        <w:t>Skikic</w:t>
      </w:r>
      <w:proofErr w:type="spellEnd"/>
      <w:r w:rsidRPr="00C83CD6">
        <w:t xml:space="preserve">, M.; Arriola, J.A. First Episode Psychosis Medical Workup: Evidence-Informed Recommendations and Introduction to a Clinically Guided Approach. </w:t>
      </w:r>
      <w:r w:rsidRPr="00C83CD6">
        <w:rPr>
          <w:i/>
          <w:iCs/>
        </w:rPr>
        <w:t xml:space="preserve">Child. </w:t>
      </w:r>
      <w:proofErr w:type="spellStart"/>
      <w:r w:rsidRPr="00C83CD6">
        <w:rPr>
          <w:i/>
          <w:iCs/>
        </w:rPr>
        <w:t>Adolesc</w:t>
      </w:r>
      <w:proofErr w:type="spellEnd"/>
      <w:r w:rsidRPr="00C83CD6">
        <w:rPr>
          <w:i/>
          <w:iCs/>
        </w:rPr>
        <w:t xml:space="preserve">. </w:t>
      </w:r>
      <w:proofErr w:type="spellStart"/>
      <w:r w:rsidRPr="00C83CD6">
        <w:rPr>
          <w:i/>
          <w:iCs/>
        </w:rPr>
        <w:t>Psychiatr</w:t>
      </w:r>
      <w:proofErr w:type="spellEnd"/>
      <w:r w:rsidRPr="00C83CD6">
        <w:rPr>
          <w:i/>
          <w:iCs/>
        </w:rPr>
        <w:t xml:space="preserve">. Clin. </w:t>
      </w:r>
      <w:r w:rsidRPr="00C83CD6">
        <w:rPr>
          <w:b/>
          <w:bCs/>
        </w:rPr>
        <w:t>20</w:t>
      </w:r>
      <w:r w:rsidRPr="002871C9">
        <w:rPr>
          <w:b/>
          <w:bCs/>
        </w:rPr>
        <w:t>20</w:t>
      </w:r>
      <w:r w:rsidRPr="002871C9">
        <w:t xml:space="preserve">, </w:t>
      </w:r>
      <w:r w:rsidRPr="002871C9">
        <w:rPr>
          <w:i/>
          <w:iCs/>
        </w:rPr>
        <w:t>29</w:t>
      </w:r>
      <w:r w:rsidRPr="002871C9">
        <w:t>, 15–28</w:t>
      </w:r>
      <w:r>
        <w:t>. https://doi.org/</w:t>
      </w:r>
      <w:r w:rsidRPr="009728C0">
        <w:t>10.1016/j.chc.2019.08.010.</w:t>
      </w:r>
    </w:p>
    <w:p w14:paraId="0D4958AF" w14:textId="77777777" w:rsidR="005A57D3" w:rsidRPr="00C83CD6" w:rsidRDefault="005A57D3" w:rsidP="005A57D3">
      <w:pPr>
        <w:pStyle w:val="MDPI81references"/>
        <w:numPr>
          <w:ilvl w:val="0"/>
          <w:numId w:val="23"/>
        </w:numPr>
      </w:pPr>
      <w:r w:rsidRPr="009728C0">
        <w:t>Yen, C.; Lin, C.-L.; Chiang, M.-C. Exploring the Frontiers of Neuroimaging: A Review of Recent Advances in</w:t>
      </w:r>
      <w:r>
        <w:t xml:space="preserve"> </w:t>
      </w:r>
      <w:r w:rsidRPr="009728C0">
        <w:t xml:space="preserve">Understanding Brain Functioning and Disorders. </w:t>
      </w:r>
      <w:r w:rsidRPr="00C809C5">
        <w:rPr>
          <w:i/>
          <w:iCs/>
        </w:rPr>
        <w:t>Life</w:t>
      </w:r>
      <w:r w:rsidRPr="00C809C5">
        <w:t xml:space="preserve"> </w:t>
      </w:r>
      <w:r w:rsidRPr="00C809C5">
        <w:rPr>
          <w:b/>
          <w:bCs/>
        </w:rPr>
        <w:t>2023</w:t>
      </w:r>
      <w:r w:rsidRPr="00C809C5">
        <w:rPr>
          <w:bCs/>
        </w:rPr>
        <w:t xml:space="preserve">, </w:t>
      </w:r>
      <w:r w:rsidRPr="00C809C5">
        <w:rPr>
          <w:bCs/>
          <w:i/>
        </w:rPr>
        <w:t>13</w:t>
      </w:r>
      <w:r w:rsidRPr="00C809C5">
        <w:rPr>
          <w:bCs/>
        </w:rPr>
        <w:t xml:space="preserve">, </w:t>
      </w:r>
      <w:commentRangeStart w:id="39"/>
      <w:r w:rsidRPr="00C809C5">
        <w:rPr>
          <w:bCs/>
          <w:highlight w:val="yellow"/>
        </w:rPr>
        <w:t>1472</w:t>
      </w:r>
      <w:commentRangeEnd w:id="39"/>
      <w:r>
        <w:rPr>
          <w:rStyle w:val="CommentReference"/>
          <w:rFonts w:eastAsia="宋体"/>
          <w:lang w:eastAsia="zh-CN" w:bidi="ar-SA"/>
        </w:rPr>
        <w:commentReference w:id="39"/>
      </w:r>
      <w:r w:rsidRPr="00C809C5">
        <w:t>. h</w:t>
      </w:r>
      <w:r>
        <w:t>tt</w:t>
      </w:r>
      <w:r w:rsidRPr="00C83CD6">
        <w:t>ps://doi.org/10.3390/life13071472.</w:t>
      </w:r>
    </w:p>
    <w:p w14:paraId="51DBDB89" w14:textId="77777777" w:rsidR="005A57D3" w:rsidRPr="00C83CD6" w:rsidRDefault="005A57D3" w:rsidP="005A57D3">
      <w:pPr>
        <w:pStyle w:val="MDPI81references"/>
        <w:numPr>
          <w:ilvl w:val="0"/>
          <w:numId w:val="23"/>
        </w:numPr>
      </w:pPr>
      <w:r w:rsidRPr="00C83CD6">
        <w:t xml:space="preserve">Alberich Bayarri, A.; Martí </w:t>
      </w:r>
      <w:proofErr w:type="spellStart"/>
      <w:r w:rsidRPr="00C83CD6">
        <w:t>Bonmatí</w:t>
      </w:r>
      <w:proofErr w:type="spellEnd"/>
      <w:r w:rsidRPr="00C83CD6">
        <w:t xml:space="preserve">, L.; Lafuente, J.; Guibelalde del Castillo, E. Safe use of magnetic resonance imaging: Practical recommendations for personnel. </w:t>
      </w:r>
      <w:proofErr w:type="spellStart"/>
      <w:r w:rsidRPr="00C83CD6">
        <w:rPr>
          <w:i/>
          <w:iCs/>
        </w:rPr>
        <w:t>Radiologia</w:t>
      </w:r>
      <w:proofErr w:type="spellEnd"/>
      <w:r w:rsidRPr="00C83CD6">
        <w:t xml:space="preserve"> </w:t>
      </w:r>
      <w:r w:rsidRPr="00C83CD6">
        <w:rPr>
          <w:b/>
          <w:bCs/>
        </w:rPr>
        <w:t>2013</w:t>
      </w:r>
      <w:r w:rsidRPr="00C83CD6">
        <w:t xml:space="preserve">, </w:t>
      </w:r>
      <w:r w:rsidRPr="00C83CD6">
        <w:rPr>
          <w:i/>
          <w:iCs/>
        </w:rPr>
        <w:t>55</w:t>
      </w:r>
      <w:r w:rsidRPr="00C83CD6">
        <w:t>, 99–106. https://doi.org/10.1016/j.rx.2012.10.005.</w:t>
      </w:r>
    </w:p>
    <w:p w14:paraId="7A81E5D1" w14:textId="77777777" w:rsidR="005A57D3" w:rsidRPr="00C83CD6" w:rsidRDefault="005A57D3" w:rsidP="005A57D3">
      <w:pPr>
        <w:pStyle w:val="MDPI81references"/>
        <w:numPr>
          <w:ilvl w:val="0"/>
          <w:numId w:val="23"/>
        </w:numPr>
      </w:pPr>
      <w:proofErr w:type="spellStart"/>
      <w:r w:rsidRPr="00C83CD6">
        <w:t>Mushlin</w:t>
      </w:r>
      <w:proofErr w:type="spellEnd"/>
      <w:r w:rsidRPr="00C83CD6">
        <w:t xml:space="preserve">, A.I.; Mooney, C.; Holloway, R.G.; Detsky, A.S.; Mattson, D.H.; Phelps, C.E. The Cost-Effectiveness of Magnetic Resonance Imaging for Patients with Equivocal Neurological Symptoms. </w:t>
      </w:r>
      <w:r w:rsidRPr="00C83CD6">
        <w:rPr>
          <w:i/>
          <w:iCs/>
        </w:rPr>
        <w:t>Int. J. Technol. Assess. Health Care</w:t>
      </w:r>
      <w:r w:rsidRPr="00C83CD6">
        <w:t xml:space="preserve"> </w:t>
      </w:r>
      <w:r w:rsidRPr="00C83CD6">
        <w:rPr>
          <w:b/>
          <w:bCs/>
        </w:rPr>
        <w:t>1997</w:t>
      </w:r>
      <w:r w:rsidRPr="00C83CD6">
        <w:t xml:space="preserve">, </w:t>
      </w:r>
      <w:r w:rsidRPr="00C83CD6">
        <w:rPr>
          <w:i/>
          <w:iCs/>
        </w:rPr>
        <w:t>13</w:t>
      </w:r>
      <w:r w:rsidRPr="00C83CD6">
        <w:t>, 21–34. https://doi.org/10.1017/s0266462300010205.</w:t>
      </w:r>
    </w:p>
    <w:p w14:paraId="645A74F7" w14:textId="77777777" w:rsidR="005A57D3" w:rsidRPr="00C83CD6" w:rsidRDefault="005A57D3" w:rsidP="005A57D3">
      <w:pPr>
        <w:pStyle w:val="MDPI81references"/>
        <w:numPr>
          <w:ilvl w:val="0"/>
          <w:numId w:val="23"/>
        </w:numPr>
      </w:pPr>
      <w:r w:rsidRPr="00C83CD6">
        <w:t xml:space="preserve">Costello, J.E.; </w:t>
      </w:r>
      <w:proofErr w:type="spellStart"/>
      <w:r w:rsidRPr="00C83CD6">
        <w:t>Cecava</w:t>
      </w:r>
      <w:proofErr w:type="spellEnd"/>
      <w:r w:rsidRPr="00C83CD6">
        <w:t xml:space="preserve">, N.D.; Tucker, J.E.; Bau, J.L. CT Radiation Dose: Current Controversies and Dose Reduction Strategies. </w:t>
      </w:r>
      <w:r w:rsidRPr="00C83CD6">
        <w:rPr>
          <w:i/>
          <w:iCs/>
        </w:rPr>
        <w:t xml:space="preserve">AJR Am. J. </w:t>
      </w:r>
      <w:proofErr w:type="spellStart"/>
      <w:r w:rsidRPr="00C83CD6">
        <w:rPr>
          <w:i/>
          <w:iCs/>
        </w:rPr>
        <w:t>Roentgenol</w:t>
      </w:r>
      <w:proofErr w:type="spellEnd"/>
      <w:r w:rsidRPr="00C83CD6">
        <w:rPr>
          <w:i/>
          <w:iCs/>
        </w:rPr>
        <w:t xml:space="preserve">. </w:t>
      </w:r>
      <w:r w:rsidRPr="00C83CD6">
        <w:rPr>
          <w:b/>
          <w:bCs/>
        </w:rPr>
        <w:t>2013</w:t>
      </w:r>
      <w:r w:rsidRPr="00C83CD6">
        <w:t xml:space="preserve">, </w:t>
      </w:r>
      <w:r w:rsidRPr="00C83CD6">
        <w:rPr>
          <w:i/>
          <w:iCs/>
        </w:rPr>
        <w:t>201</w:t>
      </w:r>
      <w:r w:rsidRPr="00C83CD6">
        <w:t>, 1283–1290. https://doi.org/10.2214/AJR.12.9720.</w:t>
      </w:r>
    </w:p>
    <w:p w14:paraId="7D461340" w14:textId="77777777" w:rsidR="005A57D3" w:rsidRPr="00C83CD6" w:rsidRDefault="005A57D3" w:rsidP="005A57D3">
      <w:pPr>
        <w:pStyle w:val="MDPI81references"/>
        <w:numPr>
          <w:ilvl w:val="0"/>
          <w:numId w:val="23"/>
        </w:numPr>
      </w:pPr>
      <w:r w:rsidRPr="00C83CD6">
        <w:lastRenderedPageBreak/>
        <w:t xml:space="preserve">de </w:t>
      </w:r>
      <w:proofErr w:type="spellStart"/>
      <w:r w:rsidRPr="00C83CD6">
        <w:t>Havenon</w:t>
      </w:r>
      <w:proofErr w:type="spellEnd"/>
      <w:r w:rsidRPr="00C83CD6">
        <w:t xml:space="preserve">, A.; Orlando, C.; Delic, A.; McNally, J.S.; </w:t>
      </w:r>
      <w:proofErr w:type="spellStart"/>
      <w:r w:rsidRPr="00C83CD6">
        <w:t>Majersik</w:t>
      </w:r>
      <w:proofErr w:type="spellEnd"/>
      <w:r w:rsidRPr="00C83CD6">
        <w:t xml:space="preserve">, J.J.; Harman, T.; Alexander, M.; Reddy, V.; Lyden, S.; Anzai, Y. Direct Cost Analysis of Rapid MRI in the Emergency Department Evaluation of Patients Suspected of Having Acute Ischemic Stroke. </w:t>
      </w:r>
      <w:proofErr w:type="spellStart"/>
      <w:r w:rsidRPr="00C83CD6">
        <w:rPr>
          <w:i/>
          <w:iCs/>
        </w:rPr>
        <w:t>Neuroradiol</w:t>
      </w:r>
      <w:proofErr w:type="spellEnd"/>
      <w:r w:rsidRPr="00C83CD6">
        <w:rPr>
          <w:i/>
          <w:iCs/>
        </w:rPr>
        <w:t xml:space="preserve">. J. </w:t>
      </w:r>
      <w:r w:rsidRPr="00C83CD6">
        <w:rPr>
          <w:b/>
          <w:bCs/>
        </w:rPr>
        <w:t>2023</w:t>
      </w:r>
      <w:r w:rsidRPr="00C83CD6">
        <w:t xml:space="preserve">, </w:t>
      </w:r>
      <w:r w:rsidRPr="00C83CD6">
        <w:rPr>
          <w:i/>
          <w:iCs/>
        </w:rPr>
        <w:t>36</w:t>
      </w:r>
      <w:r w:rsidRPr="00C83CD6">
        <w:t>, 142–147. https://doi.org/10.1177/19714009221108681.</w:t>
      </w:r>
    </w:p>
    <w:p w14:paraId="045D7132" w14:textId="77777777" w:rsidR="005A57D3" w:rsidRPr="00C83CD6" w:rsidRDefault="005A57D3" w:rsidP="005A57D3">
      <w:pPr>
        <w:pStyle w:val="MDPI81references"/>
        <w:numPr>
          <w:ilvl w:val="0"/>
          <w:numId w:val="23"/>
        </w:numPr>
      </w:pPr>
      <w:r w:rsidRPr="00C83CD6">
        <w:t xml:space="preserve">Watson, D.R.; Bai, F.; Barrett, S.L.; Turkington, A.; Rushe, T.M.; Mulholland, C.C.; Cooper, S.J. Structural Changes in the Hippocampus and Amygdala at First Episode of Psychosis. </w:t>
      </w:r>
      <w:r w:rsidRPr="00C83CD6">
        <w:rPr>
          <w:i/>
          <w:iCs/>
        </w:rPr>
        <w:t xml:space="preserve">Brain Imaging </w:t>
      </w:r>
      <w:proofErr w:type="spellStart"/>
      <w:r w:rsidRPr="00C83CD6">
        <w:rPr>
          <w:i/>
          <w:iCs/>
        </w:rPr>
        <w:t>Behav</w:t>
      </w:r>
      <w:proofErr w:type="spellEnd"/>
      <w:r w:rsidRPr="00C83CD6">
        <w:rPr>
          <w:i/>
          <w:iCs/>
        </w:rPr>
        <w:t xml:space="preserve">. </w:t>
      </w:r>
      <w:r w:rsidRPr="00C83CD6">
        <w:rPr>
          <w:b/>
          <w:bCs/>
        </w:rPr>
        <w:t>2012</w:t>
      </w:r>
      <w:r w:rsidRPr="00C83CD6">
        <w:t xml:space="preserve">, </w:t>
      </w:r>
      <w:r w:rsidRPr="00C83CD6">
        <w:rPr>
          <w:i/>
          <w:iCs/>
        </w:rPr>
        <w:t>6</w:t>
      </w:r>
      <w:r w:rsidRPr="00C83CD6">
        <w:t>, 49–60. https://doi.org/10.1007/s11682-011-9141-4.</w:t>
      </w:r>
    </w:p>
    <w:p w14:paraId="0FCC30DB" w14:textId="77777777" w:rsidR="005A57D3" w:rsidRPr="00C83CD6" w:rsidRDefault="005A57D3" w:rsidP="005A57D3">
      <w:pPr>
        <w:pStyle w:val="MDPI81references"/>
        <w:numPr>
          <w:ilvl w:val="0"/>
          <w:numId w:val="23"/>
        </w:numPr>
      </w:pPr>
      <w:r w:rsidRPr="00C83CD6">
        <w:t xml:space="preserve">Bellani, M.; </w:t>
      </w:r>
      <w:proofErr w:type="spellStart"/>
      <w:r w:rsidRPr="00C83CD6">
        <w:t>Perlini</w:t>
      </w:r>
      <w:proofErr w:type="spellEnd"/>
      <w:r w:rsidRPr="00C83CD6">
        <w:t xml:space="preserve">, C.; </w:t>
      </w:r>
      <w:proofErr w:type="spellStart"/>
      <w:r w:rsidRPr="00C83CD6">
        <w:t>Zovetti</w:t>
      </w:r>
      <w:proofErr w:type="spellEnd"/>
      <w:r w:rsidRPr="00C83CD6">
        <w:t xml:space="preserve">, N.; Rossetti, M.G.; Alessandrini, F.; Barillari, M.; Ricciardi, G.K.; Konze, A.; Sberna, M.; </w:t>
      </w:r>
      <w:proofErr w:type="spellStart"/>
      <w:r w:rsidRPr="00C83CD6">
        <w:t>Zoccatelli</w:t>
      </w:r>
      <w:proofErr w:type="spellEnd"/>
      <w:r w:rsidRPr="00C83CD6">
        <w:t xml:space="preserve">, G.; et al. Incidental Findings on Brain MRI in Patients with First-Episode and Chronic Psychosis. </w:t>
      </w:r>
      <w:r w:rsidRPr="00C83CD6">
        <w:rPr>
          <w:i/>
          <w:iCs/>
        </w:rPr>
        <w:t>Psychiatry Res. Neuroimaging</w:t>
      </w:r>
      <w:r w:rsidRPr="00C83CD6">
        <w:t xml:space="preserve"> </w:t>
      </w:r>
      <w:r w:rsidRPr="00C83CD6">
        <w:rPr>
          <w:b/>
          <w:bCs/>
        </w:rPr>
        <w:t>2022</w:t>
      </w:r>
      <w:r w:rsidRPr="00C83CD6">
        <w:t xml:space="preserve">, </w:t>
      </w:r>
      <w:r w:rsidRPr="00C83CD6">
        <w:rPr>
          <w:i/>
          <w:iCs/>
        </w:rPr>
        <w:t>326</w:t>
      </w:r>
      <w:r w:rsidRPr="00C83CD6">
        <w:t>, 111518. https://doi.org/10.1016/j.pscychresns.2022.111518.</w:t>
      </w:r>
    </w:p>
    <w:p w14:paraId="277B030C" w14:textId="77777777" w:rsidR="005A57D3" w:rsidRPr="00C83CD6" w:rsidRDefault="005A57D3" w:rsidP="005A57D3">
      <w:pPr>
        <w:pStyle w:val="MDPI81references"/>
        <w:numPr>
          <w:ilvl w:val="0"/>
          <w:numId w:val="23"/>
        </w:numPr>
      </w:pPr>
      <w:r w:rsidRPr="00C83CD6">
        <w:t xml:space="preserve">Melo, A.; Santos, A.S. Psychotic Symptoms Associated With a Frontoparietal Arachnoid Cyst: The Role of Neuroimaging Studies in First-Episode Psychosis. </w:t>
      </w:r>
      <w:r w:rsidRPr="00C83CD6">
        <w:rPr>
          <w:i/>
          <w:iCs/>
        </w:rPr>
        <w:t>Cureus</w:t>
      </w:r>
      <w:r w:rsidRPr="00C83CD6">
        <w:t xml:space="preserve"> </w:t>
      </w:r>
      <w:r w:rsidRPr="00C83CD6">
        <w:rPr>
          <w:b/>
          <w:bCs/>
        </w:rPr>
        <w:t>2022</w:t>
      </w:r>
      <w:r w:rsidRPr="00C83CD6">
        <w:t xml:space="preserve">, </w:t>
      </w:r>
      <w:r w:rsidRPr="00C83CD6">
        <w:rPr>
          <w:i/>
          <w:iCs/>
        </w:rPr>
        <w:t>14</w:t>
      </w:r>
      <w:r w:rsidRPr="00C83CD6">
        <w:t>, e31652. https://doi.org/10.7759/cureus.31652.</w:t>
      </w:r>
    </w:p>
    <w:p w14:paraId="3530B3C2" w14:textId="77777777" w:rsidR="005A57D3" w:rsidRPr="00C83CD6" w:rsidRDefault="005A57D3" w:rsidP="005A57D3">
      <w:pPr>
        <w:pStyle w:val="MDPI81references"/>
        <w:numPr>
          <w:ilvl w:val="0"/>
          <w:numId w:val="23"/>
        </w:numPr>
      </w:pPr>
      <w:r w:rsidRPr="00C83CD6">
        <w:t xml:space="preserve">Das, S.; Kartha, A.; Purushothaman, S.T.; Rajan, V. Arachnoid Cyst and Psychosis: The Troublemaker or Innocent Bystander. </w:t>
      </w:r>
      <w:r w:rsidRPr="00C83CD6">
        <w:rPr>
          <w:i/>
          <w:iCs/>
        </w:rPr>
        <w:t xml:space="preserve">Indian. J. Psychol. Med. </w:t>
      </w:r>
      <w:r w:rsidRPr="00C83CD6">
        <w:rPr>
          <w:b/>
          <w:bCs/>
        </w:rPr>
        <w:t>2017</w:t>
      </w:r>
      <w:r w:rsidRPr="00C83CD6">
        <w:t xml:space="preserve">, </w:t>
      </w:r>
      <w:r w:rsidRPr="00C83CD6">
        <w:rPr>
          <w:i/>
          <w:iCs/>
        </w:rPr>
        <w:t>39</w:t>
      </w:r>
      <w:r w:rsidRPr="00C83CD6">
        <w:t>, 194–195. https://doi.org/10.4103/0253-7176.203107.</w:t>
      </w:r>
    </w:p>
    <w:p w14:paraId="286CEF7F" w14:textId="77777777" w:rsidR="005A57D3" w:rsidRPr="00C83CD6" w:rsidRDefault="005A57D3" w:rsidP="005A57D3">
      <w:pPr>
        <w:pStyle w:val="MDPI81references"/>
        <w:numPr>
          <w:ilvl w:val="0"/>
          <w:numId w:val="23"/>
        </w:numPr>
      </w:pPr>
      <w:r w:rsidRPr="00C83CD6">
        <w:t xml:space="preserve">da Silva, J.A.; Alves, A.; Talina, M.; Carreiro, S.; Guimarães, J.; Xavier, M. Arachnoid Cyst in a Patient with Psychosis: Case Report. </w:t>
      </w:r>
      <w:r w:rsidRPr="00C83CD6">
        <w:rPr>
          <w:i/>
          <w:iCs/>
        </w:rPr>
        <w:t>Ann. Gen. Psychiatry</w:t>
      </w:r>
      <w:r w:rsidRPr="00C83CD6">
        <w:t xml:space="preserve"> </w:t>
      </w:r>
      <w:r w:rsidRPr="00C83CD6">
        <w:rPr>
          <w:b/>
          <w:bCs/>
        </w:rPr>
        <w:t>2007</w:t>
      </w:r>
      <w:r w:rsidRPr="00C83CD6">
        <w:t xml:space="preserve">, </w:t>
      </w:r>
      <w:r w:rsidRPr="00C83CD6">
        <w:rPr>
          <w:i/>
          <w:iCs/>
        </w:rPr>
        <w:t>6</w:t>
      </w:r>
      <w:r w:rsidRPr="00C83CD6">
        <w:t>, 16. https://doi.org/10.1186/1744-859X-6-16.</w:t>
      </w:r>
    </w:p>
    <w:p w14:paraId="762CA2B1" w14:textId="77777777" w:rsidR="005A57D3" w:rsidRPr="00C83CD6" w:rsidRDefault="005A57D3" w:rsidP="005A57D3">
      <w:pPr>
        <w:pStyle w:val="MDPI81references"/>
        <w:numPr>
          <w:ilvl w:val="0"/>
          <w:numId w:val="23"/>
        </w:numPr>
      </w:pPr>
      <w:r w:rsidRPr="00C83CD6">
        <w:t>Blackman, G.; Neri, G.; Al-</w:t>
      </w:r>
      <w:proofErr w:type="spellStart"/>
      <w:r w:rsidRPr="00C83CD6">
        <w:t>Doori</w:t>
      </w:r>
      <w:proofErr w:type="spellEnd"/>
      <w:r w:rsidRPr="00C83CD6">
        <w:t xml:space="preserve">, O.; Teixeira-Dias, M.; Mazumder, A.; Pollak, T.A.; Hird, E.J.; </w:t>
      </w:r>
      <w:proofErr w:type="spellStart"/>
      <w:r w:rsidRPr="00C83CD6">
        <w:t>Koutsouleris</w:t>
      </w:r>
      <w:proofErr w:type="spellEnd"/>
      <w:r w:rsidRPr="00C83CD6">
        <w:t xml:space="preserve">, N.; Bell, V.; Kempton, M.J.; et al. Prevalence of Neuroradiological Abnormalities in First-Episode Psychosis: A Systematic Review and Meta-Analysis. </w:t>
      </w:r>
      <w:r w:rsidRPr="00C83CD6">
        <w:rPr>
          <w:i/>
          <w:iCs/>
        </w:rPr>
        <w:t>JAMA Psychiatry</w:t>
      </w:r>
      <w:r w:rsidRPr="00C83CD6">
        <w:t xml:space="preserve"> </w:t>
      </w:r>
      <w:r w:rsidRPr="00C83CD6">
        <w:rPr>
          <w:b/>
          <w:bCs/>
        </w:rPr>
        <w:t>2023</w:t>
      </w:r>
      <w:r w:rsidRPr="00C83CD6">
        <w:t xml:space="preserve">, </w:t>
      </w:r>
      <w:r w:rsidRPr="00C83CD6">
        <w:rPr>
          <w:i/>
          <w:iCs/>
        </w:rPr>
        <w:t>80</w:t>
      </w:r>
      <w:r w:rsidRPr="00C83CD6">
        <w:t>, 1047–1054. https://doi.org/10.1001/jamapsychiatry.2023.2225.</w:t>
      </w:r>
    </w:p>
    <w:p w14:paraId="296A4C0D" w14:textId="77777777" w:rsidR="005A57D3" w:rsidRPr="00C83CD6" w:rsidRDefault="005A57D3" w:rsidP="005A57D3">
      <w:pPr>
        <w:pStyle w:val="MDPI81references"/>
        <w:numPr>
          <w:ilvl w:val="0"/>
          <w:numId w:val="23"/>
        </w:numPr>
      </w:pPr>
      <w:proofErr w:type="spellStart"/>
      <w:r w:rsidRPr="00C83CD6">
        <w:t>Khandanpour</w:t>
      </w:r>
      <w:proofErr w:type="spellEnd"/>
      <w:r w:rsidRPr="00C83CD6">
        <w:t xml:space="preserve">, N.; Hoggard, N.; Connolly, D.J.A. The Role of MRI and CT of the Brain in First Episodes of Psychosis. </w:t>
      </w:r>
      <w:r w:rsidRPr="00C83CD6">
        <w:rPr>
          <w:i/>
          <w:iCs/>
        </w:rPr>
        <w:t xml:space="preserve">Clin. </w:t>
      </w:r>
      <w:proofErr w:type="spellStart"/>
      <w:r w:rsidRPr="00C83CD6">
        <w:rPr>
          <w:i/>
          <w:iCs/>
        </w:rPr>
        <w:t>Radiol</w:t>
      </w:r>
      <w:proofErr w:type="spellEnd"/>
      <w:r w:rsidRPr="00C83CD6">
        <w:rPr>
          <w:i/>
          <w:iCs/>
        </w:rPr>
        <w:t xml:space="preserve">. </w:t>
      </w:r>
      <w:r w:rsidRPr="00C83CD6">
        <w:rPr>
          <w:b/>
          <w:bCs/>
        </w:rPr>
        <w:t>2013</w:t>
      </w:r>
      <w:r w:rsidRPr="00C83CD6">
        <w:t xml:space="preserve">, </w:t>
      </w:r>
      <w:r w:rsidRPr="00C83CD6">
        <w:rPr>
          <w:i/>
          <w:iCs/>
        </w:rPr>
        <w:t>68</w:t>
      </w:r>
      <w:r w:rsidRPr="00C83CD6">
        <w:t>, 245–250. https://doi.org/10.1016/j.crad.2012.07.010.</w:t>
      </w:r>
    </w:p>
    <w:p w14:paraId="6DF449FD" w14:textId="77777777" w:rsidR="005A57D3" w:rsidRPr="00C83CD6" w:rsidRDefault="005A57D3" w:rsidP="005A57D3">
      <w:pPr>
        <w:pStyle w:val="MDPI81references"/>
        <w:numPr>
          <w:ilvl w:val="0"/>
          <w:numId w:val="23"/>
        </w:numPr>
      </w:pPr>
      <w:r>
        <w:t>V</w:t>
      </w:r>
      <w:r w:rsidRPr="00C83CD6">
        <w:t>on Elm, E.; Altman, D.; Egger, M.; Po</w:t>
      </w:r>
      <w:r w:rsidRPr="006B26CA">
        <w:t>cock, S.; Gøtzsche, P.C.; Vandenbroucke, J.S.I. The S</w:t>
      </w:r>
      <w:r w:rsidRPr="00C83CD6">
        <w:t xml:space="preserve">trengthening the Reporting of Observational Studies in Epidemiology (STROBE) Statement: Guidelines for Reporting Observational Studies. </w:t>
      </w:r>
      <w:r w:rsidRPr="00C83CD6">
        <w:rPr>
          <w:i/>
          <w:iCs/>
        </w:rPr>
        <w:t xml:space="preserve">Int. J. Surg. </w:t>
      </w:r>
      <w:r w:rsidRPr="00C83CD6">
        <w:rPr>
          <w:b/>
          <w:bCs/>
        </w:rPr>
        <w:t>2014</w:t>
      </w:r>
      <w:r w:rsidRPr="00C83CD6">
        <w:t xml:space="preserve">, </w:t>
      </w:r>
      <w:r w:rsidRPr="00C83CD6">
        <w:rPr>
          <w:i/>
          <w:iCs/>
        </w:rPr>
        <w:t>12</w:t>
      </w:r>
      <w:r w:rsidRPr="00C83CD6">
        <w:t>, 1495–1499. https://doi.org/10.1016/j.ijsu.2014.07.013.</w:t>
      </w:r>
    </w:p>
    <w:p w14:paraId="4FC762C0" w14:textId="77777777" w:rsidR="005A57D3" w:rsidRPr="00C83CD6" w:rsidRDefault="005A57D3" w:rsidP="005A57D3">
      <w:pPr>
        <w:pStyle w:val="MDPI81references"/>
        <w:numPr>
          <w:ilvl w:val="0"/>
          <w:numId w:val="23"/>
        </w:numPr>
      </w:pPr>
      <w:r w:rsidRPr="00C83CD6">
        <w:t>Pasquier, F.; Leys, D.; Weerts, J.G.; Mounier-</w:t>
      </w:r>
      <w:proofErr w:type="spellStart"/>
      <w:r w:rsidRPr="00C83CD6">
        <w:t>Vehier</w:t>
      </w:r>
      <w:proofErr w:type="spellEnd"/>
      <w:r w:rsidRPr="00C83CD6">
        <w:t xml:space="preserve">, F.; </w:t>
      </w:r>
      <w:proofErr w:type="spellStart"/>
      <w:r w:rsidRPr="00C83CD6">
        <w:t>Barkhof</w:t>
      </w:r>
      <w:proofErr w:type="spellEnd"/>
      <w:r w:rsidRPr="00C83CD6">
        <w:t xml:space="preserve">, F.; </w:t>
      </w:r>
      <w:proofErr w:type="spellStart"/>
      <w:r w:rsidRPr="00C83CD6">
        <w:t>Scheltens</w:t>
      </w:r>
      <w:proofErr w:type="spellEnd"/>
      <w:r w:rsidRPr="00C83CD6">
        <w:t xml:space="preserve">, P. Inter- and </w:t>
      </w:r>
      <w:proofErr w:type="spellStart"/>
      <w:r w:rsidRPr="00C83CD6">
        <w:t>Intraobserver</w:t>
      </w:r>
      <w:proofErr w:type="spellEnd"/>
      <w:r w:rsidRPr="00C83CD6">
        <w:t xml:space="preserve"> Reproducibility of Cerebral Atrophy Assessment on MRI Scans with Hemispheric Infarcts. </w:t>
      </w:r>
      <w:r w:rsidRPr="00C83CD6">
        <w:rPr>
          <w:i/>
          <w:iCs/>
        </w:rPr>
        <w:t xml:space="preserve">Eur. Neurol. </w:t>
      </w:r>
      <w:r w:rsidRPr="00C83CD6">
        <w:rPr>
          <w:b/>
          <w:bCs/>
        </w:rPr>
        <w:t>1996</w:t>
      </w:r>
      <w:r w:rsidRPr="00C83CD6">
        <w:t xml:space="preserve">, </w:t>
      </w:r>
      <w:r w:rsidRPr="00C83CD6">
        <w:rPr>
          <w:i/>
          <w:iCs/>
        </w:rPr>
        <w:t>36</w:t>
      </w:r>
      <w:r w:rsidRPr="00C83CD6">
        <w:t>, 268–272. https://doi.org/10.1159/000117270.</w:t>
      </w:r>
    </w:p>
    <w:p w14:paraId="2F2432B2" w14:textId="77777777" w:rsidR="005A57D3" w:rsidRPr="00C83CD6" w:rsidRDefault="005A57D3" w:rsidP="005A57D3">
      <w:pPr>
        <w:pStyle w:val="MDPI81references"/>
        <w:numPr>
          <w:ilvl w:val="0"/>
          <w:numId w:val="23"/>
        </w:numPr>
      </w:pPr>
      <w:r w:rsidRPr="00C83CD6">
        <w:t xml:space="preserve">Ferreira, D.; Cavallin, L.; Larsson, E.-M.; </w:t>
      </w:r>
      <w:proofErr w:type="spellStart"/>
      <w:r w:rsidRPr="00C83CD6">
        <w:t>Muehlboeck</w:t>
      </w:r>
      <w:proofErr w:type="spellEnd"/>
      <w:r w:rsidRPr="00C83CD6">
        <w:t xml:space="preserve">, J.-S.; </w:t>
      </w:r>
      <w:proofErr w:type="spellStart"/>
      <w:r w:rsidRPr="00C83CD6">
        <w:t>Mecocci</w:t>
      </w:r>
      <w:proofErr w:type="spellEnd"/>
      <w:r w:rsidRPr="00C83CD6">
        <w:t xml:space="preserve">, P.; Vellas, B.; Tsolaki, M.; </w:t>
      </w:r>
      <w:proofErr w:type="spellStart"/>
      <w:r w:rsidRPr="00C83CD6">
        <w:t>Kłoszewska</w:t>
      </w:r>
      <w:proofErr w:type="spellEnd"/>
      <w:r w:rsidRPr="00C83CD6">
        <w:t xml:space="preserve">, I.; Soininen, H.; </w:t>
      </w:r>
      <w:proofErr w:type="spellStart"/>
      <w:r w:rsidRPr="00C83CD6">
        <w:t>Lovestone</w:t>
      </w:r>
      <w:proofErr w:type="spellEnd"/>
      <w:r w:rsidRPr="00C83CD6">
        <w:t xml:space="preserve">, S.; et al. Practical Cut-Offs for Visual Rating Scales of Medial Temporal, Frontal and Posterior Atrophy in Alzheimer’s Disease and Mild Cognitive Impairment. </w:t>
      </w:r>
      <w:r w:rsidRPr="00C83CD6">
        <w:rPr>
          <w:i/>
          <w:iCs/>
        </w:rPr>
        <w:t xml:space="preserve">J. Intern. Med. </w:t>
      </w:r>
      <w:r w:rsidRPr="00C83CD6">
        <w:rPr>
          <w:b/>
          <w:bCs/>
        </w:rPr>
        <w:t>2015</w:t>
      </w:r>
      <w:r w:rsidRPr="00C83CD6">
        <w:t xml:space="preserve">, </w:t>
      </w:r>
      <w:r w:rsidRPr="00C83CD6">
        <w:rPr>
          <w:i/>
          <w:iCs/>
        </w:rPr>
        <w:t>278</w:t>
      </w:r>
      <w:r w:rsidRPr="00C83CD6">
        <w:t>, 277–290. https://doi.org/10.1111/joim.12358.</w:t>
      </w:r>
    </w:p>
    <w:p w14:paraId="1AB9B36E" w14:textId="77777777" w:rsidR="005A57D3" w:rsidRPr="00C83CD6" w:rsidRDefault="005A57D3" w:rsidP="005A57D3">
      <w:pPr>
        <w:pStyle w:val="MDPI81references"/>
        <w:numPr>
          <w:ilvl w:val="0"/>
          <w:numId w:val="23"/>
        </w:numPr>
      </w:pPr>
      <w:r w:rsidRPr="00C83CD6">
        <w:t xml:space="preserve">Rhodius-Meester, H.F.M.; Benedictus, M.R.; </w:t>
      </w:r>
      <w:proofErr w:type="spellStart"/>
      <w:r w:rsidRPr="00C83CD6">
        <w:t>Wattjes</w:t>
      </w:r>
      <w:proofErr w:type="spellEnd"/>
      <w:r w:rsidRPr="00C83CD6">
        <w:t xml:space="preserve">, M.P.; </w:t>
      </w:r>
      <w:proofErr w:type="spellStart"/>
      <w:r w:rsidRPr="00C83CD6">
        <w:t>Barkhof</w:t>
      </w:r>
      <w:proofErr w:type="spellEnd"/>
      <w:r w:rsidRPr="00C83CD6">
        <w:t xml:space="preserve">, F.; </w:t>
      </w:r>
      <w:proofErr w:type="spellStart"/>
      <w:r w:rsidRPr="00C83CD6">
        <w:t>Scheltens</w:t>
      </w:r>
      <w:proofErr w:type="spellEnd"/>
      <w:r w:rsidRPr="00C83CD6">
        <w:t xml:space="preserve">, P.; Muller, M.; van der Flier, W.M. MRI Visual Ratings of Brain Atrophy and White Matter Hyperintensities across the Spectrum of Cognitive Decline Are Differently Affected by Age and Diagnosis. </w:t>
      </w:r>
      <w:r w:rsidRPr="00C83CD6">
        <w:rPr>
          <w:i/>
          <w:iCs/>
        </w:rPr>
        <w:t xml:space="preserve">Front. Aging </w:t>
      </w:r>
      <w:proofErr w:type="spellStart"/>
      <w:r w:rsidRPr="00C83CD6">
        <w:rPr>
          <w:i/>
          <w:iCs/>
        </w:rPr>
        <w:t>Neurosci</w:t>
      </w:r>
      <w:proofErr w:type="spellEnd"/>
      <w:r w:rsidRPr="00C83CD6">
        <w:rPr>
          <w:i/>
          <w:iCs/>
        </w:rPr>
        <w:t xml:space="preserve">. </w:t>
      </w:r>
      <w:r w:rsidRPr="00C83CD6">
        <w:rPr>
          <w:b/>
          <w:bCs/>
        </w:rPr>
        <w:t>2017</w:t>
      </w:r>
      <w:r w:rsidRPr="00C83CD6">
        <w:t xml:space="preserve">, </w:t>
      </w:r>
      <w:r w:rsidRPr="00C83CD6">
        <w:rPr>
          <w:i/>
          <w:iCs/>
        </w:rPr>
        <w:t>9</w:t>
      </w:r>
      <w:r w:rsidRPr="00C83CD6">
        <w:t>, 117. https://doi.org/10.3389/fnagi.2017.00117.</w:t>
      </w:r>
    </w:p>
    <w:p w14:paraId="6125317D" w14:textId="77777777" w:rsidR="005A57D3" w:rsidRPr="00C83CD6" w:rsidRDefault="005A57D3" w:rsidP="005A57D3">
      <w:pPr>
        <w:pStyle w:val="MDPI81references"/>
        <w:numPr>
          <w:ilvl w:val="0"/>
          <w:numId w:val="23"/>
        </w:numPr>
      </w:pPr>
      <w:proofErr w:type="spellStart"/>
      <w:r w:rsidRPr="00C83CD6">
        <w:t>Scheltens</w:t>
      </w:r>
      <w:proofErr w:type="spellEnd"/>
      <w:r w:rsidRPr="00C83CD6">
        <w:t xml:space="preserve">, P.; Leys, D.; </w:t>
      </w:r>
      <w:proofErr w:type="spellStart"/>
      <w:r w:rsidRPr="00C83CD6">
        <w:t>Barkhof</w:t>
      </w:r>
      <w:proofErr w:type="spellEnd"/>
      <w:r w:rsidRPr="00C83CD6">
        <w:t xml:space="preserve">, F.; </w:t>
      </w:r>
      <w:proofErr w:type="spellStart"/>
      <w:r w:rsidRPr="00C83CD6">
        <w:t>Huglo</w:t>
      </w:r>
      <w:proofErr w:type="spellEnd"/>
      <w:r w:rsidRPr="00C83CD6">
        <w:t xml:space="preserve">, D.; Weinstein, H.C.; </w:t>
      </w:r>
      <w:proofErr w:type="spellStart"/>
      <w:r w:rsidRPr="00C83CD6">
        <w:t>Vermersch</w:t>
      </w:r>
      <w:proofErr w:type="spellEnd"/>
      <w:r w:rsidRPr="00C83CD6">
        <w:t xml:space="preserve">, P.; Kuiper, M.; </w:t>
      </w:r>
      <w:proofErr w:type="spellStart"/>
      <w:r w:rsidRPr="00C83CD6">
        <w:t>Steinling</w:t>
      </w:r>
      <w:proofErr w:type="spellEnd"/>
      <w:r w:rsidRPr="00C83CD6">
        <w:t xml:space="preserve">, M.; Wolters, E.C.; Valk, J. Atrophy of Medial Temporal Lobes on MRI in “Probable” Alzheimer’s Disease and Normal Ageing: Diagnostic Value and Neuropsychological Correlates. </w:t>
      </w:r>
      <w:r w:rsidRPr="00C83CD6">
        <w:rPr>
          <w:i/>
          <w:iCs/>
        </w:rPr>
        <w:t xml:space="preserve">J. Neurol. </w:t>
      </w:r>
      <w:proofErr w:type="spellStart"/>
      <w:r w:rsidRPr="00C83CD6">
        <w:rPr>
          <w:i/>
          <w:iCs/>
        </w:rPr>
        <w:t>Neurosurg</w:t>
      </w:r>
      <w:proofErr w:type="spellEnd"/>
      <w:r w:rsidRPr="00C83CD6">
        <w:rPr>
          <w:i/>
          <w:iCs/>
        </w:rPr>
        <w:t>. Psychiatry</w:t>
      </w:r>
      <w:r w:rsidRPr="00C83CD6">
        <w:t xml:space="preserve"> </w:t>
      </w:r>
      <w:r w:rsidRPr="00C83CD6">
        <w:rPr>
          <w:b/>
          <w:bCs/>
        </w:rPr>
        <w:t>1992</w:t>
      </w:r>
      <w:r w:rsidRPr="00C83CD6">
        <w:t xml:space="preserve">, </w:t>
      </w:r>
      <w:r w:rsidRPr="00C83CD6">
        <w:rPr>
          <w:i/>
          <w:iCs/>
        </w:rPr>
        <w:t>55</w:t>
      </w:r>
      <w:r w:rsidRPr="00C83CD6">
        <w:t>, 967–972. https://doi.org/10.1136/jnnp.55.10.967.</w:t>
      </w:r>
    </w:p>
    <w:p w14:paraId="6AE880E4" w14:textId="77777777" w:rsidR="005A57D3" w:rsidRPr="00C83CD6" w:rsidRDefault="005A57D3" w:rsidP="005A57D3">
      <w:pPr>
        <w:pStyle w:val="MDPI81references"/>
        <w:numPr>
          <w:ilvl w:val="0"/>
          <w:numId w:val="23"/>
        </w:numPr>
      </w:pPr>
      <w:r w:rsidRPr="00C83CD6">
        <w:t xml:space="preserve">Claus, J.J.; </w:t>
      </w:r>
      <w:proofErr w:type="spellStart"/>
      <w:r w:rsidRPr="00C83CD6">
        <w:t>Staekenborg</w:t>
      </w:r>
      <w:proofErr w:type="spellEnd"/>
      <w:r w:rsidRPr="00C83CD6">
        <w:t xml:space="preserve">, S.S.; Holl, D.C.; Roorda, J.J.; Schuur, J.; Koster, P.; </w:t>
      </w:r>
      <w:proofErr w:type="spellStart"/>
      <w:r w:rsidRPr="00C83CD6">
        <w:t>Tielkes</w:t>
      </w:r>
      <w:proofErr w:type="spellEnd"/>
      <w:r w:rsidRPr="00C83CD6">
        <w:t xml:space="preserve">, C.E.M.; </w:t>
      </w:r>
      <w:proofErr w:type="spellStart"/>
      <w:r w:rsidRPr="00C83CD6">
        <w:t>Scheltens</w:t>
      </w:r>
      <w:proofErr w:type="spellEnd"/>
      <w:r w:rsidRPr="00C83CD6">
        <w:t xml:space="preserve">, P. Practical Use of Visual Medial Temporal Lobe Atrophy Cut-off Scores in Alzheimer’s Disease: Validation in a Large Memory Clinic Population. </w:t>
      </w:r>
      <w:r w:rsidRPr="00C83CD6">
        <w:rPr>
          <w:i/>
          <w:iCs/>
        </w:rPr>
        <w:t xml:space="preserve">Eur. </w:t>
      </w:r>
      <w:proofErr w:type="spellStart"/>
      <w:r w:rsidRPr="00C83CD6">
        <w:rPr>
          <w:i/>
          <w:iCs/>
        </w:rPr>
        <w:t>Radiol</w:t>
      </w:r>
      <w:proofErr w:type="spellEnd"/>
      <w:r w:rsidRPr="00C83CD6">
        <w:rPr>
          <w:i/>
          <w:iCs/>
        </w:rPr>
        <w:t xml:space="preserve">. </w:t>
      </w:r>
      <w:r w:rsidRPr="00C83CD6">
        <w:rPr>
          <w:b/>
          <w:bCs/>
        </w:rPr>
        <w:t>2017</w:t>
      </w:r>
      <w:r w:rsidRPr="00C83CD6">
        <w:t xml:space="preserve">, </w:t>
      </w:r>
      <w:r w:rsidRPr="00C83CD6">
        <w:rPr>
          <w:i/>
          <w:iCs/>
        </w:rPr>
        <w:t>27</w:t>
      </w:r>
      <w:r w:rsidRPr="00C83CD6">
        <w:t>, 3147–3155. https://doi.org/10.1007/s00330-016-4726-3.</w:t>
      </w:r>
    </w:p>
    <w:p w14:paraId="74A5AE06" w14:textId="77777777" w:rsidR="005A57D3" w:rsidRPr="00C83CD6" w:rsidRDefault="005A57D3" w:rsidP="005A57D3">
      <w:pPr>
        <w:pStyle w:val="MDPI81references"/>
        <w:numPr>
          <w:ilvl w:val="0"/>
          <w:numId w:val="23"/>
        </w:numPr>
      </w:pPr>
      <w:r w:rsidRPr="00C83CD6">
        <w:t xml:space="preserve">Wei, M.; Shi, J.; Ni, J.; Zhang, X.; Li, T.; Chen, Z.; Zhou, M.; Zhang, L.; Tan, Z.; Wang, Y.; et al. A New Age-Related Cutoff of Medial Temporal Atrophy Scale on MRI Improving the Diagnostic Accuracy of Neurodegeneration Due to Alzheimer’s Disease in a Chinese Population. </w:t>
      </w:r>
      <w:r w:rsidRPr="00C83CD6">
        <w:rPr>
          <w:i/>
          <w:iCs/>
        </w:rPr>
        <w:t xml:space="preserve">BMC </w:t>
      </w:r>
      <w:proofErr w:type="spellStart"/>
      <w:r w:rsidRPr="00C83CD6">
        <w:rPr>
          <w:i/>
          <w:iCs/>
        </w:rPr>
        <w:t>Geriatr</w:t>
      </w:r>
      <w:proofErr w:type="spellEnd"/>
      <w:r w:rsidRPr="00C83CD6">
        <w:rPr>
          <w:i/>
          <w:iCs/>
        </w:rPr>
        <w:t xml:space="preserve">. </w:t>
      </w:r>
      <w:r w:rsidRPr="00C83CD6">
        <w:rPr>
          <w:b/>
          <w:bCs/>
        </w:rPr>
        <w:t>2019</w:t>
      </w:r>
      <w:r w:rsidRPr="00C83CD6">
        <w:t xml:space="preserve">, </w:t>
      </w:r>
      <w:r w:rsidRPr="00C83CD6">
        <w:rPr>
          <w:i/>
          <w:iCs/>
        </w:rPr>
        <w:t>19</w:t>
      </w:r>
      <w:r w:rsidRPr="00C83CD6">
        <w:t>, 59. https://doi.org/10.1186/s12877-019-1072-8.</w:t>
      </w:r>
    </w:p>
    <w:p w14:paraId="13121E7C" w14:textId="77777777" w:rsidR="005A57D3" w:rsidRPr="009728C0" w:rsidRDefault="005A57D3" w:rsidP="005A57D3">
      <w:pPr>
        <w:pStyle w:val="MDPI81references"/>
        <w:numPr>
          <w:ilvl w:val="0"/>
          <w:numId w:val="23"/>
        </w:numPr>
      </w:pPr>
      <w:commentRangeStart w:id="40"/>
      <w:r w:rsidRPr="00501D42">
        <w:rPr>
          <w:highlight w:val="yellow"/>
        </w:rPr>
        <w:t>Fazekas</w:t>
      </w:r>
      <w:commentRangeEnd w:id="40"/>
      <w:r w:rsidRPr="00501D42">
        <w:rPr>
          <w:rStyle w:val="CommentReference"/>
          <w:rFonts w:eastAsia="宋体"/>
          <w:highlight w:val="yellow"/>
          <w:lang w:eastAsia="zh-CN" w:bidi="ar-SA"/>
        </w:rPr>
        <w:commentReference w:id="40"/>
      </w:r>
      <w:r w:rsidRPr="00C83CD6">
        <w:t xml:space="preserve">, F.; </w:t>
      </w:r>
      <w:proofErr w:type="spellStart"/>
      <w:r w:rsidRPr="00C83CD6">
        <w:t>Chawluk</w:t>
      </w:r>
      <w:proofErr w:type="spellEnd"/>
      <w:r w:rsidRPr="00C83CD6">
        <w:t xml:space="preserve">, J.B.; Alavi, A.; Hurtig, H.I.; Zimmerman, R.A. MR Signal Abnormalities at 1.5 T in Alzheimer’s Dementia and Normal Aging. </w:t>
      </w:r>
      <w:r w:rsidRPr="00C83CD6">
        <w:rPr>
          <w:i/>
          <w:iCs/>
        </w:rPr>
        <w:t xml:space="preserve">AJR Am. J. </w:t>
      </w:r>
      <w:proofErr w:type="spellStart"/>
      <w:r w:rsidRPr="00C83CD6">
        <w:rPr>
          <w:i/>
          <w:iCs/>
        </w:rPr>
        <w:t>Roentgenol</w:t>
      </w:r>
      <w:proofErr w:type="spellEnd"/>
      <w:r w:rsidRPr="00C83CD6">
        <w:rPr>
          <w:i/>
          <w:iCs/>
        </w:rPr>
        <w:t xml:space="preserve">. </w:t>
      </w:r>
      <w:r w:rsidRPr="00C83CD6">
        <w:rPr>
          <w:b/>
          <w:bCs/>
        </w:rPr>
        <w:t>19</w:t>
      </w:r>
      <w:r w:rsidRPr="002871C9">
        <w:rPr>
          <w:b/>
          <w:bCs/>
        </w:rPr>
        <w:t>87</w:t>
      </w:r>
      <w:r w:rsidRPr="002871C9">
        <w:t xml:space="preserve">, </w:t>
      </w:r>
      <w:r w:rsidRPr="002871C9">
        <w:rPr>
          <w:i/>
          <w:iCs/>
        </w:rPr>
        <w:t>149</w:t>
      </w:r>
      <w:r w:rsidRPr="002871C9">
        <w:t>, 351–356</w:t>
      </w:r>
      <w:r>
        <w:t>. https://doi.org/</w:t>
      </w:r>
      <w:r w:rsidRPr="009728C0">
        <w:t>10.2214/ajr.149.2.351.</w:t>
      </w:r>
    </w:p>
    <w:p w14:paraId="392829BA" w14:textId="77777777" w:rsidR="005A57D3" w:rsidRPr="00966E0C" w:rsidRDefault="005A57D3" w:rsidP="005A57D3">
      <w:pPr>
        <w:pStyle w:val="MDPI81references"/>
        <w:numPr>
          <w:ilvl w:val="0"/>
          <w:numId w:val="23"/>
        </w:numPr>
        <w:rPr>
          <w:highlight w:val="yellow"/>
        </w:rPr>
      </w:pPr>
      <w:r w:rsidRPr="00966E0C">
        <w:rPr>
          <w:highlight w:val="yellow"/>
        </w:rPr>
        <w:t xml:space="preserve">Fazekas, F.; </w:t>
      </w:r>
      <w:proofErr w:type="spellStart"/>
      <w:r w:rsidRPr="00966E0C">
        <w:rPr>
          <w:highlight w:val="yellow"/>
        </w:rPr>
        <w:t>Chawluk</w:t>
      </w:r>
      <w:proofErr w:type="spellEnd"/>
      <w:r w:rsidRPr="00966E0C">
        <w:rPr>
          <w:highlight w:val="yellow"/>
        </w:rPr>
        <w:t xml:space="preserve">, J.B.; Alavi, A.; Hurtig, H.I.; Zimmerman, R.A. MR Signal Abnormalities at 1.5 T in Alzheimer’s Dementia and Normal Aging. </w:t>
      </w:r>
      <w:r w:rsidRPr="00966E0C">
        <w:rPr>
          <w:i/>
          <w:iCs/>
          <w:highlight w:val="yellow"/>
        </w:rPr>
        <w:t xml:space="preserve">AJR Am. J. </w:t>
      </w:r>
      <w:proofErr w:type="spellStart"/>
      <w:r w:rsidRPr="00966E0C">
        <w:rPr>
          <w:i/>
          <w:iCs/>
          <w:highlight w:val="yellow"/>
        </w:rPr>
        <w:t>Roentgenol</w:t>
      </w:r>
      <w:proofErr w:type="spellEnd"/>
      <w:r w:rsidRPr="00966E0C">
        <w:rPr>
          <w:i/>
          <w:iCs/>
          <w:highlight w:val="yellow"/>
        </w:rPr>
        <w:t xml:space="preserve">. </w:t>
      </w:r>
      <w:r w:rsidRPr="00966E0C">
        <w:rPr>
          <w:b/>
          <w:bCs/>
          <w:highlight w:val="yellow"/>
        </w:rPr>
        <w:t>1987</w:t>
      </w:r>
      <w:r w:rsidRPr="00966E0C">
        <w:rPr>
          <w:highlight w:val="yellow"/>
        </w:rPr>
        <w:t xml:space="preserve">, </w:t>
      </w:r>
      <w:r w:rsidRPr="00966E0C">
        <w:rPr>
          <w:i/>
          <w:iCs/>
          <w:highlight w:val="yellow"/>
        </w:rPr>
        <w:t>149</w:t>
      </w:r>
      <w:r w:rsidRPr="00966E0C">
        <w:rPr>
          <w:highlight w:val="yellow"/>
        </w:rPr>
        <w:t>, 351–356. https://doi.org/10.2214/ajr.149.2.351.</w:t>
      </w:r>
    </w:p>
    <w:p w14:paraId="54D5A4A1" w14:textId="77777777" w:rsidR="005A57D3" w:rsidRPr="00C83CD6" w:rsidRDefault="005A57D3" w:rsidP="005A57D3">
      <w:pPr>
        <w:pStyle w:val="MDPI81references"/>
        <w:numPr>
          <w:ilvl w:val="0"/>
          <w:numId w:val="23"/>
        </w:numPr>
      </w:pPr>
      <w:r w:rsidRPr="009728C0">
        <w:t xml:space="preserve">Wahlund, L.-O.; Westman, E.; van Westen, D.; Wallin, A.; Shams, </w:t>
      </w:r>
      <w:r w:rsidRPr="00C83CD6">
        <w:t xml:space="preserve">S.; Cavallin, L.; Larsson, E.-M. Imaging Biomarkers of Dementia: Recommended Visual Rating Scales with Teaching Cases. </w:t>
      </w:r>
      <w:r w:rsidRPr="00C83CD6">
        <w:rPr>
          <w:i/>
          <w:iCs/>
        </w:rPr>
        <w:t>Insights Imaging</w:t>
      </w:r>
      <w:r w:rsidRPr="00C83CD6">
        <w:t xml:space="preserve"> </w:t>
      </w:r>
      <w:r w:rsidRPr="00C83CD6">
        <w:rPr>
          <w:b/>
          <w:bCs/>
        </w:rPr>
        <w:t>2017</w:t>
      </w:r>
      <w:r w:rsidRPr="00C83CD6">
        <w:t xml:space="preserve">, </w:t>
      </w:r>
      <w:r w:rsidRPr="00C83CD6">
        <w:rPr>
          <w:i/>
          <w:iCs/>
        </w:rPr>
        <w:t>8</w:t>
      </w:r>
      <w:r w:rsidRPr="00C83CD6">
        <w:t>, 79–90. https://doi.org/10.1007/s13244-016-0521-6.</w:t>
      </w:r>
    </w:p>
    <w:p w14:paraId="23198916" w14:textId="77777777" w:rsidR="005A57D3" w:rsidRPr="00C83CD6" w:rsidRDefault="005A57D3" w:rsidP="005A57D3">
      <w:pPr>
        <w:pStyle w:val="MDPI81references"/>
        <w:numPr>
          <w:ilvl w:val="0"/>
          <w:numId w:val="23"/>
        </w:numPr>
      </w:pPr>
      <w:r w:rsidRPr="00C83CD6">
        <w:t xml:space="preserve">Cho, K.I.K.; </w:t>
      </w:r>
      <w:r w:rsidRPr="007878D6">
        <w:t>Bin Kwak, Y.; Hwang,</w:t>
      </w:r>
      <w:r w:rsidRPr="00C83CD6">
        <w:t xml:space="preserve"> W.J.; Lee, J.; Kim, M.; Lee, T.Y.; Kwon, J.S. Microstructural Changes in Higher-Order Nuclei of the Thalamus in Patients with First-Episode Psychosis. </w:t>
      </w:r>
      <w:r w:rsidRPr="00C83CD6">
        <w:rPr>
          <w:i/>
          <w:iCs/>
        </w:rPr>
        <w:t>Biol. Psychiatry</w:t>
      </w:r>
      <w:r w:rsidRPr="00C83CD6">
        <w:t xml:space="preserve"> </w:t>
      </w:r>
      <w:r w:rsidRPr="00C83CD6">
        <w:rPr>
          <w:b/>
          <w:bCs/>
        </w:rPr>
        <w:t>2019</w:t>
      </w:r>
      <w:r w:rsidRPr="00C83CD6">
        <w:t xml:space="preserve">, </w:t>
      </w:r>
      <w:r w:rsidRPr="00C83CD6">
        <w:rPr>
          <w:i/>
          <w:iCs/>
        </w:rPr>
        <w:t>85</w:t>
      </w:r>
      <w:r w:rsidRPr="00C83CD6">
        <w:t>, 70–78. https://doi.org/10.1016/j.biopsych.2018.05.019.</w:t>
      </w:r>
    </w:p>
    <w:p w14:paraId="25ACC73E" w14:textId="77777777" w:rsidR="005A57D3" w:rsidRPr="00C83CD6" w:rsidRDefault="005A57D3" w:rsidP="005A57D3">
      <w:pPr>
        <w:pStyle w:val="MDPI81references"/>
        <w:numPr>
          <w:ilvl w:val="0"/>
          <w:numId w:val="23"/>
        </w:numPr>
      </w:pPr>
      <w:r w:rsidRPr="00C83CD6">
        <w:lastRenderedPageBreak/>
        <w:t xml:space="preserve">Gewirtz, G.; Squires-Wheeler, E.; Sharif, Z.; Honer, W.G. Results of </w:t>
      </w:r>
      <w:proofErr w:type="spellStart"/>
      <w:r w:rsidRPr="00C83CD6">
        <w:t>Computerised</w:t>
      </w:r>
      <w:proofErr w:type="spellEnd"/>
      <w:r w:rsidRPr="00C83CD6">
        <w:t xml:space="preserve"> Tomography during First Admission for Psychosis. </w:t>
      </w:r>
      <w:r w:rsidRPr="00C83CD6">
        <w:rPr>
          <w:i/>
          <w:iCs/>
        </w:rPr>
        <w:t>Br. J. Psychiatry</w:t>
      </w:r>
      <w:r w:rsidRPr="00C83CD6">
        <w:t xml:space="preserve"> </w:t>
      </w:r>
      <w:r w:rsidRPr="00C83CD6">
        <w:rPr>
          <w:b/>
          <w:bCs/>
        </w:rPr>
        <w:t>1994</w:t>
      </w:r>
      <w:r w:rsidRPr="00C83CD6">
        <w:t xml:space="preserve">, </w:t>
      </w:r>
      <w:r w:rsidRPr="00C83CD6">
        <w:rPr>
          <w:i/>
          <w:iCs/>
        </w:rPr>
        <w:t>164</w:t>
      </w:r>
      <w:r w:rsidRPr="00C83CD6">
        <w:t>, 789–795. https://doi.org/10.1192/bjp.164.6.789.</w:t>
      </w:r>
    </w:p>
    <w:p w14:paraId="70645C7A" w14:textId="77777777" w:rsidR="005A57D3" w:rsidRPr="00C83CD6" w:rsidRDefault="005A57D3" w:rsidP="005A57D3">
      <w:pPr>
        <w:pStyle w:val="MDPI81references"/>
        <w:numPr>
          <w:ilvl w:val="0"/>
          <w:numId w:val="23"/>
        </w:numPr>
      </w:pPr>
      <w:r w:rsidRPr="00C83CD6">
        <w:t xml:space="preserve">Miller, B.L.; Lesser, I.M.; Boone, K.B.; Hill, E.; Mehringer, C.M.; Wong, K. Brain Lesions and Cognitive Function in Late-Life Psychosis. </w:t>
      </w:r>
      <w:r w:rsidRPr="00C83CD6">
        <w:rPr>
          <w:i/>
          <w:iCs/>
        </w:rPr>
        <w:t>Br. J. Psychiatry</w:t>
      </w:r>
      <w:r w:rsidRPr="00C83CD6">
        <w:t xml:space="preserve"> </w:t>
      </w:r>
      <w:r w:rsidRPr="00C83CD6">
        <w:rPr>
          <w:b/>
          <w:bCs/>
        </w:rPr>
        <w:t>1991</w:t>
      </w:r>
      <w:r w:rsidRPr="00C83CD6">
        <w:t xml:space="preserve">, </w:t>
      </w:r>
      <w:r w:rsidRPr="00C83CD6">
        <w:rPr>
          <w:i/>
          <w:iCs/>
        </w:rPr>
        <w:t>158</w:t>
      </w:r>
      <w:r w:rsidRPr="00C83CD6">
        <w:t>, 76–82. https://doi.org/10.1192/bjp.158.1.76.</w:t>
      </w:r>
    </w:p>
    <w:p w14:paraId="553CB50C" w14:textId="77777777" w:rsidR="005A57D3" w:rsidRPr="009728C0" w:rsidRDefault="005A57D3" w:rsidP="005A57D3">
      <w:pPr>
        <w:pStyle w:val="MDPI81references"/>
        <w:numPr>
          <w:ilvl w:val="0"/>
          <w:numId w:val="23"/>
        </w:numPr>
      </w:pPr>
      <w:r w:rsidRPr="00C83CD6">
        <w:t xml:space="preserve">Adams, M.; Kutcher, S.; </w:t>
      </w:r>
      <w:proofErr w:type="spellStart"/>
      <w:r w:rsidRPr="00C83CD6">
        <w:t>Antoniw</w:t>
      </w:r>
      <w:proofErr w:type="spellEnd"/>
      <w:r w:rsidRPr="00C83CD6">
        <w:t xml:space="preserve">, E.; Bird, D. Diagnostic Utility of Endocrine and Neuroimaging Screening Tests in First-Onset Adolescent Psychosis. </w:t>
      </w:r>
      <w:r w:rsidRPr="00C83CD6">
        <w:rPr>
          <w:i/>
          <w:iCs/>
        </w:rPr>
        <w:t xml:space="preserve">J. Am. Acad. Child. </w:t>
      </w:r>
      <w:proofErr w:type="spellStart"/>
      <w:r w:rsidRPr="00C83CD6">
        <w:rPr>
          <w:i/>
          <w:iCs/>
        </w:rPr>
        <w:t>Adolesc</w:t>
      </w:r>
      <w:proofErr w:type="spellEnd"/>
      <w:r w:rsidRPr="00C83CD6">
        <w:rPr>
          <w:i/>
          <w:iCs/>
        </w:rPr>
        <w:t>. Psychiatry</w:t>
      </w:r>
      <w:r w:rsidRPr="00C83CD6">
        <w:t xml:space="preserve"> </w:t>
      </w:r>
      <w:r w:rsidRPr="00C83CD6">
        <w:rPr>
          <w:b/>
          <w:bCs/>
        </w:rPr>
        <w:t>199</w:t>
      </w:r>
      <w:r w:rsidRPr="002871C9">
        <w:rPr>
          <w:b/>
          <w:bCs/>
        </w:rPr>
        <w:t>6</w:t>
      </w:r>
      <w:r w:rsidRPr="002871C9">
        <w:t xml:space="preserve">, </w:t>
      </w:r>
      <w:r w:rsidRPr="002871C9">
        <w:rPr>
          <w:i/>
          <w:iCs/>
        </w:rPr>
        <w:t>35</w:t>
      </w:r>
      <w:r w:rsidRPr="002871C9">
        <w:t>, 67–73</w:t>
      </w:r>
      <w:r w:rsidRPr="009728C0">
        <w:t>; discussion 73</w:t>
      </w:r>
      <w:r>
        <w:t>. https://doi.org/</w:t>
      </w:r>
      <w:r w:rsidRPr="009728C0">
        <w:t>10.1097/00004583-199601000-00014.</w:t>
      </w:r>
    </w:p>
    <w:p w14:paraId="14FA6999" w14:textId="77777777" w:rsidR="005A57D3" w:rsidRPr="00C83CD6" w:rsidRDefault="005A57D3" w:rsidP="005A57D3">
      <w:pPr>
        <w:pStyle w:val="MDPI81references"/>
        <w:numPr>
          <w:ilvl w:val="0"/>
          <w:numId w:val="23"/>
        </w:numPr>
      </w:pPr>
      <w:r w:rsidRPr="009728C0">
        <w:t xml:space="preserve">Andrea, S.; </w:t>
      </w:r>
      <w:proofErr w:type="spellStart"/>
      <w:r w:rsidRPr="009728C0">
        <w:t>Papirny</w:t>
      </w:r>
      <w:proofErr w:type="spellEnd"/>
      <w:r w:rsidRPr="009728C0">
        <w:t xml:space="preserve">, M.; </w:t>
      </w:r>
      <w:proofErr w:type="spellStart"/>
      <w:r w:rsidRPr="009728C0">
        <w:t>Raedler</w:t>
      </w:r>
      <w:proofErr w:type="spellEnd"/>
      <w:r w:rsidRPr="009728C0">
        <w:t>, T. Brain Imaging in Adolescents and Young Adults With First-Episode Psychosis: A</w:t>
      </w:r>
      <w:r>
        <w:t xml:space="preserve"> </w:t>
      </w:r>
      <w:r w:rsidRPr="009728C0">
        <w:t>Retrospective Cohort S</w:t>
      </w:r>
      <w:r w:rsidRPr="0004788C">
        <w:t xml:space="preserve">tudy. </w:t>
      </w:r>
      <w:r w:rsidRPr="0004788C">
        <w:rPr>
          <w:i/>
          <w:iCs/>
        </w:rPr>
        <w:t>J. Clin. Psychiatry</w:t>
      </w:r>
      <w:r w:rsidRPr="0004788C">
        <w:t xml:space="preserve"> </w:t>
      </w:r>
      <w:r w:rsidRPr="0004788C">
        <w:rPr>
          <w:b/>
          <w:bCs/>
        </w:rPr>
        <w:t>2019</w:t>
      </w:r>
      <w:r w:rsidRPr="0004788C">
        <w:rPr>
          <w:bCs/>
        </w:rPr>
        <w:t xml:space="preserve">, </w:t>
      </w:r>
      <w:r w:rsidRPr="0004788C">
        <w:rPr>
          <w:bCs/>
          <w:i/>
        </w:rPr>
        <w:t>80</w:t>
      </w:r>
      <w:r w:rsidRPr="0004788C">
        <w:rPr>
          <w:bCs/>
        </w:rPr>
        <w:t xml:space="preserve">, </w:t>
      </w:r>
      <w:r w:rsidRPr="0004788C">
        <w:rPr>
          <w:bCs/>
          <w:highlight w:val="yellow"/>
        </w:rPr>
        <w:t>2074</w:t>
      </w:r>
      <w:r w:rsidRPr="0004788C">
        <w:rPr>
          <w:bCs/>
        </w:rPr>
        <w:t>.</w:t>
      </w:r>
      <w:r w:rsidRPr="0004788C">
        <w:t xml:space="preserve"> https</w:t>
      </w:r>
      <w:r>
        <w:t>://doi.org/</w:t>
      </w:r>
      <w:r w:rsidRPr="009728C0">
        <w:t>1</w:t>
      </w:r>
      <w:r w:rsidRPr="00C83CD6">
        <w:t>0.4088/JCP.18m12665.</w:t>
      </w:r>
    </w:p>
    <w:p w14:paraId="65B1DD0F" w14:textId="77777777" w:rsidR="005A57D3" w:rsidRPr="00C83CD6" w:rsidRDefault="005A57D3" w:rsidP="005A57D3">
      <w:pPr>
        <w:pStyle w:val="MDPI81references"/>
        <w:numPr>
          <w:ilvl w:val="0"/>
          <w:numId w:val="23"/>
        </w:numPr>
      </w:pPr>
      <w:r w:rsidRPr="00C83CD6">
        <w:t xml:space="preserve">Bain, B.K. CT Scans of First-Break Psychotic Patients in Good General Health. </w:t>
      </w:r>
      <w:proofErr w:type="spellStart"/>
      <w:r w:rsidRPr="00C83CD6">
        <w:rPr>
          <w:i/>
          <w:iCs/>
        </w:rPr>
        <w:t>Psychiatr</w:t>
      </w:r>
      <w:proofErr w:type="spellEnd"/>
      <w:r w:rsidRPr="00C83CD6">
        <w:rPr>
          <w:i/>
          <w:iCs/>
        </w:rPr>
        <w:t xml:space="preserve">. Serv. </w:t>
      </w:r>
      <w:r w:rsidRPr="00C83CD6">
        <w:rPr>
          <w:b/>
          <w:bCs/>
        </w:rPr>
        <w:t>1998</w:t>
      </w:r>
      <w:r w:rsidRPr="00C83CD6">
        <w:t xml:space="preserve">, </w:t>
      </w:r>
      <w:r w:rsidRPr="00C83CD6">
        <w:rPr>
          <w:i/>
          <w:iCs/>
        </w:rPr>
        <w:t>49</w:t>
      </w:r>
      <w:r w:rsidRPr="00C83CD6">
        <w:t>, 234–235. https://doi.org/10.1176/ps.49.2.234.</w:t>
      </w:r>
    </w:p>
    <w:p w14:paraId="737A776A" w14:textId="77777777" w:rsidR="005A57D3" w:rsidRPr="00C83CD6" w:rsidRDefault="005A57D3" w:rsidP="005A57D3">
      <w:pPr>
        <w:pStyle w:val="MDPI81references"/>
        <w:numPr>
          <w:ilvl w:val="0"/>
          <w:numId w:val="23"/>
        </w:numPr>
      </w:pPr>
      <w:r w:rsidRPr="00C83CD6">
        <w:t xml:space="preserve">Battaglia, J.; Spector, I.C. Utility of the CAT Scan in a First Psychotic Episode. </w:t>
      </w:r>
      <w:r w:rsidRPr="00C83CD6">
        <w:rPr>
          <w:i/>
          <w:iCs/>
        </w:rPr>
        <w:t>Gen. Hosp. Psychiatry</w:t>
      </w:r>
      <w:r w:rsidRPr="00C83CD6">
        <w:t xml:space="preserve"> </w:t>
      </w:r>
      <w:r w:rsidRPr="00C83CD6">
        <w:rPr>
          <w:b/>
          <w:bCs/>
        </w:rPr>
        <w:t>1988</w:t>
      </w:r>
      <w:r w:rsidRPr="00C83CD6">
        <w:t xml:space="preserve">, </w:t>
      </w:r>
      <w:r w:rsidRPr="00C83CD6">
        <w:rPr>
          <w:i/>
          <w:iCs/>
        </w:rPr>
        <w:t>10</w:t>
      </w:r>
      <w:r w:rsidRPr="00C83CD6">
        <w:t>, 398–401. https://doi.org/10.1016/0163-8343(88)90062-x.</w:t>
      </w:r>
    </w:p>
    <w:p w14:paraId="3C441E16" w14:textId="77777777" w:rsidR="005A57D3" w:rsidRPr="00C83CD6" w:rsidRDefault="005A57D3" w:rsidP="005A57D3">
      <w:pPr>
        <w:pStyle w:val="MDPI81references"/>
        <w:numPr>
          <w:ilvl w:val="0"/>
          <w:numId w:val="23"/>
        </w:numPr>
      </w:pPr>
      <w:r w:rsidRPr="00C83CD6">
        <w:t xml:space="preserve">Borgwardt, S.J.; Radue, E.-W.; Götz, K.; Aston, J.; Drewe, M.; </w:t>
      </w:r>
      <w:proofErr w:type="spellStart"/>
      <w:r w:rsidRPr="00C83CD6">
        <w:t>Gschwandtner</w:t>
      </w:r>
      <w:proofErr w:type="spellEnd"/>
      <w:r w:rsidRPr="00C83CD6">
        <w:t xml:space="preserve">, U.; Haller, S.; Pflüger, M.; Stieglitz, R.-D.; McGuire, P.K.; et al. Radiological Findings in Individuals at High Risk of Psychosis. </w:t>
      </w:r>
      <w:r w:rsidRPr="00C83CD6">
        <w:rPr>
          <w:i/>
          <w:iCs/>
        </w:rPr>
        <w:t xml:space="preserve">J. Neurol. </w:t>
      </w:r>
      <w:proofErr w:type="spellStart"/>
      <w:r w:rsidRPr="00C83CD6">
        <w:rPr>
          <w:i/>
          <w:iCs/>
        </w:rPr>
        <w:t>Neurosurg</w:t>
      </w:r>
      <w:proofErr w:type="spellEnd"/>
      <w:r w:rsidRPr="00C83CD6">
        <w:rPr>
          <w:i/>
          <w:iCs/>
        </w:rPr>
        <w:t>. Psychiatry</w:t>
      </w:r>
      <w:r w:rsidRPr="00C83CD6">
        <w:t xml:space="preserve"> </w:t>
      </w:r>
      <w:r w:rsidRPr="00C83CD6">
        <w:rPr>
          <w:b/>
          <w:bCs/>
        </w:rPr>
        <w:t>2006</w:t>
      </w:r>
      <w:r w:rsidRPr="00C83CD6">
        <w:t xml:space="preserve">, </w:t>
      </w:r>
      <w:r w:rsidRPr="00C83CD6">
        <w:rPr>
          <w:i/>
          <w:iCs/>
        </w:rPr>
        <w:t>77</w:t>
      </w:r>
      <w:r w:rsidRPr="00C83CD6">
        <w:t>, 229–233. https://doi.org/10.1136/jnnp.2005.069690.</w:t>
      </w:r>
    </w:p>
    <w:p w14:paraId="1C430025" w14:textId="77777777" w:rsidR="005A57D3" w:rsidRPr="00C83CD6" w:rsidRDefault="005A57D3" w:rsidP="005A57D3">
      <w:pPr>
        <w:pStyle w:val="MDPI81references"/>
        <w:numPr>
          <w:ilvl w:val="0"/>
          <w:numId w:val="23"/>
        </w:numPr>
      </w:pPr>
      <w:proofErr w:type="spellStart"/>
      <w:r w:rsidRPr="00C83CD6">
        <w:t>Coentre</w:t>
      </w:r>
      <w:proofErr w:type="spellEnd"/>
      <w:r w:rsidRPr="00C83CD6">
        <w:t xml:space="preserve">, R.; Silva-Dos-Santos, A.; Talina, M.C. Retrospective Study on Structural Neuroimaging in First-Episode Psychosis. </w:t>
      </w:r>
      <w:proofErr w:type="spellStart"/>
      <w:r w:rsidRPr="00C83CD6">
        <w:rPr>
          <w:i/>
          <w:iCs/>
        </w:rPr>
        <w:t>PeerJ</w:t>
      </w:r>
      <w:proofErr w:type="spellEnd"/>
      <w:r w:rsidRPr="00C83CD6">
        <w:t xml:space="preserve"> </w:t>
      </w:r>
      <w:r w:rsidRPr="00C83CD6">
        <w:rPr>
          <w:b/>
          <w:bCs/>
        </w:rPr>
        <w:t>2016</w:t>
      </w:r>
      <w:r w:rsidRPr="00C83CD6">
        <w:t xml:space="preserve">, </w:t>
      </w:r>
      <w:r w:rsidRPr="00C83CD6">
        <w:rPr>
          <w:i/>
          <w:iCs/>
        </w:rPr>
        <w:t>4</w:t>
      </w:r>
      <w:r w:rsidRPr="00C83CD6">
        <w:t>, e2069. https://doi.org/10.7717/peerj.2069.</w:t>
      </w:r>
    </w:p>
    <w:p w14:paraId="5169503A" w14:textId="77777777" w:rsidR="005A57D3" w:rsidRPr="00C83CD6" w:rsidRDefault="005A57D3" w:rsidP="005A57D3">
      <w:pPr>
        <w:pStyle w:val="MDPI81references"/>
        <w:numPr>
          <w:ilvl w:val="0"/>
          <w:numId w:val="23"/>
        </w:numPr>
      </w:pPr>
      <w:proofErr w:type="spellStart"/>
      <w:r w:rsidRPr="00C83CD6">
        <w:t>Dazzan</w:t>
      </w:r>
      <w:proofErr w:type="spellEnd"/>
      <w:r w:rsidRPr="00C83CD6">
        <w:t xml:space="preserve">, P.; Morgan, K.D.; Orr, K.G.; Hutchinson, G.; Chitnis, X.; Suckling, J.; Fearon, P.; Salvo, J.; McGuire, P.K.; Mallett, R.M.; et al. The Structural Brain Correlates of Neurological Soft Signs in AESOP First-Episode Psychoses Study. </w:t>
      </w:r>
      <w:r w:rsidRPr="00C83CD6">
        <w:rPr>
          <w:i/>
          <w:iCs/>
        </w:rPr>
        <w:t>Brain</w:t>
      </w:r>
      <w:r w:rsidRPr="00C83CD6">
        <w:t xml:space="preserve"> </w:t>
      </w:r>
      <w:r w:rsidRPr="00C83CD6">
        <w:rPr>
          <w:b/>
          <w:bCs/>
        </w:rPr>
        <w:t>2004</w:t>
      </w:r>
      <w:r w:rsidRPr="00C83CD6">
        <w:t xml:space="preserve">, </w:t>
      </w:r>
      <w:r w:rsidRPr="00C83CD6">
        <w:rPr>
          <w:i/>
          <w:iCs/>
        </w:rPr>
        <w:t>127</w:t>
      </w:r>
      <w:r w:rsidRPr="00C83CD6">
        <w:t>, 143–153. https://doi.org/10.1093/brain/awh015.</w:t>
      </w:r>
    </w:p>
    <w:p w14:paraId="5037912B" w14:textId="77777777" w:rsidR="005A57D3" w:rsidRPr="00C83CD6" w:rsidRDefault="005A57D3" w:rsidP="005A57D3">
      <w:pPr>
        <w:pStyle w:val="MDPI81references"/>
        <w:numPr>
          <w:ilvl w:val="0"/>
          <w:numId w:val="23"/>
        </w:numPr>
      </w:pPr>
      <w:r w:rsidRPr="00C83CD6">
        <w:t xml:space="preserve">Falkenberg, I.; Benetti, S.; Raffin, M.; Wuyts, P.; Pettersson-Yeo, W.; </w:t>
      </w:r>
      <w:proofErr w:type="spellStart"/>
      <w:r w:rsidRPr="00C83CD6">
        <w:t>Dazzan</w:t>
      </w:r>
      <w:proofErr w:type="spellEnd"/>
      <w:r w:rsidRPr="00C83CD6">
        <w:t xml:space="preserve">, P.; Morgan, K.D.; Murray, R.M.; Marques, T.R.; David, A.S.; et al. Clinical Utility of Magnetic Resonance Imaging in First-Episode Psychosis. </w:t>
      </w:r>
      <w:r w:rsidRPr="00C83CD6">
        <w:rPr>
          <w:i/>
          <w:iCs/>
        </w:rPr>
        <w:t>Br. J. Psychiatry</w:t>
      </w:r>
      <w:r w:rsidRPr="00C83CD6">
        <w:t xml:space="preserve"> </w:t>
      </w:r>
      <w:r w:rsidRPr="00C83CD6">
        <w:rPr>
          <w:b/>
          <w:bCs/>
        </w:rPr>
        <w:t>2017</w:t>
      </w:r>
      <w:r w:rsidRPr="00C83CD6">
        <w:t xml:space="preserve">, </w:t>
      </w:r>
      <w:r w:rsidRPr="00C83CD6">
        <w:rPr>
          <w:i/>
          <w:iCs/>
        </w:rPr>
        <w:t>211</w:t>
      </w:r>
      <w:r w:rsidRPr="00C83CD6">
        <w:t>, 231–237. https://doi.org/10.1192/bjp.bp.116.195834.</w:t>
      </w:r>
    </w:p>
    <w:p w14:paraId="7EC8FF20" w14:textId="77777777" w:rsidR="005A57D3" w:rsidRPr="00C83CD6" w:rsidRDefault="005A57D3" w:rsidP="005A57D3">
      <w:pPr>
        <w:pStyle w:val="MDPI81references"/>
        <w:numPr>
          <w:ilvl w:val="0"/>
          <w:numId w:val="23"/>
        </w:numPr>
      </w:pPr>
      <w:r w:rsidRPr="00C83CD6">
        <w:t xml:space="preserve">McKay, D.; Gorrell, J.; Cornish, A.; Tennant, C.; Rosen, A.; Moss, B.; Nash, L. Let’s Get Physical: An Audit of Medical Practice in First Episode Psychosis. </w:t>
      </w:r>
      <w:proofErr w:type="spellStart"/>
      <w:r w:rsidRPr="00C83CD6">
        <w:rPr>
          <w:i/>
          <w:iCs/>
        </w:rPr>
        <w:t>Australas</w:t>
      </w:r>
      <w:proofErr w:type="spellEnd"/>
      <w:r w:rsidRPr="00C83CD6">
        <w:rPr>
          <w:i/>
          <w:iCs/>
        </w:rPr>
        <w:t>. Psychiatry</w:t>
      </w:r>
      <w:r w:rsidRPr="00C83CD6">
        <w:t xml:space="preserve"> </w:t>
      </w:r>
      <w:r w:rsidRPr="00C83CD6">
        <w:rPr>
          <w:b/>
          <w:bCs/>
        </w:rPr>
        <w:t>2006</w:t>
      </w:r>
      <w:r w:rsidRPr="00C83CD6">
        <w:t xml:space="preserve">, </w:t>
      </w:r>
      <w:r w:rsidRPr="00C83CD6">
        <w:rPr>
          <w:i/>
          <w:iCs/>
        </w:rPr>
        <w:t>14</w:t>
      </w:r>
      <w:r w:rsidRPr="00C83CD6">
        <w:t>, 146–149. https://doi.org/10.1080/j.1440-1665.2006.02277.x.</w:t>
      </w:r>
    </w:p>
    <w:p w14:paraId="7FF06D07" w14:textId="77777777" w:rsidR="005A57D3" w:rsidRPr="00C83CD6" w:rsidRDefault="005A57D3" w:rsidP="005A57D3">
      <w:pPr>
        <w:pStyle w:val="MDPI81references"/>
        <w:numPr>
          <w:ilvl w:val="0"/>
          <w:numId w:val="23"/>
        </w:numPr>
      </w:pPr>
      <w:r>
        <w:t xml:space="preserve">Williams, S.R.; Koyanagi, C.Y.; </w:t>
      </w:r>
      <w:proofErr w:type="spellStart"/>
      <w:r>
        <w:t>Hishinuma</w:t>
      </w:r>
      <w:proofErr w:type="spellEnd"/>
      <w:r>
        <w:t>, E.S</w:t>
      </w:r>
      <w:r w:rsidRPr="00C83CD6">
        <w:t xml:space="preserve">. On the Usefulness of Structural Brain Imaging for Young First Episode Inpatients with Psychosis. </w:t>
      </w:r>
      <w:r w:rsidRPr="00C83CD6">
        <w:rPr>
          <w:i/>
          <w:iCs/>
        </w:rPr>
        <w:t xml:space="preserve">Psychiatry Res. </w:t>
      </w:r>
      <w:r w:rsidRPr="00C83CD6">
        <w:rPr>
          <w:b/>
          <w:bCs/>
        </w:rPr>
        <w:t>2014</w:t>
      </w:r>
      <w:r w:rsidRPr="00C83CD6">
        <w:t xml:space="preserve">, </w:t>
      </w:r>
      <w:r w:rsidRPr="00C83CD6">
        <w:rPr>
          <w:i/>
          <w:iCs/>
        </w:rPr>
        <w:t>224</w:t>
      </w:r>
      <w:r w:rsidRPr="00C83CD6">
        <w:t>, 104–106. https://doi.org/10.1016/j.pscychresns.2014.08.001.</w:t>
      </w:r>
    </w:p>
    <w:p w14:paraId="45938FDE" w14:textId="77777777" w:rsidR="005A57D3" w:rsidRPr="00C83CD6" w:rsidRDefault="005A57D3" w:rsidP="005A57D3">
      <w:pPr>
        <w:pStyle w:val="MDPI81references"/>
        <w:numPr>
          <w:ilvl w:val="0"/>
          <w:numId w:val="23"/>
        </w:numPr>
      </w:pPr>
      <w:r w:rsidRPr="00C83CD6">
        <w:t xml:space="preserve">Strahl, B.; Cheung, Y.K.; Stuckey, S.L. Diagnostic Yield of Computed Tomography of the Brain in First Episode Psychosis. </w:t>
      </w:r>
      <w:r w:rsidRPr="00C83CD6">
        <w:rPr>
          <w:i/>
          <w:iCs/>
        </w:rPr>
        <w:t xml:space="preserve">J. Med. Imaging </w:t>
      </w:r>
      <w:proofErr w:type="spellStart"/>
      <w:r w:rsidRPr="00C83CD6">
        <w:rPr>
          <w:i/>
          <w:iCs/>
        </w:rPr>
        <w:t>Radiat</w:t>
      </w:r>
      <w:proofErr w:type="spellEnd"/>
      <w:r w:rsidRPr="00C83CD6">
        <w:rPr>
          <w:i/>
          <w:iCs/>
        </w:rPr>
        <w:t xml:space="preserve">. Oncol. </w:t>
      </w:r>
      <w:r w:rsidRPr="00C83CD6">
        <w:rPr>
          <w:b/>
          <w:bCs/>
        </w:rPr>
        <w:t>2010</w:t>
      </w:r>
      <w:r w:rsidRPr="00C83CD6">
        <w:t xml:space="preserve">, </w:t>
      </w:r>
      <w:r w:rsidRPr="00C83CD6">
        <w:rPr>
          <w:i/>
          <w:iCs/>
        </w:rPr>
        <w:t>54</w:t>
      </w:r>
      <w:r w:rsidRPr="00C83CD6">
        <w:t>, 431–434. https://doi.org/10.1111/j.1754-9485.2010.02196.x.</w:t>
      </w:r>
    </w:p>
    <w:p w14:paraId="490307E5" w14:textId="77777777" w:rsidR="005A57D3" w:rsidRPr="00C83CD6" w:rsidRDefault="005A57D3" w:rsidP="005A57D3">
      <w:pPr>
        <w:pStyle w:val="MDPI81references"/>
        <w:numPr>
          <w:ilvl w:val="0"/>
          <w:numId w:val="23"/>
        </w:numPr>
        <w:rPr>
          <w:lang w:val="es-ES"/>
        </w:rPr>
      </w:pPr>
      <w:r w:rsidRPr="00C83CD6">
        <w:t xml:space="preserve">Lieberman, J.A.; Jody, D.; </w:t>
      </w:r>
      <w:proofErr w:type="spellStart"/>
      <w:r w:rsidRPr="00C83CD6">
        <w:t>Alvir</w:t>
      </w:r>
      <w:proofErr w:type="spellEnd"/>
      <w:r w:rsidRPr="00C83CD6">
        <w:t xml:space="preserve">, J.M.; </w:t>
      </w:r>
      <w:proofErr w:type="spellStart"/>
      <w:r w:rsidRPr="00C83CD6">
        <w:t>Ashtari</w:t>
      </w:r>
      <w:proofErr w:type="spellEnd"/>
      <w:r w:rsidRPr="00C83CD6">
        <w:t xml:space="preserve">, M.; Levy, D.L.; </w:t>
      </w:r>
      <w:proofErr w:type="spellStart"/>
      <w:r w:rsidRPr="00C83CD6">
        <w:t>Bogerts</w:t>
      </w:r>
      <w:proofErr w:type="spellEnd"/>
      <w:r w:rsidRPr="00C83CD6">
        <w:t xml:space="preserve">, B.; Degreef, G.; </w:t>
      </w:r>
      <w:proofErr w:type="spellStart"/>
      <w:r w:rsidRPr="00C83CD6">
        <w:t>Mayerhoff</w:t>
      </w:r>
      <w:proofErr w:type="spellEnd"/>
      <w:r w:rsidRPr="00C83CD6">
        <w:t xml:space="preserve">, D.I.; Cooper, T. Brain Morphology, Dopamine, and Eye-Tracking Abnormalities in First-Episode Schizophrenia. </w:t>
      </w:r>
      <w:proofErr w:type="spellStart"/>
      <w:r w:rsidRPr="00C83CD6">
        <w:rPr>
          <w:lang w:val="es-ES"/>
        </w:rPr>
        <w:t>Prevalence</w:t>
      </w:r>
      <w:proofErr w:type="spellEnd"/>
      <w:r w:rsidRPr="00C83CD6">
        <w:rPr>
          <w:lang w:val="es-ES"/>
        </w:rPr>
        <w:t xml:space="preserve"> and </w:t>
      </w:r>
      <w:proofErr w:type="spellStart"/>
      <w:r w:rsidRPr="00C83CD6">
        <w:rPr>
          <w:lang w:val="es-ES"/>
        </w:rPr>
        <w:t>Clinical</w:t>
      </w:r>
      <w:proofErr w:type="spellEnd"/>
      <w:r w:rsidRPr="00C83CD6">
        <w:rPr>
          <w:lang w:val="es-ES"/>
        </w:rPr>
        <w:t xml:space="preserve"> </w:t>
      </w:r>
      <w:proofErr w:type="spellStart"/>
      <w:r w:rsidRPr="00C83CD6">
        <w:rPr>
          <w:lang w:val="es-ES"/>
        </w:rPr>
        <w:t>Correlates</w:t>
      </w:r>
      <w:proofErr w:type="spellEnd"/>
      <w:r w:rsidRPr="00C83CD6">
        <w:rPr>
          <w:lang w:val="es-ES"/>
        </w:rPr>
        <w:t xml:space="preserve">. </w:t>
      </w:r>
      <w:proofErr w:type="spellStart"/>
      <w:r w:rsidRPr="00C83CD6">
        <w:rPr>
          <w:i/>
          <w:iCs/>
          <w:lang w:val="es-ES"/>
        </w:rPr>
        <w:t>Arch</w:t>
      </w:r>
      <w:proofErr w:type="spellEnd"/>
      <w:r w:rsidRPr="00C83CD6">
        <w:rPr>
          <w:i/>
          <w:iCs/>
          <w:lang w:val="es-ES"/>
        </w:rPr>
        <w:t xml:space="preserve">. Gen. </w:t>
      </w:r>
      <w:proofErr w:type="spellStart"/>
      <w:r w:rsidRPr="00C83CD6">
        <w:rPr>
          <w:i/>
          <w:iCs/>
          <w:lang w:val="es-ES"/>
        </w:rPr>
        <w:t>Psychiatry</w:t>
      </w:r>
      <w:proofErr w:type="spellEnd"/>
      <w:r w:rsidRPr="00C83CD6">
        <w:rPr>
          <w:lang w:val="es-ES"/>
        </w:rPr>
        <w:t xml:space="preserve"> </w:t>
      </w:r>
      <w:r w:rsidRPr="00C83CD6">
        <w:rPr>
          <w:b/>
          <w:bCs/>
          <w:lang w:val="es-ES"/>
        </w:rPr>
        <w:t>1993</w:t>
      </w:r>
      <w:r w:rsidRPr="00C83CD6">
        <w:rPr>
          <w:lang w:val="es-ES"/>
        </w:rPr>
        <w:t xml:space="preserve">, </w:t>
      </w:r>
      <w:r w:rsidRPr="00C83CD6">
        <w:rPr>
          <w:i/>
          <w:iCs/>
          <w:lang w:val="es-ES"/>
        </w:rPr>
        <w:t>50</w:t>
      </w:r>
      <w:r w:rsidRPr="00C83CD6">
        <w:rPr>
          <w:lang w:val="es-ES"/>
        </w:rPr>
        <w:t>, 357–368. https://doi.org/10.1001/archpsyc.1993.01820170035005.</w:t>
      </w:r>
    </w:p>
    <w:p w14:paraId="1452CAA4" w14:textId="77777777" w:rsidR="005A57D3" w:rsidRPr="00C83CD6" w:rsidRDefault="005A57D3" w:rsidP="005A57D3">
      <w:pPr>
        <w:pStyle w:val="MDPI81references"/>
        <w:numPr>
          <w:ilvl w:val="0"/>
          <w:numId w:val="23"/>
        </w:numPr>
      </w:pPr>
      <w:r w:rsidRPr="00C83CD6">
        <w:rPr>
          <w:lang w:val="es-ES"/>
        </w:rPr>
        <w:t xml:space="preserve">Vieira, S.; Gong, Q.; </w:t>
      </w:r>
      <w:proofErr w:type="spellStart"/>
      <w:r w:rsidRPr="00C83CD6">
        <w:rPr>
          <w:lang w:val="es-ES"/>
        </w:rPr>
        <w:t>Scarpazza</w:t>
      </w:r>
      <w:proofErr w:type="spellEnd"/>
      <w:r w:rsidRPr="00C83CD6">
        <w:rPr>
          <w:lang w:val="es-ES"/>
        </w:rPr>
        <w:t>, C.; Lui, S.; Huang, X.; Crespo-</w:t>
      </w:r>
      <w:proofErr w:type="spellStart"/>
      <w:r w:rsidRPr="00C83CD6">
        <w:rPr>
          <w:lang w:val="es-ES"/>
        </w:rPr>
        <w:t>Facorro</w:t>
      </w:r>
      <w:proofErr w:type="spellEnd"/>
      <w:r w:rsidRPr="00C83CD6">
        <w:rPr>
          <w:lang w:val="es-ES"/>
        </w:rPr>
        <w:t>, B.; Tordesillas-</w:t>
      </w:r>
      <w:proofErr w:type="spellStart"/>
      <w:r w:rsidRPr="00C83CD6">
        <w:rPr>
          <w:lang w:val="es-ES"/>
        </w:rPr>
        <w:t>Gutierrez</w:t>
      </w:r>
      <w:proofErr w:type="spellEnd"/>
      <w:r w:rsidRPr="00C83CD6">
        <w:rPr>
          <w:lang w:val="es-ES"/>
        </w:rPr>
        <w:t xml:space="preserve">, D.; de la Foz, V.O.-G.; Setien-Suero, E.; </w:t>
      </w:r>
      <w:proofErr w:type="spellStart"/>
      <w:r w:rsidRPr="00C83CD6">
        <w:rPr>
          <w:lang w:val="es-ES"/>
        </w:rPr>
        <w:t>Scheepers</w:t>
      </w:r>
      <w:proofErr w:type="spellEnd"/>
      <w:r w:rsidRPr="00C83CD6">
        <w:rPr>
          <w:lang w:val="es-ES"/>
        </w:rPr>
        <w:t xml:space="preserve">, F.; et al. </w:t>
      </w:r>
      <w:r w:rsidRPr="00C83CD6">
        <w:t xml:space="preserve">Neuroanatomical Abnormalities in First-Episode Psychosis across Independent Samples: A Multi-Centre Mega-Analysis. </w:t>
      </w:r>
      <w:r w:rsidRPr="00C83CD6">
        <w:rPr>
          <w:i/>
          <w:iCs/>
        </w:rPr>
        <w:t xml:space="preserve">Psychol. Med. </w:t>
      </w:r>
      <w:r w:rsidRPr="00C83CD6">
        <w:rPr>
          <w:b/>
          <w:bCs/>
        </w:rPr>
        <w:t>2021</w:t>
      </w:r>
      <w:r w:rsidRPr="00C83CD6">
        <w:t xml:space="preserve">, </w:t>
      </w:r>
      <w:r w:rsidRPr="00C83CD6">
        <w:rPr>
          <w:i/>
          <w:iCs/>
        </w:rPr>
        <w:t>51</w:t>
      </w:r>
      <w:r w:rsidRPr="00C83CD6">
        <w:t>, 340–350. https://doi.org/10.1017/S0033291719003568.</w:t>
      </w:r>
    </w:p>
    <w:p w14:paraId="47349F03" w14:textId="77777777" w:rsidR="005A57D3" w:rsidRPr="00C83CD6" w:rsidRDefault="005A57D3" w:rsidP="005A57D3">
      <w:pPr>
        <w:pStyle w:val="MDPI81references"/>
        <w:numPr>
          <w:ilvl w:val="0"/>
          <w:numId w:val="23"/>
        </w:numPr>
      </w:pPr>
      <w:r w:rsidRPr="00C83CD6">
        <w:t xml:space="preserve">Goto, M.; Abe, O.; Aoki, S.; Hayashi, N.; </w:t>
      </w:r>
      <w:proofErr w:type="spellStart"/>
      <w:r w:rsidRPr="00C83CD6">
        <w:t>Miyati</w:t>
      </w:r>
      <w:proofErr w:type="spellEnd"/>
      <w:r w:rsidRPr="00C83CD6">
        <w:t xml:space="preserve">, T.; Takao, H.; </w:t>
      </w:r>
      <w:proofErr w:type="spellStart"/>
      <w:r w:rsidRPr="00C83CD6">
        <w:t>Iwatsubo</w:t>
      </w:r>
      <w:proofErr w:type="spellEnd"/>
      <w:r w:rsidRPr="00C83CD6">
        <w:t xml:space="preserve">, T.; Yamashita, F.; Matsuda, H.; Mori, H.; et al. Diffeomorphic Anatomical Registration Through Exponentiated Lie Algebra Provides Reduced Effect of Scanner for Cortex Volumetry with Atlas-Based Method in Healthy Subjects. </w:t>
      </w:r>
      <w:r w:rsidRPr="00C83CD6">
        <w:rPr>
          <w:i/>
          <w:iCs/>
        </w:rPr>
        <w:t>Neuroradiology</w:t>
      </w:r>
      <w:r w:rsidRPr="00C83CD6">
        <w:t xml:space="preserve"> </w:t>
      </w:r>
      <w:r w:rsidRPr="00C83CD6">
        <w:rPr>
          <w:b/>
          <w:bCs/>
        </w:rPr>
        <w:t>2013</w:t>
      </w:r>
      <w:r w:rsidRPr="00C83CD6">
        <w:t xml:space="preserve">, </w:t>
      </w:r>
      <w:r w:rsidRPr="00C83CD6">
        <w:rPr>
          <w:i/>
          <w:iCs/>
        </w:rPr>
        <w:t>55</w:t>
      </w:r>
      <w:r w:rsidRPr="00C83CD6">
        <w:t>, 869–875. https://doi.org/10.1007/s00234-013-1193-2.</w:t>
      </w:r>
    </w:p>
    <w:p w14:paraId="48C52116" w14:textId="77777777" w:rsidR="005A57D3" w:rsidRPr="00C83CD6" w:rsidRDefault="005A57D3" w:rsidP="005A57D3">
      <w:pPr>
        <w:pStyle w:val="MDPI81references"/>
        <w:numPr>
          <w:ilvl w:val="0"/>
          <w:numId w:val="23"/>
        </w:numPr>
      </w:pPr>
      <w:r w:rsidRPr="00C83CD6">
        <w:t xml:space="preserve">Compton, M.; Goulding, S.; Whicker, N.; Mullins, M.; Nathan, S.; Ressler, K. An Exploratory Study of the Potential Prognostic Usefulness of the Routinely Conducted Computed Tomography Scan in Patients Hospitalized for a First Episode of Psychosis. </w:t>
      </w:r>
      <w:r w:rsidRPr="00C83CD6">
        <w:rPr>
          <w:i/>
          <w:iCs/>
        </w:rPr>
        <w:t xml:space="preserve">Clin. </w:t>
      </w:r>
      <w:proofErr w:type="spellStart"/>
      <w:r w:rsidRPr="00C83CD6">
        <w:rPr>
          <w:i/>
          <w:iCs/>
        </w:rPr>
        <w:t>Schizophr</w:t>
      </w:r>
      <w:proofErr w:type="spellEnd"/>
      <w:r w:rsidRPr="00C83CD6">
        <w:rPr>
          <w:i/>
          <w:iCs/>
        </w:rPr>
        <w:t xml:space="preserve">. </w:t>
      </w:r>
      <w:proofErr w:type="spellStart"/>
      <w:r w:rsidRPr="00C83CD6">
        <w:rPr>
          <w:i/>
          <w:iCs/>
        </w:rPr>
        <w:t>Relat</w:t>
      </w:r>
      <w:proofErr w:type="spellEnd"/>
      <w:r w:rsidRPr="00C83CD6">
        <w:rPr>
          <w:i/>
          <w:iCs/>
        </w:rPr>
        <w:t>. Psychoses</w:t>
      </w:r>
      <w:r w:rsidRPr="00C83CD6">
        <w:t xml:space="preserve"> </w:t>
      </w:r>
      <w:r w:rsidRPr="00C83CD6">
        <w:rPr>
          <w:b/>
          <w:bCs/>
        </w:rPr>
        <w:t>2009</w:t>
      </w:r>
      <w:r w:rsidRPr="00C83CD6">
        <w:t xml:space="preserve">, </w:t>
      </w:r>
      <w:r w:rsidRPr="00C83CD6">
        <w:rPr>
          <w:i/>
          <w:iCs/>
        </w:rPr>
        <w:t>3</w:t>
      </w:r>
      <w:r w:rsidRPr="00C83CD6">
        <w:t>, 23–30.</w:t>
      </w:r>
    </w:p>
    <w:p w14:paraId="4D933184" w14:textId="77777777" w:rsidR="005A57D3" w:rsidRPr="00C83CD6" w:rsidRDefault="005A57D3" w:rsidP="005A57D3">
      <w:pPr>
        <w:pStyle w:val="MDPI81references"/>
        <w:numPr>
          <w:ilvl w:val="0"/>
          <w:numId w:val="23"/>
        </w:numPr>
      </w:pPr>
      <w:r w:rsidRPr="00C83CD6">
        <w:t xml:space="preserve">Thompson, P.M.; Hayashi, K.M.; Simon, S.L.; </w:t>
      </w:r>
      <w:proofErr w:type="spellStart"/>
      <w:r w:rsidRPr="00C83CD6">
        <w:t>Geaga</w:t>
      </w:r>
      <w:proofErr w:type="spellEnd"/>
      <w:r w:rsidRPr="00C83CD6">
        <w:t xml:space="preserve">, J.A.; Hong, M.S.; Sui, Y.; Lee, J.Y.; Toga, A.W.; Ling, W.; London, E.D. Structural Abnormalities in the Brains of Human Subjects Who Use Methamphetamine. </w:t>
      </w:r>
      <w:r w:rsidRPr="00C83CD6">
        <w:rPr>
          <w:i/>
          <w:iCs/>
        </w:rPr>
        <w:t xml:space="preserve">J. </w:t>
      </w:r>
      <w:proofErr w:type="spellStart"/>
      <w:r w:rsidRPr="00C83CD6">
        <w:rPr>
          <w:i/>
          <w:iCs/>
        </w:rPr>
        <w:t>Neurosci</w:t>
      </w:r>
      <w:proofErr w:type="spellEnd"/>
      <w:r w:rsidRPr="00C83CD6">
        <w:rPr>
          <w:i/>
          <w:iCs/>
        </w:rPr>
        <w:t xml:space="preserve">. </w:t>
      </w:r>
      <w:r w:rsidRPr="00C83CD6">
        <w:rPr>
          <w:b/>
          <w:bCs/>
        </w:rPr>
        <w:t>2004</w:t>
      </w:r>
      <w:r w:rsidRPr="00C83CD6">
        <w:t xml:space="preserve">, </w:t>
      </w:r>
      <w:r w:rsidRPr="00C83CD6">
        <w:rPr>
          <w:i/>
          <w:iCs/>
        </w:rPr>
        <w:t>24</w:t>
      </w:r>
      <w:r w:rsidRPr="00C83CD6">
        <w:t>, 6028–6036. https://doi.org/10.1523/JNEUROSCI.0713-04.2004.</w:t>
      </w:r>
    </w:p>
    <w:p w14:paraId="22DF7DB4" w14:textId="77777777" w:rsidR="005A57D3" w:rsidRPr="00C83CD6" w:rsidRDefault="005A57D3" w:rsidP="005A57D3">
      <w:pPr>
        <w:pStyle w:val="MDPI81references"/>
        <w:numPr>
          <w:ilvl w:val="0"/>
          <w:numId w:val="23"/>
        </w:numPr>
      </w:pPr>
      <w:r w:rsidRPr="00C83CD6">
        <w:t xml:space="preserve">Lorenzetti, V.; Chye, Y.; Silva, P.; </w:t>
      </w:r>
      <w:proofErr w:type="spellStart"/>
      <w:r w:rsidRPr="00C83CD6">
        <w:t>Solowij</w:t>
      </w:r>
      <w:proofErr w:type="spellEnd"/>
      <w:r w:rsidRPr="00C83CD6">
        <w:t xml:space="preserve">, N.; Roberts, C.A. Does Regular Cannabis Use Affect Neuroanatomy? An Updated Systematic Review and Meta-Analysis of Structural Neuroimaging Studies. </w:t>
      </w:r>
      <w:r w:rsidRPr="00C83CD6">
        <w:rPr>
          <w:i/>
          <w:iCs/>
        </w:rPr>
        <w:t xml:space="preserve">Eur. Arch. Psychiatry Clin. </w:t>
      </w:r>
      <w:proofErr w:type="spellStart"/>
      <w:r w:rsidRPr="00C83CD6">
        <w:rPr>
          <w:i/>
          <w:iCs/>
        </w:rPr>
        <w:t>Neurosci</w:t>
      </w:r>
      <w:proofErr w:type="spellEnd"/>
      <w:r w:rsidRPr="00C83CD6">
        <w:rPr>
          <w:i/>
          <w:iCs/>
        </w:rPr>
        <w:t xml:space="preserve">. </w:t>
      </w:r>
      <w:r w:rsidRPr="00C83CD6">
        <w:rPr>
          <w:b/>
          <w:bCs/>
        </w:rPr>
        <w:t>2019</w:t>
      </w:r>
      <w:r w:rsidRPr="00C83CD6">
        <w:t xml:space="preserve">, </w:t>
      </w:r>
      <w:r w:rsidRPr="00C83CD6">
        <w:rPr>
          <w:i/>
          <w:iCs/>
        </w:rPr>
        <w:t>269</w:t>
      </w:r>
      <w:r w:rsidRPr="00C83CD6">
        <w:t>, 59–71. https://doi.org/10.1007/s00406-019-00979-1.</w:t>
      </w:r>
    </w:p>
    <w:p w14:paraId="72E639AE" w14:textId="77777777" w:rsidR="005A57D3" w:rsidRPr="00C83CD6" w:rsidRDefault="005A57D3" w:rsidP="005A57D3">
      <w:pPr>
        <w:pStyle w:val="MDPI81references"/>
        <w:numPr>
          <w:ilvl w:val="0"/>
          <w:numId w:val="23"/>
        </w:numPr>
      </w:pPr>
      <w:r w:rsidRPr="00C83CD6">
        <w:lastRenderedPageBreak/>
        <w:t xml:space="preserve">Di Forti, M.; Quattrone, D.; Freeman, T.P.; Tripoli, G.; Gayer-Anderson, C.; Quigley, H.; Rodriguez, V.; Jongsma, H.E.; Ferraro, L.; La Cascia, C.; et al. The Contribution of Cannabis Use to Variation in the Incidence of Psychotic Disorder across Europe (EU-GEI): A </w:t>
      </w:r>
      <w:proofErr w:type="spellStart"/>
      <w:r w:rsidRPr="00C83CD6">
        <w:t>Multicentre</w:t>
      </w:r>
      <w:proofErr w:type="spellEnd"/>
      <w:r w:rsidRPr="00C83CD6">
        <w:t xml:space="preserve"> Case-Control Study. </w:t>
      </w:r>
      <w:r w:rsidRPr="00C83CD6">
        <w:rPr>
          <w:i/>
          <w:iCs/>
        </w:rPr>
        <w:t>Lancet Psychiatry</w:t>
      </w:r>
      <w:r w:rsidRPr="00C83CD6">
        <w:t xml:space="preserve"> </w:t>
      </w:r>
      <w:r w:rsidRPr="00C83CD6">
        <w:rPr>
          <w:b/>
          <w:bCs/>
        </w:rPr>
        <w:t>2019</w:t>
      </w:r>
      <w:r w:rsidRPr="00C83CD6">
        <w:t xml:space="preserve">, </w:t>
      </w:r>
      <w:r w:rsidRPr="00C83CD6">
        <w:rPr>
          <w:i/>
          <w:iCs/>
        </w:rPr>
        <w:t>6</w:t>
      </w:r>
      <w:r w:rsidRPr="00C83CD6">
        <w:t>, 427–436. https://doi.org/10.1016/S2215-0366(19)30048-3.</w:t>
      </w:r>
    </w:p>
    <w:p w14:paraId="053FB982" w14:textId="77777777" w:rsidR="005A57D3" w:rsidRPr="00C83CD6" w:rsidRDefault="005A57D3" w:rsidP="005A57D3">
      <w:pPr>
        <w:pStyle w:val="MDPI81references"/>
        <w:numPr>
          <w:ilvl w:val="0"/>
          <w:numId w:val="23"/>
        </w:numPr>
      </w:pPr>
      <w:r w:rsidRPr="00C83CD6">
        <w:t xml:space="preserve">Mettler, F.A.J.; Huda, W.; Yoshizumi, T.T.; Mahesh, M. Effective Doses in Radiology and Diagnostic Nuclear Medicine: A Catalog. </w:t>
      </w:r>
      <w:r w:rsidRPr="00C83CD6">
        <w:rPr>
          <w:i/>
          <w:iCs/>
        </w:rPr>
        <w:t>Radiology</w:t>
      </w:r>
      <w:r w:rsidRPr="00C83CD6">
        <w:t xml:space="preserve"> </w:t>
      </w:r>
      <w:r w:rsidRPr="00C83CD6">
        <w:rPr>
          <w:b/>
          <w:bCs/>
        </w:rPr>
        <w:t>2008</w:t>
      </w:r>
      <w:r w:rsidRPr="00C83CD6">
        <w:t xml:space="preserve">, </w:t>
      </w:r>
      <w:r w:rsidRPr="00C83CD6">
        <w:rPr>
          <w:i/>
          <w:iCs/>
        </w:rPr>
        <w:t>248</w:t>
      </w:r>
      <w:r w:rsidRPr="00C83CD6">
        <w:t>, 254–263. https://doi.org/10.1148/radiol.2481071451.</w:t>
      </w:r>
    </w:p>
    <w:p w14:paraId="78BC55EA" w14:textId="77777777" w:rsidR="005A57D3" w:rsidRPr="00C83CD6" w:rsidRDefault="005A57D3" w:rsidP="005A57D3">
      <w:pPr>
        <w:pStyle w:val="MDPI81references"/>
        <w:numPr>
          <w:ilvl w:val="0"/>
          <w:numId w:val="23"/>
        </w:numPr>
      </w:pPr>
      <w:r w:rsidRPr="00C83CD6">
        <w:t>Smith-Bindman, R.; Chu, P.W.; Firdaus, H.</w:t>
      </w:r>
      <w:r>
        <w:t>A.</w:t>
      </w:r>
      <w:r w:rsidRPr="00C83CD6">
        <w:t xml:space="preserve">; Stewart, C.; </w:t>
      </w:r>
      <w:proofErr w:type="spellStart"/>
      <w:r w:rsidRPr="00C83CD6">
        <w:t>Malekhedayat</w:t>
      </w:r>
      <w:proofErr w:type="spellEnd"/>
      <w:r w:rsidRPr="00C83CD6">
        <w:t>, M.; Alber, S.; Bolch, W.E.; Mahendra, M.; de González, A.</w:t>
      </w:r>
      <w:r>
        <w:t>B.</w:t>
      </w:r>
      <w:r w:rsidRPr="00C83CD6">
        <w:t xml:space="preserve">; </w:t>
      </w:r>
      <w:proofErr w:type="spellStart"/>
      <w:r w:rsidRPr="00C83CD6">
        <w:t>Miglioretti</w:t>
      </w:r>
      <w:proofErr w:type="spellEnd"/>
      <w:r w:rsidRPr="00C83CD6">
        <w:t xml:space="preserve">, D.L. Projected Lifetime Cancer Risks from Current Computed Tomography Imaging. </w:t>
      </w:r>
      <w:r w:rsidRPr="00C83CD6">
        <w:rPr>
          <w:i/>
          <w:iCs/>
        </w:rPr>
        <w:t xml:space="preserve">JAMA Intern. Med. </w:t>
      </w:r>
      <w:r w:rsidRPr="00C83CD6">
        <w:rPr>
          <w:b/>
          <w:bCs/>
        </w:rPr>
        <w:t>2025</w:t>
      </w:r>
      <w:r w:rsidRPr="00C83CD6">
        <w:t xml:space="preserve">, </w:t>
      </w:r>
      <w:r w:rsidRPr="00C83CD6">
        <w:rPr>
          <w:i/>
          <w:iCs/>
        </w:rPr>
        <w:t>185</w:t>
      </w:r>
      <w:r w:rsidRPr="00C83CD6">
        <w:t>, 710–719. https://doi.org/10.1001/jamainternmed.2025.0505.</w:t>
      </w:r>
    </w:p>
    <w:p w14:paraId="6C38D9DB" w14:textId="77777777" w:rsidR="005A57D3" w:rsidRPr="00C83CD6" w:rsidRDefault="005A57D3" w:rsidP="005A57D3">
      <w:pPr>
        <w:pStyle w:val="MDPI81references"/>
        <w:numPr>
          <w:ilvl w:val="0"/>
          <w:numId w:val="23"/>
        </w:numPr>
      </w:pPr>
      <w:r w:rsidRPr="00C83CD6">
        <w:t xml:space="preserve">Luttrull, M.D.; Boulter, D.J.; Kirsch, C.F.E.; </w:t>
      </w:r>
      <w:proofErr w:type="spellStart"/>
      <w:r w:rsidRPr="00C83CD6">
        <w:t>Aulino</w:t>
      </w:r>
      <w:proofErr w:type="spellEnd"/>
      <w:r w:rsidRPr="00C83CD6">
        <w:t>, J.M.; Broder, J.S.; Chakraborty, S.; Choudhri, A.F.; Ducruet, A.F.; Kendi, A.T.; Lee, R.K.; et al. ACR Appropriateness Criteria</w:t>
      </w:r>
      <w:r w:rsidRPr="00C83CD6">
        <w:rPr>
          <w:vertAlign w:val="superscript"/>
        </w:rPr>
        <w:t>®</w:t>
      </w:r>
      <w:r w:rsidRPr="00C83CD6">
        <w:t xml:space="preserve"> Acute Mental Status Change, Delirium, and New Onset Psychosis. </w:t>
      </w:r>
      <w:r w:rsidRPr="00C83CD6">
        <w:rPr>
          <w:i/>
          <w:iCs/>
        </w:rPr>
        <w:t xml:space="preserve">J. Am. Coll. </w:t>
      </w:r>
      <w:proofErr w:type="spellStart"/>
      <w:r w:rsidRPr="00C83CD6">
        <w:rPr>
          <w:i/>
          <w:iCs/>
        </w:rPr>
        <w:t>Radiol</w:t>
      </w:r>
      <w:proofErr w:type="spellEnd"/>
      <w:r w:rsidRPr="00C83CD6">
        <w:rPr>
          <w:i/>
          <w:iCs/>
        </w:rPr>
        <w:t xml:space="preserve">. </w:t>
      </w:r>
      <w:r w:rsidRPr="00C83CD6">
        <w:rPr>
          <w:b/>
          <w:bCs/>
        </w:rPr>
        <w:t>2019</w:t>
      </w:r>
      <w:r w:rsidRPr="00C83CD6">
        <w:t xml:space="preserve">, </w:t>
      </w:r>
      <w:r w:rsidRPr="00C83CD6">
        <w:rPr>
          <w:i/>
          <w:iCs/>
        </w:rPr>
        <w:t>16</w:t>
      </w:r>
      <w:r w:rsidRPr="00C83CD6">
        <w:t>, S26–S37. https://doi.org/10.1016/j.jacr.2019.02.024.</w:t>
      </w:r>
    </w:p>
    <w:p w14:paraId="5C0A9D78" w14:textId="77777777" w:rsidR="005A57D3" w:rsidRPr="00C83CD6" w:rsidRDefault="005A57D3" w:rsidP="005A57D3">
      <w:pPr>
        <w:pStyle w:val="MDPI81references"/>
        <w:numPr>
          <w:ilvl w:val="0"/>
          <w:numId w:val="23"/>
        </w:numPr>
      </w:pPr>
      <w:r w:rsidRPr="00C83CD6">
        <w:t xml:space="preserve">Raj, R.; Khanam, A.; Wani, Z.A. Postpartum Psychosis in a Patient with Cavernoma: Is There a Link? </w:t>
      </w:r>
      <w:r w:rsidRPr="00C83CD6">
        <w:rPr>
          <w:i/>
          <w:iCs/>
        </w:rPr>
        <w:t>Indian. J. Psychiatry</w:t>
      </w:r>
      <w:r w:rsidRPr="00C83CD6">
        <w:t xml:space="preserve"> </w:t>
      </w:r>
      <w:r w:rsidRPr="00C83CD6">
        <w:rPr>
          <w:b/>
        </w:rPr>
        <w:t>2025</w:t>
      </w:r>
      <w:r w:rsidRPr="00C83CD6">
        <w:t xml:space="preserve">, </w:t>
      </w:r>
      <w:r w:rsidRPr="00C83CD6">
        <w:rPr>
          <w:i/>
          <w:iCs/>
        </w:rPr>
        <w:t>67</w:t>
      </w:r>
      <w:r w:rsidRPr="00C83CD6">
        <w:t>, 443–445.</w:t>
      </w:r>
    </w:p>
    <w:p w14:paraId="1E47E8A0" w14:textId="77777777" w:rsidR="005A57D3" w:rsidRPr="00C83CD6" w:rsidRDefault="005A57D3" w:rsidP="005A57D3">
      <w:pPr>
        <w:pStyle w:val="MDPI81references"/>
        <w:numPr>
          <w:ilvl w:val="0"/>
          <w:numId w:val="23"/>
        </w:numPr>
      </w:pPr>
      <w:proofErr w:type="spellStart"/>
      <w:r w:rsidRPr="00C83CD6">
        <w:t>Majarwitz</w:t>
      </w:r>
      <w:proofErr w:type="spellEnd"/>
      <w:r w:rsidRPr="00C83CD6">
        <w:t xml:space="preserve">, D.; Dvalishvili, M.; Pastis, I. Levetiracetam-Induced Psychosis in the Setting of Intracranial Cavernomas. </w:t>
      </w:r>
      <w:r w:rsidRPr="00C83CD6">
        <w:rPr>
          <w:i/>
          <w:iCs/>
        </w:rPr>
        <w:t>Case Rep. Psychiatry</w:t>
      </w:r>
      <w:r w:rsidRPr="00C83CD6">
        <w:t xml:space="preserve"> </w:t>
      </w:r>
      <w:r w:rsidRPr="00C83CD6">
        <w:rPr>
          <w:b/>
          <w:bCs/>
        </w:rPr>
        <w:t>2022</w:t>
      </w:r>
      <w:r w:rsidRPr="00C83CD6">
        <w:t xml:space="preserve">, </w:t>
      </w:r>
      <w:r w:rsidRPr="00C83CD6">
        <w:rPr>
          <w:i/>
          <w:iCs/>
        </w:rPr>
        <w:t>2022</w:t>
      </w:r>
      <w:r w:rsidRPr="00C83CD6">
        <w:t>, 9114118. https://doi.org/10.1155/2022/9114118.</w:t>
      </w:r>
    </w:p>
    <w:p w14:paraId="47B40868" w14:textId="77777777" w:rsidR="005A57D3" w:rsidRPr="00C83CD6" w:rsidRDefault="005A57D3" w:rsidP="005A57D3">
      <w:pPr>
        <w:pStyle w:val="MDPI81references"/>
        <w:numPr>
          <w:ilvl w:val="0"/>
          <w:numId w:val="23"/>
        </w:numPr>
      </w:pPr>
      <w:r w:rsidRPr="00C83CD6">
        <w:t xml:space="preserve">Pavesi, G.; Causin, F.; Feletti, A. Cavernous Angioma of the Corpus Callosum Presenting with Acute Psychosis. </w:t>
      </w:r>
      <w:proofErr w:type="spellStart"/>
      <w:r>
        <w:rPr>
          <w:i/>
          <w:iCs/>
        </w:rPr>
        <w:t>Behav</w:t>
      </w:r>
      <w:proofErr w:type="spellEnd"/>
      <w:r>
        <w:rPr>
          <w:i/>
          <w:iCs/>
        </w:rPr>
        <w:t xml:space="preserve">. Neurol. </w:t>
      </w:r>
      <w:r w:rsidRPr="00C83CD6">
        <w:rPr>
          <w:b/>
          <w:bCs/>
        </w:rPr>
        <w:t>2014</w:t>
      </w:r>
      <w:r w:rsidRPr="00C83CD6">
        <w:t xml:space="preserve">, </w:t>
      </w:r>
      <w:r w:rsidRPr="00C83CD6">
        <w:rPr>
          <w:i/>
          <w:iCs/>
        </w:rPr>
        <w:t>2014</w:t>
      </w:r>
      <w:r w:rsidRPr="00C83CD6">
        <w:t>, 243286. https://doi.org/10.1155/2014/243286.</w:t>
      </w:r>
    </w:p>
    <w:p w14:paraId="60B36628" w14:textId="77777777" w:rsidR="005A57D3" w:rsidRPr="00C83CD6" w:rsidRDefault="005A57D3" w:rsidP="005A57D3">
      <w:pPr>
        <w:pStyle w:val="MDPI81references"/>
        <w:numPr>
          <w:ilvl w:val="0"/>
          <w:numId w:val="23"/>
        </w:numPr>
      </w:pPr>
      <w:proofErr w:type="spellStart"/>
      <w:r w:rsidRPr="00C83CD6">
        <w:t>Douli</w:t>
      </w:r>
      <w:proofErr w:type="spellEnd"/>
      <w:r w:rsidRPr="00C83CD6">
        <w:t xml:space="preserve">, E.; Georgiou, G.; </w:t>
      </w:r>
      <w:proofErr w:type="spellStart"/>
      <w:r w:rsidRPr="00C83CD6">
        <w:t>Konstantinopoulou</w:t>
      </w:r>
      <w:proofErr w:type="spellEnd"/>
      <w:r w:rsidRPr="00C83CD6">
        <w:t xml:space="preserve">, E.; </w:t>
      </w:r>
      <w:proofErr w:type="spellStart"/>
      <w:r w:rsidRPr="00C83CD6">
        <w:t>Karampas</w:t>
      </w:r>
      <w:proofErr w:type="spellEnd"/>
      <w:r w:rsidRPr="00C83CD6">
        <w:t xml:space="preserve">, A.; </w:t>
      </w:r>
      <w:proofErr w:type="spellStart"/>
      <w:r w:rsidRPr="00C83CD6">
        <w:t>Plakoutsis</w:t>
      </w:r>
      <w:proofErr w:type="spellEnd"/>
      <w:r w:rsidRPr="00C83CD6">
        <w:t xml:space="preserve">, M.; </w:t>
      </w:r>
      <w:proofErr w:type="spellStart"/>
      <w:r w:rsidRPr="00C83CD6">
        <w:t>Sioka</w:t>
      </w:r>
      <w:proofErr w:type="spellEnd"/>
      <w:r w:rsidRPr="00C83CD6">
        <w:t xml:space="preserve">, C.; </w:t>
      </w:r>
      <w:proofErr w:type="spellStart"/>
      <w:r w:rsidRPr="00C83CD6">
        <w:t>Aretouli</w:t>
      </w:r>
      <w:proofErr w:type="spellEnd"/>
      <w:r w:rsidRPr="00C83CD6">
        <w:t xml:space="preserve">, E.; </w:t>
      </w:r>
      <w:proofErr w:type="spellStart"/>
      <w:r w:rsidRPr="00C83CD6">
        <w:t>Petrikis</w:t>
      </w:r>
      <w:proofErr w:type="spellEnd"/>
      <w:r w:rsidRPr="00C83CD6">
        <w:t xml:space="preserve">, P. Neuropsychological Performances and Brain Perfusion Patterns in Patients with First Episode Psychosis. </w:t>
      </w:r>
      <w:r w:rsidRPr="00C83CD6">
        <w:rPr>
          <w:i/>
          <w:iCs/>
        </w:rPr>
        <w:t xml:space="preserve">J. </w:t>
      </w:r>
      <w:proofErr w:type="spellStart"/>
      <w:r w:rsidRPr="00C83CD6">
        <w:rPr>
          <w:i/>
          <w:iCs/>
        </w:rPr>
        <w:t>Psychiatr</w:t>
      </w:r>
      <w:proofErr w:type="spellEnd"/>
      <w:r w:rsidRPr="00C83CD6">
        <w:rPr>
          <w:i/>
          <w:iCs/>
        </w:rPr>
        <w:t xml:space="preserve">. Res. </w:t>
      </w:r>
      <w:r w:rsidRPr="00C83CD6">
        <w:rPr>
          <w:b/>
          <w:bCs/>
        </w:rPr>
        <w:t>2025</w:t>
      </w:r>
      <w:r w:rsidRPr="00C83CD6">
        <w:t xml:space="preserve">, </w:t>
      </w:r>
      <w:r w:rsidRPr="00C83CD6">
        <w:rPr>
          <w:i/>
          <w:iCs/>
        </w:rPr>
        <w:t>181</w:t>
      </w:r>
      <w:r w:rsidRPr="00C83CD6">
        <w:t>, 237–244. https://doi.org/10.1016/j.jpsychires.2024.11.053.</w:t>
      </w:r>
    </w:p>
    <w:p w14:paraId="5D62E758" w14:textId="77777777" w:rsidR="005A57D3" w:rsidRPr="00C83CD6" w:rsidRDefault="005A57D3" w:rsidP="005A57D3">
      <w:pPr>
        <w:pStyle w:val="MDPI81references"/>
        <w:numPr>
          <w:ilvl w:val="0"/>
          <w:numId w:val="23"/>
        </w:numPr>
      </w:pPr>
      <w:r w:rsidRPr="00C83CD6">
        <w:t xml:space="preserve">Higuchi, Y.; Odagiri, S.; Tateno, T.; Suzuki, M.; Takahashi, T. Resting-State Electroencephalogram in Drug-Free Subjects with at-Risk Mental States Who Later Developed Psychosis: A Low-Resolution Electromagnetic Tomography Analysis. </w:t>
      </w:r>
      <w:r w:rsidRPr="00C83CD6">
        <w:rPr>
          <w:i/>
          <w:iCs/>
        </w:rPr>
        <w:t xml:space="preserve">Front. Hum. </w:t>
      </w:r>
      <w:proofErr w:type="spellStart"/>
      <w:r w:rsidRPr="00C83CD6">
        <w:rPr>
          <w:i/>
          <w:iCs/>
        </w:rPr>
        <w:t>Neurosci</w:t>
      </w:r>
      <w:proofErr w:type="spellEnd"/>
      <w:r w:rsidRPr="00C83CD6">
        <w:rPr>
          <w:i/>
          <w:iCs/>
        </w:rPr>
        <w:t xml:space="preserve">. </w:t>
      </w:r>
      <w:r w:rsidRPr="00C83CD6">
        <w:rPr>
          <w:b/>
          <w:bCs/>
        </w:rPr>
        <w:t>2024</w:t>
      </w:r>
      <w:r w:rsidRPr="00C83CD6">
        <w:t xml:space="preserve">, </w:t>
      </w:r>
      <w:r w:rsidRPr="00C83CD6">
        <w:rPr>
          <w:i/>
          <w:iCs/>
        </w:rPr>
        <w:t>18</w:t>
      </w:r>
      <w:r w:rsidRPr="00C83CD6">
        <w:t>, 1449820. https://doi.org/10.3389/fnhum.2024.1449820.</w:t>
      </w:r>
    </w:p>
    <w:p w14:paraId="3651FA81" w14:textId="77777777" w:rsidR="005A57D3" w:rsidRPr="009728C0" w:rsidRDefault="005A57D3" w:rsidP="005A57D3">
      <w:pPr>
        <w:pStyle w:val="MDPI63notes"/>
      </w:pPr>
      <w:r w:rsidRPr="009728C0">
        <w:rPr>
          <w:b/>
        </w:rPr>
        <w:t>Disclaimer/Publisher’s Note:</w:t>
      </w:r>
      <w:r w:rsidRPr="009728C0">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p w14:paraId="5654A374" w14:textId="001E6D61" w:rsidR="00FE6943" w:rsidRPr="000A431F" w:rsidRDefault="00FE6943" w:rsidP="005A57D3">
      <w:pPr>
        <w:pStyle w:val="MDPI21heading1"/>
        <w:ind w:left="0"/>
      </w:pPr>
    </w:p>
    <w:sectPr w:rsidR="00FE6943" w:rsidRPr="000A431F" w:rsidSect="002F67E3">
      <w:headerReference w:type="even" r:id="rId16"/>
      <w:headerReference w:type="default" r:id="rId17"/>
      <w:footerReference w:type="default" r:id="rId18"/>
      <w:headerReference w:type="first" r:id="rId19"/>
      <w:footerReference w:type="first" r:id="rId20"/>
      <w:type w:val="continuous"/>
      <w:pgSz w:w="11906" w:h="16838" w:code="9"/>
      <w:pgMar w:top="1417" w:right="720" w:bottom="907" w:left="720" w:header="720" w:footer="612"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DPI" w:date="2025-07-08T11:40:00Z" w:initials="M">
    <w:p w14:paraId="0CC2C91A" w14:textId="77777777" w:rsidR="005A57D3" w:rsidRPr="00646960" w:rsidRDefault="005A57D3" w:rsidP="005A57D3">
      <w:pPr>
        <w:pStyle w:val="ListParagraph"/>
        <w:spacing w:line="360" w:lineRule="auto"/>
        <w:rPr>
          <w:rFonts w:ascii="Times New Roman" w:eastAsia="Microsoft YaHei UI" w:hAnsi="Times New Roman"/>
        </w:rPr>
      </w:pPr>
      <w:r>
        <w:rPr>
          <w:rStyle w:val="CommentReference"/>
        </w:rPr>
        <w:annotationRef/>
      </w:r>
      <w:r w:rsidRPr="00646960">
        <w:rPr>
          <w:rFonts w:ascii="Times New Roman" w:eastAsia="Microsoft YaHei UI" w:hAnsi="Times New Roman"/>
        </w:rPr>
        <w:t xml:space="preserve">1. </w:t>
      </w:r>
      <w:proofErr w:type="spellStart"/>
      <w:r w:rsidRPr="00646960">
        <w:rPr>
          <w:rFonts w:ascii="Times New Roman" w:eastAsia="Microsoft YaHei UI" w:hAnsi="Times New Roman"/>
        </w:rPr>
        <w:t>Please</w:t>
      </w:r>
      <w:proofErr w:type="spellEnd"/>
      <w:r w:rsidRPr="00646960">
        <w:rPr>
          <w:rFonts w:ascii="Times New Roman" w:eastAsia="Microsoft YaHei UI" w:hAnsi="Times New Roman"/>
        </w:rPr>
        <w:t xml:space="preserve"> do </w:t>
      </w:r>
      <w:proofErr w:type="spellStart"/>
      <w:r w:rsidRPr="00646960">
        <w:rPr>
          <w:rFonts w:ascii="Times New Roman" w:eastAsia="Microsoft YaHei UI" w:hAnsi="Times New Roman"/>
        </w:rPr>
        <w:t>not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delete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our</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comments</w:t>
      </w:r>
      <w:proofErr w:type="spellEnd"/>
      <w:r w:rsidRPr="00646960">
        <w:rPr>
          <w:rFonts w:ascii="Times New Roman" w:eastAsia="Microsoft YaHei UI" w:hAnsi="Times New Roman"/>
        </w:rPr>
        <w:t>.</w:t>
      </w:r>
    </w:p>
    <w:p w14:paraId="27A9A438" w14:textId="77777777" w:rsidR="005A57D3" w:rsidRPr="00646960" w:rsidRDefault="005A57D3" w:rsidP="005A57D3">
      <w:pPr>
        <w:pStyle w:val="ListParagraph"/>
        <w:spacing w:line="360" w:lineRule="auto"/>
        <w:rPr>
          <w:rFonts w:ascii="Times New Roman" w:eastAsia="Microsoft YaHei UI" w:hAnsi="Times New Roman"/>
        </w:rPr>
      </w:pPr>
      <w:r w:rsidRPr="00646960">
        <w:rPr>
          <w:rFonts w:ascii="Times New Roman" w:eastAsia="Microsoft YaHei UI" w:hAnsi="Times New Roman"/>
        </w:rPr>
        <w:t xml:space="preserve">2. </w:t>
      </w:r>
      <w:proofErr w:type="spellStart"/>
      <w:r w:rsidRPr="00646960">
        <w:rPr>
          <w:rFonts w:ascii="Times New Roman" w:eastAsia="Microsoft YaHei UI" w:hAnsi="Times New Roman"/>
        </w:rPr>
        <w:t>Please</w:t>
      </w:r>
      <w:proofErr w:type="spellEnd"/>
      <w:r w:rsidRPr="00646960">
        <w:rPr>
          <w:rFonts w:ascii="Times New Roman" w:eastAsia="Microsoft YaHei UI" w:hAnsi="Times New Roman"/>
        </w:rPr>
        <w:t xml:space="preserve"> revise and </w:t>
      </w:r>
      <w:proofErr w:type="spellStart"/>
      <w:r w:rsidRPr="00646960">
        <w:rPr>
          <w:rFonts w:ascii="Times New Roman" w:eastAsia="Microsoft YaHei UI" w:hAnsi="Times New Roman"/>
        </w:rPr>
        <w:t>answer</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all</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questions</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that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we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proposed</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Such</w:t>
      </w:r>
      <w:proofErr w:type="spellEnd"/>
      <w:r w:rsidRPr="00646960">
        <w:rPr>
          <w:rFonts w:ascii="Times New Roman" w:eastAsia="Microsoft YaHei UI" w:hAnsi="Times New Roman"/>
        </w:rPr>
        <w:t xml:space="preserve"> as: “</w:t>
      </w:r>
      <w:proofErr w:type="spellStart"/>
      <w:r w:rsidRPr="00646960">
        <w:rPr>
          <w:rFonts w:ascii="Times New Roman" w:eastAsia="Microsoft YaHei UI" w:hAnsi="Times New Roman"/>
        </w:rPr>
        <w:t>It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should</w:t>
      </w:r>
      <w:proofErr w:type="spellEnd"/>
      <w:r w:rsidRPr="00646960">
        <w:rPr>
          <w:rFonts w:ascii="Times New Roman" w:eastAsia="Microsoft YaHei UI" w:hAnsi="Times New Roman"/>
        </w:rPr>
        <w:t xml:space="preserve"> be </w:t>
      </w:r>
      <w:proofErr w:type="spellStart"/>
      <w:r w:rsidRPr="00646960">
        <w:rPr>
          <w:rFonts w:ascii="Times New Roman" w:eastAsia="Microsoft YaHei UI" w:hAnsi="Times New Roman"/>
        </w:rPr>
        <w:t>italic</w:t>
      </w:r>
      <w:proofErr w:type="spellEnd"/>
      <w:r w:rsidRPr="00646960">
        <w:rPr>
          <w:rFonts w:ascii="Times New Roman" w:eastAsia="Microsoft YaHei UI" w:hAnsi="Times New Roman"/>
        </w:rPr>
        <w:t xml:space="preserve">”; “I </w:t>
      </w:r>
      <w:proofErr w:type="spellStart"/>
      <w:r w:rsidRPr="00646960">
        <w:rPr>
          <w:rFonts w:ascii="Times New Roman" w:eastAsia="Microsoft YaHei UI" w:hAnsi="Times New Roman"/>
        </w:rPr>
        <w:t>confirm</w:t>
      </w:r>
      <w:proofErr w:type="spellEnd"/>
      <w:r w:rsidRPr="00646960">
        <w:rPr>
          <w:rFonts w:ascii="Times New Roman" w:eastAsia="Microsoft YaHei UI" w:hAnsi="Times New Roman"/>
        </w:rPr>
        <w:t xml:space="preserve">”; “I </w:t>
      </w:r>
      <w:proofErr w:type="spellStart"/>
      <w:r w:rsidRPr="00646960">
        <w:rPr>
          <w:rFonts w:ascii="Times New Roman" w:eastAsia="Microsoft YaHei UI" w:hAnsi="Times New Roman"/>
        </w:rPr>
        <w:t>have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checked</w:t>
      </w:r>
      <w:proofErr w:type="spellEnd"/>
      <w:r w:rsidRPr="00646960">
        <w:rPr>
          <w:rFonts w:ascii="Times New Roman" w:eastAsia="Microsoft YaHei UI" w:hAnsi="Times New Roman"/>
        </w:rPr>
        <w:t xml:space="preserve"> and </w:t>
      </w:r>
      <w:proofErr w:type="spellStart"/>
      <w:r w:rsidRPr="00646960">
        <w:rPr>
          <w:rFonts w:ascii="Times New Roman" w:eastAsia="Microsoft YaHei UI" w:hAnsi="Times New Roman"/>
        </w:rPr>
        <w:t>revised</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all</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which</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will</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help</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us</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to</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check</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effectively</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if</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the</w:t>
      </w:r>
      <w:proofErr w:type="spellEnd"/>
      <w:r w:rsidRPr="00646960">
        <w:rPr>
          <w:rFonts w:ascii="Times New Roman" w:eastAsia="Microsoft YaHei UI" w:hAnsi="Times New Roman"/>
        </w:rPr>
        <w:t xml:space="preserve"> final </w:t>
      </w:r>
      <w:proofErr w:type="spellStart"/>
      <w:r w:rsidRPr="00646960">
        <w:rPr>
          <w:rFonts w:ascii="Times New Roman" w:eastAsia="Microsoft YaHei UI" w:hAnsi="Times New Roman"/>
        </w:rPr>
        <w:t>version</w:t>
      </w:r>
      <w:proofErr w:type="spellEnd"/>
      <w:r w:rsidRPr="00646960">
        <w:rPr>
          <w:rFonts w:ascii="Times New Roman" w:eastAsia="Microsoft YaHei UI" w:hAnsi="Times New Roman"/>
        </w:rPr>
        <w:t xml:space="preserve"> has </w:t>
      </w:r>
      <w:proofErr w:type="spellStart"/>
      <w:r w:rsidRPr="00646960">
        <w:rPr>
          <w:rFonts w:ascii="Times New Roman" w:eastAsia="Microsoft YaHei UI" w:hAnsi="Times New Roman"/>
        </w:rPr>
        <w:t>been</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proofed</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entirely</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Please</w:t>
      </w:r>
      <w:proofErr w:type="spellEnd"/>
      <w:r w:rsidRPr="00646960">
        <w:rPr>
          <w:rFonts w:ascii="Times New Roman" w:eastAsia="Microsoft YaHei UI" w:hAnsi="Times New Roman"/>
        </w:rPr>
        <w:t xml:space="preserve"> note </w:t>
      </w:r>
      <w:proofErr w:type="spellStart"/>
      <w:r w:rsidRPr="00646960">
        <w:rPr>
          <w:rFonts w:ascii="Times New Roman" w:eastAsia="Microsoft YaHei UI" w:hAnsi="Times New Roman"/>
        </w:rPr>
        <w:t>that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changes</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will</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not</w:t>
      </w:r>
      <w:proofErr w:type="spellEnd"/>
      <w:r w:rsidRPr="00646960">
        <w:rPr>
          <w:rFonts w:ascii="Times New Roman" w:eastAsia="Microsoft YaHei UI" w:hAnsi="Times New Roman"/>
        </w:rPr>
        <w:t xml:space="preserve"> be </w:t>
      </w:r>
      <w:proofErr w:type="spellStart"/>
      <w:r w:rsidRPr="00646960">
        <w:rPr>
          <w:rFonts w:ascii="Times New Roman" w:eastAsia="Microsoft YaHei UI" w:hAnsi="Times New Roman"/>
        </w:rPr>
        <w:t>allowed</w:t>
      </w:r>
      <w:proofErr w:type="spellEnd"/>
      <w:r w:rsidRPr="00646960">
        <w:rPr>
          <w:rFonts w:ascii="Times New Roman" w:eastAsia="Microsoft YaHei UI" w:hAnsi="Times New Roman"/>
        </w:rPr>
        <w:t xml:space="preserve"> once </w:t>
      </w:r>
      <w:proofErr w:type="spellStart"/>
      <w:r w:rsidRPr="00646960">
        <w:rPr>
          <w:rFonts w:ascii="Times New Roman" w:eastAsia="Microsoft YaHei UI" w:hAnsi="Times New Roman"/>
        </w:rPr>
        <w:t>the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paper</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is</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released</w:t>
      </w:r>
      <w:proofErr w:type="spellEnd"/>
      <w:r w:rsidRPr="00646960">
        <w:rPr>
          <w:rFonts w:ascii="Times New Roman" w:eastAsia="Microsoft YaHei UI" w:hAnsi="Times New Roman"/>
        </w:rPr>
        <w:t xml:space="preserve"> online.</w:t>
      </w:r>
    </w:p>
    <w:p w14:paraId="320DAD8B" w14:textId="77777777" w:rsidR="005A57D3" w:rsidRPr="00646960" w:rsidRDefault="005A57D3" w:rsidP="005A57D3">
      <w:pPr>
        <w:pStyle w:val="ListParagraph"/>
        <w:spacing w:line="360" w:lineRule="auto"/>
        <w:rPr>
          <w:rFonts w:ascii="Times New Roman" w:eastAsia="Microsoft YaHei UI" w:hAnsi="Times New Roman"/>
        </w:rPr>
      </w:pPr>
      <w:r w:rsidRPr="00646960">
        <w:rPr>
          <w:rFonts w:ascii="Times New Roman" w:eastAsia="Microsoft YaHei UI" w:hAnsi="Times New Roman"/>
        </w:rPr>
        <w:t xml:space="preserve">3. </w:t>
      </w:r>
      <w:proofErr w:type="spellStart"/>
      <w:r w:rsidRPr="00646960">
        <w:rPr>
          <w:rFonts w:ascii="Times New Roman" w:eastAsia="Microsoft YaHei UI" w:hAnsi="Times New Roman"/>
        </w:rPr>
        <w:t>The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paper</w:t>
      </w:r>
      <w:proofErr w:type="spellEnd"/>
      <w:r w:rsidRPr="00646960">
        <w:rPr>
          <w:rFonts w:ascii="Times New Roman" w:eastAsia="Microsoft YaHei UI" w:hAnsi="Times New Roman"/>
        </w:rPr>
        <w:t xml:space="preserve"> has </w:t>
      </w:r>
      <w:proofErr w:type="spellStart"/>
      <w:r w:rsidRPr="00646960">
        <w:rPr>
          <w:rFonts w:ascii="Times New Roman" w:eastAsia="Microsoft YaHei UI" w:hAnsi="Times New Roman"/>
        </w:rPr>
        <w:t>been</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edited</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by</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our</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inhouse</w:t>
      </w:r>
      <w:proofErr w:type="spellEnd"/>
      <w:r w:rsidRPr="00646960">
        <w:rPr>
          <w:rFonts w:ascii="Times New Roman" w:eastAsia="Microsoft YaHei UI" w:hAnsi="Times New Roman"/>
        </w:rPr>
        <w:t xml:space="preserve"> English editor, </w:t>
      </w:r>
      <w:proofErr w:type="spellStart"/>
      <w:r w:rsidRPr="00646960">
        <w:rPr>
          <w:rFonts w:ascii="Times New Roman" w:eastAsia="Microsoft YaHei UI" w:hAnsi="Times New Roman"/>
        </w:rPr>
        <w:t>please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check</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carefully</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throughout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the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manuscript</w:t>
      </w:r>
      <w:proofErr w:type="spellEnd"/>
      <w:r w:rsidRPr="00646960">
        <w:rPr>
          <w:rFonts w:ascii="Times New Roman" w:eastAsia="Microsoft YaHei UI" w:hAnsi="Times New Roman"/>
        </w:rPr>
        <w:t>.</w:t>
      </w:r>
    </w:p>
    <w:p w14:paraId="51C785FC" w14:textId="77777777" w:rsidR="005A57D3" w:rsidRPr="00646960" w:rsidRDefault="005A57D3" w:rsidP="005A57D3">
      <w:pPr>
        <w:pStyle w:val="ListParagraph"/>
        <w:spacing w:line="360" w:lineRule="auto"/>
        <w:rPr>
          <w:rFonts w:ascii="Times New Roman" w:eastAsia="Microsoft YaHei UI" w:hAnsi="Times New Roman"/>
        </w:rPr>
      </w:pPr>
      <w:r w:rsidRPr="00646960">
        <w:rPr>
          <w:rFonts w:ascii="Times New Roman" w:eastAsia="Microsoft YaHei UI" w:hAnsi="Times New Roman"/>
        </w:rPr>
        <w:t xml:space="preserve">4. </w:t>
      </w:r>
      <w:proofErr w:type="spellStart"/>
      <w:r w:rsidRPr="00646960">
        <w:rPr>
          <w:rFonts w:ascii="Times New Roman" w:eastAsia="Microsoft YaHei UI" w:hAnsi="Times New Roman"/>
        </w:rPr>
        <w:t>The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initial</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layout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for</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your</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manuscript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was</w:t>
      </w:r>
      <w:proofErr w:type="spellEnd"/>
      <w:r w:rsidRPr="00646960">
        <w:rPr>
          <w:rFonts w:ascii="Times New Roman" w:eastAsia="Microsoft YaHei UI" w:hAnsi="Times New Roman"/>
        </w:rPr>
        <w:t xml:space="preserve"> done </w:t>
      </w:r>
      <w:proofErr w:type="spellStart"/>
      <w:r w:rsidRPr="00646960">
        <w:rPr>
          <w:rFonts w:ascii="Times New Roman" w:eastAsia="Microsoft YaHei UI" w:hAnsi="Times New Roman"/>
        </w:rPr>
        <w:t>by</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our</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layout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team</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Please</w:t>
      </w:r>
      <w:proofErr w:type="spellEnd"/>
      <w:r w:rsidRPr="00646960">
        <w:rPr>
          <w:rFonts w:ascii="Times New Roman" w:eastAsia="Microsoft YaHei UI" w:hAnsi="Times New Roman"/>
        </w:rPr>
        <w:t xml:space="preserve"> do </w:t>
      </w:r>
      <w:proofErr w:type="spellStart"/>
      <w:r w:rsidRPr="00646960">
        <w:rPr>
          <w:rFonts w:ascii="Times New Roman" w:eastAsia="Microsoft YaHei UI" w:hAnsi="Times New Roman"/>
        </w:rPr>
        <w:t>not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change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the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layout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otherwise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we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cannot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proceed</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to</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the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next</w:t>
      </w:r>
      <w:proofErr w:type="spellEnd"/>
      <w:r w:rsidRPr="00646960">
        <w:rPr>
          <w:rFonts w:ascii="Times New Roman" w:eastAsia="Microsoft YaHei UI" w:hAnsi="Times New Roman"/>
        </w:rPr>
        <w:t xml:space="preserve"> step.</w:t>
      </w:r>
    </w:p>
    <w:p w14:paraId="6E6C023D" w14:textId="77777777" w:rsidR="005A57D3" w:rsidRPr="00646960" w:rsidRDefault="005A57D3" w:rsidP="005A57D3">
      <w:pPr>
        <w:pStyle w:val="ListParagraph"/>
        <w:spacing w:line="360" w:lineRule="auto"/>
        <w:rPr>
          <w:rFonts w:ascii="Times New Roman" w:eastAsia="Microsoft YaHei UI" w:hAnsi="Times New Roman"/>
        </w:rPr>
      </w:pPr>
      <w:r w:rsidRPr="00646960">
        <w:rPr>
          <w:rFonts w:ascii="Times New Roman" w:eastAsia="Microsoft YaHei UI" w:hAnsi="Times New Roman"/>
        </w:rPr>
        <w:t xml:space="preserve">5. </w:t>
      </w:r>
      <w:proofErr w:type="spellStart"/>
      <w:r w:rsidRPr="00646960">
        <w:rPr>
          <w:rFonts w:ascii="Times New Roman" w:eastAsia="Microsoft YaHei UI" w:hAnsi="Times New Roman"/>
        </w:rPr>
        <w:t>Please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directly</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correct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on</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this</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version</w:t>
      </w:r>
      <w:proofErr w:type="spellEnd"/>
      <w:r w:rsidRPr="00646960">
        <w:rPr>
          <w:rFonts w:ascii="Times New Roman" w:eastAsia="Microsoft YaHei UI" w:hAnsi="Times New Roman"/>
        </w:rPr>
        <w:t xml:space="preserve">. </w:t>
      </w:r>
    </w:p>
    <w:p w14:paraId="409EDB5E" w14:textId="77777777" w:rsidR="005A57D3" w:rsidRPr="00646960" w:rsidRDefault="005A57D3" w:rsidP="005A57D3">
      <w:pPr>
        <w:pStyle w:val="ListParagraph"/>
        <w:spacing w:line="360" w:lineRule="auto"/>
        <w:rPr>
          <w:rFonts w:ascii="Times New Roman" w:eastAsia="Microsoft YaHei UI" w:hAnsi="Times New Roman"/>
        </w:rPr>
      </w:pPr>
      <w:r w:rsidRPr="00646960">
        <w:rPr>
          <w:rFonts w:ascii="Times New Roman" w:eastAsia="Microsoft YaHei UI" w:hAnsi="Times New Roman"/>
        </w:rPr>
        <w:t xml:space="preserve">6. </w:t>
      </w:r>
      <w:proofErr w:type="spellStart"/>
      <w:r w:rsidRPr="00646960">
        <w:rPr>
          <w:rFonts w:ascii="Times New Roman" w:eastAsia="Microsoft YaHei UI" w:hAnsi="Times New Roman"/>
        </w:rPr>
        <w:t>Please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make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sure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that</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all</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the</w:t>
      </w:r>
      <w:proofErr w:type="spellEnd"/>
      <w:r w:rsidRPr="00646960">
        <w:rPr>
          <w:rFonts w:ascii="Times New Roman" w:eastAsia="Microsoft YaHei UI" w:hAnsi="Times New Roman"/>
        </w:rPr>
        <w:t xml:space="preserve"> symbols in </w:t>
      </w:r>
      <w:proofErr w:type="spellStart"/>
      <w:r w:rsidRPr="00646960">
        <w:rPr>
          <w:rFonts w:ascii="Times New Roman" w:eastAsia="Microsoft YaHei UI" w:hAnsi="Times New Roman"/>
        </w:rPr>
        <w:t>the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paper</w:t>
      </w:r>
      <w:proofErr w:type="spellEnd"/>
      <w:r w:rsidRPr="00646960">
        <w:rPr>
          <w:rFonts w:ascii="Times New Roman" w:eastAsia="Microsoft YaHei UI" w:hAnsi="Times New Roman"/>
        </w:rPr>
        <w:t xml:space="preserve"> are </w:t>
      </w:r>
      <w:proofErr w:type="spellStart"/>
      <w:r w:rsidRPr="00646960">
        <w:rPr>
          <w:rFonts w:ascii="Times New Roman" w:eastAsia="Microsoft YaHei UI" w:hAnsi="Times New Roman"/>
        </w:rPr>
        <w:t>of</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the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same</w:t>
      </w:r>
      <w:proofErr w:type="spellEnd"/>
      <w:r w:rsidRPr="00646960">
        <w:rPr>
          <w:rFonts w:ascii="Times New Roman" w:eastAsia="Microsoft YaHei UI" w:hAnsi="Times New Roman"/>
        </w:rPr>
        <w:t xml:space="preserve"> </w:t>
      </w:r>
      <w:proofErr w:type="spellStart"/>
      <w:r w:rsidRPr="00646960">
        <w:rPr>
          <w:rFonts w:ascii="Times New Roman" w:eastAsia="Microsoft YaHei UI" w:hAnsi="Times New Roman"/>
        </w:rPr>
        <w:t>format</w:t>
      </w:r>
      <w:proofErr w:type="spellEnd"/>
      <w:r w:rsidRPr="00646960">
        <w:rPr>
          <w:rFonts w:ascii="Times New Roman" w:eastAsia="Microsoft YaHei UI" w:hAnsi="Times New Roman"/>
        </w:rPr>
        <w:t>.</w:t>
      </w:r>
    </w:p>
    <w:p w14:paraId="29526CB5" w14:textId="77777777" w:rsidR="005A57D3" w:rsidRDefault="005A57D3" w:rsidP="005A57D3">
      <w:pPr>
        <w:pStyle w:val="ListParagraph"/>
        <w:spacing w:line="360" w:lineRule="auto"/>
        <w:rPr>
          <w:rFonts w:ascii="Times New Roman" w:eastAsia="Microsoft YaHei UI" w:hAnsi="Times New Roman"/>
        </w:rPr>
      </w:pPr>
    </w:p>
    <w:p w14:paraId="35174E02" w14:textId="5A212123" w:rsidR="005A57D3" w:rsidRPr="005A57D3" w:rsidRDefault="005A57D3">
      <w:pPr>
        <w:pStyle w:val="CommentText"/>
        <w:rPr>
          <w:lang w:val="es-ES"/>
        </w:rPr>
      </w:pPr>
    </w:p>
  </w:comment>
  <w:comment w:id="2" w:author="MDPI" w:date="2025-07-07T19:19:00Z" w:initials="M">
    <w:p w14:paraId="3D378ABD" w14:textId="297CA8F8" w:rsidR="009C6194" w:rsidRDefault="009C6194" w:rsidP="009C6194">
      <w:pPr>
        <w:pStyle w:val="CommentText"/>
      </w:pPr>
      <w:r>
        <w:rPr>
          <w:rStyle w:val="CommentReference"/>
        </w:rPr>
        <w:annotationRef/>
      </w:r>
      <w:r>
        <w:rPr>
          <w:rStyle w:val="CommentReference"/>
          <w:rFonts w:hint="eastAsia"/>
        </w:rPr>
        <w:t>A</w:t>
      </w:r>
      <w:r>
        <w:rPr>
          <w:rStyle w:val="CommentReference"/>
        </w:rPr>
        <w:t>rticle title is not allowed to have dot, please changed into emdash or “:”</w:t>
      </w:r>
      <w:r>
        <w:t>.</w:t>
      </w:r>
    </w:p>
  </w:comment>
  <w:comment w:id="1" w:author="English Editor" w:date="2025-07-07T11:17:00Z" w:initials="EE">
    <w:p w14:paraId="0FC59514" w14:textId="30A56F1C" w:rsidR="000A431F" w:rsidRDefault="000A431F">
      <w:pPr>
        <w:pStyle w:val="CommentText"/>
      </w:pPr>
      <w:r>
        <w:rPr>
          <w:rStyle w:val="CommentReference"/>
        </w:rPr>
        <w:annotationRef/>
      </w:r>
      <w:r>
        <w:t>Attention: Title altered.</w:t>
      </w:r>
    </w:p>
  </w:comment>
  <w:comment w:id="3" w:author="MDPI" w:date="2025-07-07T17:17:00Z" w:initials="M">
    <w:p w14:paraId="374C998A" w14:textId="0DE280E2" w:rsidR="002D4102" w:rsidRDefault="002D4102">
      <w:pPr>
        <w:pStyle w:val="CommentText"/>
      </w:pPr>
      <w:r>
        <w:rPr>
          <w:rStyle w:val="CommentReference"/>
        </w:rPr>
        <w:annotationRef/>
      </w:r>
      <w:r>
        <w:t xml:space="preserve">Please carefully check the accuracy of names and affiliations. </w:t>
      </w:r>
    </w:p>
  </w:comment>
  <w:comment w:id="4" w:author="MDPI" w:date="2025-07-07T18:13:00Z" w:initials="M">
    <w:p w14:paraId="3E2DA964" w14:textId="631C16F4" w:rsidR="003D77B9" w:rsidRDefault="003D77B9">
      <w:pPr>
        <w:pStyle w:val="CommentText"/>
      </w:pPr>
      <w:r>
        <w:rPr>
          <w:rStyle w:val="CommentReference"/>
        </w:rPr>
        <w:annotationRef/>
      </w:r>
      <w:r>
        <w:t>Please confirm if these anthors surname is right.</w:t>
      </w:r>
    </w:p>
  </w:comment>
  <w:comment w:id="5" w:author="MDPI" w:date="2025-07-07T17:33:00Z" w:initials="M">
    <w:p w14:paraId="32200F2F" w14:textId="32531269" w:rsidR="000B703D" w:rsidRDefault="000B703D" w:rsidP="00D85AC4">
      <w:pPr>
        <w:pStyle w:val="CommentText"/>
      </w:pPr>
      <w:r>
        <w:rPr>
          <w:rStyle w:val="CommentReference"/>
        </w:rPr>
        <w:annotationRef/>
      </w:r>
      <w:r>
        <w:t>We changed “.” to “,”. Please confirm this revision.</w:t>
      </w:r>
      <w:r w:rsidR="00D85AC4">
        <w:t xml:space="preserve"> </w:t>
      </w:r>
      <w:r w:rsidR="00D85AC4">
        <w:rPr>
          <w:rFonts w:hint="eastAsia"/>
        </w:rPr>
        <w:t>The following highlights are the same.</w:t>
      </w:r>
    </w:p>
  </w:comment>
  <w:comment w:id="6" w:author="MDPI" w:date="2025-07-07T17:39:00Z" w:initials="M">
    <w:p w14:paraId="796376F0" w14:textId="549672BF" w:rsidR="004541A3" w:rsidRDefault="004541A3" w:rsidP="005B1C72">
      <w:pPr>
        <w:pStyle w:val="CommentText"/>
      </w:pPr>
      <w:r>
        <w:rPr>
          <w:rStyle w:val="CommentReference"/>
        </w:rPr>
        <w:annotationRef/>
      </w:r>
      <w:r>
        <w:t>We moved these email to affiliation 2. Please confirm this revision.</w:t>
      </w:r>
      <w:r w:rsidR="005B1C72">
        <w:t xml:space="preserve"> </w:t>
      </w:r>
      <w:r w:rsidR="005B1C72">
        <w:rPr>
          <w:rFonts w:hint="eastAsia"/>
        </w:rPr>
        <w:t>The following highlight are the same.</w:t>
      </w:r>
    </w:p>
  </w:comment>
  <w:comment w:id="7" w:author="MDPI" w:date="2025-07-07T19:26:00Z" w:initials="M">
    <w:p w14:paraId="7D99DCD7" w14:textId="293C2C3D" w:rsidR="00E166C4" w:rsidRDefault="00E166C4">
      <w:pPr>
        <w:pStyle w:val="CommentText"/>
      </w:pPr>
      <w:r>
        <w:rPr>
          <w:rStyle w:val="CommentReference"/>
        </w:rPr>
        <w:annotationRef/>
      </w:r>
      <w:r>
        <w:t>Please confirm if the “/” could be change into comma.</w:t>
      </w:r>
    </w:p>
  </w:comment>
  <w:comment w:id="8" w:author="MDPI" w:date="2025-07-07T17:36:00Z" w:initials="M">
    <w:p w14:paraId="14F293A3" w14:textId="33711FAB" w:rsidR="00B91101" w:rsidRDefault="00B91101">
      <w:pPr>
        <w:pStyle w:val="CommentText"/>
      </w:pPr>
      <w:r>
        <w:rPr>
          <w:rStyle w:val="CommentReference"/>
        </w:rPr>
        <w:annotationRef/>
      </w:r>
      <w:r>
        <w:t>Please add the postal code (or ZIP code in the U.S.). If a postal code is not available, a Post Office Box number can be added instead.</w:t>
      </w:r>
    </w:p>
  </w:comment>
  <w:comment w:id="9" w:author="MDPI" w:date="2025-07-07T17:31:00Z" w:initials="M">
    <w:p w14:paraId="3F057DAE" w14:textId="77777777" w:rsidR="00ED3125" w:rsidRDefault="00ED3125" w:rsidP="00ED3125">
      <w:pPr>
        <w:pStyle w:val="CommentText"/>
      </w:pPr>
      <w:r>
        <w:t>We changed “^” to “</w:t>
      </w:r>
      <w:r w:rsidRPr="006430BB">
        <w:rPr>
          <w:rFonts w:hint="eastAsia"/>
        </w:rPr>
        <w:t>†</w:t>
      </w:r>
      <w:r>
        <w:t>”. Please confirm this revision.</w:t>
      </w:r>
    </w:p>
  </w:comment>
  <w:comment w:id="10" w:author="MDPI" w:date="2025-07-07T17:32:00Z" w:initials="M">
    <w:p w14:paraId="50B3608A" w14:textId="77777777" w:rsidR="00ED3125" w:rsidRDefault="00ED3125" w:rsidP="00ED3125">
      <w:pPr>
        <w:pStyle w:val="CommentText"/>
      </w:pPr>
      <w:r>
        <w:rPr>
          <w:rStyle w:val="CommentReference"/>
        </w:rPr>
        <w:annotationRef/>
      </w:r>
      <w:r>
        <w:t>We changed “</w:t>
      </w:r>
      <w:r w:rsidRPr="00A60C01">
        <w:t>Equal contribution status</w:t>
      </w:r>
      <w:r>
        <w:t>” to “</w:t>
      </w:r>
      <w:r w:rsidRPr="00C06B2F">
        <w:t>These authors contributed equally to this work</w:t>
      </w:r>
      <w:r>
        <w:t>”. Please confirm this revision.</w:t>
      </w:r>
    </w:p>
  </w:comment>
  <w:comment w:id="11" w:author="MDPI" w:date="2025-07-08T11:42:00Z" w:initials="M">
    <w:p w14:paraId="4D82507C" w14:textId="77777777" w:rsidR="005A57D3" w:rsidRPr="00E21C65" w:rsidRDefault="005A57D3" w:rsidP="005A57D3">
      <w:pPr>
        <w:spacing w:line="360" w:lineRule="auto"/>
        <w:ind w:left="360"/>
        <w:rPr>
          <w:rStyle w:val="cf01"/>
          <w:rFonts w:eastAsiaTheme="minorEastAsia" w:hint="default"/>
        </w:rPr>
      </w:pPr>
      <w:r>
        <w:rPr>
          <w:rStyle w:val="CommentReference"/>
        </w:rPr>
        <w:annotationRef/>
      </w:r>
      <w:r w:rsidRPr="00E21C65">
        <w:rPr>
          <w:rStyle w:val="cf01"/>
          <w:rFonts w:eastAsiaTheme="minorEastAsia" w:hint="default"/>
        </w:rPr>
        <w:t>Please carefully check the whole article where machines/software/chemicals are first mentioned. Add the information of company, city, abbr of the state (only for Canada and USA), country. Please revise all.</w:t>
      </w:r>
    </w:p>
    <w:p w14:paraId="03815354" w14:textId="1B5687F4" w:rsidR="005A57D3" w:rsidRDefault="005A57D3">
      <w:pPr>
        <w:pStyle w:val="CommentText"/>
      </w:pPr>
    </w:p>
  </w:comment>
  <w:comment w:id="12" w:author="MDPI" w:date="2025-07-07T17:43:00Z" w:initials="M">
    <w:p w14:paraId="77E69F17" w14:textId="2FB20412" w:rsidR="00F36D81" w:rsidRDefault="00F36D81" w:rsidP="006B2D27">
      <w:pPr>
        <w:pStyle w:val="CommentText"/>
      </w:pPr>
      <w:r>
        <w:rPr>
          <w:rStyle w:val="CommentReference"/>
        </w:rPr>
        <w:annotationRef/>
      </w:r>
      <w:r>
        <w:t>We changed date format into “Day Month Year”. Please confirm this revision.</w:t>
      </w:r>
      <w:r w:rsidR="009D209B">
        <w:t xml:space="preserve"> </w:t>
      </w:r>
      <w:r w:rsidR="009D209B">
        <w:rPr>
          <w:rFonts w:hint="eastAsia"/>
        </w:rPr>
        <w:t>The following highlights are the same.</w:t>
      </w:r>
    </w:p>
  </w:comment>
  <w:comment w:id="13" w:author="MDPI" w:date="2025-07-07T17:44:00Z" w:initials="M">
    <w:p w14:paraId="4D8C8B23" w14:textId="7DDD95FE" w:rsidR="00610B7F" w:rsidRDefault="00610B7F">
      <w:pPr>
        <w:pStyle w:val="CommentText"/>
      </w:pPr>
      <w:r>
        <w:rPr>
          <w:rStyle w:val="CommentReference"/>
        </w:rPr>
        <w:annotationRef/>
      </w:r>
      <w:r>
        <w:t>Please confirm if the bold formatting is necessary; if not, please remove it. The following highlights are the same.</w:t>
      </w:r>
    </w:p>
  </w:comment>
  <w:comment w:id="14" w:author="MDPI" w:date="2025-07-07T17:45:00Z" w:initials="M">
    <w:p w14:paraId="35145CF6" w14:textId="3716AFD7" w:rsidR="006947D4" w:rsidRDefault="006947D4">
      <w:pPr>
        <w:pStyle w:val="CommentText"/>
      </w:pPr>
      <w:r>
        <w:rPr>
          <w:rStyle w:val="CommentReference"/>
        </w:rPr>
        <w:annotationRef/>
      </w:r>
      <w:r>
        <w:t>Please confirm if the italics are necessary; if not, please remove them. The following highlights are the same.</w:t>
      </w:r>
    </w:p>
  </w:comment>
  <w:comment w:id="15" w:author="MDPI" w:date="2025-07-07T18:15:00Z" w:initials="M">
    <w:p w14:paraId="0DE7CD75" w14:textId="7B963EFF" w:rsidR="003822BB" w:rsidRDefault="003822BB" w:rsidP="00B07BF9">
      <w:pPr>
        <w:pStyle w:val="CommentText"/>
      </w:pPr>
      <w:r>
        <w:rPr>
          <w:rStyle w:val="CommentReference"/>
        </w:rPr>
        <w:annotationRef/>
      </w:r>
      <w:r>
        <w:rPr>
          <w:rStyle w:val="CommentReference"/>
        </w:rPr>
        <w:annotationRef/>
      </w:r>
      <w:r>
        <w:t>Please confirm if the copyright permission is needed for this Table. If so, please provide it.</w:t>
      </w:r>
      <w:r w:rsidR="00B07BF9">
        <w:t xml:space="preserve"> </w:t>
      </w:r>
      <w:r w:rsidR="00B07BF9">
        <w:rPr>
          <w:rFonts w:hint="eastAsia"/>
        </w:rPr>
        <w:t>The following highlights are the same.</w:t>
      </w:r>
    </w:p>
  </w:comment>
  <w:comment w:id="16" w:author="MDPI" w:date="2025-07-07T19:27:00Z" w:initials="M">
    <w:p w14:paraId="3E7BFAED" w14:textId="4E50F326" w:rsidR="00122849" w:rsidRDefault="00122849">
      <w:pPr>
        <w:pStyle w:val="CommentText"/>
      </w:pPr>
      <w:r>
        <w:rPr>
          <w:rStyle w:val="CommentReference"/>
        </w:rPr>
        <w:annotationRef/>
      </w:r>
      <w:r>
        <w:t>Please confirm if the different “</w:t>
      </w:r>
      <w:r w:rsidRPr="00122849">
        <w:rPr>
          <w:rFonts w:hint="eastAsia"/>
        </w:rPr>
        <w:t>↑</w:t>
      </w:r>
      <w:r>
        <w:t>”</w:t>
      </w:r>
      <w:r w:rsidR="00E72575">
        <w:rPr>
          <w:rFonts w:hint="eastAsia"/>
        </w:rPr>
        <w:t>and</w:t>
      </w:r>
      <w:r w:rsidR="00E72575">
        <w:t>”</w:t>
      </w:r>
      <w:r w:rsidR="00E72575" w:rsidRPr="00E72575">
        <w:rPr>
          <w:rFonts w:ascii="Times New Roman" w:hAnsi="Times New Roman"/>
        </w:rPr>
        <w:t>↓</w:t>
      </w:r>
      <w:r w:rsidR="00E72575">
        <w:t>”</w:t>
      </w:r>
      <w:r>
        <w:t xml:space="preserve"> need to give explanation</w:t>
      </w:r>
      <w:r w:rsidR="00F55996">
        <w:t>s</w:t>
      </w:r>
      <w:r>
        <w:t>.</w:t>
      </w:r>
    </w:p>
  </w:comment>
  <w:comment w:id="17" w:author="MDPI" w:date="2025-07-07T18:01:00Z" w:initials="M">
    <w:p w14:paraId="663182BA" w14:textId="72876ED1" w:rsidR="00F066FF" w:rsidRPr="007A62C8" w:rsidRDefault="00F066FF">
      <w:pPr>
        <w:pStyle w:val="CommentText"/>
      </w:pPr>
      <w:r>
        <w:rPr>
          <w:rStyle w:val="CommentReference"/>
        </w:rPr>
        <w:annotationRef/>
      </w:r>
      <w:r w:rsidRPr="007A62C8">
        <w:t>We changed “Supplementary Figure 1” to “Supplementary Figure S1”. Please confirm this revision.</w:t>
      </w:r>
    </w:p>
  </w:comment>
  <w:comment w:id="18" w:author="MDPI" w:date="2025-07-07T18:02:00Z" w:initials="M">
    <w:p w14:paraId="132BB449" w14:textId="753B8B1F" w:rsidR="007A62C8" w:rsidRDefault="007A62C8">
      <w:pPr>
        <w:pStyle w:val="CommentText"/>
      </w:pPr>
      <w:r>
        <w:rPr>
          <w:rStyle w:val="CommentReference"/>
        </w:rPr>
        <w:annotationRef/>
      </w:r>
      <w:r w:rsidRPr="007A62C8">
        <w:t xml:space="preserve">We changed “Supplementary Figure </w:t>
      </w:r>
      <w:r>
        <w:t>2</w:t>
      </w:r>
      <w:r w:rsidRPr="007A62C8">
        <w:t>” to “Supplementary Figure S</w:t>
      </w:r>
      <w:r>
        <w:t>2</w:t>
      </w:r>
      <w:r w:rsidRPr="007A62C8">
        <w:t>”. Please confirm this revision.</w:t>
      </w:r>
    </w:p>
  </w:comment>
  <w:comment w:id="19" w:author="MDPI" w:date="2025-07-07T18:02:00Z" w:initials="M">
    <w:p w14:paraId="43A59662" w14:textId="2793A4D9" w:rsidR="00602EF1" w:rsidRDefault="00602EF1">
      <w:pPr>
        <w:pStyle w:val="CommentText"/>
      </w:pPr>
      <w:r>
        <w:rPr>
          <w:rStyle w:val="CommentReference"/>
        </w:rPr>
        <w:annotationRef/>
      </w:r>
      <w:r w:rsidRPr="007A62C8">
        <w:t xml:space="preserve">We changed “Supplementary Figure </w:t>
      </w:r>
      <w:r>
        <w:t>4</w:t>
      </w:r>
      <w:r w:rsidRPr="007A62C8">
        <w:t>” to “Supplementary Figure S</w:t>
      </w:r>
      <w:r>
        <w:t>4</w:t>
      </w:r>
      <w:r w:rsidRPr="007A62C8">
        <w:t>”. Please confirm this revision.</w:t>
      </w:r>
    </w:p>
  </w:comment>
  <w:comment w:id="20" w:author="English Editor" w:date="2025-07-07T11:38:00Z" w:initials="EE">
    <w:p w14:paraId="482344C0" w14:textId="10B4EE8A" w:rsidR="00AE6471" w:rsidRDefault="00AE6471">
      <w:pPr>
        <w:pStyle w:val="CommentText"/>
      </w:pPr>
      <w:r>
        <w:rPr>
          <w:rStyle w:val="CommentReference"/>
        </w:rPr>
        <w:annotationRef/>
      </w:r>
      <w:r>
        <w:t>Please check that the intended meaning has been retained.</w:t>
      </w:r>
    </w:p>
  </w:comment>
  <w:comment w:id="21" w:author="MDPI" w:date="2025-07-07T17:50:00Z" w:initials="M">
    <w:p w14:paraId="29923C79" w14:textId="6A814929" w:rsidR="00BD0286" w:rsidRDefault="00BD0286">
      <w:pPr>
        <w:pStyle w:val="CommentText"/>
      </w:pPr>
      <w:r>
        <w:rPr>
          <w:rStyle w:val="CommentReference"/>
        </w:rPr>
        <w:annotationRef/>
      </w:r>
      <w:r>
        <w:t>Table alignment changed, please confirm.</w:t>
      </w:r>
    </w:p>
  </w:comment>
  <w:comment w:id="22" w:author="MDPI" w:date="2025-07-07T19:40:00Z" w:initials="M">
    <w:p w14:paraId="44BA38C5" w14:textId="0E9E8775" w:rsidR="000946A2" w:rsidRDefault="000946A2">
      <w:pPr>
        <w:pStyle w:val="CommentText"/>
      </w:pPr>
      <w:r>
        <w:rPr>
          <w:rStyle w:val="CommentReference"/>
        </w:rPr>
        <w:annotationRef/>
      </w:r>
      <w:r>
        <w:t>Please confirm if need to add explanation of “^”.</w:t>
      </w:r>
    </w:p>
  </w:comment>
  <w:comment w:id="23" w:author="MDPI" w:date="2025-07-07T19:29:00Z" w:initials="M">
    <w:p w14:paraId="5319C611" w14:textId="4C31C0BB" w:rsidR="00B079B8" w:rsidRDefault="00B079B8" w:rsidP="0005264A">
      <w:pPr>
        <w:pStyle w:val="CommentText"/>
      </w:pPr>
      <w:r>
        <w:rPr>
          <w:rStyle w:val="CommentReference"/>
        </w:rPr>
        <w:annotationRef/>
      </w:r>
      <w:r>
        <w:t xml:space="preserve">Please confirm if need to split into four </w:t>
      </w:r>
      <w:r w:rsidR="00BF678F" w:rsidRPr="0005264A">
        <w:rPr>
          <w:lang w:val="en"/>
        </w:rPr>
        <w:t>cell</w:t>
      </w:r>
      <w:r w:rsidR="00BF678F">
        <w:rPr>
          <w:lang w:val="en"/>
        </w:rPr>
        <w:t>s</w:t>
      </w:r>
      <w:r>
        <w:t>, if yes, please modify and check in the whole table.</w:t>
      </w:r>
    </w:p>
  </w:comment>
  <w:comment w:id="24" w:author="MDPI" w:date="2025-07-07T18:03:00Z" w:initials="M">
    <w:p w14:paraId="27BC91B6" w14:textId="0200195F" w:rsidR="00371C69" w:rsidRDefault="00371C69">
      <w:pPr>
        <w:pStyle w:val="CommentText"/>
      </w:pPr>
      <w:r>
        <w:rPr>
          <w:rStyle w:val="CommentReference"/>
        </w:rPr>
        <w:annotationRef/>
      </w:r>
      <w:r w:rsidRPr="007A62C8">
        <w:t xml:space="preserve">We changed “Supplementary Figure </w:t>
      </w:r>
      <w:r>
        <w:t>4</w:t>
      </w:r>
      <w:r w:rsidRPr="007A62C8">
        <w:t>” to “Supplementary Figure S</w:t>
      </w:r>
      <w:r>
        <w:t>4</w:t>
      </w:r>
      <w:r w:rsidRPr="007A62C8">
        <w:t>”. Please confirm this revision.</w:t>
      </w:r>
    </w:p>
  </w:comment>
  <w:comment w:id="25" w:author="MDPI" w:date="2025-07-07T18:03:00Z" w:initials="M">
    <w:p w14:paraId="173D4E4F" w14:textId="4AB25ED2" w:rsidR="001F5269" w:rsidRDefault="001F5269">
      <w:pPr>
        <w:pStyle w:val="CommentText"/>
      </w:pPr>
      <w:r>
        <w:rPr>
          <w:rStyle w:val="CommentReference"/>
        </w:rPr>
        <w:annotationRef/>
      </w:r>
      <w:r w:rsidRPr="007A62C8">
        <w:t xml:space="preserve">We changed “Supplementary Figure </w:t>
      </w:r>
      <w:r>
        <w:t>4</w:t>
      </w:r>
      <w:r w:rsidRPr="007A62C8">
        <w:t>” to “Supplementary Figure S</w:t>
      </w:r>
      <w:r>
        <w:t>4</w:t>
      </w:r>
      <w:r w:rsidRPr="007A62C8">
        <w:t>”. Please confirm this revision.</w:t>
      </w:r>
    </w:p>
  </w:comment>
  <w:comment w:id="26" w:author="MDPI" w:date="2025-07-07T19:32:00Z" w:initials="M">
    <w:p w14:paraId="42DD1EDB" w14:textId="0F2292BF" w:rsidR="00510CF2" w:rsidRDefault="00510CF2">
      <w:pPr>
        <w:pStyle w:val="CommentText"/>
      </w:pPr>
      <w:r>
        <w:rPr>
          <w:rStyle w:val="CommentReference"/>
        </w:rPr>
        <w:annotationRef/>
      </w:r>
      <w:r>
        <w:t>Please add an explanation for (F) in the figure</w:t>
      </w:r>
      <w:r w:rsidR="00347456">
        <w:rPr>
          <w:rFonts w:hint="eastAsia"/>
        </w:rPr>
        <w:t xml:space="preserve"> caption</w:t>
      </w:r>
      <w:r>
        <w:t>.</w:t>
      </w:r>
    </w:p>
  </w:comment>
  <w:comment w:id="27" w:author="MDPI" w:date="2025-07-07T19:33:00Z" w:initials="M">
    <w:p w14:paraId="71F3BD15" w14:textId="6F865982" w:rsidR="008F0CA6" w:rsidRDefault="008F0CA6">
      <w:pPr>
        <w:pStyle w:val="CommentText"/>
      </w:pPr>
      <w:r>
        <w:rPr>
          <w:rStyle w:val="CommentReference"/>
        </w:rPr>
        <w:annotationRef/>
      </w:r>
      <w:r>
        <w:t xml:space="preserve">Please confirm if the italics are necessary; if not, please remove </w:t>
      </w:r>
      <w:r w:rsidR="007B693B">
        <w:rPr>
          <w:rFonts w:hint="eastAsia"/>
        </w:rPr>
        <w:t>it</w:t>
      </w:r>
      <w:r>
        <w:t>.</w:t>
      </w:r>
    </w:p>
  </w:comment>
  <w:comment w:id="28" w:author="MDPI" w:date="2025-07-07T18:08:00Z" w:initials="M">
    <w:p w14:paraId="24C60A83" w14:textId="0CFB84F9" w:rsidR="00955F67" w:rsidRDefault="00955F67">
      <w:pPr>
        <w:pStyle w:val="CommentText"/>
      </w:pPr>
      <w:r>
        <w:rPr>
          <w:rStyle w:val="CommentReference"/>
        </w:rPr>
        <w:annotationRef/>
      </w:r>
      <w:r>
        <w:t>We changed “</w:t>
      </w:r>
      <w:r w:rsidRPr="007533CD">
        <w:t>Supplementary Table 1</w:t>
      </w:r>
      <w:r>
        <w:t>” to “</w:t>
      </w:r>
      <w:r w:rsidRPr="007533CD">
        <w:t xml:space="preserve">Supplementary Table </w:t>
      </w:r>
      <w:r>
        <w:t>S</w:t>
      </w:r>
      <w:r w:rsidRPr="007533CD">
        <w:t>1</w:t>
      </w:r>
      <w:r>
        <w:t>”. Please confirm this revision.</w:t>
      </w:r>
    </w:p>
  </w:comment>
  <w:comment w:id="29" w:author="MDPI" w:date="2025-07-07T17:59:00Z" w:initials="M">
    <w:p w14:paraId="67D80A85" w14:textId="52C70587" w:rsidR="00BC5B9E" w:rsidRDefault="00BC5B9E">
      <w:pPr>
        <w:pStyle w:val="CommentText"/>
      </w:pPr>
      <w:r>
        <w:rPr>
          <w:rStyle w:val="CommentReference"/>
        </w:rPr>
        <w:annotationRef/>
      </w:r>
      <w:r>
        <w:t>If there is only one subsection within a section, it should not be numbered. We have thus removed this section number. Please confirm.</w:t>
      </w:r>
    </w:p>
  </w:comment>
  <w:comment w:id="30" w:author="English Editor" w:date="2025-07-07T11:57:00Z" w:initials="EE">
    <w:p w14:paraId="39F948F7" w14:textId="26CD87CB" w:rsidR="0029599A" w:rsidRDefault="0029599A">
      <w:pPr>
        <w:pStyle w:val="CommentText"/>
      </w:pPr>
      <w:r>
        <w:rPr>
          <w:rStyle w:val="CommentReference"/>
        </w:rPr>
        <w:annotationRef/>
      </w:r>
      <w:r>
        <w:t>Please check that the intended meaning has been retained.</w:t>
      </w:r>
    </w:p>
  </w:comment>
  <w:comment w:id="31" w:author="MDPI" w:date="2025-07-07T18:04:00Z" w:initials="M">
    <w:p w14:paraId="3A25BA77" w14:textId="6B247BF2" w:rsidR="00747477" w:rsidRDefault="00747477" w:rsidP="007F127A">
      <w:pPr>
        <w:pStyle w:val="CommentText"/>
      </w:pPr>
      <w:r>
        <w:rPr>
          <w:rStyle w:val="CommentReference"/>
        </w:rPr>
        <w:annotationRef/>
      </w:r>
      <w:r w:rsidRPr="007A62C8">
        <w:t xml:space="preserve">We changed “Supplementary Figure </w:t>
      </w:r>
      <w:r>
        <w:t>1</w:t>
      </w:r>
      <w:r w:rsidRPr="007A62C8">
        <w:t>” to “Supplementary Figure S</w:t>
      </w:r>
      <w:r>
        <w:t>1</w:t>
      </w:r>
      <w:r w:rsidRPr="007A62C8">
        <w:t>”. Please confirm this revision.</w:t>
      </w:r>
      <w:r w:rsidR="007F127A">
        <w:t xml:space="preserve"> </w:t>
      </w:r>
      <w:r w:rsidR="007F127A">
        <w:rPr>
          <w:rFonts w:hint="eastAsia"/>
        </w:rPr>
        <w:t>The following highlights are the same.</w:t>
      </w:r>
    </w:p>
  </w:comment>
  <w:comment w:id="32" w:author="MDPI" w:date="2025-07-07T18:09:00Z" w:initials="M">
    <w:p w14:paraId="054F941F" w14:textId="548D1947" w:rsidR="009F1A19" w:rsidRDefault="009F1A19">
      <w:pPr>
        <w:pStyle w:val="CommentText"/>
      </w:pPr>
      <w:r>
        <w:rPr>
          <w:rStyle w:val="CommentReference"/>
        </w:rPr>
        <w:annotationRef/>
      </w:r>
      <w:r>
        <w:t>We added “</w:t>
      </w:r>
      <w:r w:rsidRPr="007533CD">
        <w:t xml:space="preserve">Supplementary Table </w:t>
      </w:r>
      <w:r>
        <w:t>S</w:t>
      </w:r>
      <w:r w:rsidRPr="007533CD">
        <w:t>1</w:t>
      </w:r>
      <w:r>
        <w:t>”</w:t>
      </w:r>
      <w:r w:rsidR="00496C97">
        <w:rPr>
          <w:rFonts w:hint="eastAsia"/>
        </w:rPr>
        <w:t xml:space="preserve"> and Table caption</w:t>
      </w:r>
      <w:r>
        <w:t>. Please confirm this revision.</w:t>
      </w:r>
    </w:p>
  </w:comment>
  <w:comment w:id="33" w:author="MDPI" w:date="2025-07-08T14:20:00Z" w:initials="M">
    <w:p w14:paraId="72E0474D" w14:textId="398BBDD7" w:rsidR="00976E03" w:rsidRDefault="00976E03">
      <w:pPr>
        <w:pStyle w:val="CommentText"/>
      </w:pPr>
      <w:r>
        <w:rPr>
          <w:rStyle w:val="CommentReference"/>
        </w:rPr>
        <w:annotationRef/>
      </w:r>
      <w:r w:rsidR="000F442B" w:rsidRPr="00F0345C">
        <w:t>Author “P.M.J.G.” is not mentioned in this part, please add.</w:t>
      </w:r>
    </w:p>
  </w:comment>
  <w:comment w:id="34" w:author="MDPI" w:date="2025-07-07T17:28:00Z" w:initials="M">
    <w:p w14:paraId="4354EFF6" w14:textId="427C0D63" w:rsidR="008E3449" w:rsidRDefault="008E3449">
      <w:pPr>
        <w:pStyle w:val="CommentText"/>
      </w:pPr>
      <w:r>
        <w:rPr>
          <w:rStyle w:val="CommentReference"/>
        </w:rPr>
        <w:annotationRef/>
      </w:r>
      <w:r>
        <w:t>Information regarding the funder and the funding number should be provided. Please check the accuracy of funding data and any other information carefully.</w:t>
      </w:r>
    </w:p>
  </w:comment>
  <w:comment w:id="37" w:author="MDPI" w:date="2025-07-08T11:50:00Z" w:initials="M">
    <w:p w14:paraId="50B0269B" w14:textId="21D6F98D" w:rsidR="003A4612" w:rsidRDefault="003A4612">
      <w:pPr>
        <w:pStyle w:val="CommentText"/>
      </w:pPr>
      <w:r>
        <w:rPr>
          <w:rStyle w:val="CommentReference"/>
        </w:rPr>
        <w:annotationRef/>
      </w:r>
      <w:r w:rsidR="00E72575" w:rsidRPr="00E72575">
        <w:t xml:space="preserve">The IRB statement has been modified according to the </w:t>
      </w:r>
      <w:r w:rsidR="008A78D8">
        <w:rPr>
          <w:rFonts w:hint="eastAsia"/>
        </w:rPr>
        <w:t>conmunication</w:t>
      </w:r>
      <w:r w:rsidR="00E72575" w:rsidRPr="00E72575">
        <w:t xml:space="preserve"> Please confirm</w:t>
      </w:r>
    </w:p>
  </w:comment>
  <w:comment w:id="38" w:author="MDPI" w:date="2025-07-07T17:28:00Z" w:initials="M">
    <w:p w14:paraId="0EB75B8B" w14:textId="4122650B" w:rsidR="008E3449" w:rsidRDefault="008E3449">
      <w:pPr>
        <w:pStyle w:val="CommentText"/>
      </w:pPr>
      <w:r>
        <w:rPr>
          <w:rStyle w:val="CommentReference"/>
        </w:rPr>
        <w:annotationRef/>
      </w:r>
      <w:r>
        <w:t>Please ensure that all individuals included in this section have consented to the acknowledgement.</w:t>
      </w:r>
    </w:p>
  </w:comment>
  <w:comment w:id="39" w:author="MDPI" w:date="2025-07-07T11:20:00Z" w:initials="M">
    <w:p w14:paraId="0203F10C" w14:textId="77777777" w:rsidR="005A57D3" w:rsidRDefault="005A57D3" w:rsidP="005A57D3">
      <w:pPr>
        <w:pStyle w:val="CommentText"/>
        <w:jc w:val="left"/>
      </w:pPr>
      <w:r>
        <w:rPr>
          <w:rStyle w:val="CommentReference"/>
        </w:rPr>
        <w:annotationRef/>
      </w:r>
      <w:r>
        <w:t>We added missing e-location id. Please confirm.</w:t>
      </w:r>
    </w:p>
  </w:comment>
  <w:comment w:id="40" w:author="MDPI" w:date="2025-07-07T11:31:00Z" w:initials="M">
    <w:p w14:paraId="6C430617" w14:textId="77777777" w:rsidR="005A57D3" w:rsidRDefault="005A57D3" w:rsidP="005A57D3">
      <w:pPr>
        <w:pStyle w:val="CommentText"/>
        <w:jc w:val="left"/>
      </w:pPr>
      <w:r>
        <w:rPr>
          <w:rStyle w:val="CommentReference"/>
        </w:rPr>
        <w:annotationRef/>
      </w:r>
      <w:r>
        <w:t>Refs. 33 and 34 are duplicated. Please remove duplicated references and rearrange all the references so that they appear in numerical order. Please ensure that there are no duplicated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174E02" w15:done="0"/>
  <w15:commentEx w15:paraId="3D378ABD" w15:done="0"/>
  <w15:commentEx w15:paraId="0FC59514" w15:done="0"/>
  <w15:commentEx w15:paraId="374C998A" w15:done="0"/>
  <w15:commentEx w15:paraId="3E2DA964" w15:done="0"/>
  <w15:commentEx w15:paraId="32200F2F" w15:done="0"/>
  <w15:commentEx w15:paraId="796376F0" w15:done="0"/>
  <w15:commentEx w15:paraId="7D99DCD7" w15:done="0"/>
  <w15:commentEx w15:paraId="14F293A3" w15:done="0"/>
  <w15:commentEx w15:paraId="3F057DAE" w15:done="0"/>
  <w15:commentEx w15:paraId="50B3608A" w15:done="0"/>
  <w15:commentEx w15:paraId="03815354" w15:done="0"/>
  <w15:commentEx w15:paraId="77E69F17" w15:done="0"/>
  <w15:commentEx w15:paraId="4D8C8B23" w15:done="0"/>
  <w15:commentEx w15:paraId="35145CF6" w15:done="0"/>
  <w15:commentEx w15:paraId="0DE7CD75" w15:done="0"/>
  <w15:commentEx w15:paraId="3E7BFAED" w15:done="0"/>
  <w15:commentEx w15:paraId="663182BA" w15:done="0"/>
  <w15:commentEx w15:paraId="132BB449" w15:done="0"/>
  <w15:commentEx w15:paraId="43A59662" w15:done="0"/>
  <w15:commentEx w15:paraId="482344C0" w15:done="0"/>
  <w15:commentEx w15:paraId="29923C79" w15:done="0"/>
  <w15:commentEx w15:paraId="44BA38C5" w15:done="0"/>
  <w15:commentEx w15:paraId="5319C611" w15:done="0"/>
  <w15:commentEx w15:paraId="27BC91B6" w15:done="0"/>
  <w15:commentEx w15:paraId="173D4E4F" w15:done="0"/>
  <w15:commentEx w15:paraId="42DD1EDB" w15:done="0"/>
  <w15:commentEx w15:paraId="71F3BD15" w15:done="0"/>
  <w15:commentEx w15:paraId="24C60A83" w15:done="0"/>
  <w15:commentEx w15:paraId="67D80A85" w15:done="0"/>
  <w15:commentEx w15:paraId="39F948F7" w15:done="0"/>
  <w15:commentEx w15:paraId="3A25BA77" w15:done="0"/>
  <w15:commentEx w15:paraId="054F941F" w15:done="0"/>
  <w15:commentEx w15:paraId="72E0474D" w15:done="0"/>
  <w15:commentEx w15:paraId="4354EFF6" w15:done="0"/>
  <w15:commentEx w15:paraId="50B0269B" w15:done="0"/>
  <w15:commentEx w15:paraId="0EB75B8B" w15:done="0"/>
  <w15:commentEx w15:paraId="0203F10C" w15:done="0"/>
  <w15:commentEx w15:paraId="6C4306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C4028C" w16cex:dateUtc="2025-07-08T03:40:00Z"/>
  <w16cex:commentExtensible w16cex:durableId="5F990656" w16cex:dateUtc="2025-07-07T11:19:00Z"/>
  <w16cex:commentExtensible w16cex:durableId="3505F09B" w16cex:dateUtc="2025-07-07T15:17:00Z"/>
  <w16cex:commentExtensible w16cex:durableId="47F82439" w16cex:dateUtc="2025-07-07T09:17:00Z"/>
  <w16cex:commentExtensible w16cex:durableId="2CC551E0" w16cex:dateUtc="2025-07-07T10:13:00Z"/>
  <w16cex:commentExtensible w16cex:durableId="7726641F" w16cex:dateUtc="2025-07-07T09:33:00Z"/>
  <w16cex:commentExtensible w16cex:durableId="79C38BA1" w16cex:dateUtc="2025-07-07T09:39:00Z"/>
  <w16cex:commentExtensible w16cex:durableId="7C106A89" w16cex:dateUtc="2025-07-07T11:26:00Z"/>
  <w16cex:commentExtensible w16cex:durableId="4CF70A1C" w16cex:dateUtc="2025-07-07T09:36:00Z"/>
  <w16cex:commentExtensible w16cex:durableId="39ACC001" w16cex:dateUtc="2025-07-07T09:31:00Z"/>
  <w16cex:commentExtensible w16cex:durableId="5B954C04" w16cex:dateUtc="2025-07-07T09:32:00Z"/>
  <w16cex:commentExtensible w16cex:durableId="76DECA5D" w16cex:dateUtc="2025-07-08T03:42:00Z"/>
  <w16cex:commentExtensible w16cex:durableId="43F1A820" w16cex:dateUtc="2025-07-07T09:43:00Z"/>
  <w16cex:commentExtensible w16cex:durableId="0D4BDBE9" w16cex:dateUtc="2025-07-07T09:44:00Z"/>
  <w16cex:commentExtensible w16cex:durableId="734EF2C2" w16cex:dateUtc="2025-07-07T09:45:00Z"/>
  <w16cex:commentExtensible w16cex:durableId="12CC7B2C" w16cex:dateUtc="2025-07-07T10:15:00Z"/>
  <w16cex:commentExtensible w16cex:durableId="2A085B6F" w16cex:dateUtc="2025-07-07T11:27:00Z"/>
  <w16cex:commentExtensible w16cex:durableId="1ED3A2D0" w16cex:dateUtc="2025-07-07T10:01:00Z"/>
  <w16cex:commentExtensible w16cex:durableId="04B66818" w16cex:dateUtc="2025-07-07T10:02:00Z"/>
  <w16cex:commentExtensible w16cex:durableId="14BE07C9" w16cex:dateUtc="2025-07-07T10:02:00Z"/>
  <w16cex:commentExtensible w16cex:durableId="1B2615BC" w16cex:dateUtc="2025-07-07T15:38:00Z"/>
  <w16cex:commentExtensible w16cex:durableId="0D1AD144" w16cex:dateUtc="2025-07-07T09:50:00Z"/>
  <w16cex:commentExtensible w16cex:durableId="1FED5018" w16cex:dateUtc="2025-07-07T11:40:00Z"/>
  <w16cex:commentExtensible w16cex:durableId="57A2E7BB" w16cex:dateUtc="2025-07-07T11:29:00Z"/>
  <w16cex:commentExtensible w16cex:durableId="61A00AEC" w16cex:dateUtc="2025-07-07T10:03:00Z"/>
  <w16cex:commentExtensible w16cex:durableId="6560C8E5" w16cex:dateUtc="2025-07-07T10:03:00Z"/>
  <w16cex:commentExtensible w16cex:durableId="3D765104" w16cex:dateUtc="2025-07-07T11:32:00Z"/>
  <w16cex:commentExtensible w16cex:durableId="2655BD18" w16cex:dateUtc="2025-07-07T11:33:00Z"/>
  <w16cex:commentExtensible w16cex:durableId="554AE3B2" w16cex:dateUtc="2025-07-07T10:08:00Z"/>
  <w16cex:commentExtensible w16cex:durableId="3D2F8413" w16cex:dateUtc="2025-07-07T09:59:00Z"/>
  <w16cex:commentExtensible w16cex:durableId="69947A55" w16cex:dateUtc="2025-07-07T15:57:00Z"/>
  <w16cex:commentExtensible w16cex:durableId="6D6D8220" w16cex:dateUtc="2025-07-07T10:04:00Z"/>
  <w16cex:commentExtensible w16cex:durableId="65D01E04" w16cex:dateUtc="2025-07-07T10:09:00Z"/>
  <w16cex:commentExtensible w16cex:durableId="3DF23143" w16cex:dateUtc="2025-07-08T06:20:00Z"/>
  <w16cex:commentExtensible w16cex:durableId="30605A65" w16cex:dateUtc="2025-07-07T09:28:00Z"/>
  <w16cex:commentExtensible w16cex:durableId="4CB27A99" w16cex:dateUtc="2025-07-08T03:50:00Z"/>
  <w16cex:commentExtensible w16cex:durableId="452C2A50" w16cex:dateUtc="2025-07-07T09:28:00Z"/>
  <w16cex:commentExtensible w16cex:durableId="478A653D" w16cex:dateUtc="2025-07-07T09:20:00Z"/>
  <w16cex:commentExtensible w16cex:durableId="2D55CD07" w16cex:dateUtc="2025-07-07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174E02" w16cid:durableId="4DC4028C"/>
  <w16cid:commentId w16cid:paraId="3D378ABD" w16cid:durableId="5F990656"/>
  <w16cid:commentId w16cid:paraId="0FC59514" w16cid:durableId="3505F09B"/>
  <w16cid:commentId w16cid:paraId="374C998A" w16cid:durableId="47F82439"/>
  <w16cid:commentId w16cid:paraId="3E2DA964" w16cid:durableId="2CC551E0"/>
  <w16cid:commentId w16cid:paraId="32200F2F" w16cid:durableId="7726641F"/>
  <w16cid:commentId w16cid:paraId="796376F0" w16cid:durableId="79C38BA1"/>
  <w16cid:commentId w16cid:paraId="7D99DCD7" w16cid:durableId="7C106A89"/>
  <w16cid:commentId w16cid:paraId="14F293A3" w16cid:durableId="4CF70A1C"/>
  <w16cid:commentId w16cid:paraId="3F057DAE" w16cid:durableId="39ACC001"/>
  <w16cid:commentId w16cid:paraId="50B3608A" w16cid:durableId="5B954C04"/>
  <w16cid:commentId w16cid:paraId="03815354" w16cid:durableId="76DECA5D"/>
  <w16cid:commentId w16cid:paraId="77E69F17" w16cid:durableId="43F1A820"/>
  <w16cid:commentId w16cid:paraId="4D8C8B23" w16cid:durableId="0D4BDBE9"/>
  <w16cid:commentId w16cid:paraId="35145CF6" w16cid:durableId="734EF2C2"/>
  <w16cid:commentId w16cid:paraId="0DE7CD75" w16cid:durableId="12CC7B2C"/>
  <w16cid:commentId w16cid:paraId="3E7BFAED" w16cid:durableId="2A085B6F"/>
  <w16cid:commentId w16cid:paraId="663182BA" w16cid:durableId="1ED3A2D0"/>
  <w16cid:commentId w16cid:paraId="132BB449" w16cid:durableId="04B66818"/>
  <w16cid:commentId w16cid:paraId="43A59662" w16cid:durableId="14BE07C9"/>
  <w16cid:commentId w16cid:paraId="482344C0" w16cid:durableId="1B2615BC"/>
  <w16cid:commentId w16cid:paraId="29923C79" w16cid:durableId="0D1AD144"/>
  <w16cid:commentId w16cid:paraId="44BA38C5" w16cid:durableId="1FED5018"/>
  <w16cid:commentId w16cid:paraId="5319C611" w16cid:durableId="57A2E7BB"/>
  <w16cid:commentId w16cid:paraId="27BC91B6" w16cid:durableId="61A00AEC"/>
  <w16cid:commentId w16cid:paraId="173D4E4F" w16cid:durableId="6560C8E5"/>
  <w16cid:commentId w16cid:paraId="42DD1EDB" w16cid:durableId="3D765104"/>
  <w16cid:commentId w16cid:paraId="71F3BD15" w16cid:durableId="2655BD18"/>
  <w16cid:commentId w16cid:paraId="24C60A83" w16cid:durableId="554AE3B2"/>
  <w16cid:commentId w16cid:paraId="67D80A85" w16cid:durableId="3D2F8413"/>
  <w16cid:commentId w16cid:paraId="39F948F7" w16cid:durableId="69947A55"/>
  <w16cid:commentId w16cid:paraId="3A25BA77" w16cid:durableId="6D6D8220"/>
  <w16cid:commentId w16cid:paraId="054F941F" w16cid:durableId="65D01E04"/>
  <w16cid:commentId w16cid:paraId="72E0474D" w16cid:durableId="3DF23143"/>
  <w16cid:commentId w16cid:paraId="4354EFF6" w16cid:durableId="30605A65"/>
  <w16cid:commentId w16cid:paraId="50B0269B" w16cid:durableId="4CB27A99"/>
  <w16cid:commentId w16cid:paraId="0EB75B8B" w16cid:durableId="452C2A50"/>
  <w16cid:commentId w16cid:paraId="0203F10C" w16cid:durableId="478A653D"/>
  <w16cid:commentId w16cid:paraId="6C430617" w16cid:durableId="2D55CD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35765" w14:textId="77777777" w:rsidR="005D34E5" w:rsidRDefault="005D34E5">
      <w:pPr>
        <w:spacing w:line="240" w:lineRule="auto"/>
      </w:pPr>
      <w:r>
        <w:separator/>
      </w:r>
    </w:p>
  </w:endnote>
  <w:endnote w:type="continuationSeparator" w:id="0">
    <w:p w14:paraId="15785297" w14:textId="77777777" w:rsidR="005D34E5" w:rsidRDefault="005D34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171BC" w14:textId="77777777" w:rsidR="00357C8D" w:rsidRPr="00032917" w:rsidRDefault="00357C8D" w:rsidP="00357C8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DBF9E" w14:textId="77777777" w:rsidR="003A2C19" w:rsidRPr="00FA4EE0" w:rsidRDefault="003A2C19" w:rsidP="00065CFE">
    <w:pPr>
      <w:pBdr>
        <w:top w:val="single" w:sz="4" w:space="0" w:color="000000"/>
      </w:pBdr>
      <w:adjustRightInd w:val="0"/>
      <w:snapToGrid w:val="0"/>
      <w:spacing w:before="480" w:line="100" w:lineRule="exact"/>
      <w:rPr>
        <w:i/>
        <w:sz w:val="16"/>
        <w:szCs w:val="16"/>
      </w:rPr>
    </w:pPr>
  </w:p>
  <w:p w14:paraId="1A5D11BA" w14:textId="77777777" w:rsidR="00357C8D" w:rsidRPr="00FA4EE0" w:rsidRDefault="00357C8D" w:rsidP="00770821">
    <w:pPr>
      <w:tabs>
        <w:tab w:val="right" w:pos="10466"/>
      </w:tabs>
      <w:spacing w:line="240" w:lineRule="auto"/>
      <w:rPr>
        <w:sz w:val="16"/>
        <w:szCs w:val="16"/>
        <w:lang w:val="fr-CH"/>
      </w:rPr>
    </w:pPr>
    <w:r w:rsidRPr="00FA4EE0">
      <w:rPr>
        <w:i/>
        <w:sz w:val="16"/>
        <w:szCs w:val="16"/>
      </w:rPr>
      <w:t>J. Clin. Med.</w:t>
    </w:r>
    <w:r w:rsidRPr="00FA4EE0">
      <w:rPr>
        <w:sz w:val="16"/>
        <w:szCs w:val="16"/>
      </w:rPr>
      <w:t xml:space="preserve"> </w:t>
    </w:r>
    <w:r w:rsidR="00415875" w:rsidRPr="00FA4EE0">
      <w:rPr>
        <w:b/>
        <w:sz w:val="16"/>
        <w:szCs w:val="16"/>
      </w:rPr>
      <w:t>2025</w:t>
    </w:r>
    <w:r w:rsidR="00853B85" w:rsidRPr="00FA4EE0">
      <w:rPr>
        <w:sz w:val="16"/>
        <w:szCs w:val="16"/>
      </w:rPr>
      <w:t>,</w:t>
    </w:r>
    <w:r w:rsidR="00415875" w:rsidRPr="00FA4EE0">
      <w:rPr>
        <w:i/>
        <w:sz w:val="16"/>
        <w:szCs w:val="16"/>
      </w:rPr>
      <w:t xml:space="preserve"> 14</w:t>
    </w:r>
    <w:r w:rsidR="00853B85" w:rsidRPr="00FA4EE0">
      <w:rPr>
        <w:sz w:val="16"/>
        <w:szCs w:val="16"/>
      </w:rPr>
      <w:t xml:space="preserve">, </w:t>
    </w:r>
    <w:r w:rsidR="003D55AB" w:rsidRPr="00FA4EE0">
      <w:rPr>
        <w:sz w:val="16"/>
        <w:szCs w:val="16"/>
      </w:rPr>
      <w:t>x</w:t>
    </w:r>
    <w:r w:rsidR="00770821" w:rsidRPr="00FA4EE0">
      <w:rPr>
        <w:sz w:val="16"/>
        <w:szCs w:val="16"/>
        <w:lang w:val="fr-CH"/>
      </w:rPr>
      <w:tab/>
    </w:r>
    <w:r w:rsidR="00415875" w:rsidRPr="00FA4EE0">
      <w:rPr>
        <w:sz w:val="16"/>
        <w:szCs w:val="16"/>
        <w:lang w:val="fr-CH"/>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02B74" w14:textId="77777777" w:rsidR="005D34E5" w:rsidRDefault="005D34E5">
      <w:pPr>
        <w:spacing w:line="240" w:lineRule="auto"/>
      </w:pPr>
      <w:r>
        <w:separator/>
      </w:r>
    </w:p>
  </w:footnote>
  <w:footnote w:type="continuationSeparator" w:id="0">
    <w:p w14:paraId="443B2BE8" w14:textId="77777777" w:rsidR="005D34E5" w:rsidRDefault="005D34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C8C46" w14:textId="77777777" w:rsidR="00357C8D" w:rsidRDefault="00357C8D" w:rsidP="00357C8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BC03D" w14:textId="77777777" w:rsidR="003A2C19" w:rsidRPr="00415875" w:rsidRDefault="00357C8D" w:rsidP="00770821">
    <w:pPr>
      <w:tabs>
        <w:tab w:val="right" w:pos="10466"/>
      </w:tabs>
      <w:adjustRightInd w:val="0"/>
      <w:snapToGrid w:val="0"/>
      <w:spacing w:line="240" w:lineRule="auto"/>
      <w:rPr>
        <w:sz w:val="16"/>
      </w:rPr>
    </w:pPr>
    <w:r>
      <w:rPr>
        <w:i/>
        <w:sz w:val="16"/>
      </w:rPr>
      <w:t xml:space="preserve">J. Clin. Med. </w:t>
    </w:r>
    <w:r w:rsidR="00415875">
      <w:rPr>
        <w:b/>
        <w:sz w:val="16"/>
      </w:rPr>
      <w:t>2025</w:t>
    </w:r>
    <w:r w:rsidR="00853B85" w:rsidRPr="00853B85">
      <w:rPr>
        <w:sz w:val="16"/>
      </w:rPr>
      <w:t>,</w:t>
    </w:r>
    <w:r w:rsidR="00415875">
      <w:rPr>
        <w:i/>
        <w:sz w:val="16"/>
      </w:rPr>
      <w:t xml:space="preserve"> 14</w:t>
    </w:r>
    <w:r w:rsidR="003D55AB">
      <w:rPr>
        <w:sz w:val="16"/>
      </w:rPr>
      <w:t xml:space="preserve">, x </w:t>
    </w:r>
    <w:r w:rsidR="00415875">
      <w:rPr>
        <w:sz w:val="16"/>
      </w:rPr>
      <w:t>FOR PEER REVIEW</w:t>
    </w:r>
    <w:r w:rsidR="00415875">
      <w:rPr>
        <w:sz w:val="16"/>
      </w:rPr>
      <w:ptab w:relativeTo="margin" w:alignment="right" w:leader="none"/>
    </w:r>
    <w:r w:rsidR="00415875">
      <w:rPr>
        <w:sz w:val="16"/>
      </w:rPr>
      <w:fldChar w:fldCharType="begin"/>
    </w:r>
    <w:r w:rsidR="00415875">
      <w:rPr>
        <w:sz w:val="16"/>
      </w:rPr>
      <w:instrText xml:space="preserve"> PAGE   \* MERGEFORMAT </w:instrText>
    </w:r>
    <w:r w:rsidR="00415875">
      <w:rPr>
        <w:sz w:val="16"/>
      </w:rPr>
      <w:fldChar w:fldCharType="separate"/>
    </w:r>
    <w:r w:rsidR="00415875">
      <w:rPr>
        <w:sz w:val="16"/>
      </w:rPr>
      <w:t>2</w:t>
    </w:r>
    <w:r w:rsidR="00415875">
      <w:rPr>
        <w:sz w:val="16"/>
      </w:rPr>
      <w:fldChar w:fldCharType="end"/>
    </w:r>
    <w:r w:rsidR="00415875">
      <w:rPr>
        <w:sz w:val="16"/>
      </w:rPr>
      <w:t xml:space="preserve"> of </w:t>
    </w:r>
    <w:r w:rsidR="00415875">
      <w:rPr>
        <w:sz w:val="16"/>
      </w:rPr>
      <w:fldChar w:fldCharType="begin"/>
    </w:r>
    <w:r w:rsidR="00415875">
      <w:rPr>
        <w:sz w:val="16"/>
      </w:rPr>
      <w:instrText xml:space="preserve"> NUMPAGES   \* MERGEFORMAT </w:instrText>
    </w:r>
    <w:r w:rsidR="00415875">
      <w:rPr>
        <w:sz w:val="16"/>
      </w:rPr>
      <w:fldChar w:fldCharType="separate"/>
    </w:r>
    <w:r w:rsidR="00415875">
      <w:rPr>
        <w:sz w:val="16"/>
      </w:rPr>
      <w:t>7</w:t>
    </w:r>
    <w:r w:rsidR="00415875">
      <w:rPr>
        <w:sz w:val="16"/>
      </w:rPr>
      <w:fldChar w:fldCharType="end"/>
    </w:r>
  </w:p>
  <w:p w14:paraId="78BAA20C" w14:textId="77777777" w:rsidR="00357C8D" w:rsidRPr="007A5CE1" w:rsidRDefault="00357C8D" w:rsidP="00065C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3A2C19" w:rsidRPr="00770821" w14:paraId="4C731212" w14:textId="77777777" w:rsidTr="008427EA">
      <w:trPr>
        <w:trHeight w:val="686"/>
      </w:trPr>
      <w:tc>
        <w:tcPr>
          <w:tcW w:w="3679" w:type="dxa"/>
          <w:shd w:val="clear" w:color="auto" w:fill="auto"/>
          <w:vAlign w:val="center"/>
        </w:tcPr>
        <w:p w14:paraId="592809F4" w14:textId="77777777" w:rsidR="003A2C19" w:rsidRPr="00904B95" w:rsidRDefault="00C33459" w:rsidP="00770821">
          <w:pPr>
            <w:pStyle w:val="Header"/>
            <w:pBdr>
              <w:bottom w:val="none" w:sz="0" w:space="0" w:color="auto"/>
            </w:pBdr>
            <w:jc w:val="left"/>
            <w:rPr>
              <w:rFonts w:eastAsia="DengXian"/>
              <w:b/>
              <w:bCs/>
            </w:rPr>
          </w:pPr>
          <w:r>
            <w:rPr>
              <w:rFonts w:eastAsia="DengXian"/>
              <w:b/>
              <w:bCs/>
            </w:rPr>
            <w:drawing>
              <wp:inline distT="0" distB="0" distL="0" distR="0" wp14:anchorId="03EA6596" wp14:editId="5247D11B">
                <wp:extent cx="1831437" cy="432000"/>
                <wp:effectExtent l="0" t="0" r="0" b="6350"/>
                <wp:docPr id="1586461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61488" name=""/>
                        <pic:cNvPicPr/>
                      </pic:nvPicPr>
                      <pic:blipFill>
                        <a:blip r:embed="rId1"/>
                        <a:stretch>
                          <a:fillRect/>
                        </a:stretch>
                      </pic:blipFill>
                      <pic:spPr>
                        <a:xfrm>
                          <a:off x="0" y="0"/>
                          <a:ext cx="1831437" cy="432000"/>
                        </a:xfrm>
                        <a:prstGeom prst="rect">
                          <a:avLst/>
                        </a:prstGeom>
                      </pic:spPr>
                    </pic:pic>
                  </a:graphicData>
                </a:graphic>
              </wp:inline>
            </w:drawing>
          </w:r>
        </w:p>
      </w:tc>
      <w:tc>
        <w:tcPr>
          <w:tcW w:w="4535" w:type="dxa"/>
          <w:shd w:val="clear" w:color="auto" w:fill="auto"/>
          <w:vAlign w:val="center"/>
        </w:tcPr>
        <w:p w14:paraId="7012AF1A" w14:textId="77777777" w:rsidR="003A2C19" w:rsidRPr="00904B95" w:rsidRDefault="003A2C19" w:rsidP="00770821">
          <w:pPr>
            <w:pStyle w:val="Header"/>
            <w:pBdr>
              <w:bottom w:val="none" w:sz="0" w:space="0" w:color="auto"/>
            </w:pBdr>
            <w:rPr>
              <w:rFonts w:eastAsia="DengXian"/>
              <w:b/>
              <w:bCs/>
            </w:rPr>
          </w:pPr>
        </w:p>
      </w:tc>
      <w:tc>
        <w:tcPr>
          <w:tcW w:w="2273" w:type="dxa"/>
          <w:shd w:val="clear" w:color="auto" w:fill="auto"/>
          <w:vAlign w:val="center"/>
        </w:tcPr>
        <w:p w14:paraId="17D47401" w14:textId="77777777" w:rsidR="003A2C19" w:rsidRPr="00904B95" w:rsidRDefault="008427EA" w:rsidP="008427EA">
          <w:pPr>
            <w:pStyle w:val="Header"/>
            <w:pBdr>
              <w:bottom w:val="none" w:sz="0" w:space="0" w:color="auto"/>
            </w:pBdr>
            <w:jc w:val="right"/>
            <w:rPr>
              <w:rFonts w:eastAsia="DengXian"/>
              <w:b/>
              <w:bCs/>
            </w:rPr>
          </w:pPr>
          <w:r>
            <w:rPr>
              <w:rFonts w:eastAsia="DengXian"/>
              <w:b/>
              <w:bCs/>
            </w:rPr>
            <w:drawing>
              <wp:inline distT="0" distB="0" distL="0" distR="0" wp14:anchorId="282DD9B1" wp14:editId="02052FD3">
                <wp:extent cx="540000" cy="360000"/>
                <wp:effectExtent l="0" t="0" r="0" b="2540"/>
                <wp:docPr id="2033905018" name="Picture 1"/>
                <wp:cNvGraphicFramePr/>
                <a:graphic xmlns:a="http://schemas.openxmlformats.org/drawingml/2006/main">
                  <a:graphicData uri="http://schemas.openxmlformats.org/drawingml/2006/picture">
                    <pic:pic xmlns:pic="http://schemas.openxmlformats.org/drawingml/2006/picture">
                      <pic:nvPicPr>
                        <pic:cNvPr id="2033905018" name=""/>
                        <pic:cNvPicPr/>
                      </pic:nvPicPr>
                      <pic:blipFill>
                        <a:blip r:embed="rId2"/>
                        <a:stretch>
                          <a:fillRect/>
                        </a:stretch>
                      </pic:blipFill>
                      <pic:spPr>
                        <a:xfrm>
                          <a:off x="0" y="0"/>
                          <a:ext cx="540000" cy="360000"/>
                        </a:xfrm>
                        <a:prstGeom prst="rect">
                          <a:avLst/>
                        </a:prstGeom>
                      </pic:spPr>
                    </pic:pic>
                  </a:graphicData>
                </a:graphic>
              </wp:inline>
            </w:drawing>
          </w:r>
        </w:p>
      </w:tc>
    </w:tr>
  </w:tbl>
  <w:p w14:paraId="75890FDB" w14:textId="77777777" w:rsidR="00357C8D" w:rsidRPr="003A2C19" w:rsidRDefault="00357C8D" w:rsidP="00415875">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4474"/>
    <w:multiLevelType w:val="hybridMultilevel"/>
    <w:tmpl w:val="AC7A5546"/>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 w15:restartNumberingAfterBreak="0">
    <w:nsid w:val="08566A66"/>
    <w:multiLevelType w:val="hybridMultilevel"/>
    <w:tmpl w:val="CEA4112E"/>
    <w:lvl w:ilvl="0" w:tplc="72162196">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2" w15:restartNumberingAfterBreak="0">
    <w:nsid w:val="0B5F6105"/>
    <w:multiLevelType w:val="hybridMultilevel"/>
    <w:tmpl w:val="235246F8"/>
    <w:lvl w:ilvl="0" w:tplc="ACF001EE">
      <w:start w:val="1"/>
      <w:numFmt w:val="decimal"/>
      <w:lvlRestart w:val="0"/>
      <w:pStyle w:val="MDPI71footnotes"/>
      <w:lvlText w:val="%1."/>
      <w:lvlJc w:val="left"/>
      <w:pPr>
        <w:ind w:left="425" w:hanging="425"/>
      </w:pPr>
      <w:rPr>
        <w:rFonts w:hint="default"/>
        <w:b w:val="0"/>
        <w:i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40517"/>
    <w:multiLevelType w:val="hybridMultilevel"/>
    <w:tmpl w:val="06A2D444"/>
    <w:lvl w:ilvl="0" w:tplc="0C0A0001">
      <w:start w:val="1"/>
      <w:numFmt w:val="bullet"/>
      <w:lvlText w:val=""/>
      <w:lvlJc w:val="left"/>
      <w:pPr>
        <w:ind w:left="4500" w:hanging="360"/>
      </w:pPr>
      <w:rPr>
        <w:rFonts w:ascii="Symbol" w:hAnsi="Symbol" w:hint="default"/>
      </w:rPr>
    </w:lvl>
    <w:lvl w:ilvl="1" w:tplc="0C0A0003" w:tentative="1">
      <w:start w:val="1"/>
      <w:numFmt w:val="bullet"/>
      <w:lvlText w:val="o"/>
      <w:lvlJc w:val="left"/>
      <w:pPr>
        <w:ind w:left="5220" w:hanging="360"/>
      </w:pPr>
      <w:rPr>
        <w:rFonts w:ascii="Courier New" w:hAnsi="Courier New" w:cs="Courier New" w:hint="default"/>
      </w:rPr>
    </w:lvl>
    <w:lvl w:ilvl="2" w:tplc="0C0A0005" w:tentative="1">
      <w:start w:val="1"/>
      <w:numFmt w:val="bullet"/>
      <w:lvlText w:val=""/>
      <w:lvlJc w:val="left"/>
      <w:pPr>
        <w:ind w:left="5940" w:hanging="360"/>
      </w:pPr>
      <w:rPr>
        <w:rFonts w:ascii="Wingdings" w:hAnsi="Wingdings" w:hint="default"/>
      </w:rPr>
    </w:lvl>
    <w:lvl w:ilvl="3" w:tplc="0C0A0001" w:tentative="1">
      <w:start w:val="1"/>
      <w:numFmt w:val="bullet"/>
      <w:lvlText w:val=""/>
      <w:lvlJc w:val="left"/>
      <w:pPr>
        <w:ind w:left="6660" w:hanging="360"/>
      </w:pPr>
      <w:rPr>
        <w:rFonts w:ascii="Symbol" w:hAnsi="Symbol" w:hint="default"/>
      </w:rPr>
    </w:lvl>
    <w:lvl w:ilvl="4" w:tplc="0C0A0003" w:tentative="1">
      <w:start w:val="1"/>
      <w:numFmt w:val="bullet"/>
      <w:lvlText w:val="o"/>
      <w:lvlJc w:val="left"/>
      <w:pPr>
        <w:ind w:left="7380" w:hanging="360"/>
      </w:pPr>
      <w:rPr>
        <w:rFonts w:ascii="Courier New" w:hAnsi="Courier New" w:cs="Courier New" w:hint="default"/>
      </w:rPr>
    </w:lvl>
    <w:lvl w:ilvl="5" w:tplc="0C0A0005" w:tentative="1">
      <w:start w:val="1"/>
      <w:numFmt w:val="bullet"/>
      <w:lvlText w:val=""/>
      <w:lvlJc w:val="left"/>
      <w:pPr>
        <w:ind w:left="8100" w:hanging="360"/>
      </w:pPr>
      <w:rPr>
        <w:rFonts w:ascii="Wingdings" w:hAnsi="Wingdings" w:hint="default"/>
      </w:rPr>
    </w:lvl>
    <w:lvl w:ilvl="6" w:tplc="0C0A0001" w:tentative="1">
      <w:start w:val="1"/>
      <w:numFmt w:val="bullet"/>
      <w:lvlText w:val=""/>
      <w:lvlJc w:val="left"/>
      <w:pPr>
        <w:ind w:left="8820" w:hanging="360"/>
      </w:pPr>
      <w:rPr>
        <w:rFonts w:ascii="Symbol" w:hAnsi="Symbol" w:hint="default"/>
      </w:rPr>
    </w:lvl>
    <w:lvl w:ilvl="7" w:tplc="0C0A0003" w:tentative="1">
      <w:start w:val="1"/>
      <w:numFmt w:val="bullet"/>
      <w:lvlText w:val="o"/>
      <w:lvlJc w:val="left"/>
      <w:pPr>
        <w:ind w:left="9540" w:hanging="360"/>
      </w:pPr>
      <w:rPr>
        <w:rFonts w:ascii="Courier New" w:hAnsi="Courier New" w:cs="Courier New" w:hint="default"/>
      </w:rPr>
    </w:lvl>
    <w:lvl w:ilvl="8" w:tplc="0C0A0005" w:tentative="1">
      <w:start w:val="1"/>
      <w:numFmt w:val="bullet"/>
      <w:lvlText w:val=""/>
      <w:lvlJc w:val="left"/>
      <w:pPr>
        <w:ind w:left="10260" w:hanging="360"/>
      </w:pPr>
      <w:rPr>
        <w:rFonts w:ascii="Wingdings" w:hAnsi="Wingdings" w:hint="default"/>
      </w:rPr>
    </w:lvl>
  </w:abstractNum>
  <w:abstractNum w:abstractNumId="4" w15:restartNumberingAfterBreak="0">
    <w:nsid w:val="18B468F5"/>
    <w:multiLevelType w:val="hybridMultilevel"/>
    <w:tmpl w:val="774ACAFC"/>
    <w:lvl w:ilvl="0" w:tplc="19AC406A">
      <w:start w:val="1"/>
      <w:numFmt w:val="decimal"/>
      <w:lvlRestart w:val="0"/>
      <w:pStyle w:val="MDPI8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36220DC2"/>
    <w:lvl w:ilvl="0" w:tplc="E342172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1F635E05"/>
    <w:multiLevelType w:val="hybridMultilevel"/>
    <w:tmpl w:val="7B9C7734"/>
    <w:lvl w:ilvl="0" w:tplc="04090001">
      <w:start w:val="1"/>
      <w:numFmt w:val="bullet"/>
      <w:lvlText w:val=""/>
      <w:lvlJc w:val="left"/>
      <w:pPr>
        <w:ind w:left="3780" w:hanging="360"/>
      </w:pPr>
      <w:rPr>
        <w:rFonts w:ascii="Symbol" w:hAnsi="Symbol" w:hint="default"/>
      </w:rPr>
    </w:lvl>
    <w:lvl w:ilvl="1" w:tplc="FFFFFFFF" w:tentative="1">
      <w:start w:val="1"/>
      <w:numFmt w:val="bullet"/>
      <w:lvlText w:val="o"/>
      <w:lvlJc w:val="left"/>
      <w:pPr>
        <w:ind w:left="4500" w:hanging="360"/>
      </w:pPr>
      <w:rPr>
        <w:rFonts w:ascii="Courier New" w:hAnsi="Courier New" w:cs="Courier New" w:hint="default"/>
      </w:rPr>
    </w:lvl>
    <w:lvl w:ilvl="2" w:tplc="FFFFFFFF" w:tentative="1">
      <w:start w:val="1"/>
      <w:numFmt w:val="bullet"/>
      <w:lvlText w:val=""/>
      <w:lvlJc w:val="left"/>
      <w:pPr>
        <w:ind w:left="5220" w:hanging="360"/>
      </w:pPr>
      <w:rPr>
        <w:rFonts w:ascii="Wingdings" w:hAnsi="Wingdings" w:hint="default"/>
      </w:rPr>
    </w:lvl>
    <w:lvl w:ilvl="3" w:tplc="FFFFFFFF" w:tentative="1">
      <w:start w:val="1"/>
      <w:numFmt w:val="bullet"/>
      <w:lvlText w:val=""/>
      <w:lvlJc w:val="left"/>
      <w:pPr>
        <w:ind w:left="5940" w:hanging="360"/>
      </w:pPr>
      <w:rPr>
        <w:rFonts w:ascii="Symbol" w:hAnsi="Symbol" w:hint="default"/>
      </w:rPr>
    </w:lvl>
    <w:lvl w:ilvl="4" w:tplc="FFFFFFFF" w:tentative="1">
      <w:start w:val="1"/>
      <w:numFmt w:val="bullet"/>
      <w:lvlText w:val="o"/>
      <w:lvlJc w:val="left"/>
      <w:pPr>
        <w:ind w:left="6660" w:hanging="360"/>
      </w:pPr>
      <w:rPr>
        <w:rFonts w:ascii="Courier New" w:hAnsi="Courier New" w:cs="Courier New" w:hint="default"/>
      </w:rPr>
    </w:lvl>
    <w:lvl w:ilvl="5" w:tplc="FFFFFFFF" w:tentative="1">
      <w:start w:val="1"/>
      <w:numFmt w:val="bullet"/>
      <w:lvlText w:val=""/>
      <w:lvlJc w:val="left"/>
      <w:pPr>
        <w:ind w:left="7380" w:hanging="360"/>
      </w:pPr>
      <w:rPr>
        <w:rFonts w:ascii="Wingdings" w:hAnsi="Wingdings" w:hint="default"/>
      </w:rPr>
    </w:lvl>
    <w:lvl w:ilvl="6" w:tplc="FFFFFFFF" w:tentative="1">
      <w:start w:val="1"/>
      <w:numFmt w:val="bullet"/>
      <w:lvlText w:val=""/>
      <w:lvlJc w:val="left"/>
      <w:pPr>
        <w:ind w:left="8100" w:hanging="360"/>
      </w:pPr>
      <w:rPr>
        <w:rFonts w:ascii="Symbol" w:hAnsi="Symbol" w:hint="default"/>
      </w:rPr>
    </w:lvl>
    <w:lvl w:ilvl="7" w:tplc="FFFFFFFF" w:tentative="1">
      <w:start w:val="1"/>
      <w:numFmt w:val="bullet"/>
      <w:lvlText w:val="o"/>
      <w:lvlJc w:val="left"/>
      <w:pPr>
        <w:ind w:left="8820" w:hanging="360"/>
      </w:pPr>
      <w:rPr>
        <w:rFonts w:ascii="Courier New" w:hAnsi="Courier New" w:cs="Courier New" w:hint="default"/>
      </w:rPr>
    </w:lvl>
    <w:lvl w:ilvl="8" w:tplc="FFFFFFFF" w:tentative="1">
      <w:start w:val="1"/>
      <w:numFmt w:val="bullet"/>
      <w:lvlText w:val=""/>
      <w:lvlJc w:val="left"/>
      <w:pPr>
        <w:ind w:left="9540" w:hanging="360"/>
      </w:pPr>
      <w:rPr>
        <w:rFonts w:ascii="Wingdings" w:hAnsi="Wingdings" w:hint="default"/>
      </w:rPr>
    </w:lvl>
  </w:abstractNum>
  <w:abstractNum w:abstractNumId="7"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7A135E"/>
    <w:multiLevelType w:val="hybridMultilevel"/>
    <w:tmpl w:val="C554B7C0"/>
    <w:lvl w:ilvl="0" w:tplc="CFE896BA">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44167"/>
    <w:multiLevelType w:val="hybridMultilevel"/>
    <w:tmpl w:val="5EC66960"/>
    <w:lvl w:ilvl="0" w:tplc="FABE1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A3B93"/>
    <w:multiLevelType w:val="hybridMultilevel"/>
    <w:tmpl w:val="9A22B3B2"/>
    <w:lvl w:ilvl="0" w:tplc="A7A63A86">
      <w:start w:val="5"/>
      <w:numFmt w:val="bullet"/>
      <w:lvlText w:val="-"/>
      <w:lvlJc w:val="left"/>
      <w:pPr>
        <w:ind w:left="720" w:hanging="360"/>
      </w:pPr>
      <w:rPr>
        <w:rFonts w:ascii="Times New Roman" w:eastAsia="Calibri" w:hAnsi="Times New Roman" w:cs="Times New Roman"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393567DB"/>
    <w:multiLevelType w:val="hybridMultilevel"/>
    <w:tmpl w:val="043A95D6"/>
    <w:lvl w:ilvl="0" w:tplc="6706E808">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6B182A"/>
    <w:multiLevelType w:val="hybridMultilevel"/>
    <w:tmpl w:val="6D2E0F3A"/>
    <w:lvl w:ilvl="0" w:tplc="0C0A0001">
      <w:start w:val="1"/>
      <w:numFmt w:val="bullet"/>
      <w:lvlText w:val=""/>
      <w:lvlJc w:val="left"/>
      <w:pPr>
        <w:ind w:left="4290" w:hanging="360"/>
      </w:pPr>
      <w:rPr>
        <w:rFonts w:ascii="Symbol" w:hAnsi="Symbol" w:hint="default"/>
      </w:rPr>
    </w:lvl>
    <w:lvl w:ilvl="1" w:tplc="0C0A0003" w:tentative="1">
      <w:start w:val="1"/>
      <w:numFmt w:val="bullet"/>
      <w:lvlText w:val="o"/>
      <w:lvlJc w:val="left"/>
      <w:pPr>
        <w:ind w:left="5010" w:hanging="360"/>
      </w:pPr>
      <w:rPr>
        <w:rFonts w:ascii="Courier New" w:hAnsi="Courier New" w:cs="Courier New" w:hint="default"/>
      </w:rPr>
    </w:lvl>
    <w:lvl w:ilvl="2" w:tplc="0C0A0005" w:tentative="1">
      <w:start w:val="1"/>
      <w:numFmt w:val="bullet"/>
      <w:lvlText w:val=""/>
      <w:lvlJc w:val="left"/>
      <w:pPr>
        <w:ind w:left="5730" w:hanging="360"/>
      </w:pPr>
      <w:rPr>
        <w:rFonts w:ascii="Wingdings" w:hAnsi="Wingdings" w:hint="default"/>
      </w:rPr>
    </w:lvl>
    <w:lvl w:ilvl="3" w:tplc="0C0A0001" w:tentative="1">
      <w:start w:val="1"/>
      <w:numFmt w:val="bullet"/>
      <w:lvlText w:val=""/>
      <w:lvlJc w:val="left"/>
      <w:pPr>
        <w:ind w:left="6450" w:hanging="360"/>
      </w:pPr>
      <w:rPr>
        <w:rFonts w:ascii="Symbol" w:hAnsi="Symbol" w:hint="default"/>
      </w:rPr>
    </w:lvl>
    <w:lvl w:ilvl="4" w:tplc="0C0A0003" w:tentative="1">
      <w:start w:val="1"/>
      <w:numFmt w:val="bullet"/>
      <w:lvlText w:val="o"/>
      <w:lvlJc w:val="left"/>
      <w:pPr>
        <w:ind w:left="7170" w:hanging="360"/>
      </w:pPr>
      <w:rPr>
        <w:rFonts w:ascii="Courier New" w:hAnsi="Courier New" w:cs="Courier New" w:hint="default"/>
      </w:rPr>
    </w:lvl>
    <w:lvl w:ilvl="5" w:tplc="0C0A0005" w:tentative="1">
      <w:start w:val="1"/>
      <w:numFmt w:val="bullet"/>
      <w:lvlText w:val=""/>
      <w:lvlJc w:val="left"/>
      <w:pPr>
        <w:ind w:left="7890" w:hanging="360"/>
      </w:pPr>
      <w:rPr>
        <w:rFonts w:ascii="Wingdings" w:hAnsi="Wingdings" w:hint="default"/>
      </w:rPr>
    </w:lvl>
    <w:lvl w:ilvl="6" w:tplc="0C0A0001" w:tentative="1">
      <w:start w:val="1"/>
      <w:numFmt w:val="bullet"/>
      <w:lvlText w:val=""/>
      <w:lvlJc w:val="left"/>
      <w:pPr>
        <w:ind w:left="8610" w:hanging="360"/>
      </w:pPr>
      <w:rPr>
        <w:rFonts w:ascii="Symbol" w:hAnsi="Symbol" w:hint="default"/>
      </w:rPr>
    </w:lvl>
    <w:lvl w:ilvl="7" w:tplc="0C0A0003" w:tentative="1">
      <w:start w:val="1"/>
      <w:numFmt w:val="bullet"/>
      <w:lvlText w:val="o"/>
      <w:lvlJc w:val="left"/>
      <w:pPr>
        <w:ind w:left="9330" w:hanging="360"/>
      </w:pPr>
      <w:rPr>
        <w:rFonts w:ascii="Courier New" w:hAnsi="Courier New" w:cs="Courier New" w:hint="default"/>
      </w:rPr>
    </w:lvl>
    <w:lvl w:ilvl="8" w:tplc="0C0A0005" w:tentative="1">
      <w:start w:val="1"/>
      <w:numFmt w:val="bullet"/>
      <w:lvlText w:val=""/>
      <w:lvlJc w:val="left"/>
      <w:pPr>
        <w:ind w:left="10050" w:hanging="360"/>
      </w:pPr>
      <w:rPr>
        <w:rFonts w:ascii="Wingdings" w:hAnsi="Wingdings" w:hint="default"/>
      </w:rPr>
    </w:lvl>
  </w:abstractNum>
  <w:abstractNum w:abstractNumId="16" w15:restartNumberingAfterBreak="0">
    <w:nsid w:val="41F05A71"/>
    <w:multiLevelType w:val="hybridMultilevel"/>
    <w:tmpl w:val="E572C1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4CD3040"/>
    <w:multiLevelType w:val="hybridMultilevel"/>
    <w:tmpl w:val="A01837E4"/>
    <w:lvl w:ilvl="0" w:tplc="0C0A0001">
      <w:start w:val="1"/>
      <w:numFmt w:val="bullet"/>
      <w:lvlText w:val=""/>
      <w:lvlJc w:val="left"/>
      <w:pPr>
        <w:ind w:left="3780" w:hanging="360"/>
      </w:pPr>
      <w:rPr>
        <w:rFonts w:ascii="Symbol" w:hAnsi="Symbol" w:hint="default"/>
      </w:rPr>
    </w:lvl>
    <w:lvl w:ilvl="1" w:tplc="0C0A0003" w:tentative="1">
      <w:start w:val="1"/>
      <w:numFmt w:val="bullet"/>
      <w:lvlText w:val="o"/>
      <w:lvlJc w:val="left"/>
      <w:pPr>
        <w:ind w:left="4500" w:hanging="360"/>
      </w:pPr>
      <w:rPr>
        <w:rFonts w:ascii="Courier New" w:hAnsi="Courier New" w:cs="Courier New" w:hint="default"/>
      </w:rPr>
    </w:lvl>
    <w:lvl w:ilvl="2" w:tplc="0C0A0005" w:tentative="1">
      <w:start w:val="1"/>
      <w:numFmt w:val="bullet"/>
      <w:lvlText w:val=""/>
      <w:lvlJc w:val="left"/>
      <w:pPr>
        <w:ind w:left="5220" w:hanging="360"/>
      </w:pPr>
      <w:rPr>
        <w:rFonts w:ascii="Wingdings" w:hAnsi="Wingdings" w:hint="default"/>
      </w:rPr>
    </w:lvl>
    <w:lvl w:ilvl="3" w:tplc="0C0A0001" w:tentative="1">
      <w:start w:val="1"/>
      <w:numFmt w:val="bullet"/>
      <w:lvlText w:val=""/>
      <w:lvlJc w:val="left"/>
      <w:pPr>
        <w:ind w:left="5940" w:hanging="360"/>
      </w:pPr>
      <w:rPr>
        <w:rFonts w:ascii="Symbol" w:hAnsi="Symbol" w:hint="default"/>
      </w:rPr>
    </w:lvl>
    <w:lvl w:ilvl="4" w:tplc="0C0A0003" w:tentative="1">
      <w:start w:val="1"/>
      <w:numFmt w:val="bullet"/>
      <w:lvlText w:val="o"/>
      <w:lvlJc w:val="left"/>
      <w:pPr>
        <w:ind w:left="6660" w:hanging="360"/>
      </w:pPr>
      <w:rPr>
        <w:rFonts w:ascii="Courier New" w:hAnsi="Courier New" w:cs="Courier New" w:hint="default"/>
      </w:rPr>
    </w:lvl>
    <w:lvl w:ilvl="5" w:tplc="0C0A0005" w:tentative="1">
      <w:start w:val="1"/>
      <w:numFmt w:val="bullet"/>
      <w:lvlText w:val=""/>
      <w:lvlJc w:val="left"/>
      <w:pPr>
        <w:ind w:left="7380" w:hanging="360"/>
      </w:pPr>
      <w:rPr>
        <w:rFonts w:ascii="Wingdings" w:hAnsi="Wingdings" w:hint="default"/>
      </w:rPr>
    </w:lvl>
    <w:lvl w:ilvl="6" w:tplc="0C0A0001" w:tentative="1">
      <w:start w:val="1"/>
      <w:numFmt w:val="bullet"/>
      <w:lvlText w:val=""/>
      <w:lvlJc w:val="left"/>
      <w:pPr>
        <w:ind w:left="8100" w:hanging="360"/>
      </w:pPr>
      <w:rPr>
        <w:rFonts w:ascii="Symbol" w:hAnsi="Symbol" w:hint="default"/>
      </w:rPr>
    </w:lvl>
    <w:lvl w:ilvl="7" w:tplc="0C0A0003" w:tentative="1">
      <w:start w:val="1"/>
      <w:numFmt w:val="bullet"/>
      <w:lvlText w:val="o"/>
      <w:lvlJc w:val="left"/>
      <w:pPr>
        <w:ind w:left="8820" w:hanging="360"/>
      </w:pPr>
      <w:rPr>
        <w:rFonts w:ascii="Courier New" w:hAnsi="Courier New" w:cs="Courier New" w:hint="default"/>
      </w:rPr>
    </w:lvl>
    <w:lvl w:ilvl="8" w:tplc="0C0A0005" w:tentative="1">
      <w:start w:val="1"/>
      <w:numFmt w:val="bullet"/>
      <w:lvlText w:val=""/>
      <w:lvlJc w:val="left"/>
      <w:pPr>
        <w:ind w:left="9540" w:hanging="360"/>
      </w:pPr>
      <w:rPr>
        <w:rFonts w:ascii="Wingdings" w:hAnsi="Wingdings" w:hint="default"/>
      </w:rPr>
    </w:lvl>
  </w:abstractNum>
  <w:abstractNum w:abstractNumId="1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075B53"/>
    <w:multiLevelType w:val="hybridMultilevel"/>
    <w:tmpl w:val="4926C2CA"/>
    <w:lvl w:ilvl="0" w:tplc="2C10CD22">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0" w15:restartNumberingAfterBreak="0">
    <w:nsid w:val="585A3D2D"/>
    <w:multiLevelType w:val="hybridMultilevel"/>
    <w:tmpl w:val="6C8CD7BE"/>
    <w:lvl w:ilvl="0" w:tplc="466C2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F04260"/>
    <w:multiLevelType w:val="hybridMultilevel"/>
    <w:tmpl w:val="6204CBA2"/>
    <w:lvl w:ilvl="0" w:tplc="0C0A0001">
      <w:start w:val="1"/>
      <w:numFmt w:val="bullet"/>
      <w:lvlText w:val=""/>
      <w:lvlJc w:val="left"/>
      <w:pPr>
        <w:ind w:left="3978" w:hanging="360"/>
      </w:pPr>
      <w:rPr>
        <w:rFonts w:ascii="Symbol" w:hAnsi="Symbol" w:hint="default"/>
      </w:rPr>
    </w:lvl>
    <w:lvl w:ilvl="1" w:tplc="0C0A0003" w:tentative="1">
      <w:start w:val="1"/>
      <w:numFmt w:val="bullet"/>
      <w:lvlText w:val="o"/>
      <w:lvlJc w:val="left"/>
      <w:pPr>
        <w:ind w:left="4698" w:hanging="360"/>
      </w:pPr>
      <w:rPr>
        <w:rFonts w:ascii="Courier New" w:hAnsi="Courier New" w:cs="Courier New" w:hint="default"/>
      </w:rPr>
    </w:lvl>
    <w:lvl w:ilvl="2" w:tplc="0C0A0005" w:tentative="1">
      <w:start w:val="1"/>
      <w:numFmt w:val="bullet"/>
      <w:lvlText w:val=""/>
      <w:lvlJc w:val="left"/>
      <w:pPr>
        <w:ind w:left="5418" w:hanging="360"/>
      </w:pPr>
      <w:rPr>
        <w:rFonts w:ascii="Wingdings" w:hAnsi="Wingdings" w:hint="default"/>
      </w:rPr>
    </w:lvl>
    <w:lvl w:ilvl="3" w:tplc="0C0A0001" w:tentative="1">
      <w:start w:val="1"/>
      <w:numFmt w:val="bullet"/>
      <w:lvlText w:val=""/>
      <w:lvlJc w:val="left"/>
      <w:pPr>
        <w:ind w:left="6138" w:hanging="360"/>
      </w:pPr>
      <w:rPr>
        <w:rFonts w:ascii="Symbol" w:hAnsi="Symbol" w:hint="default"/>
      </w:rPr>
    </w:lvl>
    <w:lvl w:ilvl="4" w:tplc="0C0A0003" w:tentative="1">
      <w:start w:val="1"/>
      <w:numFmt w:val="bullet"/>
      <w:lvlText w:val="o"/>
      <w:lvlJc w:val="left"/>
      <w:pPr>
        <w:ind w:left="6858" w:hanging="360"/>
      </w:pPr>
      <w:rPr>
        <w:rFonts w:ascii="Courier New" w:hAnsi="Courier New" w:cs="Courier New" w:hint="default"/>
      </w:rPr>
    </w:lvl>
    <w:lvl w:ilvl="5" w:tplc="0C0A0005" w:tentative="1">
      <w:start w:val="1"/>
      <w:numFmt w:val="bullet"/>
      <w:lvlText w:val=""/>
      <w:lvlJc w:val="left"/>
      <w:pPr>
        <w:ind w:left="7578" w:hanging="360"/>
      </w:pPr>
      <w:rPr>
        <w:rFonts w:ascii="Wingdings" w:hAnsi="Wingdings" w:hint="default"/>
      </w:rPr>
    </w:lvl>
    <w:lvl w:ilvl="6" w:tplc="0C0A0001" w:tentative="1">
      <w:start w:val="1"/>
      <w:numFmt w:val="bullet"/>
      <w:lvlText w:val=""/>
      <w:lvlJc w:val="left"/>
      <w:pPr>
        <w:ind w:left="8298" w:hanging="360"/>
      </w:pPr>
      <w:rPr>
        <w:rFonts w:ascii="Symbol" w:hAnsi="Symbol" w:hint="default"/>
      </w:rPr>
    </w:lvl>
    <w:lvl w:ilvl="7" w:tplc="0C0A0003" w:tentative="1">
      <w:start w:val="1"/>
      <w:numFmt w:val="bullet"/>
      <w:lvlText w:val="o"/>
      <w:lvlJc w:val="left"/>
      <w:pPr>
        <w:ind w:left="9018" w:hanging="360"/>
      </w:pPr>
      <w:rPr>
        <w:rFonts w:ascii="Courier New" w:hAnsi="Courier New" w:cs="Courier New" w:hint="default"/>
      </w:rPr>
    </w:lvl>
    <w:lvl w:ilvl="8" w:tplc="0C0A0005" w:tentative="1">
      <w:start w:val="1"/>
      <w:numFmt w:val="bullet"/>
      <w:lvlText w:val=""/>
      <w:lvlJc w:val="left"/>
      <w:pPr>
        <w:ind w:left="9738" w:hanging="360"/>
      </w:pPr>
      <w:rPr>
        <w:rFonts w:ascii="Wingdings" w:hAnsi="Wingdings" w:hint="default"/>
      </w:rPr>
    </w:lvl>
  </w:abstractNum>
  <w:abstractNum w:abstractNumId="22" w15:restartNumberingAfterBreak="0">
    <w:nsid w:val="6A20279F"/>
    <w:multiLevelType w:val="hybridMultilevel"/>
    <w:tmpl w:val="15E66376"/>
    <w:lvl w:ilvl="0" w:tplc="04090001">
      <w:start w:val="1"/>
      <w:numFmt w:val="bullet"/>
      <w:lvlText w:val=""/>
      <w:lvlJc w:val="left"/>
      <w:pPr>
        <w:ind w:left="3780" w:hanging="360"/>
      </w:pPr>
      <w:rPr>
        <w:rFonts w:ascii="Symbol" w:hAnsi="Symbol" w:hint="default"/>
      </w:rPr>
    </w:lvl>
    <w:lvl w:ilvl="1" w:tplc="FFFFFFFF" w:tentative="1">
      <w:start w:val="1"/>
      <w:numFmt w:val="bullet"/>
      <w:lvlText w:val="o"/>
      <w:lvlJc w:val="left"/>
      <w:pPr>
        <w:ind w:left="4500" w:hanging="360"/>
      </w:pPr>
      <w:rPr>
        <w:rFonts w:ascii="Courier New" w:hAnsi="Courier New" w:cs="Courier New" w:hint="default"/>
      </w:rPr>
    </w:lvl>
    <w:lvl w:ilvl="2" w:tplc="FFFFFFFF" w:tentative="1">
      <w:start w:val="1"/>
      <w:numFmt w:val="bullet"/>
      <w:lvlText w:val=""/>
      <w:lvlJc w:val="left"/>
      <w:pPr>
        <w:ind w:left="5220" w:hanging="360"/>
      </w:pPr>
      <w:rPr>
        <w:rFonts w:ascii="Wingdings" w:hAnsi="Wingdings" w:hint="default"/>
      </w:rPr>
    </w:lvl>
    <w:lvl w:ilvl="3" w:tplc="FFFFFFFF" w:tentative="1">
      <w:start w:val="1"/>
      <w:numFmt w:val="bullet"/>
      <w:lvlText w:val=""/>
      <w:lvlJc w:val="left"/>
      <w:pPr>
        <w:ind w:left="5940" w:hanging="360"/>
      </w:pPr>
      <w:rPr>
        <w:rFonts w:ascii="Symbol" w:hAnsi="Symbol" w:hint="default"/>
      </w:rPr>
    </w:lvl>
    <w:lvl w:ilvl="4" w:tplc="FFFFFFFF" w:tentative="1">
      <w:start w:val="1"/>
      <w:numFmt w:val="bullet"/>
      <w:lvlText w:val="o"/>
      <w:lvlJc w:val="left"/>
      <w:pPr>
        <w:ind w:left="6660" w:hanging="360"/>
      </w:pPr>
      <w:rPr>
        <w:rFonts w:ascii="Courier New" w:hAnsi="Courier New" w:cs="Courier New" w:hint="default"/>
      </w:rPr>
    </w:lvl>
    <w:lvl w:ilvl="5" w:tplc="FFFFFFFF" w:tentative="1">
      <w:start w:val="1"/>
      <w:numFmt w:val="bullet"/>
      <w:lvlText w:val=""/>
      <w:lvlJc w:val="left"/>
      <w:pPr>
        <w:ind w:left="7380" w:hanging="360"/>
      </w:pPr>
      <w:rPr>
        <w:rFonts w:ascii="Wingdings" w:hAnsi="Wingdings" w:hint="default"/>
      </w:rPr>
    </w:lvl>
    <w:lvl w:ilvl="6" w:tplc="FFFFFFFF" w:tentative="1">
      <w:start w:val="1"/>
      <w:numFmt w:val="bullet"/>
      <w:lvlText w:val=""/>
      <w:lvlJc w:val="left"/>
      <w:pPr>
        <w:ind w:left="8100" w:hanging="360"/>
      </w:pPr>
      <w:rPr>
        <w:rFonts w:ascii="Symbol" w:hAnsi="Symbol" w:hint="default"/>
      </w:rPr>
    </w:lvl>
    <w:lvl w:ilvl="7" w:tplc="FFFFFFFF" w:tentative="1">
      <w:start w:val="1"/>
      <w:numFmt w:val="bullet"/>
      <w:lvlText w:val="o"/>
      <w:lvlJc w:val="left"/>
      <w:pPr>
        <w:ind w:left="8820" w:hanging="360"/>
      </w:pPr>
      <w:rPr>
        <w:rFonts w:ascii="Courier New" w:hAnsi="Courier New" w:cs="Courier New" w:hint="default"/>
      </w:rPr>
    </w:lvl>
    <w:lvl w:ilvl="8" w:tplc="FFFFFFFF" w:tentative="1">
      <w:start w:val="1"/>
      <w:numFmt w:val="bullet"/>
      <w:lvlText w:val=""/>
      <w:lvlJc w:val="left"/>
      <w:pPr>
        <w:ind w:left="9540" w:hanging="360"/>
      </w:pPr>
      <w:rPr>
        <w:rFonts w:ascii="Wingdings" w:hAnsi="Wingdings" w:hint="default"/>
      </w:rPr>
    </w:lvl>
  </w:abstractNum>
  <w:abstractNum w:abstractNumId="23" w15:restartNumberingAfterBreak="0">
    <w:nsid w:val="6B660288"/>
    <w:multiLevelType w:val="hybridMultilevel"/>
    <w:tmpl w:val="BC1626F6"/>
    <w:lvl w:ilvl="0" w:tplc="9D28A894">
      <w:start w:val="3"/>
      <w:numFmt w:val="bullet"/>
      <w:lvlText w:val="-"/>
      <w:lvlJc w:val="left"/>
      <w:pPr>
        <w:ind w:left="2910" w:hanging="360"/>
      </w:pPr>
      <w:rPr>
        <w:rFonts w:ascii="Times New Roman" w:eastAsia="Calibri" w:hAnsi="Times New Roman" w:cs="Times New Roman" w:hint="default"/>
      </w:rPr>
    </w:lvl>
    <w:lvl w:ilvl="1" w:tplc="040A0003">
      <w:start w:val="1"/>
      <w:numFmt w:val="bullet"/>
      <w:lvlText w:val="o"/>
      <w:lvlJc w:val="left"/>
      <w:pPr>
        <w:ind w:left="3630" w:hanging="360"/>
      </w:pPr>
      <w:rPr>
        <w:rFonts w:ascii="Courier New" w:hAnsi="Courier New" w:cs="Courier New" w:hint="default"/>
      </w:rPr>
    </w:lvl>
    <w:lvl w:ilvl="2" w:tplc="040A0005">
      <w:start w:val="1"/>
      <w:numFmt w:val="bullet"/>
      <w:lvlText w:val=""/>
      <w:lvlJc w:val="left"/>
      <w:pPr>
        <w:ind w:left="4350" w:hanging="360"/>
      </w:pPr>
      <w:rPr>
        <w:rFonts w:ascii="Wingdings" w:hAnsi="Wingdings" w:hint="default"/>
      </w:rPr>
    </w:lvl>
    <w:lvl w:ilvl="3" w:tplc="040A0001" w:tentative="1">
      <w:start w:val="1"/>
      <w:numFmt w:val="bullet"/>
      <w:lvlText w:val=""/>
      <w:lvlJc w:val="left"/>
      <w:pPr>
        <w:ind w:left="5070" w:hanging="360"/>
      </w:pPr>
      <w:rPr>
        <w:rFonts w:ascii="Symbol" w:hAnsi="Symbol" w:hint="default"/>
      </w:rPr>
    </w:lvl>
    <w:lvl w:ilvl="4" w:tplc="040A0003" w:tentative="1">
      <w:start w:val="1"/>
      <w:numFmt w:val="bullet"/>
      <w:lvlText w:val="o"/>
      <w:lvlJc w:val="left"/>
      <w:pPr>
        <w:ind w:left="5790" w:hanging="360"/>
      </w:pPr>
      <w:rPr>
        <w:rFonts w:ascii="Courier New" w:hAnsi="Courier New" w:cs="Courier New" w:hint="default"/>
      </w:rPr>
    </w:lvl>
    <w:lvl w:ilvl="5" w:tplc="040A0005" w:tentative="1">
      <w:start w:val="1"/>
      <w:numFmt w:val="bullet"/>
      <w:lvlText w:val=""/>
      <w:lvlJc w:val="left"/>
      <w:pPr>
        <w:ind w:left="6510" w:hanging="360"/>
      </w:pPr>
      <w:rPr>
        <w:rFonts w:ascii="Wingdings" w:hAnsi="Wingdings" w:hint="default"/>
      </w:rPr>
    </w:lvl>
    <w:lvl w:ilvl="6" w:tplc="040A0001" w:tentative="1">
      <w:start w:val="1"/>
      <w:numFmt w:val="bullet"/>
      <w:lvlText w:val=""/>
      <w:lvlJc w:val="left"/>
      <w:pPr>
        <w:ind w:left="7230" w:hanging="360"/>
      </w:pPr>
      <w:rPr>
        <w:rFonts w:ascii="Symbol" w:hAnsi="Symbol" w:hint="default"/>
      </w:rPr>
    </w:lvl>
    <w:lvl w:ilvl="7" w:tplc="040A0003" w:tentative="1">
      <w:start w:val="1"/>
      <w:numFmt w:val="bullet"/>
      <w:lvlText w:val="o"/>
      <w:lvlJc w:val="left"/>
      <w:pPr>
        <w:ind w:left="7950" w:hanging="360"/>
      </w:pPr>
      <w:rPr>
        <w:rFonts w:ascii="Courier New" w:hAnsi="Courier New" w:cs="Courier New" w:hint="default"/>
      </w:rPr>
    </w:lvl>
    <w:lvl w:ilvl="8" w:tplc="040A0005" w:tentative="1">
      <w:start w:val="1"/>
      <w:numFmt w:val="bullet"/>
      <w:lvlText w:val=""/>
      <w:lvlJc w:val="left"/>
      <w:pPr>
        <w:ind w:left="8670" w:hanging="360"/>
      </w:pPr>
      <w:rPr>
        <w:rFonts w:ascii="Wingdings" w:hAnsi="Wingdings" w:hint="default"/>
      </w:rPr>
    </w:lvl>
  </w:abstractNum>
  <w:abstractNum w:abstractNumId="2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5364F7"/>
    <w:multiLevelType w:val="hybridMultilevel"/>
    <w:tmpl w:val="0FBCE590"/>
    <w:lvl w:ilvl="0" w:tplc="04090001">
      <w:start w:val="1"/>
      <w:numFmt w:val="bullet"/>
      <w:lvlText w:val=""/>
      <w:lvlJc w:val="left"/>
      <w:pPr>
        <w:ind w:left="4500" w:hanging="360"/>
      </w:pPr>
      <w:rPr>
        <w:rFonts w:ascii="Symbol" w:hAnsi="Symbol" w:hint="default"/>
      </w:rPr>
    </w:lvl>
    <w:lvl w:ilvl="1" w:tplc="FFFFFFFF" w:tentative="1">
      <w:start w:val="1"/>
      <w:numFmt w:val="bullet"/>
      <w:lvlText w:val="o"/>
      <w:lvlJc w:val="left"/>
      <w:pPr>
        <w:ind w:left="5220" w:hanging="360"/>
      </w:pPr>
      <w:rPr>
        <w:rFonts w:ascii="Courier New" w:hAnsi="Courier New" w:cs="Courier New" w:hint="default"/>
      </w:rPr>
    </w:lvl>
    <w:lvl w:ilvl="2" w:tplc="FFFFFFFF" w:tentative="1">
      <w:start w:val="1"/>
      <w:numFmt w:val="bullet"/>
      <w:lvlText w:val=""/>
      <w:lvlJc w:val="left"/>
      <w:pPr>
        <w:ind w:left="5940" w:hanging="360"/>
      </w:pPr>
      <w:rPr>
        <w:rFonts w:ascii="Wingdings" w:hAnsi="Wingdings" w:hint="default"/>
      </w:rPr>
    </w:lvl>
    <w:lvl w:ilvl="3" w:tplc="FFFFFFFF" w:tentative="1">
      <w:start w:val="1"/>
      <w:numFmt w:val="bullet"/>
      <w:lvlText w:val=""/>
      <w:lvlJc w:val="left"/>
      <w:pPr>
        <w:ind w:left="6660" w:hanging="360"/>
      </w:pPr>
      <w:rPr>
        <w:rFonts w:ascii="Symbol" w:hAnsi="Symbol" w:hint="default"/>
      </w:rPr>
    </w:lvl>
    <w:lvl w:ilvl="4" w:tplc="FFFFFFFF" w:tentative="1">
      <w:start w:val="1"/>
      <w:numFmt w:val="bullet"/>
      <w:lvlText w:val="o"/>
      <w:lvlJc w:val="left"/>
      <w:pPr>
        <w:ind w:left="7380" w:hanging="360"/>
      </w:pPr>
      <w:rPr>
        <w:rFonts w:ascii="Courier New" w:hAnsi="Courier New" w:cs="Courier New" w:hint="default"/>
      </w:rPr>
    </w:lvl>
    <w:lvl w:ilvl="5" w:tplc="FFFFFFFF" w:tentative="1">
      <w:start w:val="1"/>
      <w:numFmt w:val="bullet"/>
      <w:lvlText w:val=""/>
      <w:lvlJc w:val="left"/>
      <w:pPr>
        <w:ind w:left="8100" w:hanging="360"/>
      </w:pPr>
      <w:rPr>
        <w:rFonts w:ascii="Wingdings" w:hAnsi="Wingdings" w:hint="default"/>
      </w:rPr>
    </w:lvl>
    <w:lvl w:ilvl="6" w:tplc="FFFFFFFF" w:tentative="1">
      <w:start w:val="1"/>
      <w:numFmt w:val="bullet"/>
      <w:lvlText w:val=""/>
      <w:lvlJc w:val="left"/>
      <w:pPr>
        <w:ind w:left="8820" w:hanging="360"/>
      </w:pPr>
      <w:rPr>
        <w:rFonts w:ascii="Symbol" w:hAnsi="Symbol" w:hint="default"/>
      </w:rPr>
    </w:lvl>
    <w:lvl w:ilvl="7" w:tplc="FFFFFFFF" w:tentative="1">
      <w:start w:val="1"/>
      <w:numFmt w:val="bullet"/>
      <w:lvlText w:val="o"/>
      <w:lvlJc w:val="left"/>
      <w:pPr>
        <w:ind w:left="9540" w:hanging="360"/>
      </w:pPr>
      <w:rPr>
        <w:rFonts w:ascii="Courier New" w:hAnsi="Courier New" w:cs="Courier New" w:hint="default"/>
      </w:rPr>
    </w:lvl>
    <w:lvl w:ilvl="8" w:tplc="FFFFFFFF" w:tentative="1">
      <w:start w:val="1"/>
      <w:numFmt w:val="bullet"/>
      <w:lvlText w:val=""/>
      <w:lvlJc w:val="left"/>
      <w:pPr>
        <w:ind w:left="10260" w:hanging="360"/>
      </w:pPr>
      <w:rPr>
        <w:rFonts w:ascii="Wingdings" w:hAnsi="Wingdings" w:hint="default"/>
      </w:rPr>
    </w:lvl>
  </w:abstractNum>
  <w:abstractNum w:abstractNumId="26" w15:restartNumberingAfterBreak="0">
    <w:nsid w:val="79087A2A"/>
    <w:multiLevelType w:val="hybridMultilevel"/>
    <w:tmpl w:val="17EE4954"/>
    <w:lvl w:ilvl="0" w:tplc="04090001">
      <w:start w:val="1"/>
      <w:numFmt w:val="bullet"/>
      <w:lvlText w:val=""/>
      <w:lvlJc w:val="left"/>
      <w:pPr>
        <w:ind w:left="4290" w:hanging="360"/>
      </w:pPr>
      <w:rPr>
        <w:rFonts w:ascii="Symbol" w:hAnsi="Symbol" w:hint="default"/>
      </w:rPr>
    </w:lvl>
    <w:lvl w:ilvl="1" w:tplc="FFFFFFFF" w:tentative="1">
      <w:start w:val="1"/>
      <w:numFmt w:val="bullet"/>
      <w:lvlText w:val="o"/>
      <w:lvlJc w:val="left"/>
      <w:pPr>
        <w:ind w:left="5010" w:hanging="360"/>
      </w:pPr>
      <w:rPr>
        <w:rFonts w:ascii="Courier New" w:hAnsi="Courier New" w:cs="Courier New" w:hint="default"/>
      </w:rPr>
    </w:lvl>
    <w:lvl w:ilvl="2" w:tplc="FFFFFFFF" w:tentative="1">
      <w:start w:val="1"/>
      <w:numFmt w:val="bullet"/>
      <w:lvlText w:val=""/>
      <w:lvlJc w:val="left"/>
      <w:pPr>
        <w:ind w:left="5730" w:hanging="360"/>
      </w:pPr>
      <w:rPr>
        <w:rFonts w:ascii="Wingdings" w:hAnsi="Wingdings" w:hint="default"/>
      </w:rPr>
    </w:lvl>
    <w:lvl w:ilvl="3" w:tplc="FFFFFFFF" w:tentative="1">
      <w:start w:val="1"/>
      <w:numFmt w:val="bullet"/>
      <w:lvlText w:val=""/>
      <w:lvlJc w:val="left"/>
      <w:pPr>
        <w:ind w:left="6450" w:hanging="360"/>
      </w:pPr>
      <w:rPr>
        <w:rFonts w:ascii="Symbol" w:hAnsi="Symbol" w:hint="default"/>
      </w:rPr>
    </w:lvl>
    <w:lvl w:ilvl="4" w:tplc="FFFFFFFF" w:tentative="1">
      <w:start w:val="1"/>
      <w:numFmt w:val="bullet"/>
      <w:lvlText w:val="o"/>
      <w:lvlJc w:val="left"/>
      <w:pPr>
        <w:ind w:left="7170" w:hanging="360"/>
      </w:pPr>
      <w:rPr>
        <w:rFonts w:ascii="Courier New" w:hAnsi="Courier New" w:cs="Courier New" w:hint="default"/>
      </w:rPr>
    </w:lvl>
    <w:lvl w:ilvl="5" w:tplc="FFFFFFFF" w:tentative="1">
      <w:start w:val="1"/>
      <w:numFmt w:val="bullet"/>
      <w:lvlText w:val=""/>
      <w:lvlJc w:val="left"/>
      <w:pPr>
        <w:ind w:left="7890" w:hanging="360"/>
      </w:pPr>
      <w:rPr>
        <w:rFonts w:ascii="Wingdings" w:hAnsi="Wingdings" w:hint="default"/>
      </w:rPr>
    </w:lvl>
    <w:lvl w:ilvl="6" w:tplc="FFFFFFFF" w:tentative="1">
      <w:start w:val="1"/>
      <w:numFmt w:val="bullet"/>
      <w:lvlText w:val=""/>
      <w:lvlJc w:val="left"/>
      <w:pPr>
        <w:ind w:left="8610" w:hanging="360"/>
      </w:pPr>
      <w:rPr>
        <w:rFonts w:ascii="Symbol" w:hAnsi="Symbol" w:hint="default"/>
      </w:rPr>
    </w:lvl>
    <w:lvl w:ilvl="7" w:tplc="FFFFFFFF" w:tentative="1">
      <w:start w:val="1"/>
      <w:numFmt w:val="bullet"/>
      <w:lvlText w:val="o"/>
      <w:lvlJc w:val="left"/>
      <w:pPr>
        <w:ind w:left="9330" w:hanging="360"/>
      </w:pPr>
      <w:rPr>
        <w:rFonts w:ascii="Courier New" w:hAnsi="Courier New" w:cs="Courier New" w:hint="default"/>
      </w:rPr>
    </w:lvl>
    <w:lvl w:ilvl="8" w:tplc="FFFFFFFF" w:tentative="1">
      <w:start w:val="1"/>
      <w:numFmt w:val="bullet"/>
      <w:lvlText w:val=""/>
      <w:lvlJc w:val="left"/>
      <w:pPr>
        <w:ind w:left="10050" w:hanging="360"/>
      </w:pPr>
      <w:rPr>
        <w:rFonts w:ascii="Wingdings" w:hAnsi="Wingdings" w:hint="default"/>
      </w:rPr>
    </w:lvl>
  </w:abstractNum>
  <w:num w:numId="1" w16cid:durableId="481654251">
    <w:abstractNumId w:val="8"/>
  </w:num>
  <w:num w:numId="2" w16cid:durableId="2137333301">
    <w:abstractNumId w:val="13"/>
  </w:num>
  <w:num w:numId="3" w16cid:durableId="320550436">
    <w:abstractNumId w:val="7"/>
  </w:num>
  <w:num w:numId="4" w16cid:durableId="20567369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89157635">
    <w:abstractNumId w:val="9"/>
  </w:num>
  <w:num w:numId="6" w16cid:durableId="1735935483">
    <w:abstractNumId w:val="19"/>
  </w:num>
  <w:num w:numId="7" w16cid:durableId="1050036064">
    <w:abstractNumId w:val="5"/>
  </w:num>
  <w:num w:numId="8" w16cid:durableId="315689290">
    <w:abstractNumId w:val="19"/>
  </w:num>
  <w:num w:numId="9" w16cid:durableId="2033871437">
    <w:abstractNumId w:val="5"/>
  </w:num>
  <w:num w:numId="10" w16cid:durableId="1059474275">
    <w:abstractNumId w:val="19"/>
  </w:num>
  <w:num w:numId="11" w16cid:durableId="1333221269">
    <w:abstractNumId w:val="5"/>
  </w:num>
  <w:num w:numId="12" w16cid:durableId="84570771">
    <w:abstractNumId w:val="24"/>
  </w:num>
  <w:num w:numId="13" w16cid:durableId="1538011042">
    <w:abstractNumId w:val="19"/>
  </w:num>
  <w:num w:numId="14" w16cid:durableId="1382751463">
    <w:abstractNumId w:val="5"/>
  </w:num>
  <w:num w:numId="15" w16cid:durableId="1610353785">
    <w:abstractNumId w:val="4"/>
  </w:num>
  <w:num w:numId="16" w16cid:durableId="220950079">
    <w:abstractNumId w:val="18"/>
  </w:num>
  <w:num w:numId="17" w16cid:durableId="1281034192">
    <w:abstractNumId w:val="1"/>
  </w:num>
  <w:num w:numId="18" w16cid:durableId="2048138815">
    <w:abstractNumId w:val="19"/>
  </w:num>
  <w:num w:numId="19" w16cid:durableId="956067179">
    <w:abstractNumId w:val="5"/>
  </w:num>
  <w:num w:numId="20" w16cid:durableId="1903324207">
    <w:abstractNumId w:val="4"/>
  </w:num>
  <w:num w:numId="21" w16cid:durableId="923341448">
    <w:abstractNumId w:val="10"/>
  </w:num>
  <w:num w:numId="22" w16cid:durableId="1865903494">
    <w:abstractNumId w:val="1"/>
  </w:num>
  <w:num w:numId="23" w16cid:durableId="461580579">
    <w:abstractNumId w:val="14"/>
  </w:num>
  <w:num w:numId="24" w16cid:durableId="334234755">
    <w:abstractNumId w:val="12"/>
  </w:num>
  <w:num w:numId="25" w16cid:durableId="1500004707">
    <w:abstractNumId w:val="21"/>
  </w:num>
  <w:num w:numId="26" w16cid:durableId="866799989">
    <w:abstractNumId w:val="23"/>
  </w:num>
  <w:num w:numId="27" w16cid:durableId="780222273">
    <w:abstractNumId w:val="15"/>
  </w:num>
  <w:num w:numId="28" w16cid:durableId="642852076">
    <w:abstractNumId w:val="3"/>
  </w:num>
  <w:num w:numId="29" w16cid:durableId="2110540391">
    <w:abstractNumId w:val="16"/>
  </w:num>
  <w:num w:numId="30" w16cid:durableId="210381614">
    <w:abstractNumId w:val="17"/>
  </w:num>
  <w:num w:numId="31" w16cid:durableId="197083155">
    <w:abstractNumId w:val="19"/>
  </w:num>
  <w:num w:numId="32" w16cid:durableId="1608270567">
    <w:abstractNumId w:val="5"/>
  </w:num>
  <w:num w:numId="33" w16cid:durableId="1517306711">
    <w:abstractNumId w:val="2"/>
  </w:num>
  <w:num w:numId="34" w16cid:durableId="879173623">
    <w:abstractNumId w:val="4"/>
  </w:num>
  <w:num w:numId="35" w16cid:durableId="53286623">
    <w:abstractNumId w:val="26"/>
  </w:num>
  <w:num w:numId="36" w16cid:durableId="776291802">
    <w:abstractNumId w:val="0"/>
  </w:num>
  <w:num w:numId="37" w16cid:durableId="309286984">
    <w:abstractNumId w:val="25"/>
  </w:num>
  <w:num w:numId="38" w16cid:durableId="801266400">
    <w:abstractNumId w:val="22"/>
  </w:num>
  <w:num w:numId="39" w16cid:durableId="989596977">
    <w:abstractNumId w:val="6"/>
  </w:num>
  <w:num w:numId="40" w16cid:durableId="1144860085">
    <w:abstractNumId w:val="20"/>
  </w:num>
  <w:num w:numId="41" w16cid:durableId="123713156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DPI">
    <w15:presenceInfo w15:providerId="None" w15:userId="MDPI"/>
  </w15:person>
  <w15:person w15:author="English Editor">
    <w15:presenceInfo w15:providerId="None" w15:userId="English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0F0"/>
    <w:rsid w:val="000019D8"/>
    <w:rsid w:val="00006882"/>
    <w:rsid w:val="00006F9A"/>
    <w:rsid w:val="00010541"/>
    <w:rsid w:val="000146AA"/>
    <w:rsid w:val="0001560B"/>
    <w:rsid w:val="000302D9"/>
    <w:rsid w:val="00040B33"/>
    <w:rsid w:val="00041B18"/>
    <w:rsid w:val="00041D95"/>
    <w:rsid w:val="0005264A"/>
    <w:rsid w:val="00065CFE"/>
    <w:rsid w:val="00085770"/>
    <w:rsid w:val="000946A2"/>
    <w:rsid w:val="000A202F"/>
    <w:rsid w:val="000A431F"/>
    <w:rsid w:val="000A7316"/>
    <w:rsid w:val="000B2C0F"/>
    <w:rsid w:val="000B703D"/>
    <w:rsid w:val="000B7CBD"/>
    <w:rsid w:val="000C0FC2"/>
    <w:rsid w:val="000C6424"/>
    <w:rsid w:val="000D3C7C"/>
    <w:rsid w:val="000E2866"/>
    <w:rsid w:val="000F27DB"/>
    <w:rsid w:val="000F382A"/>
    <w:rsid w:val="000F442B"/>
    <w:rsid w:val="00122849"/>
    <w:rsid w:val="00123D92"/>
    <w:rsid w:val="00133AF5"/>
    <w:rsid w:val="001407CF"/>
    <w:rsid w:val="00152F6D"/>
    <w:rsid w:val="0015505D"/>
    <w:rsid w:val="00161978"/>
    <w:rsid w:val="00163A1A"/>
    <w:rsid w:val="00165B35"/>
    <w:rsid w:val="001710B7"/>
    <w:rsid w:val="00172385"/>
    <w:rsid w:val="00177AA9"/>
    <w:rsid w:val="00180583"/>
    <w:rsid w:val="0018413D"/>
    <w:rsid w:val="001A3B7F"/>
    <w:rsid w:val="001B1114"/>
    <w:rsid w:val="001B385B"/>
    <w:rsid w:val="001B4EDD"/>
    <w:rsid w:val="001C2C3C"/>
    <w:rsid w:val="001C4EF2"/>
    <w:rsid w:val="001D1C27"/>
    <w:rsid w:val="001D25D3"/>
    <w:rsid w:val="001E2AEB"/>
    <w:rsid w:val="001E55F6"/>
    <w:rsid w:val="001E5D36"/>
    <w:rsid w:val="001E6B6B"/>
    <w:rsid w:val="001F462D"/>
    <w:rsid w:val="001F5269"/>
    <w:rsid w:val="00232F67"/>
    <w:rsid w:val="0024597C"/>
    <w:rsid w:val="002627B5"/>
    <w:rsid w:val="002701DF"/>
    <w:rsid w:val="00274D95"/>
    <w:rsid w:val="0027542B"/>
    <w:rsid w:val="00280C3D"/>
    <w:rsid w:val="00280F25"/>
    <w:rsid w:val="00280FC4"/>
    <w:rsid w:val="00287BE6"/>
    <w:rsid w:val="0029303F"/>
    <w:rsid w:val="0029599A"/>
    <w:rsid w:val="00297DA6"/>
    <w:rsid w:val="002B5FEA"/>
    <w:rsid w:val="002C1762"/>
    <w:rsid w:val="002C5B08"/>
    <w:rsid w:val="002C7470"/>
    <w:rsid w:val="002C74FC"/>
    <w:rsid w:val="002D4102"/>
    <w:rsid w:val="002D6660"/>
    <w:rsid w:val="002E235C"/>
    <w:rsid w:val="002F67E3"/>
    <w:rsid w:val="00314B6E"/>
    <w:rsid w:val="003207B3"/>
    <w:rsid w:val="003240F9"/>
    <w:rsid w:val="00324C83"/>
    <w:rsid w:val="00325CF8"/>
    <w:rsid w:val="00326141"/>
    <w:rsid w:val="003377AB"/>
    <w:rsid w:val="0034278A"/>
    <w:rsid w:val="0034365E"/>
    <w:rsid w:val="00347456"/>
    <w:rsid w:val="00357C8D"/>
    <w:rsid w:val="00362F34"/>
    <w:rsid w:val="00367D9A"/>
    <w:rsid w:val="00371C69"/>
    <w:rsid w:val="00371FD0"/>
    <w:rsid w:val="003805E9"/>
    <w:rsid w:val="003822BB"/>
    <w:rsid w:val="00382F8E"/>
    <w:rsid w:val="00396C59"/>
    <w:rsid w:val="003977A3"/>
    <w:rsid w:val="003A2C19"/>
    <w:rsid w:val="003A4612"/>
    <w:rsid w:val="003A5297"/>
    <w:rsid w:val="003D37C7"/>
    <w:rsid w:val="003D4857"/>
    <w:rsid w:val="003D55AB"/>
    <w:rsid w:val="003D77B9"/>
    <w:rsid w:val="003E2823"/>
    <w:rsid w:val="003E2FD7"/>
    <w:rsid w:val="003F2DA1"/>
    <w:rsid w:val="003F4ECB"/>
    <w:rsid w:val="00401D30"/>
    <w:rsid w:val="00402AAA"/>
    <w:rsid w:val="00406574"/>
    <w:rsid w:val="00412261"/>
    <w:rsid w:val="0041407E"/>
    <w:rsid w:val="004142C7"/>
    <w:rsid w:val="00415875"/>
    <w:rsid w:val="004225B0"/>
    <w:rsid w:val="00422934"/>
    <w:rsid w:val="00434F9F"/>
    <w:rsid w:val="00435E8A"/>
    <w:rsid w:val="0045182C"/>
    <w:rsid w:val="004541A3"/>
    <w:rsid w:val="0046295C"/>
    <w:rsid w:val="00472D7E"/>
    <w:rsid w:val="0047318D"/>
    <w:rsid w:val="0048179C"/>
    <w:rsid w:val="004824A2"/>
    <w:rsid w:val="00495C77"/>
    <w:rsid w:val="00496C97"/>
    <w:rsid w:val="004A7534"/>
    <w:rsid w:val="004B1358"/>
    <w:rsid w:val="004B7429"/>
    <w:rsid w:val="004D283F"/>
    <w:rsid w:val="004D54CC"/>
    <w:rsid w:val="004D5F4D"/>
    <w:rsid w:val="004F15E1"/>
    <w:rsid w:val="004F5B4C"/>
    <w:rsid w:val="00510CF2"/>
    <w:rsid w:val="005123DF"/>
    <w:rsid w:val="00537FC8"/>
    <w:rsid w:val="00547A54"/>
    <w:rsid w:val="005577F2"/>
    <w:rsid w:val="00587B3D"/>
    <w:rsid w:val="005963C5"/>
    <w:rsid w:val="005A06CB"/>
    <w:rsid w:val="005A57D3"/>
    <w:rsid w:val="005B1C72"/>
    <w:rsid w:val="005B6663"/>
    <w:rsid w:val="005D34E5"/>
    <w:rsid w:val="005F6FAE"/>
    <w:rsid w:val="00602EF1"/>
    <w:rsid w:val="00610A30"/>
    <w:rsid w:val="00610B7F"/>
    <w:rsid w:val="00616F82"/>
    <w:rsid w:val="00617878"/>
    <w:rsid w:val="00622838"/>
    <w:rsid w:val="00627546"/>
    <w:rsid w:val="006300CB"/>
    <w:rsid w:val="00630C32"/>
    <w:rsid w:val="00637CD2"/>
    <w:rsid w:val="00640BAB"/>
    <w:rsid w:val="00642B3D"/>
    <w:rsid w:val="006430BB"/>
    <w:rsid w:val="00644492"/>
    <w:rsid w:val="00650487"/>
    <w:rsid w:val="006532ED"/>
    <w:rsid w:val="00664C48"/>
    <w:rsid w:val="00667913"/>
    <w:rsid w:val="00671072"/>
    <w:rsid w:val="00685F96"/>
    <w:rsid w:val="00690CFF"/>
    <w:rsid w:val="00691DEB"/>
    <w:rsid w:val="00692393"/>
    <w:rsid w:val="00694025"/>
    <w:rsid w:val="006947D4"/>
    <w:rsid w:val="006A11B0"/>
    <w:rsid w:val="006A4671"/>
    <w:rsid w:val="006A5D76"/>
    <w:rsid w:val="006B19A4"/>
    <w:rsid w:val="006B2D27"/>
    <w:rsid w:val="006C3990"/>
    <w:rsid w:val="006D2032"/>
    <w:rsid w:val="006D3297"/>
    <w:rsid w:val="006E1776"/>
    <w:rsid w:val="006F3773"/>
    <w:rsid w:val="007018DC"/>
    <w:rsid w:val="00705D61"/>
    <w:rsid w:val="00706D77"/>
    <w:rsid w:val="0071771D"/>
    <w:rsid w:val="00747477"/>
    <w:rsid w:val="007533CD"/>
    <w:rsid w:val="007653D5"/>
    <w:rsid w:val="0076659D"/>
    <w:rsid w:val="00770821"/>
    <w:rsid w:val="00771CF5"/>
    <w:rsid w:val="00776505"/>
    <w:rsid w:val="00786A46"/>
    <w:rsid w:val="007910BC"/>
    <w:rsid w:val="0079312A"/>
    <w:rsid w:val="00796E42"/>
    <w:rsid w:val="007A5687"/>
    <w:rsid w:val="007A62C8"/>
    <w:rsid w:val="007B2F20"/>
    <w:rsid w:val="007B693B"/>
    <w:rsid w:val="007C0007"/>
    <w:rsid w:val="007C2CFD"/>
    <w:rsid w:val="007C35D7"/>
    <w:rsid w:val="007F127A"/>
    <w:rsid w:val="008022F9"/>
    <w:rsid w:val="00805D81"/>
    <w:rsid w:val="00810B00"/>
    <w:rsid w:val="00816BBE"/>
    <w:rsid w:val="00821EF1"/>
    <w:rsid w:val="00822BC0"/>
    <w:rsid w:val="008337EC"/>
    <w:rsid w:val="00840724"/>
    <w:rsid w:val="008427EA"/>
    <w:rsid w:val="00851192"/>
    <w:rsid w:val="00852BEC"/>
    <w:rsid w:val="00853B85"/>
    <w:rsid w:val="008608FE"/>
    <w:rsid w:val="00865A31"/>
    <w:rsid w:val="00865C7A"/>
    <w:rsid w:val="008676DA"/>
    <w:rsid w:val="00873954"/>
    <w:rsid w:val="00880013"/>
    <w:rsid w:val="008837DF"/>
    <w:rsid w:val="008A78D8"/>
    <w:rsid w:val="008C6213"/>
    <w:rsid w:val="008D0B41"/>
    <w:rsid w:val="008D5200"/>
    <w:rsid w:val="008E3449"/>
    <w:rsid w:val="008E63F1"/>
    <w:rsid w:val="008E7AC1"/>
    <w:rsid w:val="008F0CA6"/>
    <w:rsid w:val="008F1228"/>
    <w:rsid w:val="008F3CDC"/>
    <w:rsid w:val="008F432F"/>
    <w:rsid w:val="008F4618"/>
    <w:rsid w:val="008F6E8C"/>
    <w:rsid w:val="009035B8"/>
    <w:rsid w:val="00904B95"/>
    <w:rsid w:val="0091397B"/>
    <w:rsid w:val="00914275"/>
    <w:rsid w:val="00915CAE"/>
    <w:rsid w:val="00927044"/>
    <w:rsid w:val="00936D19"/>
    <w:rsid w:val="00942534"/>
    <w:rsid w:val="00943EE6"/>
    <w:rsid w:val="00945A8C"/>
    <w:rsid w:val="00955F67"/>
    <w:rsid w:val="00956F12"/>
    <w:rsid w:val="00970559"/>
    <w:rsid w:val="00970888"/>
    <w:rsid w:val="009709FF"/>
    <w:rsid w:val="009756FC"/>
    <w:rsid w:val="00976E03"/>
    <w:rsid w:val="00984981"/>
    <w:rsid w:val="00995615"/>
    <w:rsid w:val="00995F53"/>
    <w:rsid w:val="00996419"/>
    <w:rsid w:val="0099687B"/>
    <w:rsid w:val="00996A7A"/>
    <w:rsid w:val="009A657C"/>
    <w:rsid w:val="009C5893"/>
    <w:rsid w:val="009C6194"/>
    <w:rsid w:val="009D16F5"/>
    <w:rsid w:val="009D209B"/>
    <w:rsid w:val="009D2140"/>
    <w:rsid w:val="009D3806"/>
    <w:rsid w:val="009F148B"/>
    <w:rsid w:val="009F1A19"/>
    <w:rsid w:val="009F641D"/>
    <w:rsid w:val="009F70E6"/>
    <w:rsid w:val="00A01B67"/>
    <w:rsid w:val="00A160F0"/>
    <w:rsid w:val="00A23ACB"/>
    <w:rsid w:val="00A23CD8"/>
    <w:rsid w:val="00A262F2"/>
    <w:rsid w:val="00A541C4"/>
    <w:rsid w:val="00A637A9"/>
    <w:rsid w:val="00A64023"/>
    <w:rsid w:val="00A671C5"/>
    <w:rsid w:val="00A7114A"/>
    <w:rsid w:val="00A7185F"/>
    <w:rsid w:val="00A71A9D"/>
    <w:rsid w:val="00A73B50"/>
    <w:rsid w:val="00A76141"/>
    <w:rsid w:val="00A966E9"/>
    <w:rsid w:val="00AB2F7D"/>
    <w:rsid w:val="00AB6D95"/>
    <w:rsid w:val="00AC198A"/>
    <w:rsid w:val="00AC38B2"/>
    <w:rsid w:val="00AC3FDF"/>
    <w:rsid w:val="00AC6281"/>
    <w:rsid w:val="00AD3640"/>
    <w:rsid w:val="00AD4E9B"/>
    <w:rsid w:val="00AE0F2C"/>
    <w:rsid w:val="00AE6471"/>
    <w:rsid w:val="00AE7EB8"/>
    <w:rsid w:val="00AF63F6"/>
    <w:rsid w:val="00AF66CF"/>
    <w:rsid w:val="00B079B8"/>
    <w:rsid w:val="00B07BF9"/>
    <w:rsid w:val="00B07CAE"/>
    <w:rsid w:val="00B10693"/>
    <w:rsid w:val="00B2406A"/>
    <w:rsid w:val="00B24D42"/>
    <w:rsid w:val="00B27BDC"/>
    <w:rsid w:val="00B40371"/>
    <w:rsid w:val="00B4222D"/>
    <w:rsid w:val="00B42EB7"/>
    <w:rsid w:val="00B43589"/>
    <w:rsid w:val="00B53491"/>
    <w:rsid w:val="00B71BC2"/>
    <w:rsid w:val="00B7367B"/>
    <w:rsid w:val="00B73A92"/>
    <w:rsid w:val="00B80907"/>
    <w:rsid w:val="00B84BC1"/>
    <w:rsid w:val="00B91101"/>
    <w:rsid w:val="00B93380"/>
    <w:rsid w:val="00B94A5E"/>
    <w:rsid w:val="00BA7E52"/>
    <w:rsid w:val="00BB0F3E"/>
    <w:rsid w:val="00BB2253"/>
    <w:rsid w:val="00BB2456"/>
    <w:rsid w:val="00BB39D0"/>
    <w:rsid w:val="00BB7AA1"/>
    <w:rsid w:val="00BC2D10"/>
    <w:rsid w:val="00BC5B9E"/>
    <w:rsid w:val="00BD0286"/>
    <w:rsid w:val="00BD0510"/>
    <w:rsid w:val="00BD5379"/>
    <w:rsid w:val="00BD7BD8"/>
    <w:rsid w:val="00BE4E1F"/>
    <w:rsid w:val="00BE4E95"/>
    <w:rsid w:val="00BF5D96"/>
    <w:rsid w:val="00BF678F"/>
    <w:rsid w:val="00BF6F8B"/>
    <w:rsid w:val="00C06920"/>
    <w:rsid w:val="00C06B2F"/>
    <w:rsid w:val="00C078B3"/>
    <w:rsid w:val="00C1439D"/>
    <w:rsid w:val="00C144B6"/>
    <w:rsid w:val="00C17D2C"/>
    <w:rsid w:val="00C33459"/>
    <w:rsid w:val="00C577EC"/>
    <w:rsid w:val="00C76749"/>
    <w:rsid w:val="00CA6FBF"/>
    <w:rsid w:val="00CB1E4E"/>
    <w:rsid w:val="00CB2F6A"/>
    <w:rsid w:val="00CB3CFA"/>
    <w:rsid w:val="00CB5986"/>
    <w:rsid w:val="00CC201D"/>
    <w:rsid w:val="00CC4494"/>
    <w:rsid w:val="00CD1107"/>
    <w:rsid w:val="00CF3152"/>
    <w:rsid w:val="00D03F63"/>
    <w:rsid w:val="00D0452F"/>
    <w:rsid w:val="00D06DB4"/>
    <w:rsid w:val="00D15FBD"/>
    <w:rsid w:val="00D21072"/>
    <w:rsid w:val="00D235B1"/>
    <w:rsid w:val="00D537C4"/>
    <w:rsid w:val="00D67428"/>
    <w:rsid w:val="00D72E82"/>
    <w:rsid w:val="00D76EFE"/>
    <w:rsid w:val="00D80648"/>
    <w:rsid w:val="00D85AC4"/>
    <w:rsid w:val="00D922AF"/>
    <w:rsid w:val="00D96EFC"/>
    <w:rsid w:val="00DB5D84"/>
    <w:rsid w:val="00DB65CB"/>
    <w:rsid w:val="00DC5308"/>
    <w:rsid w:val="00DD7AA0"/>
    <w:rsid w:val="00DF4DCB"/>
    <w:rsid w:val="00E00A40"/>
    <w:rsid w:val="00E166C4"/>
    <w:rsid w:val="00E44DEE"/>
    <w:rsid w:val="00E54213"/>
    <w:rsid w:val="00E548E8"/>
    <w:rsid w:val="00E571F9"/>
    <w:rsid w:val="00E62446"/>
    <w:rsid w:val="00E6289B"/>
    <w:rsid w:val="00E6298A"/>
    <w:rsid w:val="00E67447"/>
    <w:rsid w:val="00E72575"/>
    <w:rsid w:val="00E90B0F"/>
    <w:rsid w:val="00E917EF"/>
    <w:rsid w:val="00E9417E"/>
    <w:rsid w:val="00EA0B97"/>
    <w:rsid w:val="00EA4185"/>
    <w:rsid w:val="00EA792D"/>
    <w:rsid w:val="00EB730D"/>
    <w:rsid w:val="00EC11B4"/>
    <w:rsid w:val="00EC2CB7"/>
    <w:rsid w:val="00EC3E86"/>
    <w:rsid w:val="00ED107F"/>
    <w:rsid w:val="00ED3125"/>
    <w:rsid w:val="00EE0FC4"/>
    <w:rsid w:val="00EE3998"/>
    <w:rsid w:val="00EE3D95"/>
    <w:rsid w:val="00F0345C"/>
    <w:rsid w:val="00F03498"/>
    <w:rsid w:val="00F066FF"/>
    <w:rsid w:val="00F11025"/>
    <w:rsid w:val="00F1352D"/>
    <w:rsid w:val="00F159D6"/>
    <w:rsid w:val="00F20DC0"/>
    <w:rsid w:val="00F3667D"/>
    <w:rsid w:val="00F36D81"/>
    <w:rsid w:val="00F41D77"/>
    <w:rsid w:val="00F42B79"/>
    <w:rsid w:val="00F46A0C"/>
    <w:rsid w:val="00F46ECB"/>
    <w:rsid w:val="00F5143C"/>
    <w:rsid w:val="00F55996"/>
    <w:rsid w:val="00F61547"/>
    <w:rsid w:val="00F733DC"/>
    <w:rsid w:val="00F75F58"/>
    <w:rsid w:val="00F77E4C"/>
    <w:rsid w:val="00F803A0"/>
    <w:rsid w:val="00FA2DB6"/>
    <w:rsid w:val="00FA4695"/>
    <w:rsid w:val="00FA4EE0"/>
    <w:rsid w:val="00FB5E20"/>
    <w:rsid w:val="00FB713A"/>
    <w:rsid w:val="00FC70BF"/>
    <w:rsid w:val="00FD0403"/>
    <w:rsid w:val="00FD16DA"/>
    <w:rsid w:val="00FD4789"/>
    <w:rsid w:val="00FD6CA7"/>
    <w:rsid w:val="00FD76C7"/>
    <w:rsid w:val="00FE6943"/>
    <w:rsid w:val="00FF1581"/>
    <w:rsid w:val="00FF21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7B7BE9"/>
  <w15:chartTrackingRefBased/>
  <w15:docId w15:val="{854FAA39-750B-4934-9A15-0BB91BCB2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943"/>
    <w:pPr>
      <w:spacing w:line="28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F67E3"/>
    <w:pPr>
      <w:adjustRightInd w:val="0"/>
      <w:snapToGrid w:val="0"/>
      <w:spacing w:before="240"/>
    </w:pPr>
    <w:rPr>
      <w:rFonts w:ascii="Palatino Linotype" w:eastAsia="Times New Roman" w:hAnsi="Palatino Linotype"/>
      <w:i/>
      <w:snapToGrid w:val="0"/>
      <w:color w:val="000000"/>
      <w:szCs w:val="22"/>
      <w:lang w:eastAsia="de-DE" w:bidi="en-US"/>
      <w14:ligatures w14:val="standardContextual"/>
    </w:rPr>
  </w:style>
  <w:style w:type="paragraph" w:customStyle="1" w:styleId="MDPI12title">
    <w:name w:val="MDPI_1.2_title"/>
    <w:next w:val="Normal"/>
    <w:qFormat/>
    <w:rsid w:val="002F67E3"/>
    <w:pPr>
      <w:adjustRightInd w:val="0"/>
      <w:snapToGrid w:val="0"/>
      <w:spacing w:after="240" w:line="240" w:lineRule="atLeast"/>
    </w:pPr>
    <w:rPr>
      <w:rFonts w:ascii="Palatino Linotype" w:eastAsia="Times New Roman" w:hAnsi="Palatino Linotype"/>
      <w:b/>
      <w:snapToGrid w:val="0"/>
      <w:color w:val="000000"/>
      <w:sz w:val="36"/>
      <w:lang w:eastAsia="de-DE" w:bidi="en-US"/>
      <w14:ligatures w14:val="standardContextual"/>
    </w:rPr>
  </w:style>
  <w:style w:type="paragraph" w:customStyle="1" w:styleId="MDPI13authornames">
    <w:name w:val="MDPI_1.3_authornames"/>
    <w:next w:val="Normal"/>
    <w:qFormat/>
    <w:rsid w:val="002F67E3"/>
    <w:pPr>
      <w:adjustRightInd w:val="0"/>
      <w:snapToGrid w:val="0"/>
      <w:spacing w:after="360" w:line="260" w:lineRule="atLeast"/>
    </w:pPr>
    <w:rPr>
      <w:rFonts w:ascii="Palatino Linotype" w:eastAsia="Times New Roman" w:hAnsi="Palatino Linotype"/>
      <w:b/>
      <w:color w:val="000000"/>
      <w:szCs w:val="22"/>
      <w:lang w:eastAsia="de-DE" w:bidi="en-US"/>
      <w14:ligatures w14:val="standardContextual"/>
    </w:rPr>
  </w:style>
  <w:style w:type="paragraph" w:customStyle="1" w:styleId="MDPI14history">
    <w:name w:val="MDPI_1.4_history"/>
    <w:basedOn w:val="Normal"/>
    <w:next w:val="Normal"/>
    <w:qFormat/>
    <w:rsid w:val="002F67E3"/>
    <w:pPr>
      <w:adjustRightInd w:val="0"/>
      <w:snapToGrid w:val="0"/>
      <w:spacing w:line="240" w:lineRule="atLeast"/>
      <w:ind w:right="113"/>
      <w:jc w:val="left"/>
    </w:pPr>
    <w:rPr>
      <w:rFonts w:eastAsia="Times New Roman"/>
      <w:noProof w:val="0"/>
      <w:sz w:val="14"/>
      <w:lang w:eastAsia="de-DE" w:bidi="en-US"/>
      <w14:ligatures w14:val="standardContextual"/>
    </w:rPr>
  </w:style>
  <w:style w:type="paragraph" w:customStyle="1" w:styleId="MDPI16affiliation">
    <w:name w:val="MDPI_1.6_affiliation"/>
    <w:qFormat/>
    <w:rsid w:val="002F67E3"/>
    <w:pPr>
      <w:adjustRightInd w:val="0"/>
      <w:snapToGrid w:val="0"/>
      <w:spacing w:line="200" w:lineRule="atLeast"/>
      <w:ind w:left="2806" w:hanging="198"/>
    </w:pPr>
    <w:rPr>
      <w:rFonts w:ascii="Palatino Linotype" w:eastAsia="Times New Roman" w:hAnsi="Palatino Linotype"/>
      <w:color w:val="000000"/>
      <w:sz w:val="16"/>
      <w:szCs w:val="18"/>
      <w:lang w:eastAsia="de-DE" w:bidi="en-US"/>
      <w14:ligatures w14:val="standardContextual"/>
    </w:rPr>
  </w:style>
  <w:style w:type="paragraph" w:customStyle="1" w:styleId="MDPI17abstract">
    <w:name w:val="MDPI_1.7_abstract"/>
    <w:next w:val="Normal"/>
    <w:qFormat/>
    <w:rsid w:val="002F67E3"/>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14:ligatures w14:val="standardContextual"/>
    </w:rPr>
  </w:style>
  <w:style w:type="paragraph" w:customStyle="1" w:styleId="MDPI18keywords">
    <w:name w:val="MDPI_1.8_keywords"/>
    <w:next w:val="Normal"/>
    <w:qFormat/>
    <w:rsid w:val="002F67E3"/>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2F67E3"/>
    <w:pPr>
      <w:pBdr>
        <w:bottom w:val="single" w:sz="4"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14:ligatures w14:val="standardContextual"/>
    </w:rPr>
  </w:style>
  <w:style w:type="paragraph" w:styleId="Footer">
    <w:name w:val="footer"/>
    <w:basedOn w:val="Normal"/>
    <w:link w:val="FooterChar"/>
    <w:uiPriority w:val="99"/>
    <w:rsid w:val="00FE6943"/>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FE6943"/>
    <w:rPr>
      <w:rFonts w:ascii="Palatino Linotype" w:hAnsi="Palatino Linotype"/>
      <w:noProof/>
      <w:color w:val="000000"/>
      <w:szCs w:val="18"/>
    </w:rPr>
  </w:style>
  <w:style w:type="paragraph" w:styleId="Header">
    <w:name w:val="header"/>
    <w:basedOn w:val="Normal"/>
    <w:link w:val="HeaderChar"/>
    <w:uiPriority w:val="99"/>
    <w:rsid w:val="00FE6943"/>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FE6943"/>
    <w:rPr>
      <w:rFonts w:ascii="Palatino Linotype" w:hAnsi="Palatino Linotype"/>
      <w:noProof/>
      <w:color w:val="000000"/>
      <w:szCs w:val="18"/>
    </w:rPr>
  </w:style>
  <w:style w:type="paragraph" w:customStyle="1" w:styleId="MDPI32textnoindent">
    <w:name w:val="MDPI_3.2_text_no_indent"/>
    <w:basedOn w:val="MDPI31text"/>
    <w:qFormat/>
    <w:rsid w:val="002F67E3"/>
    <w:pPr>
      <w:ind w:firstLine="0"/>
    </w:pPr>
  </w:style>
  <w:style w:type="paragraph" w:customStyle="1" w:styleId="MDPI31text">
    <w:name w:val="MDPI_3.1_text"/>
    <w:qFormat/>
    <w:rsid w:val="002F67E3"/>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3textspaceafter">
    <w:name w:val="MDPI_3.3_text_space_after"/>
    <w:qFormat/>
    <w:rsid w:val="002F67E3"/>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4textspacebefore">
    <w:name w:val="MDPI_3.4_text_space_before"/>
    <w:qFormat/>
    <w:rsid w:val="002F67E3"/>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5textbeforelist">
    <w:name w:val="MDPI_3.5_text_before_list"/>
    <w:qFormat/>
    <w:rsid w:val="002F67E3"/>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6textafterlist">
    <w:name w:val="MDPI_3.6_text_after_list"/>
    <w:qFormat/>
    <w:rsid w:val="002F67E3"/>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7itemize">
    <w:name w:val="MDPI_3.7_itemize"/>
    <w:qFormat/>
    <w:rsid w:val="002F67E3"/>
    <w:pPr>
      <w:numPr>
        <w:numId w:val="31"/>
      </w:numPr>
      <w:adjustRightInd w:val="0"/>
      <w:snapToGrid w:val="0"/>
      <w:spacing w:line="280" w:lineRule="atLeast"/>
      <w:jc w:val="both"/>
    </w:pPr>
    <w:rPr>
      <w:rFonts w:ascii="Palatino Linotype" w:eastAsia="Times New Roman" w:hAnsi="Palatino Linotype"/>
      <w:color w:val="000000"/>
      <w:szCs w:val="22"/>
      <w:lang w:eastAsia="de-DE" w:bidi="en-US"/>
      <w14:ligatures w14:val="standardContextual"/>
    </w:rPr>
  </w:style>
  <w:style w:type="paragraph" w:customStyle="1" w:styleId="MDPI38bullet">
    <w:name w:val="MDPI_3.8_bullet"/>
    <w:qFormat/>
    <w:rsid w:val="002F67E3"/>
    <w:pPr>
      <w:numPr>
        <w:numId w:val="32"/>
      </w:numPr>
      <w:adjustRightInd w:val="0"/>
      <w:snapToGrid w:val="0"/>
      <w:spacing w:line="280" w:lineRule="atLeast"/>
      <w:jc w:val="both"/>
    </w:pPr>
    <w:rPr>
      <w:rFonts w:ascii="Palatino Linotype" w:eastAsia="Times New Roman" w:hAnsi="Palatino Linotype"/>
      <w:color w:val="000000"/>
      <w:szCs w:val="22"/>
      <w:lang w:eastAsia="de-DE" w:bidi="en-US"/>
      <w14:ligatures w14:val="standardContextual"/>
    </w:rPr>
  </w:style>
  <w:style w:type="paragraph" w:customStyle="1" w:styleId="MDPI39equation">
    <w:name w:val="MDPI_3.9_equation"/>
    <w:qFormat/>
    <w:rsid w:val="002F67E3"/>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2F67E3"/>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2F67E3"/>
    <w:pPr>
      <w:adjustRightInd w:val="0"/>
      <w:snapToGrid w:val="0"/>
      <w:spacing w:before="240" w:after="120" w:line="280" w:lineRule="atLeast"/>
      <w:ind w:left="2608"/>
    </w:pPr>
    <w:rPr>
      <w:rFonts w:ascii="Palatino Linotype" w:eastAsia="Times New Roman" w:hAnsi="Palatino Linotype" w:cstheme="minorBidi"/>
      <w:color w:val="000000"/>
      <w:sz w:val="18"/>
      <w:szCs w:val="22"/>
      <w:lang w:eastAsia="de-DE" w:bidi="en-US"/>
      <w14:ligatures w14:val="standardContextual"/>
    </w:rPr>
  </w:style>
  <w:style w:type="paragraph" w:customStyle="1" w:styleId="MDPI42tablebody">
    <w:name w:val="MDPI_4.2_table_body"/>
    <w:qFormat/>
    <w:rsid w:val="002F67E3"/>
    <w:pPr>
      <w:adjustRightInd w:val="0"/>
      <w:snapToGrid w:val="0"/>
      <w:jc w:val="center"/>
    </w:pPr>
    <w:rPr>
      <w:rFonts w:ascii="Palatino Linotype" w:eastAsia="Times New Roman" w:hAnsi="Palatino Linotype"/>
      <w:snapToGrid w:val="0"/>
      <w:color w:val="000000"/>
      <w:lang w:eastAsia="de-DE" w:bidi="en-US"/>
      <w14:ligatures w14:val="standardContextual"/>
    </w:rPr>
  </w:style>
  <w:style w:type="paragraph" w:customStyle="1" w:styleId="MDPI43tablefooter">
    <w:name w:val="MDPI_4.3_table_footer"/>
    <w:next w:val="MDPI31text"/>
    <w:qFormat/>
    <w:rsid w:val="002F67E3"/>
    <w:pPr>
      <w:adjustRightInd w:val="0"/>
      <w:snapToGrid w:val="0"/>
      <w:spacing w:line="280" w:lineRule="atLeast"/>
      <w:ind w:left="2608"/>
    </w:pPr>
    <w:rPr>
      <w:rFonts w:ascii="Palatino Linotype" w:eastAsia="Times New Roman" w:hAnsi="Palatino Linotype" w:cs="Cordia New"/>
      <w:color w:val="000000"/>
      <w:sz w:val="18"/>
      <w:szCs w:val="22"/>
      <w:lang w:eastAsia="de-DE" w:bidi="en-US"/>
      <w14:ligatures w14:val="standardContextual"/>
    </w:rPr>
  </w:style>
  <w:style w:type="paragraph" w:customStyle="1" w:styleId="MDPI51figurecaption">
    <w:name w:val="MDPI_5.1_figure_caption"/>
    <w:qFormat/>
    <w:rsid w:val="002F67E3"/>
    <w:pPr>
      <w:adjustRightInd w:val="0"/>
      <w:snapToGrid w:val="0"/>
      <w:spacing w:before="120" w:after="240" w:line="280" w:lineRule="atLeast"/>
      <w:ind w:left="2608"/>
    </w:pPr>
    <w:rPr>
      <w:rFonts w:ascii="Palatino Linotype" w:eastAsia="Times New Roman" w:hAnsi="Palatino Linotype"/>
      <w:color w:val="000000"/>
      <w:sz w:val="18"/>
      <w:lang w:eastAsia="de-DE" w:bidi="en-US"/>
      <w14:ligatures w14:val="standardContextual"/>
    </w:rPr>
  </w:style>
  <w:style w:type="paragraph" w:customStyle="1" w:styleId="MDPI52figure">
    <w:name w:val="MDPI_5.2_figure"/>
    <w:qFormat/>
    <w:rsid w:val="002F67E3"/>
    <w:pPr>
      <w:adjustRightInd w:val="0"/>
      <w:snapToGrid w:val="0"/>
      <w:spacing w:before="240" w:after="120"/>
      <w:jc w:val="center"/>
    </w:pPr>
    <w:rPr>
      <w:rFonts w:ascii="Palatino Linotype" w:eastAsia="Times New Roman" w:hAnsi="Palatino Linotype"/>
      <w:snapToGrid w:val="0"/>
      <w:color w:val="000000"/>
      <w:lang w:eastAsia="de-DE" w:bidi="en-US"/>
      <w14:ligatures w14:val="standardContextual"/>
    </w:rPr>
  </w:style>
  <w:style w:type="paragraph" w:customStyle="1" w:styleId="MDPI82theorem">
    <w:name w:val="MDPI_8.2_theorem"/>
    <w:qFormat/>
    <w:rsid w:val="002F67E3"/>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14:ligatures w14:val="standardContextual"/>
    </w:rPr>
  </w:style>
  <w:style w:type="paragraph" w:customStyle="1" w:styleId="MDPI83proof">
    <w:name w:val="MDPI_8.3_proof"/>
    <w:qFormat/>
    <w:rsid w:val="002F67E3"/>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23heading3">
    <w:name w:val="MDPI_2.3_heading3"/>
    <w:qFormat/>
    <w:rsid w:val="002F67E3"/>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14:ligatures w14:val="standardContextual"/>
    </w:rPr>
  </w:style>
  <w:style w:type="paragraph" w:customStyle="1" w:styleId="MDPI21heading1">
    <w:name w:val="MDPI_2.1_heading1"/>
    <w:qFormat/>
    <w:rsid w:val="002F67E3"/>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14:ligatures w14:val="standardContextual"/>
    </w:rPr>
  </w:style>
  <w:style w:type="paragraph" w:customStyle="1" w:styleId="MDPI22heading2">
    <w:name w:val="MDPI_2.2_heading2"/>
    <w:qFormat/>
    <w:rsid w:val="002F67E3"/>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14:ligatures w14:val="standardContextual"/>
    </w:rPr>
  </w:style>
  <w:style w:type="paragraph" w:customStyle="1" w:styleId="MDPI81references">
    <w:name w:val="MDPI_8.1_references"/>
    <w:qFormat/>
    <w:rsid w:val="002F67E3"/>
    <w:pPr>
      <w:numPr>
        <w:numId w:val="34"/>
      </w:numPr>
      <w:adjustRightInd w:val="0"/>
      <w:snapToGrid w:val="0"/>
      <w:spacing w:line="280" w:lineRule="atLeast"/>
      <w:jc w:val="both"/>
    </w:pPr>
    <w:rPr>
      <w:rFonts w:ascii="Palatino Linotype" w:eastAsia="Times New Roman" w:hAnsi="Palatino Linotype"/>
      <w:color w:val="000000"/>
      <w:sz w:val="18"/>
      <w:lang w:eastAsia="de-DE" w:bidi="en-US"/>
      <w14:ligatures w14:val="standardContextual"/>
    </w:rPr>
  </w:style>
  <w:style w:type="paragraph" w:styleId="BalloonText">
    <w:name w:val="Balloon Text"/>
    <w:basedOn w:val="Normal"/>
    <w:link w:val="BalloonTextChar"/>
    <w:uiPriority w:val="99"/>
    <w:rsid w:val="00FE6943"/>
    <w:rPr>
      <w:rFonts w:cs="Tahoma"/>
      <w:szCs w:val="18"/>
    </w:rPr>
  </w:style>
  <w:style w:type="character" w:customStyle="1" w:styleId="BalloonTextChar">
    <w:name w:val="Balloon Text Char"/>
    <w:link w:val="BalloonText"/>
    <w:uiPriority w:val="99"/>
    <w:rsid w:val="00FE6943"/>
    <w:rPr>
      <w:rFonts w:ascii="Palatino Linotype" w:hAnsi="Palatino Linotype" w:cs="Tahoma"/>
      <w:noProof/>
      <w:color w:val="000000"/>
      <w:szCs w:val="18"/>
    </w:rPr>
  </w:style>
  <w:style w:type="character" w:styleId="LineNumber">
    <w:name w:val="line number"/>
    <w:uiPriority w:val="99"/>
    <w:rsid w:val="00F20DC0"/>
    <w:rPr>
      <w:rFonts w:ascii="Palatino Linotype" w:hAnsi="Palatino Linotype"/>
      <w:sz w:val="16"/>
    </w:rPr>
  </w:style>
  <w:style w:type="table" w:customStyle="1" w:styleId="MDPI41threelinetable">
    <w:name w:val="MDPI_4.1_three_line_table"/>
    <w:basedOn w:val="TableNormal"/>
    <w:uiPriority w:val="99"/>
    <w:rsid w:val="002F67E3"/>
    <w:pPr>
      <w:adjustRightInd w:val="0"/>
      <w:snapToGrid w:val="0"/>
      <w:spacing w:line="280" w:lineRule="atLeast"/>
      <w:jc w:val="center"/>
    </w:pPr>
    <w:rPr>
      <w:rFonts w:ascii="Palatino Linotype" w:eastAsiaTheme="minorEastAsia" w:hAnsi="Palatino Linotype"/>
      <w:color w:val="000000"/>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FE6943"/>
    <w:rPr>
      <w:color w:val="0000FF"/>
      <w:u w:val="single"/>
    </w:rPr>
  </w:style>
  <w:style w:type="character" w:styleId="UnresolvedMention">
    <w:name w:val="Unresolved Mention"/>
    <w:uiPriority w:val="99"/>
    <w:semiHidden/>
    <w:unhideWhenUsed/>
    <w:rsid w:val="0034278A"/>
    <w:rPr>
      <w:color w:val="605E5C"/>
      <w:shd w:val="clear" w:color="auto" w:fill="E1DFDD"/>
    </w:rPr>
  </w:style>
  <w:style w:type="table" w:styleId="TableGrid">
    <w:name w:val="Table Grid"/>
    <w:basedOn w:val="TableNormal"/>
    <w:uiPriority w:val="39"/>
    <w:rsid w:val="00FE6943"/>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2F67E3"/>
    <w:pPr>
      <w:adjustRightInd w:val="0"/>
      <w:snapToGrid w:val="0"/>
      <w:spacing w:after="120" w:line="240" w:lineRule="atLeast"/>
      <w:ind w:right="113"/>
    </w:pPr>
    <w:rPr>
      <w:rFonts w:ascii="Palatino Linotype" w:hAnsi="Palatino Linotype" w:cs="Cordia New"/>
      <w:sz w:val="14"/>
      <w:szCs w:val="22"/>
      <w14:ligatures w14:val="standardContextual"/>
    </w:rPr>
  </w:style>
  <w:style w:type="paragraph" w:customStyle="1" w:styleId="MDPI62backmatter">
    <w:name w:val="MDPI_6.2_back_matter"/>
    <w:qFormat/>
    <w:rsid w:val="002F67E3"/>
    <w:pPr>
      <w:adjustRightInd w:val="0"/>
      <w:snapToGrid w:val="0"/>
      <w:spacing w:after="120" w:line="280" w:lineRule="atLeast"/>
      <w:ind w:left="2608"/>
      <w:jc w:val="both"/>
    </w:pPr>
    <w:rPr>
      <w:rFonts w:ascii="Palatino Linotype" w:eastAsia="Times New Roman" w:hAnsi="Palatino Linotype"/>
      <w:snapToGrid w:val="0"/>
      <w:color w:val="000000"/>
      <w:sz w:val="18"/>
      <w:lang w:bidi="en-US"/>
      <w14:ligatures w14:val="standardContextual"/>
    </w:rPr>
  </w:style>
  <w:style w:type="paragraph" w:customStyle="1" w:styleId="MDPI63notes">
    <w:name w:val="MDPI_6.3_notes"/>
    <w:qFormat/>
    <w:rsid w:val="002F67E3"/>
    <w:pPr>
      <w:adjustRightInd w:val="0"/>
      <w:snapToGrid w:val="0"/>
      <w:spacing w:before="240" w:line="280" w:lineRule="atLeast"/>
      <w:jc w:val="both"/>
    </w:pPr>
    <w:rPr>
      <w:rFonts w:ascii="Palatino Linotype" w:hAnsi="Palatino Linotype"/>
      <w:snapToGrid w:val="0"/>
      <w:color w:val="000000"/>
      <w:sz w:val="18"/>
      <w:lang w:bidi="en-US"/>
      <w14:ligatures w14:val="standardContextual"/>
    </w:rPr>
  </w:style>
  <w:style w:type="paragraph" w:customStyle="1" w:styleId="MDPI15academiceditor">
    <w:name w:val="MDPI_1.5_academic_editor"/>
    <w:qFormat/>
    <w:rsid w:val="002F67E3"/>
    <w:pPr>
      <w:adjustRightInd w:val="0"/>
      <w:snapToGrid w:val="0"/>
      <w:spacing w:before="120" w:line="240" w:lineRule="atLeast"/>
      <w:ind w:right="113"/>
    </w:pPr>
    <w:rPr>
      <w:rFonts w:ascii="Palatino Linotype" w:eastAsia="Times New Roman" w:hAnsi="Palatino Linotype"/>
      <w:color w:val="000000"/>
      <w:sz w:val="14"/>
      <w:szCs w:val="22"/>
      <w:lang w:eastAsia="de-DE" w:bidi="en-US"/>
      <w14:ligatures w14:val="standardContextual"/>
    </w:rPr>
  </w:style>
  <w:style w:type="paragraph" w:customStyle="1" w:styleId="MDPI411onetablecaption">
    <w:name w:val="MDPI_4.1.1_one_table_caption"/>
    <w:qFormat/>
    <w:rsid w:val="002F67E3"/>
    <w:pPr>
      <w:adjustRightInd w:val="0"/>
      <w:snapToGrid w:val="0"/>
      <w:spacing w:before="240" w:after="120" w:line="280" w:lineRule="atLeast"/>
      <w:jc w:val="center"/>
    </w:pPr>
    <w:rPr>
      <w:rFonts w:ascii="Palatino Linotype" w:eastAsiaTheme="minorEastAsia" w:hAnsi="Palatino Linotype" w:cstheme="minorBidi"/>
      <w:noProof/>
      <w:color w:val="000000"/>
      <w:sz w:val="18"/>
      <w:szCs w:val="22"/>
      <w:lang w:bidi="en-US"/>
      <w14:ligatures w14:val="standardContextual"/>
    </w:rPr>
  </w:style>
  <w:style w:type="paragraph" w:customStyle="1" w:styleId="MDPI511onefigurecaption">
    <w:name w:val="MDPI_5.1.1_one_figure_caption"/>
    <w:qFormat/>
    <w:rsid w:val="002F67E3"/>
    <w:pPr>
      <w:adjustRightInd w:val="0"/>
      <w:snapToGrid w:val="0"/>
      <w:spacing w:before="240" w:after="120" w:line="280" w:lineRule="atLeast"/>
      <w:jc w:val="center"/>
    </w:pPr>
    <w:rPr>
      <w:rFonts w:ascii="Palatino Linotype" w:eastAsiaTheme="minorEastAsia" w:hAnsi="Palatino Linotype"/>
      <w:noProof/>
      <w:color w:val="000000"/>
      <w:sz w:val="18"/>
      <w:lang w:bidi="en-US"/>
      <w14:ligatures w14:val="standardContextual"/>
    </w:rPr>
  </w:style>
  <w:style w:type="paragraph" w:customStyle="1" w:styleId="MDPI72copyright">
    <w:name w:val="MDPI_7.2_copyright"/>
    <w:qFormat/>
    <w:rsid w:val="002F67E3"/>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2F67E3"/>
    <w:rPr>
      <w:rFonts w:ascii="Palatino Linotype" w:hAnsi="Palatino Linotype"/>
      <w:color w:val="000000" w:themeColor="text1"/>
      <w:lang w:val="en-CA"/>
      <w14:ligatures w14:val="standardContextual"/>
    </w:rPr>
    <w:tblPr>
      <w:tblCellMar>
        <w:left w:w="0" w:type="dxa"/>
        <w:right w:w="0" w:type="dxa"/>
      </w:tblCellMar>
    </w:tblPr>
  </w:style>
  <w:style w:type="character" w:customStyle="1" w:styleId="apple-converted-space">
    <w:name w:val="apple-converted-space"/>
    <w:rsid w:val="00FE6943"/>
  </w:style>
  <w:style w:type="paragraph" w:styleId="Bibliography">
    <w:name w:val="Bibliography"/>
    <w:basedOn w:val="Normal"/>
    <w:next w:val="Normal"/>
    <w:uiPriority w:val="37"/>
    <w:semiHidden/>
    <w:unhideWhenUsed/>
    <w:rsid w:val="00FE6943"/>
  </w:style>
  <w:style w:type="paragraph" w:styleId="BodyText">
    <w:name w:val="Body Text"/>
    <w:link w:val="BodyTextChar"/>
    <w:rsid w:val="00FE6943"/>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FE6943"/>
    <w:rPr>
      <w:rFonts w:ascii="Palatino Linotype" w:hAnsi="Palatino Linotype"/>
      <w:color w:val="000000"/>
      <w:sz w:val="24"/>
      <w:lang w:eastAsia="de-DE"/>
    </w:rPr>
  </w:style>
  <w:style w:type="character" w:styleId="CommentReference">
    <w:name w:val="annotation reference"/>
    <w:rsid w:val="00FE6943"/>
    <w:rPr>
      <w:sz w:val="21"/>
      <w:szCs w:val="21"/>
    </w:rPr>
  </w:style>
  <w:style w:type="paragraph" w:styleId="CommentText">
    <w:name w:val="annotation text"/>
    <w:basedOn w:val="Normal"/>
    <w:link w:val="CommentTextChar"/>
    <w:rsid w:val="00FE6943"/>
  </w:style>
  <w:style w:type="character" w:customStyle="1" w:styleId="CommentTextChar">
    <w:name w:val="Comment Text Char"/>
    <w:link w:val="CommentText"/>
    <w:rsid w:val="00FE6943"/>
    <w:rPr>
      <w:rFonts w:ascii="Palatino Linotype" w:hAnsi="Palatino Linotype"/>
      <w:noProof/>
      <w:color w:val="000000"/>
    </w:rPr>
  </w:style>
  <w:style w:type="paragraph" w:styleId="CommentSubject">
    <w:name w:val="annotation subject"/>
    <w:basedOn w:val="CommentText"/>
    <w:next w:val="CommentText"/>
    <w:link w:val="CommentSubjectChar"/>
    <w:rsid w:val="00FE6943"/>
    <w:rPr>
      <w:b/>
      <w:bCs/>
    </w:rPr>
  </w:style>
  <w:style w:type="character" w:customStyle="1" w:styleId="CommentSubjectChar">
    <w:name w:val="Comment Subject Char"/>
    <w:link w:val="CommentSubject"/>
    <w:rsid w:val="00FE6943"/>
    <w:rPr>
      <w:rFonts w:ascii="Palatino Linotype" w:hAnsi="Palatino Linotype"/>
      <w:b/>
      <w:bCs/>
      <w:noProof/>
      <w:color w:val="000000"/>
    </w:rPr>
  </w:style>
  <w:style w:type="character" w:styleId="EndnoteReference">
    <w:name w:val="endnote reference"/>
    <w:rsid w:val="00FE6943"/>
    <w:rPr>
      <w:vertAlign w:val="superscript"/>
    </w:rPr>
  </w:style>
  <w:style w:type="paragraph" w:styleId="EndnoteText">
    <w:name w:val="endnote text"/>
    <w:basedOn w:val="Normal"/>
    <w:link w:val="EndnoteTextChar"/>
    <w:semiHidden/>
    <w:unhideWhenUsed/>
    <w:rsid w:val="00FE6943"/>
    <w:pPr>
      <w:spacing w:line="240" w:lineRule="auto"/>
    </w:pPr>
  </w:style>
  <w:style w:type="character" w:customStyle="1" w:styleId="EndnoteTextChar">
    <w:name w:val="Endnote Text Char"/>
    <w:link w:val="EndnoteText"/>
    <w:semiHidden/>
    <w:rsid w:val="00FE6943"/>
    <w:rPr>
      <w:rFonts w:ascii="Palatino Linotype" w:hAnsi="Palatino Linotype"/>
      <w:noProof/>
      <w:color w:val="000000"/>
    </w:rPr>
  </w:style>
  <w:style w:type="character" w:styleId="FollowedHyperlink">
    <w:name w:val="FollowedHyperlink"/>
    <w:rsid w:val="00FE6943"/>
    <w:rPr>
      <w:color w:val="954F72"/>
      <w:u w:val="single"/>
    </w:rPr>
  </w:style>
  <w:style w:type="paragraph" w:styleId="FootnoteText">
    <w:name w:val="footnote text"/>
    <w:basedOn w:val="Normal"/>
    <w:link w:val="FootnoteTextChar"/>
    <w:semiHidden/>
    <w:unhideWhenUsed/>
    <w:rsid w:val="00FE6943"/>
    <w:pPr>
      <w:spacing w:line="240" w:lineRule="auto"/>
    </w:pPr>
  </w:style>
  <w:style w:type="character" w:customStyle="1" w:styleId="FootnoteTextChar">
    <w:name w:val="Footnote Text Char"/>
    <w:link w:val="FootnoteText"/>
    <w:semiHidden/>
    <w:rsid w:val="00FE6943"/>
    <w:rPr>
      <w:rFonts w:ascii="Palatino Linotype" w:hAnsi="Palatino Linotype"/>
      <w:noProof/>
      <w:color w:val="000000"/>
    </w:rPr>
  </w:style>
  <w:style w:type="paragraph" w:styleId="NormalWeb">
    <w:name w:val="Normal (Web)"/>
    <w:basedOn w:val="Normal"/>
    <w:uiPriority w:val="99"/>
    <w:rsid w:val="00FE6943"/>
    <w:rPr>
      <w:szCs w:val="24"/>
    </w:rPr>
  </w:style>
  <w:style w:type="paragraph" w:customStyle="1" w:styleId="MsoFootnoteText0">
    <w:name w:val="MsoFootnoteText"/>
    <w:basedOn w:val="NormalWeb"/>
    <w:qFormat/>
    <w:rsid w:val="00FE6943"/>
    <w:rPr>
      <w:rFonts w:ascii="Times New Roman" w:hAnsi="Times New Roman"/>
    </w:rPr>
  </w:style>
  <w:style w:type="character" w:styleId="PageNumber">
    <w:name w:val="page number"/>
    <w:rsid w:val="00FE6943"/>
  </w:style>
  <w:style w:type="character" w:styleId="PlaceholderText">
    <w:name w:val="Placeholder Text"/>
    <w:uiPriority w:val="99"/>
    <w:semiHidden/>
    <w:rsid w:val="00FE6943"/>
    <w:rPr>
      <w:color w:val="808080"/>
    </w:rPr>
  </w:style>
  <w:style w:type="paragraph" w:customStyle="1" w:styleId="MDPI71footnotes">
    <w:name w:val="MDPI_7.1_footnotes"/>
    <w:qFormat/>
    <w:rsid w:val="002F67E3"/>
    <w:pPr>
      <w:numPr>
        <w:numId w:val="33"/>
      </w:numPr>
      <w:adjustRightInd w:val="0"/>
      <w:snapToGrid w:val="0"/>
      <w:spacing w:line="280" w:lineRule="atLeast"/>
      <w:jc w:val="both"/>
    </w:pPr>
    <w:rPr>
      <w:rFonts w:ascii="Palatino Linotype" w:eastAsiaTheme="minorEastAsia" w:hAnsi="Palatino Linotype"/>
      <w:noProof/>
      <w:color w:val="000000"/>
      <w:sz w:val="18"/>
      <w14:ligatures w14:val="standardContextual"/>
    </w:rPr>
  </w:style>
  <w:style w:type="paragraph" w:styleId="ListParagraph">
    <w:name w:val="List Paragraph"/>
    <w:basedOn w:val="Normal"/>
    <w:uiPriority w:val="34"/>
    <w:qFormat/>
    <w:rsid w:val="00A160F0"/>
    <w:pPr>
      <w:spacing w:after="160" w:line="278" w:lineRule="auto"/>
      <w:ind w:left="720"/>
      <w:contextualSpacing/>
      <w:jc w:val="left"/>
    </w:pPr>
    <w:rPr>
      <w:rFonts w:asciiTheme="minorHAnsi" w:eastAsiaTheme="minorHAnsi" w:hAnsiTheme="minorHAnsi" w:cstheme="minorBidi"/>
      <w:noProof w:val="0"/>
      <w:color w:val="auto"/>
      <w:kern w:val="2"/>
      <w:sz w:val="24"/>
      <w:szCs w:val="24"/>
      <w:lang w:val="es-ES" w:eastAsia="en-US"/>
      <w14:ligatures w14:val="standardContextual"/>
    </w:rPr>
  </w:style>
  <w:style w:type="paragraph" w:styleId="Revision">
    <w:name w:val="Revision"/>
    <w:hidden/>
    <w:uiPriority w:val="99"/>
    <w:semiHidden/>
    <w:rsid w:val="00B42EB7"/>
    <w:rPr>
      <w:rFonts w:ascii="Palatino Linotype" w:hAnsi="Palatino Linotype"/>
      <w:noProof/>
      <w:color w:val="000000"/>
    </w:rPr>
  </w:style>
  <w:style w:type="character" w:customStyle="1" w:styleId="cf01">
    <w:name w:val="cf01"/>
    <w:basedOn w:val="DefaultParagraphFont"/>
    <w:rsid w:val="005A57D3"/>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iso-8859-6"/>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jcm-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jcm-template.dot</Template>
  <TotalTime>126</TotalTime>
  <Pages>20</Pages>
  <Words>9317</Words>
  <Characters>53108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9</cp:revision>
  <cp:lastPrinted>2025-07-08T08:10:00Z</cp:lastPrinted>
  <dcterms:created xsi:type="dcterms:W3CDTF">2025-07-08T03:53:00Z</dcterms:created>
  <dcterms:modified xsi:type="dcterms:W3CDTF">2025-07-08T08:29:00Z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ertyWordCount">
    <vt:i4>6388</vt:i4>
  </property>
  <property fmtid="{D5CDD505-2E9C-101B-9397-08002B2CF9AE}" pid="3" name="propertyVariant">
    <vt:lpwstr>English (US)</vt:lpwstr>
  </property>
  <property fmtid="{D5CDD505-2E9C-101B-9397-08002B2CF9AE}" pid="4" name="GrammarlyDocumentId">
    <vt:lpwstr>1a04ada4-a218-44a3-8702-c56830e54ca7</vt:lpwstr>
  </property>
  <property fmtid="{D5CDD505-2E9C-101B-9397-08002B2CF9AE}" pid="5" name="propertyStatus">
    <vt:lpwstr>Standard</vt:lpwstr>
  </property>
</Properties>
</file>