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A5A4" w14:textId="04A56861" w:rsidR="006A3A37" w:rsidRDefault="004E7E49" w:rsidP="00B17843">
      <w:pPr>
        <w:spacing w:after="100" w:afterAutospacing="1"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La comunicación oral en el proceso civil</w:t>
      </w:r>
    </w:p>
    <w:p w14:paraId="58A215DF" w14:textId="6A6D642E" w:rsidR="004E7E49" w:rsidRDefault="004E7E49" w:rsidP="00B17843">
      <w:pPr>
        <w:spacing w:after="100" w:afterAutospacing="1"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Antonio José Vélez Toro</w:t>
      </w:r>
    </w:p>
    <w:p w14:paraId="01A924FD" w14:textId="69228785" w:rsidR="004E7E49" w:rsidRPr="004842A1" w:rsidRDefault="004E7E49" w:rsidP="00B17843">
      <w:pPr>
        <w:spacing w:after="100" w:afterAutospacing="1"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Universidad de Granada</w:t>
      </w:r>
    </w:p>
    <w:p w14:paraId="6F97E492" w14:textId="2BD03043" w:rsidR="006A3A37" w:rsidRPr="00B17843" w:rsidRDefault="00B17843" w:rsidP="00B17843">
      <w:pPr>
        <w:spacing w:after="100" w:afterAutospacing="1" w:line="276" w:lineRule="auto"/>
        <w:rPr>
          <w:rFonts w:cs="Times New Roman"/>
        </w:rPr>
      </w:pPr>
      <w:r w:rsidRPr="00B17843">
        <w:rPr>
          <w:rFonts w:cs="Times New Roman"/>
        </w:rPr>
        <w:t>Sumario:</w:t>
      </w:r>
      <w:r w:rsidR="00072082">
        <w:rPr>
          <w:rFonts w:cs="Times New Roman"/>
        </w:rPr>
        <w:t xml:space="preserve"> </w:t>
      </w:r>
      <w:r w:rsidR="007A72E3">
        <w:rPr>
          <w:rFonts w:cs="Times New Roman"/>
        </w:rPr>
        <w:t xml:space="preserve">1. Introducción; 2. </w:t>
      </w:r>
      <w:r w:rsidR="00492236">
        <w:rPr>
          <w:rFonts w:cs="Times New Roman"/>
        </w:rPr>
        <w:t xml:space="preserve">Premisas; 3. Preparación de las vistas; 4. </w:t>
      </w:r>
      <w:r w:rsidR="00AA352A">
        <w:rPr>
          <w:rFonts w:cs="Times New Roman"/>
        </w:rPr>
        <w:t>La actuación o puesta en escena</w:t>
      </w:r>
      <w:r w:rsidR="00492236">
        <w:rPr>
          <w:rFonts w:cs="Times New Roman"/>
        </w:rPr>
        <w:t>; 5. Conclusiones</w:t>
      </w:r>
    </w:p>
    <w:p w14:paraId="7D41F2CE" w14:textId="77777777" w:rsidR="005B3DA2" w:rsidRDefault="005B3DA2" w:rsidP="00B17843">
      <w:pPr>
        <w:spacing w:after="100" w:afterAutospacing="1" w:line="276" w:lineRule="auto"/>
        <w:rPr>
          <w:rFonts w:cs="Times New Roman"/>
        </w:rPr>
      </w:pPr>
      <w:r>
        <w:rPr>
          <w:rFonts w:cs="Times New Roman"/>
        </w:rPr>
        <w:t>1. Introducción</w:t>
      </w:r>
    </w:p>
    <w:p w14:paraId="050573C2" w14:textId="20AF399D" w:rsidR="00EB0442" w:rsidRPr="004842A1" w:rsidRDefault="00AC3035" w:rsidP="00B17843">
      <w:pPr>
        <w:spacing w:after="100" w:afterAutospacing="1" w:line="276" w:lineRule="auto"/>
        <w:rPr>
          <w:rFonts w:cs="Times New Roman"/>
        </w:rPr>
      </w:pPr>
      <w:r w:rsidRPr="004842A1">
        <w:rPr>
          <w:rFonts w:cs="Times New Roman"/>
        </w:rPr>
        <w:t xml:space="preserve">El propósito de esta ponencia es reflexionar sobre los requisitos de la comunicación en el proceso civil, a partir de nuestra </w:t>
      </w:r>
      <w:r w:rsidR="00FD2C5E" w:rsidRPr="001A6794">
        <w:rPr>
          <w:rFonts w:cs="Times New Roman"/>
        </w:rPr>
        <w:t>experiencia</w:t>
      </w:r>
      <w:r w:rsidR="00FD2C5E" w:rsidRPr="004842A1">
        <w:rPr>
          <w:rFonts w:cs="Times New Roman"/>
        </w:rPr>
        <w:t xml:space="preserve"> </w:t>
      </w:r>
      <w:r w:rsidRPr="004842A1">
        <w:rPr>
          <w:rFonts w:cs="Times New Roman"/>
        </w:rPr>
        <w:t xml:space="preserve">en el ejercicio de la </w:t>
      </w:r>
      <w:r w:rsidRPr="001A6794">
        <w:rPr>
          <w:rFonts w:cs="Times New Roman"/>
        </w:rPr>
        <w:t>abogacía</w:t>
      </w:r>
      <w:r w:rsidRPr="004842A1">
        <w:rPr>
          <w:rFonts w:cs="Times New Roman"/>
        </w:rPr>
        <w:t xml:space="preserve"> d</w:t>
      </w:r>
      <w:r w:rsidR="00FD2C5E" w:rsidRPr="004842A1">
        <w:rPr>
          <w:rFonts w:cs="Times New Roman"/>
        </w:rPr>
        <w:t xml:space="preserve">urante más de veintitrés </w:t>
      </w:r>
      <w:r w:rsidR="007908A9" w:rsidRPr="004842A1">
        <w:rPr>
          <w:rFonts w:cs="Times New Roman"/>
        </w:rPr>
        <w:t>años, antes de incorporarnos a la docencia universitaria.</w:t>
      </w:r>
    </w:p>
    <w:p w14:paraId="0F99484E" w14:textId="21785B69" w:rsidR="00AD4457" w:rsidRPr="004842A1" w:rsidRDefault="00A42677" w:rsidP="00072082">
      <w:pPr>
        <w:spacing w:after="100" w:afterAutospacing="1" w:line="276" w:lineRule="auto"/>
        <w:rPr>
          <w:rFonts w:cs="Times New Roman"/>
        </w:rPr>
      </w:pPr>
      <w:r w:rsidRPr="004842A1">
        <w:rPr>
          <w:rFonts w:cs="Times New Roman"/>
        </w:rPr>
        <w:t xml:space="preserve">Obviamente, no pretendemos recitar los textos de </w:t>
      </w:r>
      <w:r w:rsidRPr="003B54F2">
        <w:rPr>
          <w:rFonts w:cs="Times New Roman"/>
        </w:rPr>
        <w:t>Aristóteles y de Cicerón</w:t>
      </w:r>
      <w:r w:rsidRPr="004842A1">
        <w:rPr>
          <w:rFonts w:cs="Times New Roman"/>
        </w:rPr>
        <w:t xml:space="preserve"> sobre la “retórica”</w:t>
      </w:r>
      <w:r w:rsidR="002320EE">
        <w:rPr>
          <w:rStyle w:val="Refdenotaalpie"/>
          <w:rFonts w:cs="Times New Roman"/>
        </w:rPr>
        <w:footnoteReference w:id="1"/>
      </w:r>
      <w:r w:rsidRPr="004842A1">
        <w:rPr>
          <w:rFonts w:cs="Times New Roman"/>
        </w:rPr>
        <w:t>, ya reiterados a lo largo de la historia</w:t>
      </w:r>
      <w:r w:rsidR="007C236C" w:rsidRPr="004842A1">
        <w:rPr>
          <w:rFonts w:cs="Times New Roman"/>
        </w:rPr>
        <w:t xml:space="preserve"> hasta la</w:t>
      </w:r>
      <w:r w:rsidR="000A656C" w:rsidRPr="004842A1">
        <w:rPr>
          <w:rFonts w:cs="Times New Roman"/>
        </w:rPr>
        <w:t>s recientes</w:t>
      </w:r>
      <w:r w:rsidR="007C236C" w:rsidRPr="004842A1">
        <w:rPr>
          <w:rFonts w:cs="Times New Roman"/>
        </w:rPr>
        <w:t xml:space="preserve"> obra</w:t>
      </w:r>
      <w:r w:rsidR="000A656C" w:rsidRPr="004842A1">
        <w:rPr>
          <w:rFonts w:cs="Times New Roman"/>
        </w:rPr>
        <w:t xml:space="preserve">s de </w:t>
      </w:r>
      <w:r w:rsidR="002310E3">
        <w:rPr>
          <w:rFonts w:cs="Times New Roman"/>
        </w:rPr>
        <w:t xml:space="preserve">Ángel </w:t>
      </w:r>
      <w:r w:rsidR="00B73EBE" w:rsidRPr="004842A1">
        <w:rPr>
          <w:rFonts w:cs="Times New Roman"/>
        </w:rPr>
        <w:t>O</w:t>
      </w:r>
      <w:r w:rsidR="00EE2562">
        <w:rPr>
          <w:rFonts w:cs="Times New Roman"/>
        </w:rPr>
        <w:t>ssorio</w:t>
      </w:r>
      <w:r w:rsidR="00C02B5A">
        <w:rPr>
          <w:rStyle w:val="Refdenotaalpie"/>
          <w:rFonts w:cs="Times New Roman"/>
        </w:rPr>
        <w:footnoteReference w:id="2"/>
      </w:r>
      <w:r w:rsidR="000A656C" w:rsidRPr="004842A1">
        <w:rPr>
          <w:rFonts w:cs="Times New Roman"/>
        </w:rPr>
        <w:t xml:space="preserve">, </w:t>
      </w:r>
      <w:r w:rsidR="00B73EBE" w:rsidRPr="004842A1">
        <w:rPr>
          <w:rFonts w:cs="Times New Roman"/>
        </w:rPr>
        <w:t>Piero C</w:t>
      </w:r>
      <w:r w:rsidR="00C02B5A">
        <w:rPr>
          <w:rFonts w:cs="Times New Roman"/>
        </w:rPr>
        <w:t>alamandrei</w:t>
      </w:r>
      <w:r w:rsidR="00C02B5A">
        <w:rPr>
          <w:rStyle w:val="Refdenotaalpie"/>
          <w:rFonts w:cs="Times New Roman"/>
        </w:rPr>
        <w:footnoteReference w:id="3"/>
      </w:r>
      <w:r w:rsidR="00B73EBE" w:rsidRPr="004842A1">
        <w:rPr>
          <w:rFonts w:cs="Times New Roman"/>
        </w:rPr>
        <w:t xml:space="preserve"> o la célebre</w:t>
      </w:r>
      <w:r w:rsidR="001C50E0">
        <w:rPr>
          <w:rFonts w:cs="Times New Roman"/>
        </w:rPr>
        <w:t xml:space="preserve"> de Arturo Majada</w:t>
      </w:r>
      <w:r w:rsidR="001C50E0">
        <w:rPr>
          <w:rStyle w:val="Refdenotaalpie"/>
          <w:rFonts w:cs="Times New Roman"/>
        </w:rPr>
        <w:footnoteReference w:id="4"/>
      </w:r>
      <w:r w:rsidR="00030D58" w:rsidRPr="004842A1">
        <w:rPr>
          <w:rFonts w:cs="Times New Roman"/>
        </w:rPr>
        <w:t>, por no aludir a las múltiples ediciones sobre comunicación, técnicas para hablar en público</w:t>
      </w:r>
      <w:r w:rsidR="0040468B" w:rsidRPr="004842A1">
        <w:rPr>
          <w:rFonts w:cs="Times New Roman"/>
        </w:rPr>
        <w:t>, algunas incluso dirigidas específicamente hacía la abogacía</w:t>
      </w:r>
      <w:r w:rsidR="00204D0A" w:rsidRPr="004842A1">
        <w:rPr>
          <w:rFonts w:cs="Times New Roman"/>
        </w:rPr>
        <w:t>, entre las que destaca C</w:t>
      </w:r>
      <w:r w:rsidR="005009DC" w:rsidRPr="004842A1">
        <w:rPr>
          <w:rFonts w:cs="Times New Roman"/>
        </w:rPr>
        <w:t>oncha</w:t>
      </w:r>
      <w:r w:rsidR="00204D0A" w:rsidRPr="004842A1">
        <w:rPr>
          <w:rFonts w:cs="Times New Roman"/>
        </w:rPr>
        <w:t xml:space="preserve"> </w:t>
      </w:r>
      <w:proofErr w:type="spellStart"/>
      <w:r w:rsidR="00204D0A" w:rsidRPr="004842A1">
        <w:rPr>
          <w:rFonts w:cs="Times New Roman"/>
        </w:rPr>
        <w:t>C</w:t>
      </w:r>
      <w:r w:rsidR="001217A7">
        <w:rPr>
          <w:rFonts w:cs="Times New Roman"/>
        </w:rPr>
        <w:t>alonje</w:t>
      </w:r>
      <w:proofErr w:type="spellEnd"/>
      <w:r w:rsidR="001217A7">
        <w:rPr>
          <w:rFonts w:cs="Times New Roman"/>
        </w:rPr>
        <w:t>, que constituye</w:t>
      </w:r>
      <w:r w:rsidR="00204D0A" w:rsidRPr="004842A1">
        <w:rPr>
          <w:rFonts w:cs="Times New Roman"/>
        </w:rPr>
        <w:t xml:space="preserve"> </w:t>
      </w:r>
      <w:r w:rsidR="00AD4457" w:rsidRPr="004842A1">
        <w:rPr>
          <w:rFonts w:cs="Times New Roman"/>
        </w:rPr>
        <w:t>un</w:t>
      </w:r>
      <w:r w:rsidR="00301025">
        <w:rPr>
          <w:rFonts w:cs="Times New Roman"/>
        </w:rPr>
        <w:t>a síntesis</w:t>
      </w:r>
      <w:r w:rsidR="00AD4457" w:rsidRPr="004842A1">
        <w:rPr>
          <w:rFonts w:cs="Times New Roman"/>
        </w:rPr>
        <w:t xml:space="preserve"> actualizad</w:t>
      </w:r>
      <w:r w:rsidR="00301025">
        <w:rPr>
          <w:rFonts w:cs="Times New Roman"/>
        </w:rPr>
        <w:t>a</w:t>
      </w:r>
      <w:r w:rsidR="00AD4457" w:rsidRPr="004842A1">
        <w:rPr>
          <w:rFonts w:cs="Times New Roman"/>
        </w:rPr>
        <w:t xml:space="preserve"> de </w:t>
      </w:r>
      <w:r w:rsidR="00AD4457" w:rsidRPr="00301025">
        <w:rPr>
          <w:rFonts w:cs="Times New Roman"/>
          <w:i/>
          <w:iCs/>
        </w:rPr>
        <w:t>La invención de la retórica</w:t>
      </w:r>
      <w:r w:rsidR="00AD4457" w:rsidRPr="004842A1">
        <w:rPr>
          <w:rFonts w:cs="Times New Roman"/>
        </w:rPr>
        <w:t xml:space="preserve"> de Cicerón</w:t>
      </w:r>
      <w:r w:rsidR="001217A7">
        <w:rPr>
          <w:rStyle w:val="Refdenotaalpie"/>
          <w:rFonts w:cs="Times New Roman"/>
        </w:rPr>
        <w:footnoteReference w:id="5"/>
      </w:r>
      <w:r w:rsidRPr="004842A1">
        <w:rPr>
          <w:rFonts w:cs="Times New Roman"/>
        </w:rPr>
        <w:t>.</w:t>
      </w:r>
      <w:r w:rsidR="00EB5186" w:rsidRPr="004842A1">
        <w:rPr>
          <w:rFonts w:cs="Times New Roman"/>
        </w:rPr>
        <w:t xml:space="preserve"> </w:t>
      </w:r>
    </w:p>
    <w:p w14:paraId="0E7C2F23" w14:textId="5FF004F2" w:rsidR="00A42677" w:rsidRDefault="00750D30" w:rsidP="00072082">
      <w:pPr>
        <w:spacing w:after="100" w:afterAutospacing="1" w:line="276" w:lineRule="auto"/>
        <w:rPr>
          <w:rFonts w:cs="Times New Roman"/>
        </w:rPr>
      </w:pPr>
      <w:r w:rsidRPr="004842A1">
        <w:rPr>
          <w:rFonts w:cs="Times New Roman"/>
        </w:rPr>
        <w:t xml:space="preserve">No </w:t>
      </w:r>
      <w:r w:rsidR="00E33B07" w:rsidRPr="004842A1">
        <w:rPr>
          <w:rFonts w:cs="Times New Roman"/>
        </w:rPr>
        <w:t>obstante,</w:t>
      </w:r>
      <w:r w:rsidR="00CC674C" w:rsidRPr="004842A1">
        <w:rPr>
          <w:rFonts w:cs="Times New Roman"/>
        </w:rPr>
        <w:t xml:space="preserve"> </w:t>
      </w:r>
      <w:r w:rsidR="00D04E8D" w:rsidRPr="004842A1">
        <w:rPr>
          <w:rFonts w:cs="Times New Roman"/>
        </w:rPr>
        <w:t xml:space="preserve">si </w:t>
      </w:r>
      <w:r w:rsidRPr="004842A1">
        <w:rPr>
          <w:rFonts w:cs="Times New Roman"/>
        </w:rPr>
        <w:t>me gustaría destacar</w:t>
      </w:r>
      <w:r w:rsidR="00A42677" w:rsidRPr="004842A1">
        <w:rPr>
          <w:rFonts w:cs="Times New Roman"/>
        </w:rPr>
        <w:t xml:space="preserve"> la</w:t>
      </w:r>
      <w:r w:rsidRPr="004842A1">
        <w:rPr>
          <w:rFonts w:cs="Times New Roman"/>
        </w:rPr>
        <w:t>s</w:t>
      </w:r>
      <w:r w:rsidR="00A42677" w:rsidRPr="004842A1">
        <w:rPr>
          <w:rFonts w:cs="Times New Roman"/>
        </w:rPr>
        <w:t xml:space="preserve"> aportaci</w:t>
      </w:r>
      <w:r w:rsidRPr="004842A1">
        <w:rPr>
          <w:rFonts w:cs="Times New Roman"/>
        </w:rPr>
        <w:t>ones</w:t>
      </w:r>
      <w:r w:rsidR="00A42677" w:rsidRPr="004842A1">
        <w:rPr>
          <w:rFonts w:cs="Times New Roman"/>
        </w:rPr>
        <w:t xml:space="preserve"> del logógrafo</w:t>
      </w:r>
      <w:r w:rsidR="00885DD2" w:rsidRPr="004842A1">
        <w:rPr>
          <w:rFonts w:cs="Times New Roman"/>
        </w:rPr>
        <w:t xml:space="preserve"> </w:t>
      </w:r>
      <w:r w:rsidR="005009DC" w:rsidRPr="004842A1">
        <w:rPr>
          <w:rFonts w:cs="Times New Roman"/>
        </w:rPr>
        <w:t>ático</w:t>
      </w:r>
      <w:r w:rsidR="00A42677" w:rsidRPr="004842A1">
        <w:rPr>
          <w:rFonts w:cs="Times New Roman"/>
        </w:rPr>
        <w:t xml:space="preserve"> </w:t>
      </w:r>
      <w:r w:rsidR="00A42677" w:rsidRPr="00D84312">
        <w:rPr>
          <w:rFonts w:cs="Times New Roman"/>
        </w:rPr>
        <w:t>Lisias</w:t>
      </w:r>
      <w:r w:rsidR="00D04E8D" w:rsidRPr="00D84312">
        <w:rPr>
          <w:rFonts w:cs="Times New Roman"/>
        </w:rPr>
        <w:t xml:space="preserve"> </w:t>
      </w:r>
      <w:r w:rsidR="00D04E8D" w:rsidRPr="004842A1">
        <w:rPr>
          <w:rFonts w:cs="Times New Roman"/>
        </w:rPr>
        <w:t>(</w:t>
      </w:r>
      <w:r w:rsidR="0037372A">
        <w:rPr>
          <w:rFonts w:cs="Times New Roman"/>
        </w:rPr>
        <w:t xml:space="preserve">Atenas, 458 – 380 a. C.), </w:t>
      </w:r>
      <w:r w:rsidR="00B969FC" w:rsidRPr="004842A1">
        <w:rPr>
          <w:rFonts w:cs="Times New Roman"/>
        </w:rPr>
        <w:t>cuyos discursos de defensa que redactaba por encargo nos ha llegado</w:t>
      </w:r>
      <w:r w:rsidR="00D84312">
        <w:rPr>
          <w:rStyle w:val="Refdenotaalpie"/>
          <w:rFonts w:cs="Times New Roman"/>
        </w:rPr>
        <w:footnoteReference w:id="6"/>
      </w:r>
      <w:r w:rsidR="00B969FC" w:rsidRPr="004842A1">
        <w:rPr>
          <w:rFonts w:cs="Times New Roman"/>
        </w:rPr>
        <w:t>. Dichos ra</w:t>
      </w:r>
      <w:r w:rsidR="00A42677" w:rsidRPr="004842A1">
        <w:rPr>
          <w:rFonts w:cs="Times New Roman"/>
        </w:rPr>
        <w:t>zonamientos</w:t>
      </w:r>
      <w:r w:rsidR="001F4718">
        <w:rPr>
          <w:rFonts w:cs="Times New Roman"/>
        </w:rPr>
        <w:t>,</w:t>
      </w:r>
      <w:r w:rsidR="00D74A13">
        <w:rPr>
          <w:rFonts w:cs="Times New Roman"/>
        </w:rPr>
        <w:t xml:space="preserve"> además de verificar el modelo procesal ático, </w:t>
      </w:r>
      <w:r w:rsidR="00A42677" w:rsidRPr="004842A1">
        <w:rPr>
          <w:rFonts w:cs="Times New Roman"/>
        </w:rPr>
        <w:t xml:space="preserve">nos </w:t>
      </w:r>
      <w:r w:rsidR="00C25FFE" w:rsidRPr="004842A1">
        <w:rPr>
          <w:rFonts w:cs="Times New Roman"/>
        </w:rPr>
        <w:t xml:space="preserve">han </w:t>
      </w:r>
      <w:r w:rsidR="00190530">
        <w:rPr>
          <w:rFonts w:cs="Times New Roman"/>
        </w:rPr>
        <w:t xml:space="preserve">permitido estudiar la puesta en escena de los elementos fundamentales del discurso: exordio, narración, demostración y </w:t>
      </w:r>
      <w:r w:rsidR="00050FBA">
        <w:rPr>
          <w:rFonts w:cs="Times New Roman"/>
        </w:rPr>
        <w:t xml:space="preserve">epílogo. </w:t>
      </w:r>
      <w:r w:rsidR="00DF5CFF">
        <w:rPr>
          <w:rFonts w:cs="Times New Roman"/>
        </w:rPr>
        <w:t>La brevedad</w:t>
      </w:r>
      <w:r w:rsidR="0082157E">
        <w:rPr>
          <w:rFonts w:cs="Times New Roman"/>
        </w:rPr>
        <w:t xml:space="preserve"> y claridad</w:t>
      </w:r>
      <w:r w:rsidR="00DF5CFF">
        <w:rPr>
          <w:rFonts w:cs="Times New Roman"/>
        </w:rPr>
        <w:t xml:space="preserve"> de los </w:t>
      </w:r>
      <w:r w:rsidR="001C5DB9">
        <w:rPr>
          <w:rFonts w:cs="Times New Roman"/>
        </w:rPr>
        <w:t xml:space="preserve">treinta </w:t>
      </w:r>
      <w:r w:rsidR="00DF5CFF">
        <w:rPr>
          <w:rFonts w:cs="Times New Roman"/>
        </w:rPr>
        <w:t xml:space="preserve">discursos </w:t>
      </w:r>
      <w:proofErr w:type="spellStart"/>
      <w:r w:rsidR="00DF5CFF">
        <w:rPr>
          <w:rFonts w:cs="Times New Roman"/>
        </w:rPr>
        <w:t>lis</w:t>
      </w:r>
      <w:r w:rsidR="00970308">
        <w:rPr>
          <w:rFonts w:cs="Times New Roman"/>
        </w:rPr>
        <w:t>í</w:t>
      </w:r>
      <w:r w:rsidR="00DF5CFF">
        <w:rPr>
          <w:rFonts w:cs="Times New Roman"/>
        </w:rPr>
        <w:t>acos</w:t>
      </w:r>
      <w:proofErr w:type="spellEnd"/>
      <w:r w:rsidR="00DF5CFF">
        <w:rPr>
          <w:rFonts w:cs="Times New Roman"/>
        </w:rPr>
        <w:t xml:space="preserve"> </w:t>
      </w:r>
      <w:r w:rsidR="001C5DB9">
        <w:rPr>
          <w:rFonts w:cs="Times New Roman"/>
        </w:rPr>
        <w:t>constituyen piezas únicas de la retórica jurídica.</w:t>
      </w:r>
      <w:r w:rsidR="005C0F16">
        <w:rPr>
          <w:rFonts w:cs="Times New Roman"/>
        </w:rPr>
        <w:t xml:space="preserve"> Incluso hemos llegado a utilizar </w:t>
      </w:r>
      <w:r w:rsidR="00A42677" w:rsidRPr="004842A1">
        <w:rPr>
          <w:rFonts w:cs="Times New Roman"/>
        </w:rPr>
        <w:t xml:space="preserve">el caso del allanamiento de morada </w:t>
      </w:r>
      <w:r w:rsidR="001A6794">
        <w:rPr>
          <w:rFonts w:cs="Times New Roman"/>
        </w:rPr>
        <w:t xml:space="preserve">como guía para las </w:t>
      </w:r>
      <w:r w:rsidR="00C25FFE" w:rsidRPr="004842A1">
        <w:rPr>
          <w:rFonts w:cs="Times New Roman"/>
        </w:rPr>
        <w:t xml:space="preserve">conclusiones de un proceso ordinario </w:t>
      </w:r>
      <w:r w:rsidR="001A6794">
        <w:rPr>
          <w:rFonts w:cs="Times New Roman"/>
        </w:rPr>
        <w:t xml:space="preserve">actual </w:t>
      </w:r>
      <w:r w:rsidR="00C25FFE" w:rsidRPr="004842A1">
        <w:rPr>
          <w:rFonts w:cs="Times New Roman"/>
        </w:rPr>
        <w:t xml:space="preserve">sobre </w:t>
      </w:r>
      <w:r w:rsidR="00A42677" w:rsidRPr="004842A1">
        <w:rPr>
          <w:rFonts w:cs="Times New Roman"/>
        </w:rPr>
        <w:t>inmisiones por ruidos.</w:t>
      </w:r>
    </w:p>
    <w:p w14:paraId="4FDAB24D" w14:textId="77777777" w:rsidR="005B3DA2" w:rsidRPr="00431B9B" w:rsidRDefault="005B3DA2" w:rsidP="00B17843">
      <w:pPr>
        <w:spacing w:after="100" w:afterAutospacing="1" w:line="276" w:lineRule="auto"/>
        <w:rPr>
          <w:rFonts w:cs="Times New Roman"/>
        </w:rPr>
      </w:pPr>
      <w:r w:rsidRPr="00431B9B">
        <w:rPr>
          <w:rFonts w:cs="Times New Roman"/>
        </w:rPr>
        <w:t>2. Premisas</w:t>
      </w:r>
    </w:p>
    <w:p w14:paraId="53581374" w14:textId="2C5EE9C9" w:rsidR="001212E6" w:rsidRDefault="00602445" w:rsidP="00B17843">
      <w:pPr>
        <w:spacing w:after="100" w:afterAutospacing="1" w:line="276" w:lineRule="auto"/>
        <w:rPr>
          <w:rFonts w:cs="Times New Roman"/>
        </w:rPr>
      </w:pPr>
      <w:r>
        <w:rPr>
          <w:rFonts w:cs="Times New Roman"/>
        </w:rPr>
        <w:t>-</w:t>
      </w:r>
      <w:r w:rsidR="007908A9" w:rsidRPr="004842A1">
        <w:rPr>
          <w:rFonts w:cs="Times New Roman"/>
        </w:rPr>
        <w:t xml:space="preserve">La primera premisa para saber </w:t>
      </w:r>
      <w:r w:rsidR="00EC4F49" w:rsidRPr="004842A1">
        <w:rPr>
          <w:rFonts w:cs="Times New Roman"/>
        </w:rPr>
        <w:t xml:space="preserve">comunicar </w:t>
      </w:r>
      <w:r w:rsidR="007908A9" w:rsidRPr="004842A1">
        <w:rPr>
          <w:rFonts w:cs="Times New Roman"/>
        </w:rPr>
        <w:t xml:space="preserve">es </w:t>
      </w:r>
      <w:r w:rsidR="00207D12" w:rsidRPr="004842A1">
        <w:rPr>
          <w:rFonts w:cs="Times New Roman"/>
        </w:rPr>
        <w:t xml:space="preserve">tener </w:t>
      </w:r>
      <w:r w:rsidR="00EB0442" w:rsidRPr="004842A1">
        <w:rPr>
          <w:rFonts w:cs="Times New Roman"/>
        </w:rPr>
        <w:t xml:space="preserve">un previo </w:t>
      </w:r>
      <w:r w:rsidR="00207D12" w:rsidRPr="00300F1E">
        <w:rPr>
          <w:rFonts w:cs="Times New Roman"/>
        </w:rPr>
        <w:t>hábito de lectura</w:t>
      </w:r>
      <w:r w:rsidR="00EB0442" w:rsidRPr="00970308">
        <w:rPr>
          <w:rFonts w:cs="Times New Roman"/>
        </w:rPr>
        <w:t xml:space="preserve"> y de escritura</w:t>
      </w:r>
      <w:r w:rsidR="00EB0442" w:rsidRPr="004842A1">
        <w:rPr>
          <w:rFonts w:cs="Times New Roman"/>
        </w:rPr>
        <w:t>, ya que solo quien domina el lenguaje escrito puede expresarse correctamente de modo oral</w:t>
      </w:r>
      <w:r w:rsidR="007908A9" w:rsidRPr="004842A1">
        <w:rPr>
          <w:rFonts w:cs="Times New Roman"/>
        </w:rPr>
        <w:t xml:space="preserve"> y viceversa.</w:t>
      </w:r>
      <w:r w:rsidR="002C69D9">
        <w:rPr>
          <w:rFonts w:cs="Times New Roman"/>
        </w:rPr>
        <w:t xml:space="preserve"> Aunque se nos insista en que para hablar en público se aprende </w:t>
      </w:r>
      <w:r w:rsidR="002C69D9">
        <w:rPr>
          <w:rFonts w:cs="Times New Roman"/>
        </w:rPr>
        <w:lastRenderedPageBreak/>
        <w:t>practicando</w:t>
      </w:r>
      <w:r w:rsidR="002C69D9">
        <w:rPr>
          <w:rStyle w:val="Refdenotaalpie"/>
          <w:rFonts w:cs="Times New Roman"/>
        </w:rPr>
        <w:footnoteReference w:id="7"/>
      </w:r>
      <w:r w:rsidR="002C69D9">
        <w:rPr>
          <w:rFonts w:cs="Times New Roman"/>
        </w:rPr>
        <w:t>, lo cierto es que para adquirir un dominio del lenguaje oral es preciso haber leído mucho.</w:t>
      </w:r>
      <w:r w:rsidR="0017700D">
        <w:rPr>
          <w:rFonts w:cs="Times New Roman"/>
        </w:rPr>
        <w:t xml:space="preserve"> En otras palabras, por mucho que hablemos en público, si contamos con un lenguaje </w:t>
      </w:r>
      <w:r w:rsidR="0018108F">
        <w:rPr>
          <w:rFonts w:cs="Times New Roman"/>
        </w:rPr>
        <w:t>de escasa entidad</w:t>
      </w:r>
      <w:r w:rsidR="001212E6">
        <w:rPr>
          <w:rFonts w:cs="Times New Roman"/>
        </w:rPr>
        <w:t>.</w:t>
      </w:r>
    </w:p>
    <w:p w14:paraId="3DC61340" w14:textId="77777777" w:rsidR="0092498E" w:rsidRDefault="001212E6" w:rsidP="00B17843">
      <w:pPr>
        <w:spacing w:after="100" w:afterAutospacing="1" w:line="276" w:lineRule="auto"/>
        <w:rPr>
          <w:rFonts w:cs="Times New Roman"/>
        </w:rPr>
      </w:pPr>
      <w:r>
        <w:rPr>
          <w:rFonts w:cs="Times New Roman"/>
        </w:rPr>
        <w:t xml:space="preserve">La falta de lectura </w:t>
      </w:r>
      <w:r w:rsidR="0092498E">
        <w:rPr>
          <w:rFonts w:cs="Times New Roman"/>
        </w:rPr>
        <w:t>dificultará la capacidad para</w:t>
      </w:r>
      <w:r w:rsidR="0018108F">
        <w:rPr>
          <w:rFonts w:cs="Times New Roman"/>
        </w:rPr>
        <w:t xml:space="preserve"> desarrollar argumentos precisos y brillantes, pues carecemos de las palabras exactas para ello, desconocemos su significado y no tenemos las palabras necesarias para </w:t>
      </w:r>
      <w:r w:rsidR="00BC3AE2">
        <w:rPr>
          <w:rFonts w:cs="Times New Roman"/>
        </w:rPr>
        <w:t xml:space="preserve">describir los hechos de modo ordenado y preciso y, menos aún, para </w:t>
      </w:r>
      <w:r w:rsidR="00B950E1">
        <w:rPr>
          <w:rFonts w:cs="Times New Roman"/>
        </w:rPr>
        <w:t xml:space="preserve">expresar de modo ordenado </w:t>
      </w:r>
      <w:r w:rsidR="00BC3AE2">
        <w:rPr>
          <w:rFonts w:cs="Times New Roman"/>
        </w:rPr>
        <w:t xml:space="preserve">los términos y argumentos jurídicos </w:t>
      </w:r>
      <w:r w:rsidR="00B950E1">
        <w:rPr>
          <w:rFonts w:cs="Times New Roman"/>
        </w:rPr>
        <w:t>que consideramos aplicables</w:t>
      </w:r>
      <w:r w:rsidR="0018108F">
        <w:rPr>
          <w:rFonts w:cs="Times New Roman"/>
        </w:rPr>
        <w:t>.</w:t>
      </w:r>
      <w:r w:rsidR="00B950E1">
        <w:rPr>
          <w:rFonts w:cs="Times New Roman"/>
        </w:rPr>
        <w:t xml:space="preserve"> </w:t>
      </w:r>
    </w:p>
    <w:p w14:paraId="68DB673D" w14:textId="2089B46D" w:rsidR="00207D12" w:rsidRDefault="0092498E" w:rsidP="00B17843">
      <w:pPr>
        <w:spacing w:after="100" w:afterAutospacing="1" w:line="276" w:lineRule="auto"/>
        <w:rPr>
          <w:rFonts w:cs="Times New Roman"/>
        </w:rPr>
      </w:pPr>
      <w:r>
        <w:rPr>
          <w:rFonts w:cs="Times New Roman"/>
        </w:rPr>
        <w:t>En definitiva, qu</w:t>
      </w:r>
      <w:r w:rsidR="00572F1B">
        <w:rPr>
          <w:rFonts w:cs="Times New Roman"/>
        </w:rPr>
        <w:t>ien carece de lecturas denota la tendencia a r</w:t>
      </w:r>
      <w:r w:rsidR="00B950E1">
        <w:rPr>
          <w:rFonts w:cs="Times New Roman"/>
        </w:rPr>
        <w:t xml:space="preserve">epetir </w:t>
      </w:r>
      <w:r w:rsidR="00572F1B">
        <w:rPr>
          <w:rFonts w:cs="Times New Roman"/>
        </w:rPr>
        <w:t xml:space="preserve">las </w:t>
      </w:r>
      <w:r w:rsidR="00B950E1">
        <w:rPr>
          <w:rFonts w:cs="Times New Roman"/>
        </w:rPr>
        <w:t xml:space="preserve">mismas palabras </w:t>
      </w:r>
      <w:r w:rsidR="00572F1B">
        <w:rPr>
          <w:rFonts w:cs="Times New Roman"/>
        </w:rPr>
        <w:t>durante las diversas intervenciones</w:t>
      </w:r>
      <w:r w:rsidR="001212E6">
        <w:rPr>
          <w:rFonts w:cs="Times New Roman"/>
        </w:rPr>
        <w:t xml:space="preserve">, lo que </w:t>
      </w:r>
      <w:r w:rsidR="00B950E1">
        <w:rPr>
          <w:rFonts w:cs="Times New Roman"/>
        </w:rPr>
        <w:t>hace perder interés al tribunal</w:t>
      </w:r>
      <w:r w:rsidR="00572F1B">
        <w:rPr>
          <w:rFonts w:cs="Times New Roman"/>
        </w:rPr>
        <w:t>, amén de resultar tosco.</w:t>
      </w:r>
    </w:p>
    <w:p w14:paraId="0EAA7ED2" w14:textId="5C561065" w:rsidR="007716DC" w:rsidRPr="004842A1" w:rsidRDefault="00602445" w:rsidP="007716DC">
      <w:pPr>
        <w:spacing w:after="100" w:afterAutospacing="1" w:line="276" w:lineRule="auto"/>
        <w:rPr>
          <w:rFonts w:cs="Times New Roman"/>
        </w:rPr>
      </w:pPr>
      <w:r>
        <w:rPr>
          <w:rFonts w:cs="Times New Roman"/>
        </w:rPr>
        <w:t>-</w:t>
      </w:r>
      <w:r w:rsidR="0002580F" w:rsidRPr="004842A1">
        <w:rPr>
          <w:rFonts w:cs="Times New Roman"/>
        </w:rPr>
        <w:t xml:space="preserve">Como es lógico, es imprescindible </w:t>
      </w:r>
      <w:r w:rsidR="0002580F" w:rsidRPr="00E51A2D">
        <w:rPr>
          <w:rFonts w:cs="Times New Roman"/>
        </w:rPr>
        <w:t>dominar la materia objeto de litigio</w:t>
      </w:r>
      <w:r w:rsidR="0002580F" w:rsidRPr="004842A1">
        <w:rPr>
          <w:rFonts w:cs="Times New Roman"/>
        </w:rPr>
        <w:t>, tanto en la vertiente del derecho sustantivo, como del material fáctico.</w:t>
      </w:r>
      <w:r w:rsidR="00995359">
        <w:rPr>
          <w:rFonts w:cs="Times New Roman"/>
        </w:rPr>
        <w:t xml:space="preserve"> </w:t>
      </w:r>
      <w:r w:rsidR="007716DC">
        <w:rPr>
          <w:rFonts w:cs="Times New Roman"/>
        </w:rPr>
        <w:t>Debemos conocer los hechos, para lo que resulta capital conocer los intervinientes y los lugares, así como todas las circunstancias.</w:t>
      </w:r>
    </w:p>
    <w:p w14:paraId="41774EDA" w14:textId="4F446A2F" w:rsidR="00602445" w:rsidRDefault="00602445" w:rsidP="0002580F">
      <w:pPr>
        <w:spacing w:after="100" w:afterAutospacing="1" w:line="276" w:lineRule="auto"/>
        <w:rPr>
          <w:rFonts w:cs="Times New Roman"/>
        </w:rPr>
      </w:pPr>
      <w:r>
        <w:rPr>
          <w:rFonts w:cs="Times New Roman"/>
        </w:rPr>
        <w:t>Aunque parezca absurdo, resulta de gran interés visitar el lugar en el que se desarrollaron los hechos o sobre los que versa la disputa</w:t>
      </w:r>
      <w:r w:rsidR="00203211">
        <w:rPr>
          <w:rFonts w:cs="Times New Roman"/>
        </w:rPr>
        <w:t>, pues solo situándonos en el lugar captamos todos los elementos que nos pueden ayudar a comprender mejor la controversia y su contexto y, consecuentemente, nos permitirá ilustrarnos mejor de cara a la preparación y argumentación.</w:t>
      </w:r>
    </w:p>
    <w:p w14:paraId="4A96A07E" w14:textId="0596C43F" w:rsidR="00EA5546" w:rsidRDefault="00EA5546" w:rsidP="00EA5546">
      <w:pPr>
        <w:spacing w:after="100" w:afterAutospacing="1" w:line="276" w:lineRule="auto"/>
        <w:rPr>
          <w:rFonts w:cs="Times New Roman"/>
        </w:rPr>
      </w:pPr>
      <w:r w:rsidRPr="004842A1">
        <w:rPr>
          <w:rFonts w:cs="Times New Roman"/>
        </w:rPr>
        <w:t>Debemos realizar un esfuerzo por “saber el no derecho”</w:t>
      </w:r>
      <w:r w:rsidR="00995359">
        <w:rPr>
          <w:rFonts w:cs="Times New Roman"/>
        </w:rPr>
        <w:t xml:space="preserve">. Para lo que debemos </w:t>
      </w:r>
      <w:r w:rsidR="008137B1">
        <w:rPr>
          <w:rFonts w:cs="Times New Roman"/>
        </w:rPr>
        <w:t>ampliar nuestros conocimientos técnicos más allá de lo jurídico. E</w:t>
      </w:r>
      <w:r w:rsidRPr="004842A1">
        <w:rPr>
          <w:rFonts w:cs="Times New Roman"/>
        </w:rPr>
        <w:t xml:space="preserve">n otras palabras, hay que dominar la materia objeto de litigio. </w:t>
      </w:r>
      <w:r w:rsidR="008137B1">
        <w:rPr>
          <w:rFonts w:cs="Times New Roman"/>
        </w:rPr>
        <w:t xml:space="preserve">En este sentido, </w:t>
      </w:r>
      <w:r w:rsidRPr="004842A1">
        <w:rPr>
          <w:rFonts w:cs="Times New Roman"/>
        </w:rPr>
        <w:t>no se trata de ser arquitecto para hacer una reclamación por daños edificatorios, pero si tener un amplio conocimiento sobre las técnicas, materiales y desarrollo del proceso constructivo</w:t>
      </w:r>
      <w:r w:rsidR="00995359">
        <w:rPr>
          <w:rFonts w:cs="Times New Roman"/>
        </w:rPr>
        <w:t xml:space="preserve">. De igual modo, </w:t>
      </w:r>
      <w:r w:rsidRPr="004842A1">
        <w:rPr>
          <w:rFonts w:cs="Times New Roman"/>
        </w:rPr>
        <w:t>no es preciso ser médico para realizar una reclamación por negligencia médica, pero debemos tener más que un cierto conocimiento sobre el objeto del litigio.</w:t>
      </w:r>
    </w:p>
    <w:p w14:paraId="03F357B1" w14:textId="1332C5F3" w:rsidR="008137B1" w:rsidRDefault="008137B1" w:rsidP="00EA5546">
      <w:pPr>
        <w:spacing w:after="100" w:afterAutospacing="1" w:line="276" w:lineRule="auto"/>
        <w:rPr>
          <w:rFonts w:cs="Times New Roman"/>
        </w:rPr>
      </w:pPr>
      <w:r>
        <w:rPr>
          <w:rFonts w:cs="Times New Roman"/>
        </w:rPr>
        <w:t xml:space="preserve">Esta invitación constituye una invitación a establecer un diálogo con los peritos que nos permita aumentar nuestra cultura en relación al campo en el que son especialistas. No se trata de saber tanto o más que un médico o un arquitecto, pero si tener unas nociones lo más amplias sobre </w:t>
      </w:r>
      <w:r w:rsidR="0041403C">
        <w:rPr>
          <w:rFonts w:cs="Times New Roman"/>
        </w:rPr>
        <w:t>las cuestiones técnicas implicadas en el caso concreto.</w:t>
      </w:r>
    </w:p>
    <w:p w14:paraId="42A56F5F" w14:textId="1923FE1B" w:rsidR="0002580F" w:rsidRPr="004842A1" w:rsidRDefault="00602445" w:rsidP="0002580F">
      <w:pPr>
        <w:spacing w:after="100" w:afterAutospacing="1" w:line="276" w:lineRule="auto"/>
        <w:rPr>
          <w:rFonts w:cs="Times New Roman"/>
        </w:rPr>
      </w:pPr>
      <w:r>
        <w:rPr>
          <w:rFonts w:cs="Times New Roman"/>
        </w:rPr>
        <w:t>-</w:t>
      </w:r>
      <w:r w:rsidR="0002580F" w:rsidRPr="004842A1">
        <w:rPr>
          <w:rFonts w:cs="Times New Roman"/>
        </w:rPr>
        <w:t xml:space="preserve">En relación al </w:t>
      </w:r>
      <w:r w:rsidR="0002580F" w:rsidRPr="00E51A2D">
        <w:rPr>
          <w:rFonts w:cs="Times New Roman"/>
        </w:rPr>
        <w:t>derecho aplicable</w:t>
      </w:r>
      <w:r w:rsidR="0002580F" w:rsidRPr="004842A1">
        <w:rPr>
          <w:rFonts w:cs="Times New Roman"/>
        </w:rPr>
        <w:t xml:space="preserve">, y por obvio que pueda parecer, hay que subrayar que solo se debe ir a juicio si contamos con razones jurídicas para ello. </w:t>
      </w:r>
    </w:p>
    <w:p w14:paraId="16817C51" w14:textId="77777777" w:rsidR="003D1167" w:rsidRDefault="0002580F" w:rsidP="0002580F">
      <w:pPr>
        <w:spacing w:after="100" w:afterAutospacing="1" w:line="276" w:lineRule="auto"/>
        <w:rPr>
          <w:rFonts w:cs="Times New Roman"/>
        </w:rPr>
      </w:pPr>
      <w:r w:rsidRPr="004842A1">
        <w:rPr>
          <w:rFonts w:cs="Times New Roman"/>
        </w:rPr>
        <w:lastRenderedPageBreak/>
        <w:t xml:space="preserve">Un insuficiente conocimiento del derecho aplicable va a restar fuerza </w:t>
      </w:r>
      <w:r>
        <w:rPr>
          <w:rFonts w:cs="Times New Roman"/>
        </w:rPr>
        <w:t xml:space="preserve">a </w:t>
      </w:r>
      <w:r w:rsidRPr="004842A1">
        <w:rPr>
          <w:rFonts w:cs="Times New Roman"/>
        </w:rPr>
        <w:t xml:space="preserve">toda </w:t>
      </w:r>
      <w:r>
        <w:rPr>
          <w:rFonts w:cs="Times New Roman"/>
        </w:rPr>
        <w:t xml:space="preserve">la </w:t>
      </w:r>
      <w:r w:rsidRPr="004842A1">
        <w:rPr>
          <w:rFonts w:cs="Times New Roman"/>
        </w:rPr>
        <w:t>exposición oral, generará inseguridad y, con facilidad dará la victoria a la parte contraria.</w:t>
      </w:r>
    </w:p>
    <w:p w14:paraId="5FAE7231" w14:textId="1DAC5275" w:rsidR="0002580F" w:rsidRPr="004842A1" w:rsidRDefault="00503866" w:rsidP="0002580F">
      <w:pPr>
        <w:spacing w:after="100" w:afterAutospacing="1" w:line="276" w:lineRule="auto"/>
        <w:rPr>
          <w:rFonts w:cs="Times New Roman"/>
        </w:rPr>
      </w:pPr>
      <w:r>
        <w:rPr>
          <w:rFonts w:cs="Times New Roman"/>
        </w:rPr>
        <w:t>-</w:t>
      </w:r>
      <w:r w:rsidR="003D1167">
        <w:rPr>
          <w:rFonts w:cs="Times New Roman"/>
        </w:rPr>
        <w:t xml:space="preserve">Por último, resulta imprescindible </w:t>
      </w:r>
      <w:r w:rsidR="003D1167" w:rsidRPr="00E51A2D">
        <w:rPr>
          <w:rFonts w:cs="Times New Roman"/>
        </w:rPr>
        <w:t>saber argumentar</w:t>
      </w:r>
      <w:r w:rsidR="003D1167">
        <w:rPr>
          <w:rFonts w:cs="Times New Roman"/>
        </w:rPr>
        <w:t>. No basta saber hablar</w:t>
      </w:r>
      <w:r w:rsidR="0041403C">
        <w:rPr>
          <w:rFonts w:cs="Times New Roman"/>
        </w:rPr>
        <w:t>.</w:t>
      </w:r>
      <w:r w:rsidR="0002580F" w:rsidRPr="004842A1">
        <w:rPr>
          <w:rFonts w:cs="Times New Roman"/>
        </w:rPr>
        <w:t xml:space="preserve"> </w:t>
      </w:r>
      <w:r w:rsidR="0041403C">
        <w:rPr>
          <w:rFonts w:cs="Times New Roman"/>
        </w:rPr>
        <w:t>Pero para poder comunicar correctamente consideramos que resulta necesario saber argumentar</w:t>
      </w:r>
      <w:r w:rsidR="0041403C">
        <w:rPr>
          <w:rStyle w:val="Refdenotaalpie"/>
          <w:rFonts w:cs="Times New Roman"/>
        </w:rPr>
        <w:footnoteReference w:id="8"/>
      </w:r>
      <w:r w:rsidR="0041403C">
        <w:rPr>
          <w:rFonts w:cs="Times New Roman"/>
        </w:rPr>
        <w:t>, lo que significa atacar y defender, ordenando y articulando las razones sobre los diversos elementos fácticos y jurídicos a nuestro favor, y refutando los contrarios</w:t>
      </w:r>
      <w:r w:rsidR="00E07B9A">
        <w:rPr>
          <w:rStyle w:val="Refdenotaalpie"/>
          <w:rFonts w:cs="Times New Roman"/>
        </w:rPr>
        <w:footnoteReference w:id="9"/>
      </w:r>
      <w:r w:rsidR="0041403C">
        <w:rPr>
          <w:rFonts w:cs="Times New Roman"/>
        </w:rPr>
        <w:t>.</w:t>
      </w:r>
    </w:p>
    <w:p w14:paraId="66A4D76A" w14:textId="7138131F" w:rsidR="00072D82" w:rsidRPr="004842A1" w:rsidRDefault="00072D82" w:rsidP="00B17843">
      <w:pPr>
        <w:spacing w:after="100" w:afterAutospacing="1" w:line="276" w:lineRule="auto"/>
        <w:rPr>
          <w:rFonts w:cs="Times New Roman"/>
        </w:rPr>
      </w:pPr>
      <w:r w:rsidRPr="0002580F">
        <w:rPr>
          <w:rFonts w:cs="Times New Roman"/>
        </w:rPr>
        <w:t>3. Preparación de las vistas</w:t>
      </w:r>
    </w:p>
    <w:p w14:paraId="6C7293F0" w14:textId="77777777" w:rsidR="00E83DBB" w:rsidRPr="004842A1" w:rsidRDefault="007908A9" w:rsidP="00B17843">
      <w:pPr>
        <w:spacing w:after="100" w:afterAutospacing="1" w:line="276" w:lineRule="auto"/>
        <w:rPr>
          <w:rFonts w:cs="Times New Roman"/>
        </w:rPr>
      </w:pPr>
      <w:r w:rsidRPr="004842A1">
        <w:rPr>
          <w:rFonts w:cs="Times New Roman"/>
        </w:rPr>
        <w:t xml:space="preserve">Así mismo, hay que conocer perfectamente </w:t>
      </w:r>
      <w:r w:rsidR="00EE1A6C" w:rsidRPr="004842A1">
        <w:rPr>
          <w:rFonts w:cs="Times New Roman"/>
        </w:rPr>
        <w:t xml:space="preserve">el </w:t>
      </w:r>
      <w:r w:rsidR="00EE1A6C" w:rsidRPr="00E51A2D">
        <w:rPr>
          <w:rFonts w:cs="Times New Roman"/>
        </w:rPr>
        <w:t>material probatorio</w:t>
      </w:r>
      <w:r w:rsidR="00EE1A6C" w:rsidRPr="004842A1">
        <w:rPr>
          <w:rFonts w:cs="Times New Roman"/>
        </w:rPr>
        <w:t xml:space="preserve"> para evitar sorpresas</w:t>
      </w:r>
      <w:r w:rsidRPr="004842A1">
        <w:rPr>
          <w:rFonts w:cs="Times New Roman"/>
        </w:rPr>
        <w:t xml:space="preserve"> y, en consecuencia, s</w:t>
      </w:r>
      <w:r w:rsidR="00EE1A6C" w:rsidRPr="004842A1">
        <w:rPr>
          <w:rFonts w:cs="Times New Roman"/>
        </w:rPr>
        <w:t xml:space="preserve">i no se tiene seguridad </w:t>
      </w:r>
      <w:r w:rsidRPr="004842A1">
        <w:rPr>
          <w:rFonts w:cs="Times New Roman"/>
        </w:rPr>
        <w:t xml:space="preserve">de una prueba se </w:t>
      </w:r>
      <w:r w:rsidR="00EE1A6C" w:rsidRPr="004842A1">
        <w:rPr>
          <w:rFonts w:cs="Times New Roman"/>
        </w:rPr>
        <w:t>evitar</w:t>
      </w:r>
      <w:r w:rsidRPr="004842A1">
        <w:rPr>
          <w:rFonts w:cs="Times New Roman"/>
        </w:rPr>
        <w:t>á</w:t>
      </w:r>
      <w:r w:rsidR="00EE1A6C" w:rsidRPr="004842A1">
        <w:rPr>
          <w:rFonts w:cs="Times New Roman"/>
        </w:rPr>
        <w:t xml:space="preserve"> su proposición. </w:t>
      </w:r>
    </w:p>
    <w:p w14:paraId="29E2CF33" w14:textId="02A2491D" w:rsidR="00EE1A6C" w:rsidRPr="004842A1" w:rsidRDefault="00EE1A6C" w:rsidP="00B17843">
      <w:pPr>
        <w:spacing w:after="100" w:afterAutospacing="1" w:line="276" w:lineRule="auto"/>
        <w:rPr>
          <w:rFonts w:cs="Times New Roman"/>
        </w:rPr>
      </w:pPr>
      <w:r w:rsidRPr="004842A1">
        <w:rPr>
          <w:rFonts w:cs="Times New Roman"/>
        </w:rPr>
        <w:t xml:space="preserve">Ello requiere la </w:t>
      </w:r>
      <w:r w:rsidRPr="00E51A2D">
        <w:rPr>
          <w:rFonts w:cs="Times New Roman"/>
        </w:rPr>
        <w:t>previa preparación de las partes, testigos y peritos</w:t>
      </w:r>
      <w:r w:rsidRPr="004842A1">
        <w:rPr>
          <w:rFonts w:cs="Times New Roman"/>
        </w:rPr>
        <w:t xml:space="preserve">, ya que nuestro objetivo es </w:t>
      </w:r>
      <w:r w:rsidR="007908A9" w:rsidRPr="004842A1">
        <w:rPr>
          <w:rFonts w:cs="Times New Roman"/>
        </w:rPr>
        <w:t xml:space="preserve">convencer y </w:t>
      </w:r>
      <w:r w:rsidRPr="004842A1">
        <w:rPr>
          <w:rFonts w:cs="Times New Roman"/>
        </w:rPr>
        <w:t xml:space="preserve">vencer y nuestros medios de prueba </w:t>
      </w:r>
      <w:r w:rsidR="007908A9" w:rsidRPr="004842A1">
        <w:rPr>
          <w:rFonts w:cs="Times New Roman"/>
        </w:rPr>
        <w:t xml:space="preserve">deben </w:t>
      </w:r>
      <w:r w:rsidRPr="004842A1">
        <w:rPr>
          <w:rFonts w:cs="Times New Roman"/>
        </w:rPr>
        <w:t>transmitir veracidad y honestidad para ser convincentes, lo que requiere seguir una serie de pautas.</w:t>
      </w:r>
    </w:p>
    <w:p w14:paraId="5887F854" w14:textId="2E79C93C" w:rsidR="00773BAE" w:rsidRDefault="006E4116" w:rsidP="006333EE">
      <w:pPr>
        <w:spacing w:after="100" w:afterAutospacing="1" w:line="276" w:lineRule="auto"/>
        <w:rPr>
          <w:rFonts w:cs="Times New Roman"/>
        </w:rPr>
      </w:pPr>
      <w:r>
        <w:rPr>
          <w:rFonts w:cs="Times New Roman"/>
        </w:rPr>
        <w:t>R</w:t>
      </w:r>
      <w:r w:rsidR="006333EE">
        <w:rPr>
          <w:rFonts w:cs="Times New Roman"/>
        </w:rPr>
        <w:t>esulta capital p</w:t>
      </w:r>
      <w:r w:rsidR="00773BAE" w:rsidRPr="004842A1">
        <w:rPr>
          <w:rFonts w:cs="Times New Roman"/>
        </w:rPr>
        <w:t>reparar a las partes, testigos y peritos, de modo suficiente</w:t>
      </w:r>
      <w:r w:rsidR="006333EE">
        <w:rPr>
          <w:rFonts w:cs="Times New Roman"/>
        </w:rPr>
        <w:t>, lo que permite un dominio de los hechos</w:t>
      </w:r>
      <w:r w:rsidR="00773BAE" w:rsidRPr="004842A1">
        <w:rPr>
          <w:rFonts w:cs="Times New Roman"/>
        </w:rPr>
        <w:t xml:space="preserve">. Debemos estar a la altura de ganar y nuestros medios de prueba no pueden ser menos. Es más, ante todo </w:t>
      </w:r>
      <w:r w:rsidR="00773BAE" w:rsidRPr="00BA2BDC">
        <w:rPr>
          <w:rFonts w:cs="Times New Roman"/>
        </w:rPr>
        <w:t>nos expresamos a través de los medios de prueba</w:t>
      </w:r>
      <w:r w:rsidR="00773BAE" w:rsidRPr="004842A1">
        <w:rPr>
          <w:rFonts w:cs="Times New Roman"/>
        </w:rPr>
        <w:t xml:space="preserve"> que aportamos, que son nuestra carta de presentación. Normalmente, se debe realizar tres sesiones con los mismos. Una primera de preparación, otra de estudio de las preguntas, respuestas y actitudes. Y una última, el día de antes o el mismo día de la vista.</w:t>
      </w:r>
    </w:p>
    <w:p w14:paraId="1129D73F" w14:textId="3E5B7222" w:rsidR="005C5DBF" w:rsidRPr="004842A1" w:rsidRDefault="005C5DBF" w:rsidP="006333EE">
      <w:pPr>
        <w:spacing w:after="100" w:afterAutospacing="1" w:line="276" w:lineRule="auto"/>
        <w:rPr>
          <w:rFonts w:cs="Times New Roman"/>
        </w:rPr>
      </w:pPr>
      <w:r>
        <w:rPr>
          <w:rFonts w:cs="Times New Roman"/>
        </w:rPr>
        <w:t xml:space="preserve">Especialmente cuidadosos debemos ser en el modo de realizar las preguntas a la parte contraria, cuestión que debemos evitar, para lo que basta no proponer como prueba el interrogatorio de la contraria, pues a la postre lo único que genera es </w:t>
      </w:r>
      <w:r w:rsidR="00A67834">
        <w:rPr>
          <w:rFonts w:cs="Times New Roman"/>
        </w:rPr>
        <w:t xml:space="preserve">introducir en la vista otra versión contraria a la nuestra. En todo caso, debemos ser muy cuidadosos en el interrogatorio de la parte contraria, así como de sus testigos y peritos, evitando </w:t>
      </w:r>
      <w:r w:rsidR="00297112">
        <w:rPr>
          <w:rFonts w:cs="Times New Roman"/>
        </w:rPr>
        <w:t>reiterar preguntas ya formuladas, así como atacarlos de modo personal al formular las preguntas</w:t>
      </w:r>
      <w:r w:rsidR="00297112">
        <w:rPr>
          <w:rStyle w:val="Refdenotaalpie"/>
          <w:rFonts w:cs="Times New Roman"/>
        </w:rPr>
        <w:footnoteReference w:id="10"/>
      </w:r>
      <w:r w:rsidR="00297112">
        <w:rPr>
          <w:rFonts w:cs="Times New Roman"/>
        </w:rPr>
        <w:t>.</w:t>
      </w:r>
    </w:p>
    <w:p w14:paraId="26CC1CFE" w14:textId="2EB9D418" w:rsidR="00773BAE" w:rsidRPr="004842A1" w:rsidRDefault="00773BAE" w:rsidP="0002580F">
      <w:pPr>
        <w:spacing w:after="100" w:afterAutospacing="1" w:line="276" w:lineRule="auto"/>
        <w:rPr>
          <w:rFonts w:cs="Times New Roman"/>
        </w:rPr>
      </w:pPr>
      <w:r w:rsidRPr="004842A1">
        <w:rPr>
          <w:rFonts w:cs="Times New Roman"/>
        </w:rPr>
        <w:t xml:space="preserve">En este punto, </w:t>
      </w:r>
      <w:r w:rsidR="0002580F">
        <w:rPr>
          <w:rFonts w:cs="Times New Roman"/>
        </w:rPr>
        <w:t xml:space="preserve">debemos estar muy atentos a </w:t>
      </w:r>
      <w:r w:rsidR="00957977" w:rsidRPr="004842A1">
        <w:rPr>
          <w:rFonts w:cs="Times New Roman"/>
        </w:rPr>
        <w:t xml:space="preserve">lo que </w:t>
      </w:r>
      <w:r w:rsidR="006E4116">
        <w:rPr>
          <w:rFonts w:cs="Times New Roman"/>
        </w:rPr>
        <w:t xml:space="preserve">podemos </w:t>
      </w:r>
      <w:r w:rsidR="00812590">
        <w:rPr>
          <w:rFonts w:cs="Times New Roman"/>
        </w:rPr>
        <w:t>denominar</w:t>
      </w:r>
      <w:r w:rsidR="00957977" w:rsidRPr="004842A1">
        <w:rPr>
          <w:rFonts w:cs="Times New Roman"/>
        </w:rPr>
        <w:t xml:space="preserve"> “</w:t>
      </w:r>
      <w:r w:rsidR="00957977" w:rsidRPr="00BA2BDC">
        <w:rPr>
          <w:rFonts w:cs="Times New Roman"/>
        </w:rPr>
        <w:t>l</w:t>
      </w:r>
      <w:r w:rsidRPr="00BA2BDC">
        <w:rPr>
          <w:rFonts w:cs="Times New Roman"/>
        </w:rPr>
        <w:t>a teoría del tonto</w:t>
      </w:r>
      <w:r w:rsidR="00957977" w:rsidRPr="004842A1">
        <w:rPr>
          <w:rFonts w:cs="Times New Roman"/>
        </w:rPr>
        <w:t xml:space="preserve">”, ya que </w:t>
      </w:r>
      <w:r w:rsidRPr="004842A1">
        <w:rPr>
          <w:rFonts w:cs="Times New Roman"/>
        </w:rPr>
        <w:t>los pleitos se pierden por el eslabón más débil. De ahí que debamos captar todo antes de la vista, en los minutos previos o de espera a la puerta de la sala de vistas</w:t>
      </w:r>
      <w:r w:rsidR="00024DFC" w:rsidRPr="004842A1">
        <w:rPr>
          <w:rFonts w:cs="Times New Roman"/>
        </w:rPr>
        <w:t xml:space="preserve">, para prescindir de aquellos testigos que </w:t>
      </w:r>
      <w:r w:rsidR="006E4116">
        <w:rPr>
          <w:rFonts w:cs="Times New Roman"/>
        </w:rPr>
        <w:t>pueden resultar “</w:t>
      </w:r>
      <w:r w:rsidR="00024DFC" w:rsidRPr="004842A1">
        <w:rPr>
          <w:rFonts w:cs="Times New Roman"/>
        </w:rPr>
        <w:t>no demasiado idóneos”</w:t>
      </w:r>
      <w:r w:rsidR="00D470CF" w:rsidRPr="004842A1">
        <w:rPr>
          <w:rFonts w:cs="Times New Roman"/>
        </w:rPr>
        <w:t>.</w:t>
      </w:r>
    </w:p>
    <w:p w14:paraId="58B897CF" w14:textId="14300A40" w:rsidR="00A007A4" w:rsidRPr="004842A1" w:rsidRDefault="007908A9" w:rsidP="00B17843">
      <w:pPr>
        <w:spacing w:after="100" w:afterAutospacing="1" w:line="276" w:lineRule="auto"/>
        <w:rPr>
          <w:rFonts w:cs="Times New Roman"/>
        </w:rPr>
      </w:pPr>
      <w:r w:rsidRPr="004842A1">
        <w:rPr>
          <w:rFonts w:cs="Times New Roman"/>
        </w:rPr>
        <w:lastRenderedPageBreak/>
        <w:t xml:space="preserve">Igualmente, resulta imprescindible </w:t>
      </w:r>
      <w:r w:rsidR="00EE1A6C" w:rsidRPr="004842A1">
        <w:rPr>
          <w:rFonts w:cs="Times New Roman"/>
        </w:rPr>
        <w:t xml:space="preserve">conocer </w:t>
      </w:r>
      <w:r w:rsidRPr="004842A1">
        <w:rPr>
          <w:rFonts w:cs="Times New Roman"/>
        </w:rPr>
        <w:t xml:space="preserve">el </w:t>
      </w:r>
      <w:r w:rsidRPr="00BA2BDC">
        <w:rPr>
          <w:rFonts w:cs="Times New Roman"/>
        </w:rPr>
        <w:t>derecho procesal</w:t>
      </w:r>
      <w:r w:rsidRPr="004842A1">
        <w:rPr>
          <w:rFonts w:cs="Times New Roman"/>
        </w:rPr>
        <w:t>, por ser</w:t>
      </w:r>
      <w:r w:rsidR="00EE1A6C" w:rsidRPr="004842A1">
        <w:rPr>
          <w:rFonts w:cs="Times New Roman"/>
        </w:rPr>
        <w:t xml:space="preserve"> el </w:t>
      </w:r>
      <w:r w:rsidR="00653ED5">
        <w:rPr>
          <w:rFonts w:cs="Times New Roman"/>
        </w:rPr>
        <w:t xml:space="preserve">medio o </w:t>
      </w:r>
      <w:r w:rsidR="00EE1A6C" w:rsidRPr="004842A1">
        <w:rPr>
          <w:rFonts w:cs="Times New Roman"/>
        </w:rPr>
        <w:t>instrumento a través del cual circulamos en el proceso.</w:t>
      </w:r>
      <w:r w:rsidRPr="004842A1">
        <w:rPr>
          <w:rFonts w:cs="Times New Roman"/>
        </w:rPr>
        <w:t xml:space="preserve"> Dicho estudio p</w:t>
      </w:r>
      <w:r w:rsidR="00EE1A6C" w:rsidRPr="004842A1">
        <w:rPr>
          <w:rFonts w:cs="Times New Roman"/>
        </w:rPr>
        <w:t>ermite afrontar las dificultades procesales concretas del asunto</w:t>
      </w:r>
      <w:r w:rsidRPr="004842A1">
        <w:rPr>
          <w:rFonts w:cs="Times New Roman"/>
        </w:rPr>
        <w:t xml:space="preserve">, </w:t>
      </w:r>
      <w:r w:rsidR="00EE1A6C" w:rsidRPr="004842A1">
        <w:rPr>
          <w:rFonts w:cs="Times New Roman"/>
        </w:rPr>
        <w:t xml:space="preserve">anticiparnos y prever lo que puede acontecer en el desarrollo del juicio, </w:t>
      </w:r>
      <w:r w:rsidRPr="004842A1">
        <w:rPr>
          <w:rFonts w:cs="Times New Roman"/>
        </w:rPr>
        <w:t xml:space="preserve">la </w:t>
      </w:r>
      <w:r w:rsidR="00EE1A6C" w:rsidRPr="004842A1">
        <w:rPr>
          <w:rFonts w:cs="Times New Roman"/>
        </w:rPr>
        <w:t xml:space="preserve">audiencia previa o </w:t>
      </w:r>
      <w:r w:rsidRPr="004842A1">
        <w:rPr>
          <w:rFonts w:cs="Times New Roman"/>
        </w:rPr>
        <w:t xml:space="preserve">la </w:t>
      </w:r>
      <w:r w:rsidR="00EE1A6C" w:rsidRPr="004842A1">
        <w:rPr>
          <w:rFonts w:cs="Times New Roman"/>
        </w:rPr>
        <w:t>vista</w:t>
      </w:r>
      <w:r w:rsidR="00A007A4" w:rsidRPr="004842A1">
        <w:rPr>
          <w:rFonts w:cs="Times New Roman"/>
        </w:rPr>
        <w:t>.</w:t>
      </w:r>
    </w:p>
    <w:p w14:paraId="65DF3B78" w14:textId="6607A6BF" w:rsidR="00607528" w:rsidRPr="004842A1" w:rsidRDefault="00607528" w:rsidP="00B17843">
      <w:pPr>
        <w:spacing w:after="100" w:afterAutospacing="1" w:line="276" w:lineRule="auto"/>
        <w:rPr>
          <w:rFonts w:cs="Times New Roman"/>
        </w:rPr>
      </w:pPr>
      <w:r w:rsidRPr="004842A1">
        <w:rPr>
          <w:rFonts w:cs="Times New Roman"/>
        </w:rPr>
        <w:t xml:space="preserve">Para ello, hay que invertir tiempo y dinero en buenos manuales y monografías </w:t>
      </w:r>
      <w:r w:rsidR="00B2742F">
        <w:rPr>
          <w:rFonts w:cs="Times New Roman"/>
        </w:rPr>
        <w:t xml:space="preserve">al objeto de </w:t>
      </w:r>
      <w:r w:rsidRPr="004842A1">
        <w:rPr>
          <w:rFonts w:cs="Times New Roman"/>
        </w:rPr>
        <w:t xml:space="preserve">estudiar </w:t>
      </w:r>
      <w:r w:rsidR="00B2742F">
        <w:rPr>
          <w:rFonts w:cs="Times New Roman"/>
        </w:rPr>
        <w:t xml:space="preserve">con carácter previo la estrategia procesal que debemos desarrollar. Y una vez puesta en práctica la estrategia, llegado el </w:t>
      </w:r>
      <w:r w:rsidR="00696BE9">
        <w:rPr>
          <w:rFonts w:cs="Times New Roman"/>
        </w:rPr>
        <w:t xml:space="preserve">momento, debemos hacer frente a </w:t>
      </w:r>
      <w:r w:rsidRPr="004842A1">
        <w:rPr>
          <w:rFonts w:cs="Times New Roman"/>
        </w:rPr>
        <w:t>las dificultades que puedan surgir en el desenvolvimiento del proceso.</w:t>
      </w:r>
    </w:p>
    <w:p w14:paraId="360F30B8" w14:textId="2EFDCDAA" w:rsidR="00A007A4" w:rsidRPr="004842A1" w:rsidRDefault="00A007A4" w:rsidP="00B17843">
      <w:pPr>
        <w:spacing w:after="100" w:afterAutospacing="1" w:line="276" w:lineRule="auto"/>
        <w:rPr>
          <w:rFonts w:cs="Times New Roman"/>
        </w:rPr>
      </w:pPr>
      <w:r w:rsidRPr="004842A1">
        <w:rPr>
          <w:rFonts w:cs="Times New Roman"/>
        </w:rPr>
        <w:t xml:space="preserve">Con carácter general, hay que insistir en </w:t>
      </w:r>
      <w:r w:rsidR="0006328B" w:rsidRPr="004842A1">
        <w:rPr>
          <w:rFonts w:cs="Times New Roman"/>
        </w:rPr>
        <w:t xml:space="preserve">la importancia de </w:t>
      </w:r>
      <w:r w:rsidRPr="002F4B3D">
        <w:rPr>
          <w:rFonts w:cs="Times New Roman"/>
        </w:rPr>
        <w:t>estudiar el asunto y llevar el hilo conductor de modo completo</w:t>
      </w:r>
      <w:r w:rsidR="00932EB6" w:rsidRPr="002F4B3D">
        <w:rPr>
          <w:rStyle w:val="Refdenotaalpie"/>
          <w:rFonts w:cs="Times New Roman"/>
        </w:rPr>
        <w:footnoteReference w:id="11"/>
      </w:r>
      <w:r w:rsidRPr="004842A1">
        <w:rPr>
          <w:rFonts w:cs="Times New Roman"/>
        </w:rPr>
        <w:t>, evitando –en lo posible- las sustituciones en las vistas, especialmente, en las audiencias previas.</w:t>
      </w:r>
    </w:p>
    <w:p w14:paraId="77B30F29" w14:textId="1D9DDB3C" w:rsidR="00820556" w:rsidRPr="004842A1" w:rsidRDefault="00C225BE" w:rsidP="00B17843">
      <w:pPr>
        <w:spacing w:after="100" w:afterAutospacing="1" w:line="276" w:lineRule="auto"/>
        <w:rPr>
          <w:rFonts w:cs="Times New Roman"/>
        </w:rPr>
      </w:pPr>
      <w:r w:rsidRPr="004842A1">
        <w:rPr>
          <w:rFonts w:cs="Times New Roman"/>
        </w:rPr>
        <w:t xml:space="preserve">Cuidado con considerar la profesión jurídica como algo susceptible de subsumirse en una cadena de montaje y, sobre todo, </w:t>
      </w:r>
      <w:r w:rsidR="00650080" w:rsidRPr="004842A1">
        <w:rPr>
          <w:rFonts w:cs="Times New Roman"/>
        </w:rPr>
        <w:t xml:space="preserve">de organización productiva a través de </w:t>
      </w:r>
      <w:r w:rsidRPr="004842A1">
        <w:rPr>
          <w:rFonts w:cs="Times New Roman"/>
        </w:rPr>
        <w:t>contratas y subcontratas. Esto no suele dar buen resultado</w:t>
      </w:r>
      <w:r w:rsidR="006163FB" w:rsidRPr="004842A1">
        <w:rPr>
          <w:rFonts w:cs="Times New Roman"/>
        </w:rPr>
        <w:t>, incrementándose los riesgos d</w:t>
      </w:r>
      <w:r w:rsidRPr="004842A1">
        <w:rPr>
          <w:rFonts w:cs="Times New Roman"/>
        </w:rPr>
        <w:t xml:space="preserve">e siniestralidad y </w:t>
      </w:r>
      <w:r w:rsidR="006163FB" w:rsidRPr="004842A1">
        <w:rPr>
          <w:rFonts w:cs="Times New Roman"/>
        </w:rPr>
        <w:t xml:space="preserve">de </w:t>
      </w:r>
      <w:r w:rsidRPr="004842A1">
        <w:rPr>
          <w:rFonts w:cs="Times New Roman"/>
        </w:rPr>
        <w:t>mala calidad de</w:t>
      </w:r>
      <w:r w:rsidR="006163FB" w:rsidRPr="004842A1">
        <w:rPr>
          <w:rFonts w:cs="Times New Roman"/>
        </w:rPr>
        <w:t>l resultado.</w:t>
      </w:r>
      <w:r w:rsidR="00650080" w:rsidRPr="004842A1">
        <w:rPr>
          <w:rFonts w:cs="Times New Roman"/>
        </w:rPr>
        <w:t xml:space="preserve"> Todo lo cual, redunda en una oratoria deficiente</w:t>
      </w:r>
      <w:r w:rsidR="00016229" w:rsidRPr="004842A1">
        <w:rPr>
          <w:rFonts w:cs="Times New Roman"/>
        </w:rPr>
        <w:t>.</w:t>
      </w:r>
    </w:p>
    <w:p w14:paraId="4453D662" w14:textId="1269C5BF" w:rsidR="00117F68" w:rsidRDefault="00117F68" w:rsidP="00B17843">
      <w:pPr>
        <w:spacing w:after="100" w:afterAutospacing="1" w:line="276" w:lineRule="auto"/>
        <w:rPr>
          <w:rFonts w:cs="Times New Roman"/>
        </w:rPr>
      </w:pPr>
      <w:r w:rsidRPr="002F4B3D">
        <w:rPr>
          <w:rFonts w:cs="Times New Roman"/>
        </w:rPr>
        <w:t>La preparación de una vista</w:t>
      </w:r>
      <w:r w:rsidRPr="004842A1">
        <w:rPr>
          <w:rFonts w:cs="Times New Roman"/>
        </w:rPr>
        <w:t>, juicio o audiencia previa requiere la preparación de notas ordenadas con las diversas fases de dicho acto</w:t>
      </w:r>
      <w:r w:rsidR="00AA0E27">
        <w:rPr>
          <w:rStyle w:val="Refdenotaalpie"/>
          <w:rFonts w:cs="Times New Roman"/>
        </w:rPr>
        <w:footnoteReference w:id="12"/>
      </w:r>
      <w:r w:rsidRPr="004842A1">
        <w:rPr>
          <w:rFonts w:cs="Times New Roman"/>
        </w:rPr>
        <w:t>.</w:t>
      </w:r>
    </w:p>
    <w:p w14:paraId="5A55A14B" w14:textId="76463A8B" w:rsidR="005F6896" w:rsidRPr="004842A1" w:rsidRDefault="005F6896" w:rsidP="005F6896">
      <w:pPr>
        <w:spacing w:after="100" w:afterAutospacing="1" w:line="276" w:lineRule="auto"/>
        <w:rPr>
          <w:rFonts w:cs="Times New Roman"/>
        </w:rPr>
      </w:pPr>
      <w:r w:rsidRPr="004842A1">
        <w:rPr>
          <w:rFonts w:cs="Times New Roman"/>
        </w:rPr>
        <w:t xml:space="preserve">Para la puesta en escena no podemos pasar por alto cuidar la “comunicación no verbal”, comenzando por </w:t>
      </w:r>
      <w:r w:rsidRPr="00BA2BDC">
        <w:rPr>
          <w:rFonts w:cs="Times New Roman"/>
        </w:rPr>
        <w:t>la presencia</w:t>
      </w:r>
      <w:r w:rsidRPr="004842A1">
        <w:rPr>
          <w:rFonts w:cs="Times New Roman"/>
        </w:rPr>
        <w:t>, ya que transmitimos nuestro “ser”</w:t>
      </w:r>
      <w:r>
        <w:rPr>
          <w:rFonts w:cs="Times New Roman"/>
        </w:rPr>
        <w:t>,</w:t>
      </w:r>
      <w:r w:rsidRPr="004842A1">
        <w:rPr>
          <w:rFonts w:cs="Times New Roman"/>
        </w:rPr>
        <w:t xml:space="preserve"> a través de nuestro “saber estar”, nuestra presencia, nuestro porte, gusto y estilo en vestir. Es importante no vivir para el espejo, pero debemos cuidar la </w:t>
      </w:r>
      <w:r w:rsidRPr="00BA2BDC">
        <w:rPr>
          <w:rFonts w:cs="Times New Roman"/>
        </w:rPr>
        <w:t>sencillez y sobriedad en el vestir</w:t>
      </w:r>
      <w:r w:rsidRPr="004842A1">
        <w:rPr>
          <w:rFonts w:cs="Times New Roman"/>
        </w:rPr>
        <w:t xml:space="preserve"> y en nuestro cuidado personal</w:t>
      </w:r>
      <w:r w:rsidR="00E924EE">
        <w:rPr>
          <w:rStyle w:val="Refdenotaalpie"/>
          <w:rFonts w:cs="Times New Roman"/>
        </w:rPr>
        <w:footnoteReference w:id="13"/>
      </w:r>
      <w:r w:rsidRPr="004842A1">
        <w:rPr>
          <w:rFonts w:cs="Times New Roman"/>
        </w:rPr>
        <w:t>.</w:t>
      </w:r>
    </w:p>
    <w:p w14:paraId="22199EE0" w14:textId="77777777" w:rsidR="005F6896" w:rsidRPr="004842A1" w:rsidRDefault="005F6896" w:rsidP="005F6896">
      <w:pPr>
        <w:spacing w:after="100" w:afterAutospacing="1" w:line="276" w:lineRule="auto"/>
        <w:rPr>
          <w:rFonts w:cs="Times New Roman"/>
        </w:rPr>
      </w:pPr>
      <w:r w:rsidRPr="004842A1">
        <w:rPr>
          <w:rFonts w:cs="Times New Roman"/>
        </w:rPr>
        <w:t xml:space="preserve">Tampoco debemos perder </w:t>
      </w:r>
      <w:r>
        <w:rPr>
          <w:rFonts w:cs="Times New Roman"/>
        </w:rPr>
        <w:t xml:space="preserve">la perspectiva sobre </w:t>
      </w:r>
      <w:r w:rsidRPr="004842A1">
        <w:rPr>
          <w:rFonts w:cs="Times New Roman"/>
        </w:rPr>
        <w:t>la necesaria interactuación entre probática, estrategia procesal y oratoria como elementos que circundan, auxilian o incluso completan al derecho procesal desde el mismo.</w:t>
      </w:r>
    </w:p>
    <w:p w14:paraId="709AB299" w14:textId="79C29CFD" w:rsidR="001A06C6" w:rsidRPr="004842A1" w:rsidRDefault="001A06C6" w:rsidP="00B17843">
      <w:pPr>
        <w:spacing w:after="100" w:afterAutospacing="1" w:line="276" w:lineRule="auto"/>
        <w:rPr>
          <w:rFonts w:cs="Times New Roman"/>
        </w:rPr>
      </w:pPr>
      <w:r>
        <w:rPr>
          <w:rFonts w:cs="Times New Roman"/>
        </w:rPr>
        <w:lastRenderedPageBreak/>
        <w:t>4. La actuación o puesta en escena</w:t>
      </w:r>
    </w:p>
    <w:p w14:paraId="111110CB" w14:textId="77303833" w:rsidR="001B39BB" w:rsidRDefault="00A007A4" w:rsidP="00B17843">
      <w:pPr>
        <w:spacing w:after="100" w:afterAutospacing="1" w:line="276" w:lineRule="auto"/>
        <w:rPr>
          <w:rFonts w:cs="Times New Roman"/>
        </w:rPr>
      </w:pPr>
      <w:r w:rsidRPr="004842A1">
        <w:rPr>
          <w:rFonts w:cs="Times New Roman"/>
        </w:rPr>
        <w:t xml:space="preserve">Respecto al desarrollo de las comparecencias públicas, y </w:t>
      </w:r>
      <w:r w:rsidRPr="00BA2BDC">
        <w:rPr>
          <w:rFonts w:cs="Times New Roman"/>
        </w:rPr>
        <w:t>en relación al auditorio</w:t>
      </w:r>
      <w:r w:rsidRPr="004842A1">
        <w:rPr>
          <w:rFonts w:cs="Times New Roman"/>
        </w:rPr>
        <w:t>, recomendamos siem</w:t>
      </w:r>
      <w:r w:rsidR="0006328B" w:rsidRPr="004842A1">
        <w:rPr>
          <w:rFonts w:cs="Times New Roman"/>
        </w:rPr>
        <w:t xml:space="preserve">pre </w:t>
      </w:r>
      <w:r w:rsidR="0006328B" w:rsidRPr="00BA2BDC">
        <w:rPr>
          <w:rFonts w:cs="Times New Roman"/>
        </w:rPr>
        <w:t>humildad, respeto y delicadeza</w:t>
      </w:r>
      <w:r w:rsidR="0006328B" w:rsidRPr="004842A1">
        <w:rPr>
          <w:rFonts w:cs="Times New Roman"/>
        </w:rPr>
        <w:t xml:space="preserve">, tanto hacia </w:t>
      </w:r>
      <w:r w:rsidRPr="004842A1">
        <w:rPr>
          <w:rFonts w:cs="Times New Roman"/>
        </w:rPr>
        <w:t xml:space="preserve">el tribunal y </w:t>
      </w:r>
      <w:r w:rsidR="0006328B" w:rsidRPr="004842A1">
        <w:rPr>
          <w:rFonts w:cs="Times New Roman"/>
        </w:rPr>
        <w:t xml:space="preserve">los </w:t>
      </w:r>
      <w:r w:rsidRPr="004842A1">
        <w:rPr>
          <w:rFonts w:cs="Times New Roman"/>
        </w:rPr>
        <w:t>letrados</w:t>
      </w:r>
      <w:r w:rsidR="0006328B" w:rsidRPr="004842A1">
        <w:rPr>
          <w:rFonts w:cs="Times New Roman"/>
        </w:rPr>
        <w:t xml:space="preserve">, como, </w:t>
      </w:r>
      <w:r w:rsidRPr="004842A1">
        <w:rPr>
          <w:rFonts w:cs="Times New Roman"/>
        </w:rPr>
        <w:t>sob</w:t>
      </w:r>
      <w:r w:rsidR="0006328B" w:rsidRPr="004842A1">
        <w:rPr>
          <w:rFonts w:cs="Times New Roman"/>
        </w:rPr>
        <w:t xml:space="preserve">re todo, </w:t>
      </w:r>
      <w:r w:rsidRPr="004842A1">
        <w:rPr>
          <w:rFonts w:cs="Times New Roman"/>
        </w:rPr>
        <w:t>con los adversarios, sus</w:t>
      </w:r>
      <w:r w:rsidR="00073A80" w:rsidRPr="004842A1">
        <w:rPr>
          <w:rFonts w:cs="Times New Roman"/>
        </w:rPr>
        <w:t xml:space="preserve"> testigos </w:t>
      </w:r>
      <w:r w:rsidRPr="004842A1">
        <w:rPr>
          <w:rFonts w:cs="Times New Roman"/>
        </w:rPr>
        <w:t>y peritos</w:t>
      </w:r>
      <w:r w:rsidR="00073A80" w:rsidRPr="004842A1">
        <w:rPr>
          <w:rFonts w:cs="Times New Roman"/>
        </w:rPr>
        <w:t>.</w:t>
      </w:r>
    </w:p>
    <w:p w14:paraId="7EF28712" w14:textId="77777777" w:rsidR="001D6CF4" w:rsidRDefault="00653ED5" w:rsidP="00B17843">
      <w:pPr>
        <w:spacing w:after="100" w:afterAutospacing="1" w:line="276" w:lineRule="auto"/>
        <w:rPr>
          <w:rFonts w:cs="Times New Roman"/>
        </w:rPr>
      </w:pPr>
      <w:r>
        <w:rPr>
          <w:rFonts w:cs="Times New Roman"/>
        </w:rPr>
        <w:t>Evitar cualquier tipo de menosprecio, descalificaci</w:t>
      </w:r>
      <w:r w:rsidR="001D6CF4">
        <w:rPr>
          <w:rFonts w:cs="Times New Roman"/>
        </w:rPr>
        <w:t>ón o juicios despectivos de índole personal hacía la parte contraria.</w:t>
      </w:r>
    </w:p>
    <w:p w14:paraId="5A5BDF9A" w14:textId="12EF3C8C" w:rsidR="00303AD5" w:rsidRPr="004842A1" w:rsidRDefault="00A007A4" w:rsidP="00B17843">
      <w:pPr>
        <w:spacing w:after="100" w:afterAutospacing="1" w:line="276" w:lineRule="auto"/>
        <w:rPr>
          <w:rFonts w:cs="Times New Roman"/>
        </w:rPr>
      </w:pPr>
      <w:r w:rsidRPr="004842A1">
        <w:rPr>
          <w:rFonts w:cs="Times New Roman"/>
        </w:rPr>
        <w:t xml:space="preserve">El modo de exponer requiere un </w:t>
      </w:r>
      <w:r w:rsidRPr="00BA2BDC">
        <w:rPr>
          <w:rFonts w:cs="Times New Roman"/>
        </w:rPr>
        <w:t>esfuerzo de síntesis</w:t>
      </w:r>
      <w:r w:rsidRPr="004842A1">
        <w:rPr>
          <w:rFonts w:cs="Times New Roman"/>
        </w:rPr>
        <w:t xml:space="preserve">, ya que en el proceso civil la oralidad es una ayuda para los escritos rectores (demanda y contestación). De ahí la importancia de escribir de modo conciso, claro y ordenado. </w:t>
      </w:r>
    </w:p>
    <w:p w14:paraId="3F45F45B" w14:textId="3D603528" w:rsidR="00303AD5" w:rsidRPr="004842A1" w:rsidRDefault="00303AD5" w:rsidP="00B17843">
      <w:pPr>
        <w:spacing w:after="100" w:afterAutospacing="1" w:line="276" w:lineRule="auto"/>
        <w:rPr>
          <w:rFonts w:cs="Times New Roman"/>
        </w:rPr>
      </w:pPr>
      <w:r w:rsidRPr="004842A1">
        <w:rPr>
          <w:rFonts w:cs="Times New Roman"/>
        </w:rPr>
        <w:t>De ahí, la utilidad de llevar un reloj</w:t>
      </w:r>
      <w:r w:rsidR="00A41BA2" w:rsidRPr="004842A1">
        <w:rPr>
          <w:rFonts w:cs="Times New Roman"/>
        </w:rPr>
        <w:t>, preferentemente,</w:t>
      </w:r>
      <w:r w:rsidRPr="004842A1">
        <w:rPr>
          <w:rFonts w:cs="Times New Roman"/>
        </w:rPr>
        <w:t xml:space="preserve"> cronógrafo o con bisel giratorio y, en su defecto, </w:t>
      </w:r>
      <w:r w:rsidR="00A41BA2" w:rsidRPr="004842A1">
        <w:rPr>
          <w:rFonts w:cs="Times New Roman"/>
        </w:rPr>
        <w:t xml:space="preserve">utilizar </w:t>
      </w:r>
      <w:r w:rsidRPr="004842A1">
        <w:rPr>
          <w:rFonts w:cs="Times New Roman"/>
        </w:rPr>
        <w:t xml:space="preserve">la aplicación del teléfono móvil para medir el tiempo </w:t>
      </w:r>
      <w:r w:rsidR="000B4011">
        <w:rPr>
          <w:rFonts w:cs="Times New Roman"/>
        </w:rPr>
        <w:t>al</w:t>
      </w:r>
      <w:r w:rsidRPr="004842A1">
        <w:rPr>
          <w:rFonts w:cs="Times New Roman"/>
        </w:rPr>
        <w:t xml:space="preserve"> informar o formular las alegaciones correspondientes.</w:t>
      </w:r>
    </w:p>
    <w:p w14:paraId="142B80A3" w14:textId="78F10B56" w:rsidR="00BC55ED" w:rsidRPr="004842A1" w:rsidRDefault="00A007A4" w:rsidP="00B17843">
      <w:pPr>
        <w:spacing w:after="100" w:afterAutospacing="1" w:line="276" w:lineRule="auto"/>
        <w:rPr>
          <w:rFonts w:cs="Times New Roman"/>
        </w:rPr>
      </w:pPr>
      <w:r w:rsidRPr="004842A1">
        <w:rPr>
          <w:rFonts w:cs="Times New Roman"/>
        </w:rPr>
        <w:t xml:space="preserve">El buen abogado debe ser </w:t>
      </w:r>
      <w:r w:rsidRPr="00BA2BDC">
        <w:rPr>
          <w:rFonts w:cs="Times New Roman"/>
        </w:rPr>
        <w:t>claro, sencillo y directo</w:t>
      </w:r>
      <w:r w:rsidR="009616EB">
        <w:rPr>
          <w:rStyle w:val="Refdenotaalpie"/>
          <w:rFonts w:cs="Times New Roman"/>
        </w:rPr>
        <w:footnoteReference w:id="14"/>
      </w:r>
      <w:r w:rsidR="00BC55ED" w:rsidRPr="004842A1">
        <w:rPr>
          <w:rFonts w:cs="Times New Roman"/>
        </w:rPr>
        <w:t>.</w:t>
      </w:r>
    </w:p>
    <w:p w14:paraId="52013EC6" w14:textId="58FDA565" w:rsidR="005532F1" w:rsidRPr="004842A1" w:rsidRDefault="00F14A15" w:rsidP="00B17843">
      <w:pPr>
        <w:spacing w:after="100" w:afterAutospacing="1" w:line="276" w:lineRule="auto"/>
        <w:rPr>
          <w:rFonts w:cs="Times New Roman"/>
        </w:rPr>
      </w:pPr>
      <w:r w:rsidRPr="004842A1">
        <w:rPr>
          <w:rFonts w:cs="Times New Roman"/>
        </w:rPr>
        <w:t>A pesar de ir bien pertrechados por escrito, su funci</w:t>
      </w:r>
      <w:r w:rsidR="00650356" w:rsidRPr="004842A1">
        <w:rPr>
          <w:rFonts w:cs="Times New Roman"/>
        </w:rPr>
        <w:t>ón constituye un ejercicio para obtener una mayor seguridad</w:t>
      </w:r>
      <w:r w:rsidR="000B4011">
        <w:rPr>
          <w:rFonts w:cs="Times New Roman"/>
        </w:rPr>
        <w:t>. Dich</w:t>
      </w:r>
      <w:r w:rsidR="00E20D86">
        <w:rPr>
          <w:rFonts w:cs="Times New Roman"/>
        </w:rPr>
        <w:t>o escrito</w:t>
      </w:r>
      <w:r w:rsidR="000B4011">
        <w:rPr>
          <w:rFonts w:cs="Times New Roman"/>
        </w:rPr>
        <w:t xml:space="preserve"> servirá de </w:t>
      </w:r>
      <w:r w:rsidR="00650356" w:rsidRPr="004842A1">
        <w:rPr>
          <w:rFonts w:cs="Times New Roman"/>
        </w:rPr>
        <w:t>orientación para saber lo que tenemos que decir y cuando</w:t>
      </w:r>
      <w:r w:rsidR="0070430E" w:rsidRPr="004842A1">
        <w:rPr>
          <w:rFonts w:cs="Times New Roman"/>
        </w:rPr>
        <w:t xml:space="preserve">. En definitiva, es una redacción para facilitar el uso de la palabra. Para ello, debemos destacar las anotaciones subrayadas o con negrita </w:t>
      </w:r>
      <w:r w:rsidR="009D23BC" w:rsidRPr="004842A1">
        <w:rPr>
          <w:rFonts w:cs="Times New Roman"/>
        </w:rPr>
        <w:t>sobre “palabras clave”, que nos permit</w:t>
      </w:r>
      <w:r w:rsidR="006A712B">
        <w:rPr>
          <w:rFonts w:cs="Times New Roman"/>
        </w:rPr>
        <w:t>an</w:t>
      </w:r>
      <w:r w:rsidR="009D23BC" w:rsidRPr="004842A1">
        <w:rPr>
          <w:rFonts w:cs="Times New Roman"/>
        </w:rPr>
        <w:t xml:space="preserve"> recordar la</w:t>
      </w:r>
      <w:r w:rsidR="006A712B">
        <w:rPr>
          <w:rFonts w:cs="Times New Roman"/>
        </w:rPr>
        <w:t>s</w:t>
      </w:r>
      <w:r w:rsidR="009D23BC" w:rsidRPr="004842A1">
        <w:rPr>
          <w:rFonts w:cs="Times New Roman"/>
        </w:rPr>
        <w:t xml:space="preserve"> idea</w:t>
      </w:r>
      <w:r w:rsidR="006A712B">
        <w:rPr>
          <w:rFonts w:cs="Times New Roman"/>
        </w:rPr>
        <w:t>s</w:t>
      </w:r>
      <w:r w:rsidR="009D23BC" w:rsidRPr="004842A1">
        <w:rPr>
          <w:rFonts w:cs="Times New Roman"/>
        </w:rPr>
        <w:t xml:space="preserve"> para la intervención concreta. </w:t>
      </w:r>
      <w:r w:rsidR="006A712B">
        <w:rPr>
          <w:rFonts w:cs="Times New Roman"/>
        </w:rPr>
        <w:t xml:space="preserve">Sea para </w:t>
      </w:r>
      <w:r w:rsidR="009D23BC" w:rsidRPr="004842A1">
        <w:rPr>
          <w:rFonts w:cs="Times New Roman"/>
        </w:rPr>
        <w:t>oponernos a una excepción procesal</w:t>
      </w:r>
      <w:r w:rsidR="006A712B">
        <w:rPr>
          <w:rFonts w:cs="Times New Roman"/>
        </w:rPr>
        <w:t>, para realizar un interrogatorio o para el trámite de conclusiones</w:t>
      </w:r>
      <w:r w:rsidR="009D23BC" w:rsidRPr="004842A1">
        <w:rPr>
          <w:rFonts w:cs="Times New Roman"/>
        </w:rPr>
        <w:t>.</w:t>
      </w:r>
    </w:p>
    <w:p w14:paraId="29E6E69F" w14:textId="69B2A8AA" w:rsidR="009D23BC" w:rsidRPr="004842A1" w:rsidRDefault="009D23BC" w:rsidP="00B17843">
      <w:pPr>
        <w:spacing w:after="100" w:afterAutospacing="1" w:line="276" w:lineRule="auto"/>
        <w:rPr>
          <w:rFonts w:cs="Times New Roman"/>
        </w:rPr>
      </w:pPr>
      <w:r w:rsidRPr="004842A1">
        <w:rPr>
          <w:rFonts w:cs="Times New Roman"/>
        </w:rPr>
        <w:t xml:space="preserve">En cualquier caso, debemos precisar que las intervenciones orales en el proceso civil, sean audiencias previas y juicios </w:t>
      </w:r>
      <w:r w:rsidR="007F6969" w:rsidRPr="004842A1">
        <w:rPr>
          <w:rFonts w:cs="Times New Roman"/>
        </w:rPr>
        <w:t xml:space="preserve">del proceso ordinario o vistas orales del verbal, con sus diversas variantes, deben evitar la lectura de las alegaciones o notas. En este punto, resulta lógico que los tribunales puedan llamar la atención al letrado-lector indicando que la vista es oral y no para leer, ya que la lectura </w:t>
      </w:r>
      <w:r w:rsidR="00F66054" w:rsidRPr="004842A1">
        <w:rPr>
          <w:rFonts w:cs="Times New Roman"/>
        </w:rPr>
        <w:t xml:space="preserve">en sí -aunque adopta forma verbal- desvirtúa la oralidad, ya que es monótona, anodina y carece de poder de convicción, ya que los ojos del orador </w:t>
      </w:r>
      <w:r w:rsidR="00F253A1" w:rsidRPr="004842A1">
        <w:rPr>
          <w:rFonts w:cs="Times New Roman"/>
        </w:rPr>
        <w:t>no están en la audiencia, sino en la mera lectura de lo escrito</w:t>
      </w:r>
      <w:r w:rsidR="000B4011">
        <w:rPr>
          <w:rFonts w:cs="Times New Roman"/>
        </w:rPr>
        <w:t xml:space="preserve"> en el papel</w:t>
      </w:r>
      <w:r w:rsidR="00F253A1" w:rsidRPr="004842A1">
        <w:rPr>
          <w:rFonts w:cs="Times New Roman"/>
        </w:rPr>
        <w:t>.</w:t>
      </w:r>
    </w:p>
    <w:p w14:paraId="477EFE7D" w14:textId="34481942" w:rsidR="007F55BE" w:rsidRPr="004842A1" w:rsidRDefault="00117F68" w:rsidP="00B17843">
      <w:pPr>
        <w:spacing w:after="100" w:afterAutospacing="1" w:line="276" w:lineRule="auto"/>
        <w:rPr>
          <w:rFonts w:cs="Times New Roman"/>
        </w:rPr>
      </w:pPr>
      <w:r w:rsidRPr="004842A1">
        <w:rPr>
          <w:rFonts w:cs="Times New Roman"/>
        </w:rPr>
        <w:t xml:space="preserve">Finalizamos la exposición, con una serie de recomendaciones para </w:t>
      </w:r>
      <w:r w:rsidRPr="00A26150">
        <w:rPr>
          <w:rFonts w:cs="Times New Roman"/>
        </w:rPr>
        <w:t>transformar los</w:t>
      </w:r>
      <w:r w:rsidRPr="004842A1">
        <w:rPr>
          <w:rFonts w:cs="Times New Roman"/>
          <w:u w:val="single"/>
        </w:rPr>
        <w:t xml:space="preserve"> </w:t>
      </w:r>
      <w:r w:rsidR="00190207" w:rsidRPr="00A26150">
        <w:rPr>
          <w:rFonts w:cs="Times New Roman"/>
        </w:rPr>
        <w:t>“nerv</w:t>
      </w:r>
      <w:r w:rsidRPr="00A26150">
        <w:rPr>
          <w:rFonts w:cs="Times New Roman"/>
        </w:rPr>
        <w:t xml:space="preserve">ios” </w:t>
      </w:r>
      <w:r w:rsidR="0006328B" w:rsidRPr="00A26150">
        <w:rPr>
          <w:rFonts w:cs="Times New Roman"/>
        </w:rPr>
        <w:t>en concentración</w:t>
      </w:r>
      <w:r w:rsidR="0006328B" w:rsidRPr="004842A1">
        <w:rPr>
          <w:rFonts w:cs="Times New Roman"/>
        </w:rPr>
        <w:t xml:space="preserve"> </w:t>
      </w:r>
      <w:r w:rsidR="00190207" w:rsidRPr="004842A1">
        <w:rPr>
          <w:rFonts w:cs="Times New Roman"/>
        </w:rPr>
        <w:t xml:space="preserve">en lo realmente importante: </w:t>
      </w:r>
      <w:r w:rsidR="0006328B" w:rsidRPr="004842A1">
        <w:rPr>
          <w:rFonts w:cs="Times New Roman"/>
        </w:rPr>
        <w:t xml:space="preserve">el objetivo es </w:t>
      </w:r>
      <w:r w:rsidR="00190207" w:rsidRPr="004842A1">
        <w:rPr>
          <w:rFonts w:cs="Times New Roman"/>
        </w:rPr>
        <w:t xml:space="preserve">salir airosos del asunto, lo que implica </w:t>
      </w:r>
      <w:r w:rsidR="0006328B" w:rsidRPr="004842A1">
        <w:rPr>
          <w:rFonts w:cs="Times New Roman"/>
        </w:rPr>
        <w:t xml:space="preserve">emplear tanto la astucia como la </w:t>
      </w:r>
      <w:r w:rsidR="00190207" w:rsidRPr="004842A1">
        <w:rPr>
          <w:rFonts w:cs="Times New Roman"/>
        </w:rPr>
        <w:t xml:space="preserve">capacidad de persistencia y de resistencia a </w:t>
      </w:r>
      <w:r w:rsidRPr="004842A1">
        <w:rPr>
          <w:rFonts w:cs="Times New Roman"/>
        </w:rPr>
        <w:t>la adversidad.</w:t>
      </w:r>
    </w:p>
    <w:p w14:paraId="3FC436A7" w14:textId="40D80569" w:rsidR="005322B4" w:rsidRDefault="005322B4" w:rsidP="00A25A84">
      <w:pPr>
        <w:spacing w:after="100" w:afterAutospacing="1" w:line="276" w:lineRule="auto"/>
        <w:rPr>
          <w:rFonts w:cs="Times New Roman"/>
        </w:rPr>
      </w:pPr>
      <w:r w:rsidRPr="004842A1">
        <w:rPr>
          <w:rFonts w:cs="Times New Roman"/>
        </w:rPr>
        <w:t>El primer elemento para evitar que los nervios nos devoren es preparar el asunto con el tiempo suficiente; tampoco más de lo necesario.</w:t>
      </w:r>
      <w:r w:rsidR="00DA3AE8" w:rsidRPr="004842A1">
        <w:rPr>
          <w:rFonts w:cs="Times New Roman"/>
        </w:rPr>
        <w:t xml:space="preserve"> </w:t>
      </w:r>
      <w:r w:rsidRPr="004842A1">
        <w:rPr>
          <w:rFonts w:cs="Times New Roman"/>
        </w:rPr>
        <w:t xml:space="preserve">Aquí es importante que nos acostumbremos a trabajar bajo presión para producir más y mejor, al tiempo que </w:t>
      </w:r>
      <w:r w:rsidRPr="004842A1">
        <w:rPr>
          <w:rFonts w:cs="Times New Roman"/>
        </w:rPr>
        <w:lastRenderedPageBreak/>
        <w:t>requerimos tiempo para pensar. Es conveniente descansar -y hasta dormir- con un</w:t>
      </w:r>
      <w:r w:rsidR="00D97A83">
        <w:rPr>
          <w:rFonts w:cs="Times New Roman"/>
        </w:rPr>
        <w:t xml:space="preserve"> cuaderno de notas para </w:t>
      </w:r>
      <w:r w:rsidRPr="004842A1">
        <w:rPr>
          <w:rFonts w:cs="Times New Roman"/>
        </w:rPr>
        <w:t>recoger ideas.</w:t>
      </w:r>
    </w:p>
    <w:p w14:paraId="711A30B0" w14:textId="5881A6F9" w:rsidR="00036BB2" w:rsidRPr="004842A1" w:rsidRDefault="001A06C6" w:rsidP="00B17843">
      <w:pPr>
        <w:spacing w:after="100" w:afterAutospacing="1" w:line="276" w:lineRule="auto"/>
        <w:rPr>
          <w:rFonts w:cs="Times New Roman"/>
        </w:rPr>
      </w:pPr>
      <w:r>
        <w:rPr>
          <w:rFonts w:cs="Times New Roman"/>
        </w:rPr>
        <w:t>5. Conclusiones</w:t>
      </w:r>
    </w:p>
    <w:p w14:paraId="20DED885" w14:textId="350C4DC2" w:rsidR="00665B69" w:rsidRPr="004842A1" w:rsidRDefault="00036BB2" w:rsidP="00B17843">
      <w:pPr>
        <w:spacing w:after="100" w:afterAutospacing="1" w:line="276" w:lineRule="auto"/>
        <w:rPr>
          <w:rFonts w:cs="Times New Roman"/>
        </w:rPr>
      </w:pPr>
      <w:r w:rsidRPr="004842A1">
        <w:rPr>
          <w:rFonts w:cs="Times New Roman"/>
        </w:rPr>
        <w:t xml:space="preserve">1ª) </w:t>
      </w:r>
      <w:r w:rsidR="005009DC" w:rsidRPr="004842A1">
        <w:rPr>
          <w:rFonts w:cs="Times New Roman"/>
        </w:rPr>
        <w:t>L</w:t>
      </w:r>
      <w:r w:rsidR="00665B69" w:rsidRPr="004842A1">
        <w:rPr>
          <w:rFonts w:cs="Times New Roman"/>
        </w:rPr>
        <w:t xml:space="preserve">a oratoria en el proceso civil, tal y como está configurado en la actualidad, </w:t>
      </w:r>
      <w:r w:rsidR="009D2273" w:rsidRPr="004842A1">
        <w:rPr>
          <w:rFonts w:cs="Times New Roman"/>
        </w:rPr>
        <w:t xml:space="preserve">profundamente despojada de retórica y enlatada en los tiempos procesales </w:t>
      </w:r>
      <w:r w:rsidR="00133DAA" w:rsidRPr="004842A1">
        <w:rPr>
          <w:rFonts w:cs="Times New Roman"/>
        </w:rPr>
        <w:t>(</w:t>
      </w:r>
      <w:r w:rsidR="009D2273" w:rsidRPr="004842A1">
        <w:rPr>
          <w:rFonts w:cs="Times New Roman"/>
        </w:rPr>
        <w:t>alegaciones</w:t>
      </w:r>
      <w:r w:rsidR="00790DC3" w:rsidRPr="004842A1">
        <w:rPr>
          <w:rFonts w:cs="Times New Roman"/>
        </w:rPr>
        <w:t xml:space="preserve">, sobre todo de índole procesal, formulación de recursos orales y conclusiones orales sobre la prueba </w:t>
      </w:r>
      <w:r w:rsidR="00133DAA" w:rsidRPr="004842A1">
        <w:rPr>
          <w:rFonts w:cs="Times New Roman"/>
        </w:rPr>
        <w:t>practicada)</w:t>
      </w:r>
      <w:r w:rsidR="00790DC3" w:rsidRPr="004842A1">
        <w:rPr>
          <w:rFonts w:cs="Times New Roman"/>
        </w:rPr>
        <w:t xml:space="preserve"> </w:t>
      </w:r>
      <w:r w:rsidR="006A06EB" w:rsidRPr="004842A1">
        <w:rPr>
          <w:rFonts w:cs="Times New Roman"/>
        </w:rPr>
        <w:t xml:space="preserve">se funde y confunde con la técnica procesal propiamente dicha, y, por tanto, </w:t>
      </w:r>
      <w:r w:rsidR="00B967FC" w:rsidRPr="004842A1">
        <w:rPr>
          <w:rFonts w:cs="Times New Roman"/>
        </w:rPr>
        <w:t xml:space="preserve">resulta tan imprescindible como </w:t>
      </w:r>
      <w:r w:rsidR="003D07B3" w:rsidRPr="004842A1">
        <w:rPr>
          <w:rFonts w:cs="Times New Roman"/>
        </w:rPr>
        <w:t>el procesador de texto y</w:t>
      </w:r>
      <w:r w:rsidR="00B967FC" w:rsidRPr="004842A1">
        <w:rPr>
          <w:rFonts w:cs="Times New Roman"/>
        </w:rPr>
        <w:t xml:space="preserve"> el formato </w:t>
      </w:r>
      <w:r w:rsidR="00C858C7">
        <w:rPr>
          <w:rFonts w:cs="Times New Roman"/>
        </w:rPr>
        <w:t>PDF</w:t>
      </w:r>
      <w:r w:rsidR="00B967FC" w:rsidRPr="004842A1">
        <w:rPr>
          <w:rFonts w:cs="Times New Roman"/>
        </w:rPr>
        <w:t xml:space="preserve"> para dar vida a</w:t>
      </w:r>
      <w:r w:rsidR="003D07B3" w:rsidRPr="004842A1">
        <w:rPr>
          <w:rFonts w:cs="Times New Roman"/>
        </w:rPr>
        <w:t xml:space="preserve"> los procesos civiles.</w:t>
      </w:r>
    </w:p>
    <w:p w14:paraId="4CFDCD92" w14:textId="3230B7B4" w:rsidR="005322B4" w:rsidRPr="0076755F" w:rsidRDefault="00036BB2" w:rsidP="00536266">
      <w:pPr>
        <w:spacing w:after="100" w:afterAutospacing="1" w:line="276" w:lineRule="auto"/>
        <w:rPr>
          <w:rFonts w:ascii="Arial" w:hAnsi="Arial" w:cs="Arial"/>
        </w:rPr>
      </w:pPr>
      <w:r w:rsidRPr="004842A1">
        <w:rPr>
          <w:rFonts w:cs="Times New Roman"/>
        </w:rPr>
        <w:t xml:space="preserve">2ª) </w:t>
      </w:r>
      <w:r w:rsidR="00AC5DDA" w:rsidRPr="004842A1">
        <w:rPr>
          <w:rFonts w:cs="Times New Roman"/>
        </w:rPr>
        <w:t xml:space="preserve">Conviene romper el mito de la aplicación de las reglas de la oratoria clásica al proceso civil hoy. Resulta materialmente imposible aplicar dichas </w:t>
      </w:r>
      <w:r w:rsidR="00B25B7D" w:rsidRPr="004842A1">
        <w:rPr>
          <w:rFonts w:cs="Times New Roman"/>
        </w:rPr>
        <w:t>pautas, dado que la estructura actual de los tipos procesales no lo permite.</w:t>
      </w:r>
    </w:p>
    <w:sectPr w:rsidR="005322B4" w:rsidRPr="00767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5AAE" w14:textId="77777777" w:rsidR="001C23DD" w:rsidRDefault="001C23DD" w:rsidP="00A25A84">
      <w:r>
        <w:separator/>
      </w:r>
    </w:p>
  </w:endnote>
  <w:endnote w:type="continuationSeparator" w:id="0">
    <w:p w14:paraId="70DF7296" w14:textId="77777777" w:rsidR="001C23DD" w:rsidRDefault="001C23DD" w:rsidP="00A2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19A21" w14:textId="77777777" w:rsidR="001C23DD" w:rsidRDefault="001C23DD" w:rsidP="00A25A84">
      <w:r>
        <w:separator/>
      </w:r>
    </w:p>
  </w:footnote>
  <w:footnote w:type="continuationSeparator" w:id="0">
    <w:p w14:paraId="576444B1" w14:textId="77777777" w:rsidR="001C23DD" w:rsidRDefault="001C23DD" w:rsidP="00A25A84">
      <w:r>
        <w:continuationSeparator/>
      </w:r>
    </w:p>
  </w:footnote>
  <w:footnote w:id="1">
    <w:p w14:paraId="174DB97E" w14:textId="6060D66C" w:rsidR="002320EE" w:rsidRDefault="002320EE">
      <w:pPr>
        <w:pStyle w:val="Textonotapie"/>
      </w:pPr>
      <w:r>
        <w:rPr>
          <w:rStyle w:val="Refdenotaalpie"/>
        </w:rPr>
        <w:footnoteRef/>
      </w:r>
      <w:r>
        <w:t xml:space="preserve"> ARISTOTELES, </w:t>
      </w:r>
      <w:r w:rsidRPr="00891B97">
        <w:rPr>
          <w:i/>
          <w:iCs/>
        </w:rPr>
        <w:t>Retórica</w:t>
      </w:r>
      <w:r>
        <w:t xml:space="preserve">, Gredos, </w:t>
      </w:r>
      <w:r w:rsidR="00891B97">
        <w:t xml:space="preserve">Barcelona, 2022; </w:t>
      </w:r>
      <w:r w:rsidR="00E8088E">
        <w:t xml:space="preserve">CICERÓN, </w:t>
      </w:r>
      <w:r w:rsidR="00E8088E" w:rsidRPr="00E8088E">
        <w:rPr>
          <w:i/>
          <w:iCs/>
        </w:rPr>
        <w:t>La invención de la retórica</w:t>
      </w:r>
      <w:r w:rsidR="00E8088E">
        <w:t>, Editorial Gredos, Barcelona, 1997.</w:t>
      </w:r>
    </w:p>
  </w:footnote>
  <w:footnote w:id="2">
    <w:p w14:paraId="582F2A1F" w14:textId="30082C4F" w:rsidR="00C02B5A" w:rsidRDefault="00C02B5A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cs="Times New Roman"/>
        </w:rPr>
        <w:t>OSORIO Y GAL</w:t>
      </w:r>
      <w:r w:rsidRPr="004842A1">
        <w:rPr>
          <w:rFonts w:cs="Times New Roman"/>
        </w:rPr>
        <w:t>LARDO</w:t>
      </w:r>
      <w:r w:rsidR="000878C0">
        <w:rPr>
          <w:rFonts w:cs="Times New Roman"/>
        </w:rPr>
        <w:t xml:space="preserve">, A., </w:t>
      </w:r>
      <w:r w:rsidRPr="004842A1">
        <w:rPr>
          <w:rFonts w:cs="Times New Roman"/>
        </w:rPr>
        <w:t xml:space="preserve">El alma de la toga, </w:t>
      </w:r>
      <w:r w:rsidR="002310E3">
        <w:rPr>
          <w:rFonts w:cs="Times New Roman"/>
        </w:rPr>
        <w:t>Imprenta de Juan Pueyo, Madrid, 1922</w:t>
      </w:r>
      <w:r>
        <w:rPr>
          <w:rFonts w:cs="Times New Roman"/>
        </w:rPr>
        <w:t>.</w:t>
      </w:r>
    </w:p>
  </w:footnote>
  <w:footnote w:id="3">
    <w:p w14:paraId="29B7C2A1" w14:textId="66CC10D0" w:rsidR="00C02B5A" w:rsidRPr="00A93CCE" w:rsidRDefault="00C02B5A">
      <w:pPr>
        <w:pStyle w:val="Textonotapie"/>
      </w:pPr>
      <w:r>
        <w:rPr>
          <w:rStyle w:val="Refdenotaalpie"/>
        </w:rPr>
        <w:footnoteRef/>
      </w:r>
      <w:r w:rsidRPr="00A93CCE">
        <w:t xml:space="preserve"> </w:t>
      </w:r>
      <w:r w:rsidRPr="00A93CCE">
        <w:rPr>
          <w:rFonts w:cs="Times New Roman"/>
        </w:rPr>
        <w:t xml:space="preserve">CALAMANDREI, P., </w:t>
      </w:r>
      <w:r w:rsidRPr="00A93CCE">
        <w:rPr>
          <w:rFonts w:cs="Times New Roman"/>
          <w:i/>
          <w:iCs/>
        </w:rPr>
        <w:t>Demasiados abogados</w:t>
      </w:r>
      <w:r w:rsidR="00A93CCE" w:rsidRPr="00A93CCE">
        <w:rPr>
          <w:rFonts w:cs="Times New Roman"/>
        </w:rPr>
        <w:t>, Ediciones Jurídicas Europa-Amér</w:t>
      </w:r>
      <w:r w:rsidR="00A93CCE">
        <w:rPr>
          <w:rFonts w:cs="Times New Roman"/>
        </w:rPr>
        <w:t>ica, Buenos Aires, 1960.</w:t>
      </w:r>
    </w:p>
  </w:footnote>
  <w:footnote w:id="4">
    <w:p w14:paraId="2240CCE6" w14:textId="10502B0A" w:rsidR="001C50E0" w:rsidRPr="00A71EAE" w:rsidRDefault="001C50E0">
      <w:pPr>
        <w:pStyle w:val="Textonotapie"/>
        <w:rPr>
          <w:lang w:val="it-IT"/>
        </w:rPr>
      </w:pPr>
      <w:r>
        <w:rPr>
          <w:rStyle w:val="Refdenotaalpie"/>
        </w:rPr>
        <w:footnoteRef/>
      </w:r>
      <w:r>
        <w:t xml:space="preserve"> </w:t>
      </w:r>
      <w:r w:rsidRPr="004842A1">
        <w:rPr>
          <w:rFonts w:cs="Times New Roman"/>
        </w:rPr>
        <w:t>MAJADA</w:t>
      </w:r>
      <w:r>
        <w:rPr>
          <w:rFonts w:cs="Times New Roman"/>
        </w:rPr>
        <w:t xml:space="preserve">, A., </w:t>
      </w:r>
      <w:r w:rsidRPr="00A71EAE">
        <w:rPr>
          <w:rFonts w:cs="Times New Roman"/>
          <w:i/>
          <w:iCs/>
        </w:rPr>
        <w:t xml:space="preserve">Técnica del informe ante juzgados y tribunales. </w:t>
      </w:r>
      <w:r w:rsidRPr="00A71EAE">
        <w:rPr>
          <w:rFonts w:cs="Times New Roman"/>
          <w:i/>
          <w:iCs/>
          <w:lang w:val="it-IT"/>
        </w:rPr>
        <w:t>Oratoria forense</w:t>
      </w:r>
      <w:r w:rsidRPr="00A71EAE">
        <w:rPr>
          <w:rFonts w:cs="Times New Roman"/>
          <w:lang w:val="it-IT"/>
        </w:rPr>
        <w:t xml:space="preserve">, </w:t>
      </w:r>
      <w:r w:rsidR="00A71EAE" w:rsidRPr="00A71EAE">
        <w:rPr>
          <w:rFonts w:cs="Times New Roman"/>
          <w:lang w:val="it-IT"/>
        </w:rPr>
        <w:t>5ª ed., Bosch,</w:t>
      </w:r>
      <w:r w:rsidR="00A71EAE">
        <w:rPr>
          <w:rFonts w:cs="Times New Roman"/>
          <w:lang w:val="it-IT"/>
        </w:rPr>
        <w:t xml:space="preserve"> Barcelona, 1991.</w:t>
      </w:r>
    </w:p>
  </w:footnote>
  <w:footnote w:id="5">
    <w:p w14:paraId="215795F6" w14:textId="685D17FF" w:rsidR="001217A7" w:rsidRDefault="001217A7">
      <w:pPr>
        <w:pStyle w:val="Textonotapie"/>
      </w:pPr>
      <w:r>
        <w:rPr>
          <w:rStyle w:val="Refdenotaalpie"/>
        </w:rPr>
        <w:footnoteRef/>
      </w:r>
      <w:r>
        <w:t xml:space="preserve"> CALONJE, C., </w:t>
      </w:r>
      <w:r w:rsidRPr="001217A7">
        <w:rPr>
          <w:i/>
          <w:iCs/>
        </w:rPr>
        <w:t>T</w:t>
      </w:r>
      <w:r w:rsidRPr="001217A7">
        <w:rPr>
          <w:rFonts w:cs="Times New Roman"/>
          <w:i/>
          <w:iCs/>
        </w:rPr>
        <w:t>écnica de la Argumentación Jurídica</w:t>
      </w:r>
      <w:r w:rsidRPr="004842A1">
        <w:rPr>
          <w:rFonts w:cs="Times New Roman"/>
        </w:rPr>
        <w:t xml:space="preserve">, </w:t>
      </w:r>
      <w:r w:rsidR="008B44D6">
        <w:rPr>
          <w:rFonts w:cs="Times New Roman"/>
        </w:rPr>
        <w:t xml:space="preserve">2.ª ED., Aranzadi – Thomson Reuters, </w:t>
      </w:r>
      <w:r w:rsidR="00EC3CBE">
        <w:rPr>
          <w:rFonts w:cs="Times New Roman"/>
        </w:rPr>
        <w:t>2009.</w:t>
      </w:r>
    </w:p>
  </w:footnote>
  <w:footnote w:id="6">
    <w:p w14:paraId="6D9B7ADA" w14:textId="6ED6328F" w:rsidR="00D84312" w:rsidRPr="004E4689" w:rsidRDefault="00D84312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4E4689">
        <w:rPr>
          <w:lang w:val="pt-BR"/>
        </w:rPr>
        <w:t xml:space="preserve"> LISIAS, </w:t>
      </w:r>
      <w:r w:rsidRPr="004E4689">
        <w:rPr>
          <w:i/>
          <w:iCs/>
          <w:lang w:val="pt-BR"/>
        </w:rPr>
        <w:t>Discursos</w:t>
      </w:r>
      <w:r w:rsidRPr="004E4689">
        <w:rPr>
          <w:lang w:val="pt-BR"/>
        </w:rPr>
        <w:t xml:space="preserve">, </w:t>
      </w:r>
      <w:r w:rsidR="004E4689">
        <w:rPr>
          <w:lang w:val="pt-BR"/>
        </w:rPr>
        <w:t xml:space="preserve">I y II, </w:t>
      </w:r>
      <w:r w:rsidR="008C0F00" w:rsidRPr="004E4689">
        <w:rPr>
          <w:lang w:val="pt-BR"/>
        </w:rPr>
        <w:t xml:space="preserve">Biblioteca Básica </w:t>
      </w:r>
      <w:proofErr w:type="spellStart"/>
      <w:r w:rsidR="008C0F00" w:rsidRPr="004E4689">
        <w:rPr>
          <w:lang w:val="pt-BR"/>
        </w:rPr>
        <w:t>Gredos</w:t>
      </w:r>
      <w:proofErr w:type="spellEnd"/>
      <w:r w:rsidR="008C0F00" w:rsidRPr="004E4689">
        <w:rPr>
          <w:lang w:val="pt-BR"/>
        </w:rPr>
        <w:t xml:space="preserve">, </w:t>
      </w:r>
      <w:r w:rsidR="004E4689" w:rsidRPr="004E4689">
        <w:rPr>
          <w:lang w:val="pt-BR"/>
        </w:rPr>
        <w:t>Madrid, 20</w:t>
      </w:r>
      <w:r w:rsidR="004E4689">
        <w:rPr>
          <w:lang w:val="pt-BR"/>
        </w:rPr>
        <w:t>02.</w:t>
      </w:r>
      <w:r w:rsidRPr="004E4689">
        <w:rPr>
          <w:lang w:val="pt-BR"/>
        </w:rPr>
        <w:t xml:space="preserve"> </w:t>
      </w:r>
    </w:p>
  </w:footnote>
  <w:footnote w:id="7">
    <w:p w14:paraId="1322F9A9" w14:textId="37AD6AF6" w:rsidR="002C69D9" w:rsidRPr="00C077AF" w:rsidRDefault="002C69D9">
      <w:pPr>
        <w:pStyle w:val="Textonotapie"/>
      </w:pPr>
      <w:r>
        <w:rPr>
          <w:rStyle w:val="Refdenotaalpie"/>
        </w:rPr>
        <w:footnoteRef/>
      </w:r>
      <w:r w:rsidRPr="00C077AF">
        <w:t xml:space="preserve"> </w:t>
      </w:r>
      <w:r w:rsidR="00C077AF" w:rsidRPr="00C077AF">
        <w:t xml:space="preserve">GARCÍA RAMÍREZ, J., </w:t>
      </w:r>
      <w:r w:rsidR="00C077AF" w:rsidRPr="00300F1E">
        <w:rPr>
          <w:i/>
          <w:iCs/>
        </w:rPr>
        <w:t xml:space="preserve">Estrategia de </w:t>
      </w:r>
      <w:r w:rsidR="00300F1E" w:rsidRPr="00300F1E">
        <w:rPr>
          <w:i/>
          <w:iCs/>
        </w:rPr>
        <w:t>oratoria</w:t>
      </w:r>
      <w:r w:rsidR="00C077AF" w:rsidRPr="00300F1E">
        <w:rPr>
          <w:i/>
          <w:iCs/>
        </w:rPr>
        <w:t xml:space="preserve"> práctica para abogados. Cómo hablar eficazmente en el Proceso Civil, Penal, Laboral, ante el Tribunal del Jurado y Juntas de Propietarios</w:t>
      </w:r>
      <w:r w:rsidR="00C077AF">
        <w:t xml:space="preserve">, 2.ª ed., Colex, </w:t>
      </w:r>
      <w:r w:rsidR="00300F1E">
        <w:t>2004, p. 22.</w:t>
      </w:r>
    </w:p>
  </w:footnote>
  <w:footnote w:id="8">
    <w:p w14:paraId="43298EF0" w14:textId="77777777" w:rsidR="0041403C" w:rsidRDefault="0041403C" w:rsidP="0041403C">
      <w:pPr>
        <w:pStyle w:val="Textonotapie"/>
      </w:pPr>
      <w:r>
        <w:rPr>
          <w:rStyle w:val="Refdenotaalpie"/>
        </w:rPr>
        <w:footnoteRef/>
      </w:r>
      <w:r>
        <w:t xml:space="preserve"> En este sentido, véase, WESTON, A., Las claves de la argumentación, 9.ª ed., Ariel, Barcelona, 2004; BANDIERI, L. M., </w:t>
      </w:r>
      <w:r>
        <w:rPr>
          <w:rFonts w:cs="Times New Roman"/>
        </w:rPr>
        <w:t xml:space="preserve">«Argumentación y composición de conflictos jurídicos», en PUY MUÑOZ, F., PORTELA, J. G. (eds.), </w:t>
      </w:r>
      <w:r w:rsidRPr="00E53F4F">
        <w:rPr>
          <w:rFonts w:cs="Times New Roman"/>
          <w:i/>
          <w:iCs/>
        </w:rPr>
        <w:t>La argumentación jurídica. Problemas de concepto, método y aplicación</w:t>
      </w:r>
      <w:r>
        <w:rPr>
          <w:rFonts w:cs="Times New Roman"/>
        </w:rPr>
        <w:t>, Universidad de Santiago de Compostela, Santiago de Compostela, 2004, pp. 17-57</w:t>
      </w:r>
      <w:r>
        <w:t>.</w:t>
      </w:r>
    </w:p>
  </w:footnote>
  <w:footnote w:id="9">
    <w:p w14:paraId="76E41B8E" w14:textId="621458FC" w:rsidR="00E07B9A" w:rsidRDefault="00E07B9A">
      <w:pPr>
        <w:pStyle w:val="Textonotapie"/>
      </w:pPr>
      <w:r>
        <w:rPr>
          <w:rStyle w:val="Refdenotaalpie"/>
        </w:rPr>
        <w:footnoteRef/>
      </w:r>
      <w:r>
        <w:t xml:space="preserve"> Sobre la disposición de los argumentos, véase, TRAVERSI, A., </w:t>
      </w:r>
      <w:r w:rsidRPr="005B4A76">
        <w:rPr>
          <w:i/>
          <w:iCs/>
        </w:rPr>
        <w:t>La Defensa Penal, Técnicas argumentativas y oratorias</w:t>
      </w:r>
      <w:r>
        <w:t xml:space="preserve">, </w:t>
      </w:r>
      <w:r w:rsidR="004A1CCD">
        <w:t xml:space="preserve">3.ª ed., </w:t>
      </w:r>
      <w:r>
        <w:t xml:space="preserve">Thomson-Aranzadi, Cizur Menor (Navarra), </w:t>
      </w:r>
      <w:r w:rsidR="004A1CCD">
        <w:t>2005, pp. 109-125.</w:t>
      </w:r>
    </w:p>
  </w:footnote>
  <w:footnote w:id="10">
    <w:p w14:paraId="55365752" w14:textId="0D104416" w:rsidR="00297112" w:rsidRDefault="0029711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976E05">
        <w:t xml:space="preserve">AHUMADA, C., </w:t>
      </w:r>
      <w:r w:rsidR="00976E05">
        <w:rPr>
          <w:rFonts w:cs="Times New Roman"/>
        </w:rPr>
        <w:t xml:space="preserve">«Las preguntas», </w:t>
      </w:r>
      <w:r w:rsidR="00976E05" w:rsidRPr="00EE400A">
        <w:rPr>
          <w:rFonts w:cs="Times New Roman"/>
          <w:i/>
          <w:iCs/>
        </w:rPr>
        <w:t>Los recursos en la litigación</w:t>
      </w:r>
      <w:r w:rsidR="00976E05">
        <w:rPr>
          <w:rFonts w:cs="Times New Roman"/>
        </w:rPr>
        <w:t xml:space="preserve">, 1.ª ed., Ediciones </w:t>
      </w:r>
      <w:proofErr w:type="spellStart"/>
      <w:r w:rsidR="00976E05">
        <w:rPr>
          <w:rFonts w:cs="Times New Roman"/>
        </w:rPr>
        <w:t>Didot</w:t>
      </w:r>
      <w:proofErr w:type="spellEnd"/>
      <w:r w:rsidR="00976E05">
        <w:rPr>
          <w:rFonts w:cs="Times New Roman"/>
        </w:rPr>
        <w:t>, Caba</w:t>
      </w:r>
      <w:r w:rsidR="00D97637">
        <w:rPr>
          <w:rFonts w:cs="Times New Roman"/>
        </w:rPr>
        <w:t>-Argentina, 2019, pp. 169-194.</w:t>
      </w:r>
    </w:p>
  </w:footnote>
  <w:footnote w:id="11">
    <w:p w14:paraId="59C7BB5D" w14:textId="20F49F81" w:rsidR="00932EB6" w:rsidRDefault="00932EB6">
      <w:pPr>
        <w:pStyle w:val="Textonotapie"/>
      </w:pPr>
      <w:r>
        <w:rPr>
          <w:rStyle w:val="Refdenotaalpie"/>
        </w:rPr>
        <w:footnoteRef/>
      </w:r>
      <w:r>
        <w:t xml:space="preserve"> LLAMAS SAÍZ, C.; MARTÍNEZ PASAMAR, C.; TABERNERO SALA, C., </w:t>
      </w:r>
      <w:r w:rsidRPr="002F4B3D">
        <w:rPr>
          <w:i/>
          <w:iCs/>
        </w:rPr>
        <w:t>La Comunicación Académica y Profesional. Usos, Técnicas y Estilo</w:t>
      </w:r>
      <w:r w:rsidR="0085116F">
        <w:t xml:space="preserve">, Thomson Reuters – Aranzadi, Cizur Menor (Navarra), </w:t>
      </w:r>
      <w:r w:rsidR="002F4B3D">
        <w:t>2012.</w:t>
      </w:r>
    </w:p>
  </w:footnote>
  <w:footnote w:id="12">
    <w:p w14:paraId="7ED3E342" w14:textId="3DE01CB7" w:rsidR="00AA0E27" w:rsidRDefault="00AA0E27">
      <w:pPr>
        <w:pStyle w:val="Textonotapie"/>
      </w:pPr>
      <w:r>
        <w:rPr>
          <w:rStyle w:val="Refdenotaalpie"/>
        </w:rPr>
        <w:footnoteRef/>
      </w:r>
      <w:r>
        <w:t xml:space="preserve"> HELLER, R., </w:t>
      </w:r>
      <w:r w:rsidRPr="00277CB6">
        <w:rPr>
          <w:i/>
          <w:iCs/>
        </w:rPr>
        <w:t>Comunicar con claridad</w:t>
      </w:r>
      <w:r>
        <w:t xml:space="preserve">, </w:t>
      </w:r>
      <w:r w:rsidR="00656841">
        <w:t>Grijalbo, Barcelona, 1988, pp. 22-23.</w:t>
      </w:r>
    </w:p>
  </w:footnote>
  <w:footnote w:id="13">
    <w:p w14:paraId="7F40D6F6" w14:textId="1F501E97" w:rsidR="00E924EE" w:rsidRPr="00174A84" w:rsidRDefault="00E924EE">
      <w:pPr>
        <w:pStyle w:val="Textonotapie"/>
      </w:pPr>
      <w:r>
        <w:rPr>
          <w:rStyle w:val="Refdenotaalpie"/>
        </w:rPr>
        <w:footnoteRef/>
      </w:r>
      <w:r>
        <w:t xml:space="preserve"> El art. </w:t>
      </w:r>
      <w:r w:rsidR="006333FB">
        <w:t>49</w:t>
      </w:r>
      <w:r>
        <w:t xml:space="preserve"> del </w:t>
      </w:r>
      <w:r w:rsidRPr="003E32C2">
        <w:rPr>
          <w:i/>
          <w:iCs/>
        </w:rPr>
        <w:t>R</w:t>
      </w:r>
      <w:r w:rsidR="003E32C2" w:rsidRPr="003E32C2">
        <w:rPr>
          <w:i/>
          <w:iCs/>
        </w:rPr>
        <w:t xml:space="preserve">eal Decreto </w:t>
      </w:r>
      <w:r w:rsidR="00F13F91" w:rsidRPr="003E32C2">
        <w:rPr>
          <w:i/>
          <w:iCs/>
        </w:rPr>
        <w:t>2090</w:t>
      </w:r>
      <w:r w:rsidRPr="003E32C2">
        <w:rPr>
          <w:i/>
          <w:iCs/>
        </w:rPr>
        <w:t>/1982,</w:t>
      </w:r>
      <w:r w:rsidR="00F13F91" w:rsidRPr="003E32C2">
        <w:rPr>
          <w:i/>
          <w:iCs/>
        </w:rPr>
        <w:t xml:space="preserve"> de 24 de junio</w:t>
      </w:r>
      <w:r w:rsidR="00134524" w:rsidRPr="003E32C2">
        <w:rPr>
          <w:i/>
          <w:iCs/>
        </w:rPr>
        <w:t>, por el que se aprueba el Estatuto General de la Abogacía</w:t>
      </w:r>
      <w:r w:rsidR="00134524">
        <w:t xml:space="preserve">, determinaba que </w:t>
      </w:r>
      <w:r w:rsidR="003E32C2">
        <w:t xml:space="preserve">los abogados debían comparecer ante los tribunales </w:t>
      </w:r>
      <w:r w:rsidR="00134524">
        <w:t xml:space="preserve">con traje, corbata y zapatos negros, camisa blanca y vistiendo toga y, potestativamente, birrete, sin distintivos de ninguna clase. </w:t>
      </w:r>
      <w:r w:rsidR="003E32C2">
        <w:t xml:space="preserve">Dicha norma </w:t>
      </w:r>
      <w:r w:rsidR="006333FB">
        <w:t xml:space="preserve">fue sustituida por el art. 37 del </w:t>
      </w:r>
      <w:r w:rsidR="006333FB" w:rsidRPr="008F2CAD">
        <w:rPr>
          <w:i/>
          <w:iCs/>
        </w:rPr>
        <w:t>Real Decreto</w:t>
      </w:r>
      <w:r w:rsidR="008F2CAD" w:rsidRPr="008F2CAD">
        <w:rPr>
          <w:i/>
          <w:iCs/>
        </w:rPr>
        <w:t xml:space="preserve"> 658/2001, de 22 de junio, por el que se aprueba el Estatuto de la Abogacía Española</w:t>
      </w:r>
      <w:r w:rsidR="008F2CAD">
        <w:t xml:space="preserve">, </w:t>
      </w:r>
      <w:r w:rsidR="00B377A6">
        <w:t>que determina</w:t>
      </w:r>
      <w:r w:rsidR="00E5648C">
        <w:t>ba que los abogados “adecuarán su indumentaria a la dignidad y prestigio de la toga que visten y al respeto a la justicia”.</w:t>
      </w:r>
      <w:r>
        <w:t xml:space="preserve"> </w:t>
      </w:r>
      <w:r w:rsidR="00174A84">
        <w:t>En la actualidad</w:t>
      </w:r>
      <w:r w:rsidR="006D6A92">
        <w:t>, y en términos similares</w:t>
      </w:r>
      <w:r w:rsidR="00174A84">
        <w:t xml:space="preserve">, el </w:t>
      </w:r>
      <w:r w:rsidR="00174A84" w:rsidRPr="00174A84">
        <w:rPr>
          <w:i/>
          <w:iCs/>
        </w:rPr>
        <w:t>Real Decreto 135/2021, de 2 de marzo, por el que se aprueba el Estatuto General de la Abogacía Española</w:t>
      </w:r>
      <w:r w:rsidR="00174A84">
        <w:rPr>
          <w:i/>
          <w:iCs/>
        </w:rPr>
        <w:t xml:space="preserve"> </w:t>
      </w:r>
      <w:r w:rsidR="00E16BD3">
        <w:t xml:space="preserve">preceptúa </w:t>
      </w:r>
      <w:r w:rsidR="006D6A92">
        <w:t xml:space="preserve">que los abogados en los tribunales vestirán </w:t>
      </w:r>
      <w:r w:rsidR="00E16BD3">
        <w:t xml:space="preserve">toga, </w:t>
      </w:r>
      <w:r w:rsidR="00D87560">
        <w:t>“</w:t>
      </w:r>
      <w:r w:rsidR="00E16BD3">
        <w:t>adecuando su indumentaria a la dignidad de su función</w:t>
      </w:r>
      <w:r w:rsidR="00D87560">
        <w:t>” (</w:t>
      </w:r>
      <w:r w:rsidR="00D87560">
        <w:t>art. 56.1</w:t>
      </w:r>
      <w:r w:rsidR="00D87560">
        <w:t>)</w:t>
      </w:r>
      <w:r w:rsidR="00E16BD3">
        <w:t>.</w:t>
      </w:r>
      <w:r w:rsidR="008C057D">
        <w:t xml:space="preserve"> No obstante, es práctica habitual </w:t>
      </w:r>
      <w:r w:rsidR="008E149E">
        <w:t xml:space="preserve">de ciertos tribunales, v.gr., Málaga, </w:t>
      </w:r>
      <w:r w:rsidR="008C057D">
        <w:t xml:space="preserve">dispensar del uso de la toga durante </w:t>
      </w:r>
      <w:r w:rsidR="008E149E">
        <w:t>el período estival.</w:t>
      </w:r>
    </w:p>
  </w:footnote>
  <w:footnote w:id="14">
    <w:p w14:paraId="524CC97E" w14:textId="2F91C528" w:rsidR="009616EB" w:rsidRDefault="009616EB">
      <w:pPr>
        <w:pStyle w:val="Textonotapie"/>
      </w:pPr>
      <w:r>
        <w:rPr>
          <w:rStyle w:val="Refdenotaalpie"/>
        </w:rPr>
        <w:footnoteRef/>
      </w:r>
      <w:r>
        <w:t xml:space="preserve"> DANOVI, R., </w:t>
      </w:r>
      <w:r>
        <w:rPr>
          <w:rFonts w:cs="Times New Roman"/>
        </w:rPr>
        <w:t xml:space="preserve">«La elocuencia (El sofisma)», </w:t>
      </w:r>
      <w:r w:rsidRPr="00832ADB">
        <w:rPr>
          <w:rFonts w:cs="Times New Roman"/>
          <w:i/>
          <w:iCs/>
        </w:rPr>
        <w:t>La imagen del abogado y su reflejo</w:t>
      </w:r>
      <w:r>
        <w:rPr>
          <w:rFonts w:cs="Times New Roman"/>
        </w:rPr>
        <w:t xml:space="preserve">, Bosch, </w:t>
      </w:r>
      <w:r w:rsidR="00832ADB">
        <w:rPr>
          <w:rFonts w:cs="Times New Roman"/>
        </w:rPr>
        <w:t>Barcelona, 2001, pp. 87-103.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37"/>
    <w:rsid w:val="00016053"/>
    <w:rsid w:val="00016229"/>
    <w:rsid w:val="00024DFC"/>
    <w:rsid w:val="0002580F"/>
    <w:rsid w:val="00030D58"/>
    <w:rsid w:val="00036BB2"/>
    <w:rsid w:val="00044BFA"/>
    <w:rsid w:val="0004779E"/>
    <w:rsid w:val="00050FBA"/>
    <w:rsid w:val="00062EBC"/>
    <w:rsid w:val="0006328B"/>
    <w:rsid w:val="00072082"/>
    <w:rsid w:val="00072D82"/>
    <w:rsid w:val="00073A80"/>
    <w:rsid w:val="000878C0"/>
    <w:rsid w:val="000A656C"/>
    <w:rsid w:val="000B4011"/>
    <w:rsid w:val="000D3CD1"/>
    <w:rsid w:val="000D4DE4"/>
    <w:rsid w:val="000E53DE"/>
    <w:rsid w:val="00117F68"/>
    <w:rsid w:val="001212E6"/>
    <w:rsid w:val="001217A7"/>
    <w:rsid w:val="00133DAA"/>
    <w:rsid w:val="00134524"/>
    <w:rsid w:val="001425DD"/>
    <w:rsid w:val="00150247"/>
    <w:rsid w:val="001603AA"/>
    <w:rsid w:val="00174A84"/>
    <w:rsid w:val="0017700D"/>
    <w:rsid w:val="0018108F"/>
    <w:rsid w:val="001814DD"/>
    <w:rsid w:val="00190207"/>
    <w:rsid w:val="00190530"/>
    <w:rsid w:val="001A06C6"/>
    <w:rsid w:val="001A6794"/>
    <w:rsid w:val="001B39BB"/>
    <w:rsid w:val="001C0637"/>
    <w:rsid w:val="001C23DD"/>
    <w:rsid w:val="001C50E0"/>
    <w:rsid w:val="001C5DB9"/>
    <w:rsid w:val="001D6CF4"/>
    <w:rsid w:val="001F4718"/>
    <w:rsid w:val="00203211"/>
    <w:rsid w:val="00204D0A"/>
    <w:rsid w:val="00207D12"/>
    <w:rsid w:val="00224D56"/>
    <w:rsid w:val="002310E3"/>
    <w:rsid w:val="002320EE"/>
    <w:rsid w:val="00251E96"/>
    <w:rsid w:val="00277CB6"/>
    <w:rsid w:val="00297112"/>
    <w:rsid w:val="002B6F2E"/>
    <w:rsid w:val="002C69D9"/>
    <w:rsid w:val="002E3631"/>
    <w:rsid w:val="002F4B3D"/>
    <w:rsid w:val="00300F1E"/>
    <w:rsid w:val="00301025"/>
    <w:rsid w:val="00303AD5"/>
    <w:rsid w:val="003619D9"/>
    <w:rsid w:val="0037372A"/>
    <w:rsid w:val="00395884"/>
    <w:rsid w:val="00397640"/>
    <w:rsid w:val="003B54F2"/>
    <w:rsid w:val="003C3B1B"/>
    <w:rsid w:val="003C519E"/>
    <w:rsid w:val="003D07B3"/>
    <w:rsid w:val="003D1167"/>
    <w:rsid w:val="003E32C2"/>
    <w:rsid w:val="0040468B"/>
    <w:rsid w:val="0041403C"/>
    <w:rsid w:val="00422CC2"/>
    <w:rsid w:val="00431B9B"/>
    <w:rsid w:val="00444ED0"/>
    <w:rsid w:val="00452929"/>
    <w:rsid w:val="00472545"/>
    <w:rsid w:val="00481286"/>
    <w:rsid w:val="004842A1"/>
    <w:rsid w:val="00492236"/>
    <w:rsid w:val="004A1CCD"/>
    <w:rsid w:val="004C2A38"/>
    <w:rsid w:val="004E4689"/>
    <w:rsid w:val="004E60A8"/>
    <w:rsid w:val="004E7E49"/>
    <w:rsid w:val="004F611E"/>
    <w:rsid w:val="005009DC"/>
    <w:rsid w:val="00502A72"/>
    <w:rsid w:val="00503866"/>
    <w:rsid w:val="005322B4"/>
    <w:rsid w:val="00536266"/>
    <w:rsid w:val="00544CA1"/>
    <w:rsid w:val="005532F1"/>
    <w:rsid w:val="00560221"/>
    <w:rsid w:val="00572F1B"/>
    <w:rsid w:val="00574513"/>
    <w:rsid w:val="005B3DA2"/>
    <w:rsid w:val="005B4A76"/>
    <w:rsid w:val="005C0F16"/>
    <w:rsid w:val="005C5DBF"/>
    <w:rsid w:val="005E0F3A"/>
    <w:rsid w:val="005F4768"/>
    <w:rsid w:val="005F6896"/>
    <w:rsid w:val="00602445"/>
    <w:rsid w:val="00607528"/>
    <w:rsid w:val="00613578"/>
    <w:rsid w:val="00615100"/>
    <w:rsid w:val="006163FB"/>
    <w:rsid w:val="006333EE"/>
    <w:rsid w:val="006333FB"/>
    <w:rsid w:val="00642612"/>
    <w:rsid w:val="00650080"/>
    <w:rsid w:val="00650356"/>
    <w:rsid w:val="00653ED5"/>
    <w:rsid w:val="00656841"/>
    <w:rsid w:val="00665B69"/>
    <w:rsid w:val="00696BE9"/>
    <w:rsid w:val="006A06EB"/>
    <w:rsid w:val="006A3A37"/>
    <w:rsid w:val="006A712B"/>
    <w:rsid w:val="006B586E"/>
    <w:rsid w:val="006D6A92"/>
    <w:rsid w:val="006E4116"/>
    <w:rsid w:val="00703C2B"/>
    <w:rsid w:val="0070430E"/>
    <w:rsid w:val="007161CD"/>
    <w:rsid w:val="00750D30"/>
    <w:rsid w:val="0076755F"/>
    <w:rsid w:val="007716DC"/>
    <w:rsid w:val="00773BAE"/>
    <w:rsid w:val="007908A9"/>
    <w:rsid w:val="00790DC3"/>
    <w:rsid w:val="007A72E3"/>
    <w:rsid w:val="007C13A0"/>
    <w:rsid w:val="007C236C"/>
    <w:rsid w:val="007C753E"/>
    <w:rsid w:val="007F55BE"/>
    <w:rsid w:val="007F6969"/>
    <w:rsid w:val="00812590"/>
    <w:rsid w:val="008137B1"/>
    <w:rsid w:val="00820556"/>
    <w:rsid w:val="0082157E"/>
    <w:rsid w:val="00826C11"/>
    <w:rsid w:val="00832ADB"/>
    <w:rsid w:val="0085116F"/>
    <w:rsid w:val="00852333"/>
    <w:rsid w:val="00885DD2"/>
    <w:rsid w:val="00891B97"/>
    <w:rsid w:val="008942B1"/>
    <w:rsid w:val="008A0EA8"/>
    <w:rsid w:val="008B44D6"/>
    <w:rsid w:val="008C057D"/>
    <w:rsid w:val="008C0F00"/>
    <w:rsid w:val="008E149E"/>
    <w:rsid w:val="008F1A55"/>
    <w:rsid w:val="008F2CAD"/>
    <w:rsid w:val="008F4218"/>
    <w:rsid w:val="00921399"/>
    <w:rsid w:val="00922DC3"/>
    <w:rsid w:val="0092498E"/>
    <w:rsid w:val="00932EB6"/>
    <w:rsid w:val="00957977"/>
    <w:rsid w:val="009616EB"/>
    <w:rsid w:val="009635B7"/>
    <w:rsid w:val="00970308"/>
    <w:rsid w:val="00976E05"/>
    <w:rsid w:val="00995359"/>
    <w:rsid w:val="009A0E55"/>
    <w:rsid w:val="009A60F8"/>
    <w:rsid w:val="009D2273"/>
    <w:rsid w:val="009D23BC"/>
    <w:rsid w:val="00A007A4"/>
    <w:rsid w:val="00A25A84"/>
    <w:rsid w:val="00A26150"/>
    <w:rsid w:val="00A41BA2"/>
    <w:rsid w:val="00A42677"/>
    <w:rsid w:val="00A67834"/>
    <w:rsid w:val="00A71EAE"/>
    <w:rsid w:val="00A8418A"/>
    <w:rsid w:val="00A93CCE"/>
    <w:rsid w:val="00AA0E27"/>
    <w:rsid w:val="00AA352A"/>
    <w:rsid w:val="00AA72BE"/>
    <w:rsid w:val="00AC3035"/>
    <w:rsid w:val="00AC5DDA"/>
    <w:rsid w:val="00AD4457"/>
    <w:rsid w:val="00AF2C74"/>
    <w:rsid w:val="00B17843"/>
    <w:rsid w:val="00B25B7D"/>
    <w:rsid w:val="00B2742F"/>
    <w:rsid w:val="00B377A6"/>
    <w:rsid w:val="00B73EBE"/>
    <w:rsid w:val="00B950E1"/>
    <w:rsid w:val="00B967FC"/>
    <w:rsid w:val="00B969FC"/>
    <w:rsid w:val="00BA2BDC"/>
    <w:rsid w:val="00BC0F20"/>
    <w:rsid w:val="00BC3AE2"/>
    <w:rsid w:val="00BC55ED"/>
    <w:rsid w:val="00C02B5A"/>
    <w:rsid w:val="00C04331"/>
    <w:rsid w:val="00C0668E"/>
    <w:rsid w:val="00C077AF"/>
    <w:rsid w:val="00C225BE"/>
    <w:rsid w:val="00C25FFE"/>
    <w:rsid w:val="00C364E1"/>
    <w:rsid w:val="00C73A46"/>
    <w:rsid w:val="00C764E4"/>
    <w:rsid w:val="00C858C7"/>
    <w:rsid w:val="00C93613"/>
    <w:rsid w:val="00CC674C"/>
    <w:rsid w:val="00CD5CE3"/>
    <w:rsid w:val="00CE6FA7"/>
    <w:rsid w:val="00D04E8D"/>
    <w:rsid w:val="00D470CF"/>
    <w:rsid w:val="00D74A13"/>
    <w:rsid w:val="00D84312"/>
    <w:rsid w:val="00D87560"/>
    <w:rsid w:val="00D97637"/>
    <w:rsid w:val="00D97A83"/>
    <w:rsid w:val="00DA2F28"/>
    <w:rsid w:val="00DA3AE8"/>
    <w:rsid w:val="00DA60BA"/>
    <w:rsid w:val="00DB185B"/>
    <w:rsid w:val="00DC0854"/>
    <w:rsid w:val="00DD5174"/>
    <w:rsid w:val="00DE662F"/>
    <w:rsid w:val="00DF20A5"/>
    <w:rsid w:val="00DF5CFF"/>
    <w:rsid w:val="00E07B9A"/>
    <w:rsid w:val="00E16BD3"/>
    <w:rsid w:val="00E20D86"/>
    <w:rsid w:val="00E33B07"/>
    <w:rsid w:val="00E43BE1"/>
    <w:rsid w:val="00E46EF1"/>
    <w:rsid w:val="00E51A2D"/>
    <w:rsid w:val="00E53F4F"/>
    <w:rsid w:val="00E5648C"/>
    <w:rsid w:val="00E70AC1"/>
    <w:rsid w:val="00E8088E"/>
    <w:rsid w:val="00E83DBB"/>
    <w:rsid w:val="00E924EE"/>
    <w:rsid w:val="00EA5546"/>
    <w:rsid w:val="00EB0442"/>
    <w:rsid w:val="00EB5186"/>
    <w:rsid w:val="00EB7BA4"/>
    <w:rsid w:val="00EC3CBE"/>
    <w:rsid w:val="00EC4F49"/>
    <w:rsid w:val="00ED0D1E"/>
    <w:rsid w:val="00EE1A6C"/>
    <w:rsid w:val="00EE2562"/>
    <w:rsid w:val="00EE400A"/>
    <w:rsid w:val="00F13F91"/>
    <w:rsid w:val="00F14A15"/>
    <w:rsid w:val="00F253A1"/>
    <w:rsid w:val="00F36048"/>
    <w:rsid w:val="00F66054"/>
    <w:rsid w:val="00F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DA2A"/>
  <w15:docId w15:val="{8CA5FA31-8761-4859-91A1-A0DD26B7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F55BE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25A8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5A8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25A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902279DE8BC347ADBB97F773641860" ma:contentTypeVersion="3" ma:contentTypeDescription="Crear nuevo documento." ma:contentTypeScope="" ma:versionID="3e84aa5efd5684a3589ea6cee909892b">
  <xsd:schema xmlns:xsd="http://www.w3.org/2001/XMLSchema" xmlns:xs="http://www.w3.org/2001/XMLSchema" xmlns:p="http://schemas.microsoft.com/office/2006/metadata/properties" xmlns:ns3="4c0091eb-f241-41a2-bc0b-fcb53412e7ef" targetNamespace="http://schemas.microsoft.com/office/2006/metadata/properties" ma:root="true" ma:fieldsID="57b532b152ad0d8ad2ce091eb3f51cfe" ns3:_="">
    <xsd:import namespace="4c0091eb-f241-41a2-bc0b-fcb53412e7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091eb-f241-41a2-bc0b-fcb53412e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8A07D5-1B48-4718-BA79-A684B1C27F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2DD6C3-8959-4E5D-81F3-156B29A4A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85316-F274-4E3E-855B-E6CCD1279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091eb-f241-41a2-bc0b-fcb53412e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1871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José Vélez Toro</dc:creator>
  <cp:lastModifiedBy>Antonio José Vélez Toro</cp:lastModifiedBy>
  <cp:revision>2</cp:revision>
  <cp:lastPrinted>2023-06-16T03:46:00Z</cp:lastPrinted>
  <dcterms:created xsi:type="dcterms:W3CDTF">2023-10-11T08:40:00Z</dcterms:created>
  <dcterms:modified xsi:type="dcterms:W3CDTF">2023-10-11T08:40:00Z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0x010100BD902279DE8BC347ADBB97F773641860</vt:lpwstr>
  </property>
</Properties>
</file>