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DEBF5" w14:textId="77777777" w:rsidR="003018BA" w:rsidRPr="003018BA" w:rsidRDefault="003018BA" w:rsidP="003D7F3E">
      <w:pPr>
        <w:spacing w:line="240" w:lineRule="auto"/>
        <w:jc w:val="right"/>
        <w:rPr>
          <w:b/>
        </w:rPr>
      </w:pPr>
      <w:r w:rsidRPr="003018BA">
        <w:rPr>
          <w:b/>
        </w:rPr>
        <w:t>12</w:t>
      </w:r>
      <w:r w:rsidRPr="003018BA">
        <w:rPr>
          <w:b/>
          <w:vertAlign w:val="superscript"/>
        </w:rPr>
        <w:t>th</w:t>
      </w:r>
      <w:r>
        <w:rPr>
          <w:b/>
        </w:rPr>
        <w:t xml:space="preserve"> January</w:t>
      </w:r>
      <w:r w:rsidRPr="003018BA">
        <w:rPr>
          <w:b/>
        </w:rPr>
        <w:t>, 2016</w:t>
      </w:r>
    </w:p>
    <w:p w14:paraId="2601E787" w14:textId="77777777" w:rsidR="003018BA" w:rsidRPr="003018BA" w:rsidRDefault="003018BA" w:rsidP="003D7F3E">
      <w:pPr>
        <w:spacing w:line="240" w:lineRule="auto"/>
        <w:rPr>
          <w:b/>
        </w:rPr>
      </w:pPr>
      <w:r w:rsidRPr="003018BA">
        <w:rPr>
          <w:b/>
        </w:rPr>
        <w:t>K. Patterson</w:t>
      </w:r>
    </w:p>
    <w:p w14:paraId="321BF17F" w14:textId="77777777" w:rsidR="00F14EE1" w:rsidRDefault="003018BA" w:rsidP="003D7F3E">
      <w:pPr>
        <w:spacing w:line="240" w:lineRule="auto"/>
        <w:rPr>
          <w:b/>
        </w:rPr>
      </w:pPr>
      <w:r w:rsidRPr="003018BA">
        <w:rPr>
          <w:b/>
        </w:rPr>
        <w:t xml:space="preserve">Lexical priming and metaphor – A </w:t>
      </w:r>
      <w:r>
        <w:rPr>
          <w:b/>
        </w:rPr>
        <w:t>corpus</w:t>
      </w:r>
      <w:r w:rsidRPr="003018BA">
        <w:rPr>
          <w:b/>
        </w:rPr>
        <w:t xml:space="preserve"> study of nineteenth century writing.</w:t>
      </w:r>
    </w:p>
    <w:p w14:paraId="750C6B9A" w14:textId="77777777" w:rsidR="003018BA" w:rsidRDefault="003018BA" w:rsidP="003D7F3E">
      <w:pPr>
        <w:spacing w:line="240" w:lineRule="auto"/>
        <w:rPr>
          <w:b/>
        </w:rPr>
      </w:pPr>
    </w:p>
    <w:p w14:paraId="7888E44F" w14:textId="77777777" w:rsidR="003018BA" w:rsidRDefault="003018BA" w:rsidP="003D7F3E">
      <w:pPr>
        <w:spacing w:line="240" w:lineRule="auto"/>
        <w:rPr>
          <w:b/>
        </w:rPr>
      </w:pPr>
      <w:r>
        <w:rPr>
          <w:b/>
        </w:rPr>
        <w:t>Abstract</w:t>
      </w:r>
    </w:p>
    <w:p w14:paraId="008D61B4" w14:textId="77777777" w:rsidR="00A606D3" w:rsidRDefault="00A606D3" w:rsidP="003D7F3E">
      <w:pPr>
        <w:spacing w:line="240" w:lineRule="auto"/>
        <w:rPr>
          <w:b/>
        </w:rPr>
      </w:pPr>
    </w:p>
    <w:p w14:paraId="71C57D4D" w14:textId="62F9D378" w:rsidR="003018BA" w:rsidRPr="00F82CDF" w:rsidRDefault="003018BA" w:rsidP="003D7F3E">
      <w:pPr>
        <w:spacing w:line="240" w:lineRule="auto"/>
      </w:pPr>
      <w:r w:rsidRPr="00F82CDF">
        <w:t>Metaphoricity is often regarded as a distinctive linguistic phenomenon, in opposition to literal, or non-figurative language. Recent research from a corpus-linguistic perspective has begun to show, however, that such a dichotomist stance to m</w:t>
      </w:r>
      <w:r w:rsidR="00F50F1B">
        <w:t xml:space="preserve">etaphor does not bear scrutiny </w:t>
      </w:r>
      <w:r w:rsidR="00B1583F">
        <w:t>(Deignan 2005; Partington 2006; Philip</w:t>
      </w:r>
      <w:r w:rsidRPr="00F82CDF">
        <w:t xml:space="preserve"> 2011). Moreover, a metaphor’s ability to violate or bend the limits of linguistic conventions (semantically, lexically, grammatically) is what gives those who employ them a certain degree of freedom in their use of language</w:t>
      </w:r>
      <w:r>
        <w:t>. The focus of this chapter</w:t>
      </w:r>
      <w:r w:rsidRPr="00F82CDF">
        <w:t xml:space="preserve"> is to explore and compare the lexical characteristics of metaphoric and non-</w:t>
      </w:r>
      <w:r w:rsidR="008F283B">
        <w:t>metaph</w:t>
      </w:r>
      <w:r w:rsidR="00E614A9">
        <w:t>oric instances of a single item</w:t>
      </w:r>
      <w:r w:rsidR="008F283B">
        <w:t xml:space="preserve"> </w:t>
      </w:r>
      <w:r w:rsidR="008F283B" w:rsidRPr="008F283B">
        <w:rPr>
          <w:i/>
        </w:rPr>
        <w:t>grew</w:t>
      </w:r>
      <w:r w:rsidR="008F283B">
        <w:rPr>
          <w:i/>
        </w:rPr>
        <w:t xml:space="preserve">, </w:t>
      </w:r>
      <w:r w:rsidR="008F283B">
        <w:t xml:space="preserve">in a 49m-word corpus of nineteenth century writings. </w:t>
      </w:r>
      <w:r w:rsidR="00F52976" w:rsidRPr="00F82CDF">
        <w:t xml:space="preserve">The findings </w:t>
      </w:r>
      <w:r w:rsidR="008F283B">
        <w:rPr>
          <w:rFonts w:cs="Arial"/>
        </w:rPr>
        <w:t>suggest</w:t>
      </w:r>
      <w:r w:rsidR="00F52976" w:rsidRPr="00F82CDF">
        <w:rPr>
          <w:rFonts w:cs="Arial"/>
        </w:rPr>
        <w:t xml:space="preserve"> </w:t>
      </w:r>
      <w:r w:rsidR="008F283B">
        <w:rPr>
          <w:rFonts w:cs="Arial"/>
        </w:rPr>
        <w:t xml:space="preserve">that </w:t>
      </w:r>
      <w:r w:rsidR="00F52976" w:rsidRPr="00F82CDF">
        <w:rPr>
          <w:rFonts w:cs="Arial"/>
        </w:rPr>
        <w:t xml:space="preserve">as a metaphor, </w:t>
      </w:r>
      <w:r w:rsidR="00F52976" w:rsidRPr="00F82CDF">
        <w:rPr>
          <w:rFonts w:cs="Arial"/>
          <w:i/>
        </w:rPr>
        <w:t>grew</w:t>
      </w:r>
      <w:r w:rsidR="00F52976">
        <w:rPr>
          <w:rFonts w:cs="Arial"/>
        </w:rPr>
        <w:t xml:space="preserve"> is</w:t>
      </w:r>
      <w:r w:rsidR="00F52976" w:rsidRPr="00F82CDF">
        <w:rPr>
          <w:rFonts w:cs="Arial"/>
        </w:rPr>
        <w:t xml:space="preserve"> qualitatively </w:t>
      </w:r>
      <w:r w:rsidR="00F52976">
        <w:rPr>
          <w:rFonts w:cs="Arial"/>
        </w:rPr>
        <w:t>a different lexical item, when compared to its non-metaphoric use(s).</w:t>
      </w:r>
      <w:r w:rsidR="00A77B27">
        <w:rPr>
          <w:rFonts w:cs="Arial"/>
        </w:rPr>
        <w:t xml:space="preserve"> It is proposed that </w:t>
      </w:r>
      <w:r w:rsidR="00875C44">
        <w:rPr>
          <w:rFonts w:cs="Arial"/>
        </w:rPr>
        <w:t>Hoey’s</w:t>
      </w:r>
      <w:r w:rsidR="00033A41">
        <w:rPr>
          <w:rFonts w:cs="Arial"/>
        </w:rPr>
        <w:t xml:space="preserve"> (2005)</w:t>
      </w:r>
      <w:r w:rsidR="00875C44">
        <w:rPr>
          <w:rFonts w:cs="Arial"/>
        </w:rPr>
        <w:t xml:space="preserve"> Drinking Problem hypothesis </w:t>
      </w:r>
      <w:r w:rsidR="00A77B27">
        <w:rPr>
          <w:rFonts w:cs="Arial"/>
        </w:rPr>
        <w:t>can accoun</w:t>
      </w:r>
      <w:r w:rsidR="00875C44">
        <w:rPr>
          <w:rFonts w:cs="Arial"/>
        </w:rPr>
        <w:t xml:space="preserve">t for these lexical differences, </w:t>
      </w:r>
      <w:r w:rsidR="00875C44">
        <w:t>providing</w:t>
      </w:r>
      <w:r w:rsidR="00E703A9">
        <w:t xml:space="preserve"> a psychological </w:t>
      </w:r>
      <w:r w:rsidRPr="00F82CDF">
        <w:t>explanation for what drives us as language use</w:t>
      </w:r>
      <w:r w:rsidR="00875C44">
        <w:t>rs to identify metaphor</w:t>
      </w:r>
      <w:r w:rsidRPr="00F82CDF">
        <w:t>.</w:t>
      </w:r>
      <w:r w:rsidR="006C4C9A">
        <w:t xml:space="preserve"> </w:t>
      </w:r>
      <w:r w:rsidR="00A6260E">
        <w:t>Cru</w:t>
      </w:r>
      <w:r w:rsidR="00E703A9">
        <w:t xml:space="preserve">cially, </w:t>
      </w:r>
      <w:r w:rsidR="00A6260E">
        <w:t>a</w:t>
      </w:r>
      <w:r w:rsidR="00E703A9">
        <w:t xml:space="preserve">dopting lexical priming as a </w:t>
      </w:r>
      <w:r w:rsidR="00A6260E">
        <w:t>means to exploring metaphor</w:t>
      </w:r>
      <w:r w:rsidR="00E703A9">
        <w:t xml:space="preserve"> shifts </w:t>
      </w:r>
      <w:r w:rsidR="008F283B">
        <w:t xml:space="preserve">the perspective of metaphoricity to the individual language user: the findings </w:t>
      </w:r>
      <w:r w:rsidRPr="00F82CDF">
        <w:t xml:space="preserve">show </w:t>
      </w:r>
      <w:r>
        <w:t xml:space="preserve">that </w:t>
      </w:r>
      <w:r w:rsidRPr="00F82CDF">
        <w:t>a metaphoric sense of an item appears to be dependent on the primings</w:t>
      </w:r>
      <w:r w:rsidR="00A6260E">
        <w:t xml:space="preserve"> activated in a reader. It can thus</w:t>
      </w:r>
      <w:r w:rsidR="008F283B">
        <w:t xml:space="preserve"> </w:t>
      </w:r>
      <w:r w:rsidRPr="00F82CDF">
        <w:t xml:space="preserve">be argued, based upon the lexical priming approach, that metaphoricity is inherent in the language user rather than the language itself. </w:t>
      </w:r>
    </w:p>
    <w:p w14:paraId="4064ECF5" w14:textId="77777777" w:rsidR="003018BA" w:rsidRDefault="003018BA" w:rsidP="003D7F3E">
      <w:pPr>
        <w:spacing w:line="240" w:lineRule="auto"/>
        <w:rPr>
          <w:b/>
        </w:rPr>
      </w:pPr>
    </w:p>
    <w:p w14:paraId="2DB47658" w14:textId="5D55C9CA" w:rsidR="008B74A7" w:rsidRPr="008B74A7" w:rsidRDefault="008B74A7" w:rsidP="003D7F3E">
      <w:pPr>
        <w:spacing w:line="240" w:lineRule="auto"/>
        <w:rPr>
          <w:b/>
        </w:rPr>
      </w:pPr>
      <w:r>
        <w:rPr>
          <w:b/>
        </w:rPr>
        <w:t xml:space="preserve">Keywords: </w:t>
      </w:r>
      <w:r>
        <w:rPr>
          <w:i/>
        </w:rPr>
        <w:t>m</w:t>
      </w:r>
      <w:r w:rsidRPr="008B74A7">
        <w:rPr>
          <w:i/>
        </w:rPr>
        <w:t>etaphor, lexical priming, corpus linguistics, collocation, semantic association, pragmatic association</w:t>
      </w:r>
      <w:r>
        <w:rPr>
          <w:i/>
        </w:rPr>
        <w:t>.</w:t>
      </w:r>
    </w:p>
    <w:p w14:paraId="15E0E8EA" w14:textId="77777777" w:rsidR="008B74A7" w:rsidRDefault="008B74A7" w:rsidP="003D7F3E">
      <w:pPr>
        <w:spacing w:line="240" w:lineRule="auto"/>
        <w:rPr>
          <w:b/>
        </w:rPr>
      </w:pPr>
    </w:p>
    <w:p w14:paraId="705403F0" w14:textId="77777777" w:rsidR="008B74A7" w:rsidRDefault="008B74A7" w:rsidP="003D7F3E">
      <w:pPr>
        <w:spacing w:line="240" w:lineRule="auto"/>
        <w:rPr>
          <w:b/>
        </w:rPr>
      </w:pPr>
    </w:p>
    <w:p w14:paraId="62281176" w14:textId="77777777" w:rsidR="008B74A7" w:rsidRDefault="008B74A7" w:rsidP="003D7F3E">
      <w:pPr>
        <w:spacing w:line="240" w:lineRule="auto"/>
        <w:rPr>
          <w:b/>
        </w:rPr>
      </w:pPr>
    </w:p>
    <w:p w14:paraId="3632BEB3" w14:textId="77777777" w:rsidR="008B74A7" w:rsidRDefault="008B74A7" w:rsidP="003D7F3E">
      <w:pPr>
        <w:spacing w:line="240" w:lineRule="auto"/>
        <w:rPr>
          <w:b/>
        </w:rPr>
      </w:pPr>
    </w:p>
    <w:p w14:paraId="31283402" w14:textId="77777777" w:rsidR="00875C44" w:rsidRDefault="00875C44" w:rsidP="003D7F3E">
      <w:pPr>
        <w:spacing w:line="240" w:lineRule="auto"/>
        <w:rPr>
          <w:b/>
        </w:rPr>
      </w:pPr>
    </w:p>
    <w:p w14:paraId="6E6007A4" w14:textId="77777777" w:rsidR="00875C44" w:rsidRDefault="00875C44" w:rsidP="003D7F3E">
      <w:pPr>
        <w:spacing w:line="240" w:lineRule="auto"/>
        <w:rPr>
          <w:b/>
        </w:rPr>
      </w:pPr>
    </w:p>
    <w:p w14:paraId="75121363" w14:textId="77777777" w:rsidR="00875C44" w:rsidRDefault="00875C44" w:rsidP="003D7F3E">
      <w:pPr>
        <w:spacing w:line="240" w:lineRule="auto"/>
        <w:rPr>
          <w:b/>
        </w:rPr>
      </w:pPr>
    </w:p>
    <w:p w14:paraId="517EC40F" w14:textId="77777777" w:rsidR="00875C44" w:rsidRDefault="00875C44" w:rsidP="003D7F3E">
      <w:pPr>
        <w:spacing w:line="240" w:lineRule="auto"/>
        <w:rPr>
          <w:b/>
        </w:rPr>
      </w:pPr>
    </w:p>
    <w:p w14:paraId="5EBC9EAB" w14:textId="77777777" w:rsidR="00A6260E" w:rsidRDefault="00A6260E" w:rsidP="003D7F3E">
      <w:pPr>
        <w:spacing w:line="240" w:lineRule="auto"/>
        <w:rPr>
          <w:b/>
        </w:rPr>
      </w:pPr>
    </w:p>
    <w:p w14:paraId="051FF4A5" w14:textId="77777777" w:rsidR="00A6260E" w:rsidRDefault="00A6260E" w:rsidP="003D7F3E">
      <w:pPr>
        <w:spacing w:line="240" w:lineRule="auto"/>
        <w:rPr>
          <w:b/>
        </w:rPr>
      </w:pPr>
    </w:p>
    <w:p w14:paraId="35F90E59" w14:textId="77777777" w:rsidR="00A6260E" w:rsidRDefault="00A6260E" w:rsidP="003D7F3E">
      <w:pPr>
        <w:spacing w:line="240" w:lineRule="auto"/>
        <w:rPr>
          <w:b/>
        </w:rPr>
      </w:pPr>
    </w:p>
    <w:p w14:paraId="2EA82CD9" w14:textId="77777777" w:rsidR="00A6260E" w:rsidRDefault="00A6260E" w:rsidP="003D7F3E">
      <w:pPr>
        <w:spacing w:line="240" w:lineRule="auto"/>
        <w:rPr>
          <w:b/>
        </w:rPr>
      </w:pPr>
    </w:p>
    <w:p w14:paraId="04CD435F" w14:textId="77777777" w:rsidR="00A6260E" w:rsidRDefault="00A6260E" w:rsidP="003D7F3E">
      <w:pPr>
        <w:spacing w:line="240" w:lineRule="auto"/>
        <w:rPr>
          <w:b/>
        </w:rPr>
      </w:pPr>
    </w:p>
    <w:p w14:paraId="519E5260" w14:textId="77777777" w:rsidR="00A6260E" w:rsidRDefault="00A6260E" w:rsidP="003D7F3E">
      <w:pPr>
        <w:spacing w:line="240" w:lineRule="auto"/>
        <w:rPr>
          <w:b/>
        </w:rPr>
      </w:pPr>
    </w:p>
    <w:p w14:paraId="41CB15ED" w14:textId="77777777" w:rsidR="00A6260E" w:rsidRDefault="00A6260E" w:rsidP="003D7F3E">
      <w:pPr>
        <w:spacing w:line="240" w:lineRule="auto"/>
        <w:rPr>
          <w:b/>
        </w:rPr>
      </w:pPr>
    </w:p>
    <w:p w14:paraId="2714F1E7" w14:textId="77777777" w:rsidR="00A6260E" w:rsidRDefault="00A6260E" w:rsidP="003D7F3E">
      <w:pPr>
        <w:spacing w:line="240" w:lineRule="auto"/>
        <w:rPr>
          <w:b/>
        </w:rPr>
      </w:pPr>
    </w:p>
    <w:p w14:paraId="6990E55C" w14:textId="77777777" w:rsidR="00A6260E" w:rsidRDefault="00A6260E" w:rsidP="003D7F3E">
      <w:pPr>
        <w:spacing w:line="240" w:lineRule="auto"/>
        <w:rPr>
          <w:b/>
        </w:rPr>
      </w:pPr>
    </w:p>
    <w:p w14:paraId="76BBEE55" w14:textId="77777777" w:rsidR="00A6260E" w:rsidRDefault="00A6260E" w:rsidP="003D7F3E">
      <w:pPr>
        <w:spacing w:line="240" w:lineRule="auto"/>
        <w:rPr>
          <w:b/>
        </w:rPr>
      </w:pPr>
    </w:p>
    <w:p w14:paraId="22B33302" w14:textId="77777777" w:rsidR="00A6260E" w:rsidRDefault="00A6260E" w:rsidP="003D7F3E">
      <w:pPr>
        <w:spacing w:line="240" w:lineRule="auto"/>
        <w:rPr>
          <w:b/>
        </w:rPr>
      </w:pPr>
    </w:p>
    <w:p w14:paraId="4FB89E94" w14:textId="77777777" w:rsidR="00A6260E" w:rsidRDefault="00A6260E" w:rsidP="003D7F3E">
      <w:pPr>
        <w:spacing w:line="240" w:lineRule="auto"/>
        <w:rPr>
          <w:b/>
        </w:rPr>
      </w:pPr>
    </w:p>
    <w:p w14:paraId="78A87F36" w14:textId="77777777" w:rsidR="00A6260E" w:rsidRDefault="00A6260E" w:rsidP="003D7F3E">
      <w:pPr>
        <w:spacing w:line="240" w:lineRule="auto"/>
        <w:rPr>
          <w:b/>
        </w:rPr>
      </w:pPr>
    </w:p>
    <w:p w14:paraId="73252696" w14:textId="77777777" w:rsidR="00A6260E" w:rsidRDefault="00A6260E" w:rsidP="003D7F3E">
      <w:pPr>
        <w:spacing w:line="240" w:lineRule="auto"/>
        <w:rPr>
          <w:b/>
        </w:rPr>
      </w:pPr>
    </w:p>
    <w:p w14:paraId="73463EF3" w14:textId="77777777" w:rsidR="00A6260E" w:rsidRDefault="00A6260E" w:rsidP="003D7F3E">
      <w:pPr>
        <w:spacing w:line="240" w:lineRule="auto"/>
        <w:rPr>
          <w:b/>
        </w:rPr>
      </w:pPr>
    </w:p>
    <w:p w14:paraId="68E9F739" w14:textId="77777777" w:rsidR="00A6260E" w:rsidRDefault="00A6260E" w:rsidP="003D7F3E">
      <w:pPr>
        <w:spacing w:line="240" w:lineRule="auto"/>
        <w:rPr>
          <w:b/>
        </w:rPr>
      </w:pPr>
    </w:p>
    <w:p w14:paraId="07346079" w14:textId="77777777" w:rsidR="00875C44" w:rsidRDefault="00875C44" w:rsidP="003D7F3E">
      <w:pPr>
        <w:spacing w:line="240" w:lineRule="auto"/>
        <w:rPr>
          <w:b/>
        </w:rPr>
      </w:pPr>
    </w:p>
    <w:p w14:paraId="4F14C877" w14:textId="77777777" w:rsidR="008B74A7" w:rsidRDefault="008B74A7" w:rsidP="003D7F3E">
      <w:pPr>
        <w:spacing w:line="240" w:lineRule="auto"/>
        <w:rPr>
          <w:b/>
        </w:rPr>
      </w:pPr>
    </w:p>
    <w:p w14:paraId="7AE341C0" w14:textId="77777777" w:rsidR="003018BA" w:rsidRDefault="003018BA" w:rsidP="00856E13">
      <w:pPr>
        <w:pStyle w:val="Heading2"/>
      </w:pPr>
      <w:r>
        <w:t>1. Introduction</w:t>
      </w:r>
    </w:p>
    <w:p w14:paraId="53CC3EE7" w14:textId="77777777" w:rsidR="00B41473" w:rsidRDefault="00B41473" w:rsidP="003D7F3E">
      <w:pPr>
        <w:spacing w:line="240" w:lineRule="auto"/>
        <w:rPr>
          <w:b/>
        </w:rPr>
      </w:pPr>
    </w:p>
    <w:p w14:paraId="524DED38" w14:textId="657230D5" w:rsidR="00AE17CC" w:rsidRDefault="007542D9" w:rsidP="003D7F3E">
      <w:pPr>
        <w:spacing w:line="240" w:lineRule="auto"/>
      </w:pPr>
      <w:r w:rsidRPr="00F82CDF">
        <w:rPr>
          <w:szCs w:val="22"/>
        </w:rPr>
        <w:t>The last decade has seen researchers follow a trend of more usage-based approaches</w:t>
      </w:r>
      <w:r>
        <w:rPr>
          <w:szCs w:val="22"/>
        </w:rPr>
        <w:t xml:space="preserve"> to metaphor study</w:t>
      </w:r>
      <w:r w:rsidRPr="00F82CDF">
        <w:rPr>
          <w:szCs w:val="22"/>
        </w:rPr>
        <w:t>,</w:t>
      </w:r>
      <w:r w:rsidR="00A6260E">
        <w:rPr>
          <w:szCs w:val="22"/>
        </w:rPr>
        <w:t xml:space="preserve"> drawing their methods and</w:t>
      </w:r>
      <w:r w:rsidRPr="00F82CDF">
        <w:rPr>
          <w:szCs w:val="22"/>
        </w:rPr>
        <w:t xml:space="preserve"> theories from the fiel</w:t>
      </w:r>
      <w:r w:rsidR="00B1583F">
        <w:rPr>
          <w:szCs w:val="22"/>
        </w:rPr>
        <w:t>d of corpus linguistics (Koller 2006; Semino 2006; Partington 2006; Deignan and Semino</w:t>
      </w:r>
      <w:r w:rsidRPr="00F82CDF">
        <w:rPr>
          <w:szCs w:val="22"/>
        </w:rPr>
        <w:t xml:space="preserve"> 2010). </w:t>
      </w:r>
      <w:r>
        <w:rPr>
          <w:szCs w:val="22"/>
        </w:rPr>
        <w:t>The introduction of c</w:t>
      </w:r>
      <w:r w:rsidRPr="00F82CDF">
        <w:rPr>
          <w:szCs w:val="22"/>
        </w:rPr>
        <w:t>orpus linguistics</w:t>
      </w:r>
      <w:r>
        <w:rPr>
          <w:szCs w:val="22"/>
        </w:rPr>
        <w:t xml:space="preserve"> has also </w:t>
      </w:r>
      <w:r w:rsidRPr="00F82CDF">
        <w:rPr>
          <w:szCs w:val="22"/>
        </w:rPr>
        <w:t xml:space="preserve">meant a shift away from the earlier </w:t>
      </w:r>
      <w:r w:rsidR="00A77B27">
        <w:rPr>
          <w:szCs w:val="22"/>
        </w:rPr>
        <w:t xml:space="preserve">dichotomist stance </w:t>
      </w:r>
      <w:r w:rsidRPr="00F82CDF">
        <w:rPr>
          <w:szCs w:val="22"/>
        </w:rPr>
        <w:t xml:space="preserve">involved in metaphor </w:t>
      </w:r>
      <w:r>
        <w:rPr>
          <w:szCs w:val="22"/>
        </w:rPr>
        <w:t xml:space="preserve">theories </w:t>
      </w:r>
      <w:r w:rsidRPr="00F82CDF">
        <w:rPr>
          <w:szCs w:val="22"/>
        </w:rPr>
        <w:t>to more usage-driven issues, based on sociolinguistic and interpersonal context</w:t>
      </w:r>
      <w:r>
        <w:rPr>
          <w:szCs w:val="22"/>
        </w:rPr>
        <w:t xml:space="preserve">s in </w:t>
      </w:r>
      <w:r w:rsidR="00B1583F">
        <w:rPr>
          <w:szCs w:val="22"/>
        </w:rPr>
        <w:t>which metaphors are used (Cruse</w:t>
      </w:r>
      <w:r>
        <w:rPr>
          <w:szCs w:val="22"/>
        </w:rPr>
        <w:t xml:space="preserve"> 1986). </w:t>
      </w:r>
      <w:r w:rsidR="00E26C39">
        <w:rPr>
          <w:szCs w:val="22"/>
        </w:rPr>
        <w:t>R</w:t>
      </w:r>
      <w:r w:rsidR="00824F4F" w:rsidRPr="00F82CDF">
        <w:rPr>
          <w:szCs w:val="22"/>
        </w:rPr>
        <w:t xml:space="preserve">ather than isolated examples, </w:t>
      </w:r>
      <w:r w:rsidR="00824F4F">
        <w:rPr>
          <w:szCs w:val="22"/>
        </w:rPr>
        <w:t>corpus linguistics provides</w:t>
      </w:r>
      <w:r w:rsidR="00824F4F" w:rsidRPr="00F82CDF">
        <w:rPr>
          <w:szCs w:val="22"/>
        </w:rPr>
        <w:t xml:space="preserve"> the resources to focus on repeated patterns and </w:t>
      </w:r>
      <w:r w:rsidR="00BD0541" w:rsidRPr="00F82CDF">
        <w:rPr>
          <w:szCs w:val="22"/>
        </w:rPr>
        <w:t>recurrent</w:t>
      </w:r>
      <w:r w:rsidR="00BD0541">
        <w:rPr>
          <w:szCs w:val="22"/>
        </w:rPr>
        <w:t xml:space="preserve"> instances of metaphor, which are,</w:t>
      </w:r>
      <w:r w:rsidR="00824F4F" w:rsidRPr="00F82CDF">
        <w:rPr>
          <w:szCs w:val="22"/>
        </w:rPr>
        <w:t xml:space="preserve"> by their nature, clearly successful</w:t>
      </w:r>
      <w:r w:rsidR="00BD0541">
        <w:rPr>
          <w:szCs w:val="22"/>
        </w:rPr>
        <w:t xml:space="preserve"> uses of the language</w:t>
      </w:r>
      <w:r w:rsidR="00824F4F" w:rsidRPr="00F82CDF">
        <w:rPr>
          <w:szCs w:val="22"/>
        </w:rPr>
        <w:t>.</w:t>
      </w:r>
      <w:r w:rsidR="00824F4F">
        <w:rPr>
          <w:szCs w:val="22"/>
        </w:rPr>
        <w:t xml:space="preserve"> </w:t>
      </w:r>
      <w:r w:rsidR="00AE17CC">
        <w:t>This focus on</w:t>
      </w:r>
      <w:r w:rsidR="00824F4F" w:rsidRPr="00F82CDF">
        <w:t xml:space="preserve"> repetition</w:t>
      </w:r>
      <w:r w:rsidR="00AE17CC">
        <w:t xml:space="preserve"> of language use</w:t>
      </w:r>
      <w:r w:rsidR="00824F4F" w:rsidRPr="00F82CDF">
        <w:t xml:space="preserve"> </w:t>
      </w:r>
      <w:r w:rsidR="00BD0541">
        <w:t xml:space="preserve">also </w:t>
      </w:r>
      <w:r w:rsidR="00824F4F" w:rsidRPr="00F82CDF">
        <w:t xml:space="preserve">goes some way to providing us with notions of </w:t>
      </w:r>
      <w:r w:rsidR="00824F4F" w:rsidRPr="00F82CDF">
        <w:rPr>
          <w:i/>
        </w:rPr>
        <w:t>expectation</w:t>
      </w:r>
      <w:r w:rsidR="00AE17CC">
        <w:t xml:space="preserve"> in language behaviour: when a metaphor is re-used, it comes to be an expected use of the language, as opposed to its original and creative deviation from the norm.</w:t>
      </w:r>
      <w:r w:rsidR="00824F4F" w:rsidRPr="00F82CDF">
        <w:rPr>
          <w:szCs w:val="22"/>
        </w:rPr>
        <w:t xml:space="preserve"> </w:t>
      </w:r>
      <w:r w:rsidR="008B74A7">
        <w:rPr>
          <w:szCs w:val="22"/>
        </w:rPr>
        <w:t xml:space="preserve">This research focuses on the </w:t>
      </w:r>
      <w:r w:rsidR="00BD0541">
        <w:rPr>
          <w:szCs w:val="22"/>
        </w:rPr>
        <w:t>use of a single item in both</w:t>
      </w:r>
      <w:r w:rsidR="008B74A7">
        <w:rPr>
          <w:szCs w:val="22"/>
        </w:rPr>
        <w:t xml:space="preserve"> metapho</w:t>
      </w:r>
      <w:r w:rsidR="00BD0541">
        <w:rPr>
          <w:szCs w:val="22"/>
        </w:rPr>
        <w:t>ric and non-metaphoric contexts</w:t>
      </w:r>
      <w:r w:rsidR="008B74A7">
        <w:rPr>
          <w:szCs w:val="22"/>
        </w:rPr>
        <w:t>, in order to explore what it is that al</w:t>
      </w:r>
      <w:r w:rsidR="00AE17CC">
        <w:rPr>
          <w:szCs w:val="22"/>
        </w:rPr>
        <w:t>lows us to recognize when language</w:t>
      </w:r>
      <w:r w:rsidR="008B74A7">
        <w:rPr>
          <w:szCs w:val="22"/>
        </w:rPr>
        <w:t xml:space="preserve"> is being used metaphorically, a</w:t>
      </w:r>
      <w:r w:rsidR="00AE17CC">
        <w:rPr>
          <w:szCs w:val="22"/>
        </w:rPr>
        <w:t>s opposed to non-metaphorically, when both uses are said to be conventional.</w:t>
      </w:r>
      <w:r w:rsidR="00824F4F" w:rsidRPr="00824F4F">
        <w:t xml:space="preserve"> </w:t>
      </w:r>
      <w:r w:rsidR="00824F4F">
        <w:t>B</w:t>
      </w:r>
      <w:r w:rsidR="00824F4F" w:rsidRPr="00F82CDF">
        <w:t>y focusing on meaning within a Neo-Firthian framework, this research aims to re-focus discussions of metaphor w</w:t>
      </w:r>
      <w:r w:rsidR="00BD0541">
        <w:t>ithin the wider discourse field, taking into consideration context, pragmatic meaning,</w:t>
      </w:r>
      <w:r w:rsidR="00824F4F" w:rsidRPr="00F82CDF">
        <w:t xml:space="preserve"> the individual’s mental lexicon, and subsequently what role these factors play in interpreting </w:t>
      </w:r>
      <w:r w:rsidR="00BD0541">
        <w:t xml:space="preserve">metaphoric </w:t>
      </w:r>
      <w:r w:rsidR="00824F4F" w:rsidRPr="00F82CDF">
        <w:t xml:space="preserve">meaning. </w:t>
      </w:r>
    </w:p>
    <w:p w14:paraId="06493A5A" w14:textId="72FEEC7F" w:rsidR="00BD0541" w:rsidRDefault="00AE17CC" w:rsidP="003D7F3E">
      <w:pPr>
        <w:spacing w:line="240" w:lineRule="auto"/>
      </w:pPr>
      <w:r>
        <w:tab/>
      </w:r>
      <w:r w:rsidR="00824F4F" w:rsidRPr="00F82CDF">
        <w:t>The first aim</w:t>
      </w:r>
      <w:r w:rsidR="00824F4F">
        <w:t xml:space="preserve"> of this chapter</w:t>
      </w:r>
      <w:r w:rsidR="00824F4F" w:rsidRPr="00F82CDF">
        <w:t xml:space="preserve"> then is to explore what m</w:t>
      </w:r>
      <w:r w:rsidR="00FA1BE4">
        <w:t>etaphoricity means through repeated use,</w:t>
      </w:r>
      <w:r w:rsidR="00824F4F" w:rsidRPr="00F82CDF">
        <w:t xml:space="preserve"> and the ways in which metaphoricity is manifest in the language, as revealed through a corpus approach. </w:t>
      </w:r>
      <w:r w:rsidR="00BD0541">
        <w:t>The second</w:t>
      </w:r>
      <w:r w:rsidR="00FA1BE4">
        <w:t xml:space="preserve"> more specific</w:t>
      </w:r>
      <w:r w:rsidR="00BD0541">
        <w:t xml:space="preserve"> aim of the research is to explore the extent to which the theory of lexical priming can account for our ability to recognize metaphoric instances of an item or phrase, in contrast to non-metaphoric instances. The theory successfully </w:t>
      </w:r>
      <w:r w:rsidR="00BD0541">
        <w:rPr>
          <w:szCs w:val="22"/>
        </w:rPr>
        <w:t xml:space="preserve">accounts for the lexical characteristics and patterns of use associated with our use of language in </w:t>
      </w:r>
      <w:r w:rsidR="00BD0541" w:rsidRPr="00F82CDF">
        <w:t>both spoken and written language within particular domains</w:t>
      </w:r>
      <w:r w:rsidR="00BD0541">
        <w:t>,</w:t>
      </w:r>
      <w:r w:rsidR="00BD0541" w:rsidRPr="00F82CDF">
        <w:t xml:space="preserve"> but little attention has been paid to figurative language. Similar research by Hoey (2005) and Tsiamita (2009) looked at polysemy, and found that two distinct senses of a word or item tend to avoid each other’s primings (as claimed in Hoey’s Drinking Problem Hypothesis, 2005). In relation to a pervasive phenomenon such as metaphor, whereby analysis of metaphoric behaviour and subsequent identification of metaphoric language remains creatively ‘unrestricted’ and largely problematic, Hoey’s (2005) theory may provide an explanation for what drives us as language users to identify such a phenomenon. The introduction of an extended theory involving our psychological associations with language could possibly offer an explanation for how we recognise conventional norms</w:t>
      </w:r>
      <w:r w:rsidR="00FA1BE4">
        <w:t>, both metaphoric and non-metaphoric.</w:t>
      </w:r>
      <w:r w:rsidR="00BD0541" w:rsidRPr="00F82CDF">
        <w:t xml:space="preserve"> </w:t>
      </w:r>
    </w:p>
    <w:p w14:paraId="2B75BA1C" w14:textId="371AA225" w:rsidR="004F1A8B" w:rsidRDefault="00875C44" w:rsidP="003D7F3E">
      <w:pPr>
        <w:spacing w:line="240" w:lineRule="auto"/>
      </w:pPr>
      <w:r>
        <w:tab/>
      </w:r>
      <w:r w:rsidR="004F1A8B">
        <w:t xml:space="preserve">These two research aims </w:t>
      </w:r>
      <w:r w:rsidR="00BD0541">
        <w:t>are explored</w:t>
      </w:r>
      <w:r w:rsidR="00E614A9" w:rsidRPr="00F82CDF">
        <w:t xml:space="preserve"> by means of</w:t>
      </w:r>
      <w:r w:rsidR="00E036B1">
        <w:t xml:space="preserve"> a case study</w:t>
      </w:r>
      <w:r w:rsidR="00BD0541">
        <w:t xml:space="preserve"> in section 4</w:t>
      </w:r>
      <w:r w:rsidR="00E036B1">
        <w:t xml:space="preserve">: a </w:t>
      </w:r>
      <w:r w:rsidR="00E614A9" w:rsidRPr="00F82CDF">
        <w:t>corpus-</w:t>
      </w:r>
      <w:r w:rsidR="00BD0541">
        <w:t>driven lexical analysi</w:t>
      </w:r>
      <w:r w:rsidR="00E036B1">
        <w:t>s of a</w:t>
      </w:r>
      <w:r w:rsidR="00BD0541">
        <w:t xml:space="preserve"> keyword (</w:t>
      </w:r>
      <w:r w:rsidR="00BD0541" w:rsidRPr="00BD0541">
        <w:rPr>
          <w:i/>
        </w:rPr>
        <w:t>grew</w:t>
      </w:r>
      <w:r w:rsidR="00BD0541">
        <w:t>)</w:t>
      </w:r>
      <w:r w:rsidR="00E614A9" w:rsidRPr="00F82CDF">
        <w:t xml:space="preserve"> identified in a 49-million-token corpus of nineteenth century</w:t>
      </w:r>
      <w:r w:rsidR="00BD0541">
        <w:t xml:space="preserve"> writing</w:t>
      </w:r>
      <w:r w:rsidR="00E614A9" w:rsidRPr="00F82CDF">
        <w:t>, when compared against a more contemporary, general comparator, the British National Corpus. The aim is to compare and contrast the lexical behaviours associated with clear metaphoric language and clear non-metaphoric language and to determine in how far the lexical behaviours (and subsequently the senses), are distinct from each other.</w:t>
      </w:r>
      <w:r w:rsidR="00E614A9" w:rsidRPr="00E614A9">
        <w:t xml:space="preserve"> </w:t>
      </w:r>
      <w:r w:rsidR="004F1A8B">
        <w:t>I</w:t>
      </w:r>
      <w:r w:rsidR="004F1A8B" w:rsidRPr="00F82CDF">
        <w:t xml:space="preserve">f metaphoric uses of a lexical item </w:t>
      </w:r>
      <w:r w:rsidR="004F1A8B">
        <w:t xml:space="preserve">can be shown to </w:t>
      </w:r>
      <w:r w:rsidR="004F1A8B" w:rsidRPr="00F82CDF">
        <w:t>avoid the primings of the non-metaphoric us</w:t>
      </w:r>
      <w:r w:rsidR="004F1A8B">
        <w:t>es of that same item, this supports</w:t>
      </w:r>
      <w:r w:rsidR="004F1A8B" w:rsidRPr="00F82CDF">
        <w:t xml:space="preserve"> the idea that metaphoric senses have, to an extent, a fixed set of choices in terms of grammar and lexis.</w:t>
      </w:r>
      <w:r w:rsidR="00FA1BE4">
        <w:t xml:space="preserve"> </w:t>
      </w:r>
    </w:p>
    <w:p w14:paraId="565ED76F" w14:textId="77777777" w:rsidR="00E614A9" w:rsidRDefault="00E614A9" w:rsidP="003D7F3E">
      <w:pPr>
        <w:spacing w:line="240" w:lineRule="auto"/>
        <w:rPr>
          <w:b/>
        </w:rPr>
      </w:pPr>
    </w:p>
    <w:p w14:paraId="211BE24D" w14:textId="77777777" w:rsidR="007542D9" w:rsidRDefault="009052C8" w:rsidP="00856E13">
      <w:pPr>
        <w:pStyle w:val="Heading2"/>
      </w:pPr>
      <w:r>
        <w:t xml:space="preserve">2. </w:t>
      </w:r>
      <w:r w:rsidR="007542D9">
        <w:t>Theoretical Background</w:t>
      </w:r>
    </w:p>
    <w:p w14:paraId="13CB2788" w14:textId="77777777" w:rsidR="00A6260E" w:rsidRDefault="00A6260E" w:rsidP="003D7F3E">
      <w:pPr>
        <w:spacing w:line="240" w:lineRule="auto"/>
        <w:rPr>
          <w:b/>
        </w:rPr>
      </w:pPr>
    </w:p>
    <w:p w14:paraId="0F7B9C69" w14:textId="6A4B5560" w:rsidR="009052C8" w:rsidRDefault="007542D9" w:rsidP="00856E13">
      <w:pPr>
        <w:pStyle w:val="Heading3"/>
      </w:pPr>
      <w:r>
        <w:tab/>
        <w:t xml:space="preserve">2.1 </w:t>
      </w:r>
      <w:r w:rsidR="00BE5D7B">
        <w:t>Metaphor,</w:t>
      </w:r>
      <w:r w:rsidR="00747EDE">
        <w:t xml:space="preserve"> creativity</w:t>
      </w:r>
      <w:r w:rsidR="00BE5D7B">
        <w:t xml:space="preserve"> and corpus linguistics</w:t>
      </w:r>
    </w:p>
    <w:p w14:paraId="67172534" w14:textId="77777777" w:rsidR="00BE5D7B" w:rsidRDefault="00BE5D7B" w:rsidP="003D7F3E">
      <w:pPr>
        <w:spacing w:line="240" w:lineRule="auto"/>
        <w:rPr>
          <w:b/>
        </w:rPr>
      </w:pPr>
    </w:p>
    <w:p w14:paraId="54742E2B" w14:textId="07AF403A" w:rsidR="003B5EFE" w:rsidRPr="00F82CDF" w:rsidRDefault="003B5EFE" w:rsidP="003D7F3E">
      <w:pPr>
        <w:spacing w:line="240" w:lineRule="auto"/>
        <w:rPr>
          <w:szCs w:val="22"/>
        </w:rPr>
      </w:pPr>
      <w:r w:rsidRPr="00F82CDF">
        <w:rPr>
          <w:szCs w:val="22"/>
        </w:rPr>
        <w:t>The exploitation or deviation</w:t>
      </w:r>
      <w:r w:rsidR="00A6260E">
        <w:rPr>
          <w:szCs w:val="22"/>
        </w:rPr>
        <w:t xml:space="preserve"> from a linguistic norm which is often</w:t>
      </w:r>
      <w:r w:rsidRPr="00F82CDF">
        <w:rPr>
          <w:szCs w:val="22"/>
        </w:rPr>
        <w:t xml:space="preserve"> considered inherent in metaphor</w:t>
      </w:r>
      <w:r w:rsidR="00A6260E">
        <w:rPr>
          <w:szCs w:val="22"/>
        </w:rPr>
        <w:t>ic language</w:t>
      </w:r>
      <w:r w:rsidRPr="00F82CDF">
        <w:rPr>
          <w:szCs w:val="22"/>
        </w:rPr>
        <w:t xml:space="preserve"> cannot occur without a collectively accepted ‘normal’ or expected way of using language. Working in the field of philosophy of language, Wittgenstein claimed that the </w:t>
      </w:r>
      <w:r w:rsidRPr="00F82CDF">
        <w:t>meaning of a word or phrase is nothing other than the set of informal rules governing the use of the expressi</w:t>
      </w:r>
      <w:r w:rsidR="00B1583F">
        <w:t>on in actual life (Wittgenstein</w:t>
      </w:r>
      <w:r w:rsidRPr="00F82CDF">
        <w:t xml:space="preserve"> [1922] 2014).</w:t>
      </w:r>
      <w:r w:rsidRPr="00F82CDF">
        <w:rPr>
          <w:szCs w:val="22"/>
        </w:rPr>
        <w:t xml:space="preserve"> Wittgenstein emphasised the idea that language itself can only be understood as a practice, and that meaning – and therefore understanding - is developed through social situations and interaction. More than this, it must be arrived at through the co-operation of the partners in a conversation. This co-operation is what governs the expected conventions of usage. </w:t>
      </w:r>
      <w:r w:rsidR="00BE5D7B" w:rsidRPr="00F82CDF">
        <w:rPr>
          <w:szCs w:val="22"/>
        </w:rPr>
        <w:t xml:space="preserve">According to Wittgenstein, language has an ‘open structure’, whereby </w:t>
      </w:r>
      <w:r w:rsidR="00BE5D7B" w:rsidRPr="00F82CDF">
        <w:rPr>
          <w:i/>
          <w:szCs w:val="22"/>
        </w:rPr>
        <w:t>meaning</w:t>
      </w:r>
      <w:r w:rsidR="00BE5D7B" w:rsidRPr="00F82CDF">
        <w:rPr>
          <w:szCs w:val="22"/>
        </w:rPr>
        <w:t xml:space="preserve"> has the ability to subtly shift according to the subjective understanding of the language users and their circumstances of use. Philosophers of language working within this tradition claim that this openness and subjectivity is what reinforces socialisation amongst individuals. Speakers, as collective individuals, become members of a society and it is the creation of this community which monitors the collective uses of language (</w:t>
      </w:r>
      <w:r w:rsidR="00BE5D7B" w:rsidRPr="00F82CDF">
        <w:rPr>
          <w:i/>
          <w:szCs w:val="22"/>
        </w:rPr>
        <w:t>cf.</w:t>
      </w:r>
      <w:r w:rsidR="00B1583F">
        <w:rPr>
          <w:szCs w:val="22"/>
        </w:rPr>
        <w:t xml:space="preserve"> Habermas 1990; Gadamer</w:t>
      </w:r>
      <w:r w:rsidR="00BE5D7B" w:rsidRPr="00F82CDF">
        <w:rPr>
          <w:szCs w:val="22"/>
        </w:rPr>
        <w:t xml:space="preserve"> 2004)</w:t>
      </w:r>
      <w:r w:rsidR="00BE5D7B">
        <w:rPr>
          <w:szCs w:val="22"/>
        </w:rPr>
        <w:t xml:space="preserve">. </w:t>
      </w:r>
      <w:r w:rsidRPr="00F82CDF">
        <w:rPr>
          <w:szCs w:val="22"/>
        </w:rPr>
        <w:t>From this perspective, language, whether figurative or non-figurative, is a social tool, and repetitive patterns of use are adopted to conform, or can be avoided to create n</w:t>
      </w:r>
      <w:r w:rsidR="00B1583F">
        <w:rPr>
          <w:szCs w:val="22"/>
        </w:rPr>
        <w:t>ovel and new expressions (Gibbs</w:t>
      </w:r>
      <w:r w:rsidRPr="00F82CDF">
        <w:rPr>
          <w:szCs w:val="22"/>
        </w:rPr>
        <w:t xml:space="preserve"> 1994). Creativity</w:t>
      </w:r>
      <w:r w:rsidR="00A6260E">
        <w:rPr>
          <w:szCs w:val="22"/>
        </w:rPr>
        <w:t xml:space="preserve"> is often defined as a breaking of particular linguistic norms and conventions</w:t>
      </w:r>
      <w:r w:rsidRPr="00F82CDF">
        <w:rPr>
          <w:szCs w:val="22"/>
        </w:rPr>
        <w:t xml:space="preserve"> </w:t>
      </w:r>
      <w:r w:rsidR="00A6260E">
        <w:rPr>
          <w:szCs w:val="22"/>
        </w:rPr>
        <w:t xml:space="preserve">and as a result is thought </w:t>
      </w:r>
      <w:r w:rsidRPr="00F82CDF">
        <w:rPr>
          <w:szCs w:val="22"/>
        </w:rPr>
        <w:t>of as a largely free act of expression, but while this may be true to some extent, the expressive effect of that choice of language is diminished if it does not retain meaning for the user. Philip (2010) claims of language generally, that there is a “requirement of expressing unique, unrepeatable meanings by means of a syntax and vocabulary which must retain a high level of rigidity so that the texts can be understood by</w:t>
      </w:r>
      <w:r w:rsidR="00B1583F">
        <w:rPr>
          <w:szCs w:val="22"/>
        </w:rPr>
        <w:t xml:space="preserve"> the users of language” (Philip</w:t>
      </w:r>
      <w:r w:rsidRPr="00F82CDF">
        <w:rPr>
          <w:szCs w:val="22"/>
        </w:rPr>
        <w:t xml:space="preserve"> 2010: 151). In terms of metaphor, language is granted a less conforming ‘level or rigidity’; either in terms of the grammatical or semantic relationships, but it must still retain enough linguistic conventionality (grammatically, lexically, pragmatically) to be understood by the receiver. </w:t>
      </w:r>
      <w:r w:rsidR="00A6260E">
        <w:rPr>
          <w:szCs w:val="22"/>
        </w:rPr>
        <w:t>The focus of this research is on the conventions which govern both metaphoric and non-metaphoric uses of language.</w:t>
      </w:r>
    </w:p>
    <w:p w14:paraId="081C19F7" w14:textId="2E11FC64" w:rsidR="003B5EFE" w:rsidRPr="00F82CDF" w:rsidRDefault="00FA1BE4" w:rsidP="003D7F3E">
      <w:pPr>
        <w:spacing w:line="240" w:lineRule="auto"/>
        <w:rPr>
          <w:szCs w:val="22"/>
        </w:rPr>
      </w:pPr>
      <w:r>
        <w:rPr>
          <w:szCs w:val="22"/>
        </w:rPr>
        <w:tab/>
      </w:r>
      <w:r w:rsidR="003B5EFE" w:rsidRPr="00F82CDF">
        <w:rPr>
          <w:szCs w:val="22"/>
        </w:rPr>
        <w:t xml:space="preserve">Ortony (1979) in his seminal book </w:t>
      </w:r>
      <w:r w:rsidR="003B5EFE" w:rsidRPr="00F82CDF">
        <w:rPr>
          <w:i/>
          <w:szCs w:val="22"/>
        </w:rPr>
        <w:t xml:space="preserve">Metaphor and Thought </w:t>
      </w:r>
      <w:r w:rsidR="003B5EFE" w:rsidRPr="00F82CDF">
        <w:rPr>
          <w:szCs w:val="22"/>
        </w:rPr>
        <w:t>addresses the dichotomy between creativity and convention from a philosophical perspective. He claims that a ‘successful’ metaphor must strike a balance between the two:</w:t>
      </w:r>
    </w:p>
    <w:p w14:paraId="391CD340" w14:textId="77777777" w:rsidR="003B5EFE" w:rsidRPr="00F82CDF" w:rsidRDefault="003B5EFE" w:rsidP="003D7F3E">
      <w:pPr>
        <w:spacing w:line="240" w:lineRule="auto"/>
        <w:rPr>
          <w:szCs w:val="22"/>
        </w:rPr>
      </w:pPr>
    </w:p>
    <w:p w14:paraId="21E112C5" w14:textId="77777777" w:rsidR="003B5EFE" w:rsidRPr="00F82CDF" w:rsidRDefault="003B5EFE" w:rsidP="003D7F3E">
      <w:pPr>
        <w:spacing w:line="240" w:lineRule="auto"/>
        <w:ind w:left="454" w:right="454"/>
        <w:rPr>
          <w:sz w:val="20"/>
          <w:szCs w:val="20"/>
        </w:rPr>
      </w:pPr>
      <w:r w:rsidRPr="00F82CDF">
        <w:rPr>
          <w:sz w:val="20"/>
          <w:szCs w:val="20"/>
        </w:rPr>
        <w:t xml:space="preserve">…the writer or speaker is employing conventional means to produce a non-standard effect, while using only the standard syntactic and semantic resources of his speech community. Yet the meaning of an interesting metaphor is typically new or ‘creative’, not inferable from the standard lexicon. </w:t>
      </w:r>
      <w:r w:rsidRPr="00F82CDF">
        <w:rPr>
          <w:sz w:val="20"/>
          <w:szCs w:val="20"/>
        </w:rPr>
        <w:tab/>
      </w:r>
      <w:r w:rsidRPr="00F82CDF">
        <w:rPr>
          <w:sz w:val="20"/>
          <w:szCs w:val="20"/>
        </w:rPr>
        <w:tab/>
      </w:r>
      <w:r w:rsidRPr="00F82CDF">
        <w:rPr>
          <w:sz w:val="20"/>
          <w:szCs w:val="20"/>
        </w:rPr>
        <w:tab/>
      </w:r>
    </w:p>
    <w:p w14:paraId="5299E535" w14:textId="77777777" w:rsidR="003B5EFE" w:rsidRPr="00F82CDF" w:rsidRDefault="003B5EFE" w:rsidP="003D7F3E">
      <w:pPr>
        <w:spacing w:line="240" w:lineRule="auto"/>
        <w:ind w:left="454" w:right="454"/>
        <w:jc w:val="right"/>
        <w:rPr>
          <w:sz w:val="20"/>
          <w:szCs w:val="20"/>
        </w:rPr>
      </w:pPr>
      <w:r w:rsidRPr="00F82CDF">
        <w:rPr>
          <w:sz w:val="20"/>
          <w:szCs w:val="20"/>
        </w:rPr>
        <w:t>(Ortony, 1979: 23)</w:t>
      </w:r>
    </w:p>
    <w:p w14:paraId="74FB13B1" w14:textId="77777777" w:rsidR="003B5EFE" w:rsidRPr="00F82CDF" w:rsidRDefault="003B5EFE" w:rsidP="003D7F3E">
      <w:pPr>
        <w:spacing w:line="240" w:lineRule="auto"/>
        <w:rPr>
          <w:szCs w:val="22"/>
        </w:rPr>
      </w:pPr>
    </w:p>
    <w:p w14:paraId="598C730E" w14:textId="50124A4A" w:rsidR="003B5EFE" w:rsidRPr="00F82CDF" w:rsidRDefault="003B5EFE" w:rsidP="003D7F3E">
      <w:pPr>
        <w:spacing w:line="240" w:lineRule="auto"/>
        <w:rPr>
          <w:szCs w:val="22"/>
        </w:rPr>
      </w:pPr>
      <w:r w:rsidRPr="00F82CDF">
        <w:rPr>
          <w:szCs w:val="22"/>
        </w:rPr>
        <w:t>Developing from this, Ortony (1979) posits the danger of presenting a standard response to a given metaphorical statement: “such a view is untenable because a metaphorical statement involves a rule violation. There can be no rules for ‘creativity violating’ rules. And that is why there can be no d</w:t>
      </w:r>
      <w:r w:rsidR="00B1583F">
        <w:rPr>
          <w:szCs w:val="22"/>
        </w:rPr>
        <w:t>ictionary of metaphors” (Ortony</w:t>
      </w:r>
      <w:r w:rsidRPr="00F82CDF">
        <w:rPr>
          <w:szCs w:val="22"/>
        </w:rPr>
        <w:t xml:space="preserve"> 1979: 25). For many years, metaphor theorists within a range of disciplines have been concerned with the distinctions between literal and metaphoric language. For many in the philosophical and rhetorical traditions, questions relating to metaphor included “What is metaphor and how does it differ from both literal and other forms of figurative language?” and “Why do we use expressions metaphorically?” (Searle, 1979: 92). </w:t>
      </w:r>
      <w:r w:rsidRPr="00F82CDF">
        <w:t xml:space="preserve">For those seeking answers to these questions, the distinction between literal and metaphor language is contrastive. </w:t>
      </w:r>
      <w:r w:rsidRPr="00F82CDF">
        <w:rPr>
          <w:szCs w:val="22"/>
        </w:rPr>
        <w:t xml:space="preserve">This distinction coloured (and continues to colour in some schools of thought) the ways in which metaphor was interpreted. This </w:t>
      </w:r>
      <w:r w:rsidR="006A4D57">
        <w:rPr>
          <w:szCs w:val="22"/>
        </w:rPr>
        <w:t>research follows</w:t>
      </w:r>
      <w:r w:rsidRPr="00F82CDF">
        <w:rPr>
          <w:szCs w:val="22"/>
        </w:rPr>
        <w:t xml:space="preserve"> the shift towards more sociolinguistic and interpersonal views on metaphor, largely as a result of corpus linguistic methodology.  </w:t>
      </w:r>
    </w:p>
    <w:p w14:paraId="60F28F66" w14:textId="3FA19677" w:rsidR="003B5EFE" w:rsidRDefault="006A4D57" w:rsidP="003D7F3E">
      <w:pPr>
        <w:spacing w:line="240" w:lineRule="auto"/>
        <w:rPr>
          <w:szCs w:val="22"/>
        </w:rPr>
      </w:pPr>
      <w:r>
        <w:rPr>
          <w:szCs w:val="22"/>
        </w:rPr>
        <w:tab/>
        <w:t>W</w:t>
      </w:r>
      <w:r w:rsidR="003B5EFE" w:rsidRPr="00F82CDF">
        <w:rPr>
          <w:szCs w:val="22"/>
        </w:rPr>
        <w:t xml:space="preserve">ith the advent of corpus linguistics and the more usage-based approach this offered to language analysis, metaphor theorists now have the ability to look at real data when making their claims. Truth and the violation of truth become less central to a theory on metaphor from a corpus based perspective, largely because the focus shifts to an interactive and sociolinguistic one. </w:t>
      </w:r>
      <w:r w:rsidR="004A3931">
        <w:rPr>
          <w:szCs w:val="22"/>
        </w:rPr>
        <w:t xml:space="preserve">Moreover, </w:t>
      </w:r>
      <w:r w:rsidR="003B5EFE" w:rsidRPr="00F82CDF">
        <w:rPr>
          <w:szCs w:val="22"/>
        </w:rPr>
        <w:t xml:space="preserve">Ortony’s (1979) claim that there cannot be rules for ‘creativity violation’ and hence no metaphor dictionary holds true largely, because metaphor does not violate a single linguistic/semantic rule. </w:t>
      </w:r>
      <w:r>
        <w:rPr>
          <w:szCs w:val="22"/>
        </w:rPr>
        <w:t>Researchers then must look to exploring a wide range of lexical characteristics, involving grammar and lexis, but also more secondary</w:t>
      </w:r>
      <w:r w:rsidR="00D52AD9">
        <w:rPr>
          <w:szCs w:val="22"/>
        </w:rPr>
        <w:t xml:space="preserve"> or abstract</w:t>
      </w:r>
      <w:r>
        <w:rPr>
          <w:szCs w:val="22"/>
        </w:rPr>
        <w:t xml:space="preserve"> aspects of meaning such as semantic and pragmatic association. </w:t>
      </w:r>
      <w:r w:rsidR="00BE5D7B">
        <w:rPr>
          <w:szCs w:val="22"/>
        </w:rPr>
        <w:t xml:space="preserve">J. R. Firth’s </w:t>
      </w:r>
      <w:r w:rsidR="00BE5D7B" w:rsidRPr="00F82CDF">
        <w:rPr>
          <w:szCs w:val="22"/>
        </w:rPr>
        <w:t xml:space="preserve">contextual theory of meaning </w:t>
      </w:r>
      <w:r w:rsidR="00D52AD9">
        <w:rPr>
          <w:szCs w:val="22"/>
        </w:rPr>
        <w:t xml:space="preserve">argues </w:t>
      </w:r>
      <w:r w:rsidR="00BE5D7B">
        <w:rPr>
          <w:szCs w:val="22"/>
        </w:rPr>
        <w:t xml:space="preserve">that </w:t>
      </w:r>
      <w:r w:rsidR="00BE5D7B" w:rsidRPr="00F82CDF">
        <w:rPr>
          <w:szCs w:val="22"/>
        </w:rPr>
        <w:t xml:space="preserve">meaning is not situated within the isolation of an item itself, but inextricably tied to its place in both co-text and context. </w:t>
      </w:r>
      <w:r w:rsidR="00D52AD9">
        <w:rPr>
          <w:szCs w:val="22"/>
        </w:rPr>
        <w:t xml:space="preserve">Thus an exploration of metaphoricity must take into account the variety and intricacy of meaning manifest in co-text and context. Corpus linguistics offers this opportunity. </w:t>
      </w:r>
    </w:p>
    <w:p w14:paraId="3B372F5F" w14:textId="77777777" w:rsidR="003B5EFE" w:rsidRDefault="003B5EFE" w:rsidP="003D7F3E">
      <w:pPr>
        <w:spacing w:line="240" w:lineRule="auto"/>
        <w:rPr>
          <w:b/>
        </w:rPr>
      </w:pPr>
    </w:p>
    <w:p w14:paraId="142C2EE1" w14:textId="2340262C" w:rsidR="003018BA" w:rsidRDefault="007542D9" w:rsidP="00856E13">
      <w:pPr>
        <w:pStyle w:val="Heading3"/>
      </w:pPr>
      <w:r>
        <w:tab/>
        <w:t>2.2</w:t>
      </w:r>
      <w:r w:rsidR="003018BA">
        <w:t xml:space="preserve"> Lexical priming and </w:t>
      </w:r>
      <w:r w:rsidR="00747EDE">
        <w:t>the Drinking Problem Hypothesis</w:t>
      </w:r>
    </w:p>
    <w:p w14:paraId="393319A2" w14:textId="39F6D217" w:rsidR="007542D9" w:rsidRDefault="007542D9" w:rsidP="003D7F3E">
      <w:pPr>
        <w:spacing w:line="240" w:lineRule="auto"/>
        <w:rPr>
          <w:b/>
          <w:i/>
        </w:rPr>
      </w:pPr>
    </w:p>
    <w:p w14:paraId="56E18CA5" w14:textId="4873C5B8" w:rsidR="003B5EFE" w:rsidRPr="00F82CDF" w:rsidRDefault="003B5EFE" w:rsidP="003D7F3E">
      <w:pPr>
        <w:spacing w:line="240" w:lineRule="auto"/>
        <w:rPr>
          <w:szCs w:val="22"/>
        </w:rPr>
      </w:pPr>
      <w:r w:rsidRPr="00F82CDF">
        <w:rPr>
          <w:szCs w:val="22"/>
        </w:rPr>
        <w:t>As an approach to analysing metaphor, lexical priming may be able to account for the distinction between literal and metaphoric senses of a word or phrase from a psychological perspective. Specifically, an outcome of the theory, entitled the Drinking Problem Hypothesis</w:t>
      </w:r>
      <w:r w:rsidRPr="00F82CDF">
        <w:rPr>
          <w:rStyle w:val="FootnoteReference"/>
          <w:szCs w:val="22"/>
        </w:rPr>
        <w:footnoteReference w:id="1"/>
      </w:r>
      <w:r w:rsidRPr="00F82CDF">
        <w:rPr>
          <w:szCs w:val="22"/>
        </w:rPr>
        <w:t xml:space="preserve">, offers up this potential. The hypothesis centres on the assumption that different word senses will avoid the patterns associated with the other sense(s) of that word of which we are primed for. These patterns take the form of collocations, colligations and semantic associations amongst others. Hoey’s (2005) account of the hypothesis is further supported by a study of the polysemous senses of </w:t>
      </w:r>
      <w:r w:rsidRPr="00F82CDF">
        <w:rPr>
          <w:i/>
          <w:szCs w:val="22"/>
        </w:rPr>
        <w:t>drive</w:t>
      </w:r>
      <w:r w:rsidRPr="00F82CDF">
        <w:rPr>
          <w:szCs w:val="22"/>
        </w:rPr>
        <w:t xml:space="preserve"> and </w:t>
      </w:r>
      <w:r w:rsidRPr="00F82CDF">
        <w:rPr>
          <w:i/>
          <w:szCs w:val="22"/>
        </w:rPr>
        <w:t>face</w:t>
      </w:r>
      <w:r w:rsidR="00B1583F">
        <w:rPr>
          <w:szCs w:val="22"/>
        </w:rPr>
        <w:t xml:space="preserve"> by Tsiamita</w:t>
      </w:r>
      <w:r w:rsidRPr="00F82CDF">
        <w:rPr>
          <w:szCs w:val="22"/>
        </w:rPr>
        <w:t xml:space="preserve"> </w:t>
      </w:r>
      <w:r w:rsidR="00B1583F">
        <w:rPr>
          <w:szCs w:val="22"/>
        </w:rPr>
        <w:t>(</w:t>
      </w:r>
      <w:r w:rsidRPr="00F82CDF">
        <w:rPr>
          <w:szCs w:val="22"/>
        </w:rPr>
        <w:t>2009</w:t>
      </w:r>
      <w:r w:rsidR="00B1583F">
        <w:rPr>
          <w:szCs w:val="22"/>
        </w:rPr>
        <w:t>)</w:t>
      </w:r>
      <w:r w:rsidRPr="00F82CDF">
        <w:rPr>
          <w:szCs w:val="22"/>
        </w:rPr>
        <w:t>. The implication is that metaphoric senses will also avoid the patterns (or primings</w:t>
      </w:r>
      <w:r w:rsidRPr="00F82CDF">
        <w:rPr>
          <w:rStyle w:val="FootnoteReference"/>
          <w:szCs w:val="22"/>
        </w:rPr>
        <w:footnoteReference w:id="2"/>
      </w:r>
      <w:r w:rsidRPr="00F82CDF">
        <w:rPr>
          <w:szCs w:val="22"/>
        </w:rPr>
        <w:t xml:space="preserve">) of the literal sense(s), </w:t>
      </w:r>
      <w:r w:rsidRPr="00F82CDF">
        <w:t xml:space="preserve">since a metaphor and its literary counterpart might reasonably be regarded as a special case of polysemy. </w:t>
      </w:r>
    </w:p>
    <w:p w14:paraId="25DD6897" w14:textId="22BA32D2" w:rsidR="003B5EFE" w:rsidRPr="00F82CDF" w:rsidRDefault="00747EDE" w:rsidP="003D7F3E">
      <w:pPr>
        <w:spacing w:line="240" w:lineRule="auto"/>
        <w:rPr>
          <w:szCs w:val="22"/>
        </w:rPr>
      </w:pPr>
      <w:r>
        <w:rPr>
          <w:szCs w:val="22"/>
        </w:rPr>
        <w:tab/>
      </w:r>
      <w:r w:rsidR="003B5EFE" w:rsidRPr="00F82CDF">
        <w:rPr>
          <w:szCs w:val="22"/>
        </w:rPr>
        <w:t xml:space="preserve">The hypothesis can be approached in relation to metaphor by testing the three sets of the lexical priming claims. Lexical characteristics can be explored in relation to co-textual, contextual and text-linguistic features of both senses of a lexical item. By focusing on a single item, an investigation would allow for a full analysis of all exhaustive instances of one item within a corpus. The analysis would also take into consideration items with phraseological features, including fossilised collocations, idiomatic instances of the item. Moreover, such an investigation would determine if the different senses of a single item have particular textual functions, such as the preference of a metaphor to be found in a particular genre if its meaning is more specific than its literal sense. </w:t>
      </w:r>
    </w:p>
    <w:p w14:paraId="3A0229BE" w14:textId="5C3C710A" w:rsidR="003B5EFE" w:rsidRPr="00F82CDF" w:rsidRDefault="00747EDE" w:rsidP="003D7F3E">
      <w:pPr>
        <w:spacing w:line="240" w:lineRule="auto"/>
        <w:rPr>
          <w:szCs w:val="22"/>
        </w:rPr>
      </w:pPr>
      <w:r>
        <w:rPr>
          <w:szCs w:val="22"/>
        </w:rPr>
        <w:tab/>
      </w:r>
      <w:r w:rsidR="003B5EFE" w:rsidRPr="00F82CDF">
        <w:rPr>
          <w:szCs w:val="22"/>
        </w:rPr>
        <w:t xml:space="preserve">This approach would explain what other </w:t>
      </w:r>
      <w:r w:rsidR="009530D3">
        <w:rPr>
          <w:szCs w:val="22"/>
        </w:rPr>
        <w:t xml:space="preserve">lexical </w:t>
      </w:r>
      <w:r w:rsidR="003B5EFE" w:rsidRPr="00F82CDF">
        <w:rPr>
          <w:szCs w:val="22"/>
        </w:rPr>
        <w:t>metaphor theories have missed so far: namely that metaphoric uses of language and their non-metaphoric counterparts must be analysed lexically, grammatically, semantically, and pragmatically as a consistent whole, in order to differentiate behaviours in patterns and meaning. If the hypothesis were to prove true for metaphor as well as polysemy, this would lead to the idea that metaphoric instances of words have (to an extent) a fixed set of choices in terms of grammar and lexis.</w:t>
      </w:r>
      <w:r w:rsidR="003B5EFE" w:rsidRPr="00F82CDF">
        <w:rPr>
          <w:szCs w:val="22"/>
        </w:rPr>
        <w:tab/>
        <w:t>Interestingly, Deignan (2005) also touches upon this idea:</w:t>
      </w:r>
    </w:p>
    <w:p w14:paraId="00084368" w14:textId="77777777" w:rsidR="003B5EFE" w:rsidRPr="00F82CDF" w:rsidRDefault="003B5EFE" w:rsidP="003D7F3E">
      <w:pPr>
        <w:spacing w:line="240" w:lineRule="auto"/>
        <w:rPr>
          <w:szCs w:val="22"/>
        </w:rPr>
      </w:pPr>
    </w:p>
    <w:p w14:paraId="580E970A" w14:textId="77777777" w:rsidR="003B5EFE" w:rsidRPr="00F82CDF" w:rsidRDefault="003B5EFE" w:rsidP="003D7F3E">
      <w:pPr>
        <w:spacing w:line="240" w:lineRule="auto"/>
        <w:ind w:left="454" w:right="454"/>
        <w:rPr>
          <w:sz w:val="20"/>
          <w:szCs w:val="20"/>
        </w:rPr>
      </w:pPr>
      <w:r w:rsidRPr="00F82CDF">
        <w:rPr>
          <w:sz w:val="20"/>
          <w:szCs w:val="20"/>
        </w:rPr>
        <w:t>It is possible that when a metaphorical mapping first takes place, a linguistic expression becomes ambiguous between literal and metaphorical. Eventually the regular association of the expression with its metaphorical meaning means that speakers start to avoid using it with a literal meaning.</w:t>
      </w:r>
    </w:p>
    <w:p w14:paraId="42C5458F" w14:textId="18420F82" w:rsidR="003B5EFE" w:rsidRPr="00F82CDF" w:rsidRDefault="003B5EFE" w:rsidP="003D7F3E">
      <w:pPr>
        <w:spacing w:line="240" w:lineRule="auto"/>
        <w:ind w:left="454" w:right="454"/>
        <w:jc w:val="right"/>
        <w:rPr>
          <w:sz w:val="20"/>
          <w:szCs w:val="20"/>
        </w:rPr>
      </w:pPr>
      <w:r w:rsidRPr="00F82CDF">
        <w:rPr>
          <w:szCs w:val="22"/>
        </w:rPr>
        <w:tab/>
      </w:r>
      <w:r w:rsidRPr="00F82CDF">
        <w:rPr>
          <w:szCs w:val="22"/>
        </w:rPr>
        <w:tab/>
      </w:r>
      <w:r w:rsidRPr="00F82CDF">
        <w:rPr>
          <w:szCs w:val="22"/>
        </w:rPr>
        <w:tab/>
      </w:r>
      <w:r w:rsidRPr="00F82CDF">
        <w:rPr>
          <w:szCs w:val="22"/>
        </w:rPr>
        <w:tab/>
      </w:r>
      <w:r w:rsidRPr="00F82CDF">
        <w:rPr>
          <w:szCs w:val="22"/>
        </w:rPr>
        <w:tab/>
      </w:r>
      <w:r w:rsidRPr="00F82CDF">
        <w:rPr>
          <w:szCs w:val="22"/>
        </w:rPr>
        <w:tab/>
      </w:r>
      <w:r w:rsidRPr="00F82CDF">
        <w:rPr>
          <w:szCs w:val="22"/>
        </w:rPr>
        <w:tab/>
      </w:r>
      <w:r w:rsidR="00B1583F">
        <w:rPr>
          <w:sz w:val="20"/>
          <w:szCs w:val="20"/>
        </w:rPr>
        <w:t>(Deignan</w:t>
      </w:r>
      <w:r w:rsidRPr="00F82CDF">
        <w:rPr>
          <w:sz w:val="20"/>
          <w:szCs w:val="20"/>
        </w:rPr>
        <w:t xml:space="preserve"> 2005: 212).</w:t>
      </w:r>
    </w:p>
    <w:p w14:paraId="250A47C8" w14:textId="77777777" w:rsidR="003B5EFE" w:rsidRPr="00F82CDF" w:rsidRDefault="003B5EFE" w:rsidP="003D7F3E">
      <w:pPr>
        <w:spacing w:line="240" w:lineRule="auto"/>
        <w:rPr>
          <w:szCs w:val="22"/>
        </w:rPr>
      </w:pPr>
    </w:p>
    <w:p w14:paraId="16708C6A" w14:textId="463394E5" w:rsidR="003B5EFE" w:rsidRPr="00F82CDF" w:rsidRDefault="0032287B" w:rsidP="003D7F3E">
      <w:pPr>
        <w:spacing w:line="240" w:lineRule="auto"/>
      </w:pPr>
      <w:r>
        <w:t>In Hoey’s own words c</w:t>
      </w:r>
      <w:r w:rsidRPr="00F82CDF">
        <w:t>reative exploitation is discussed as “the result either of making new selections from a semantic set for which a particular word is primed or of overriding one or more of one’s primings” (2008: 16). Thus we can talk of ‘overriding’ one’s primi</w:t>
      </w:r>
      <w:r>
        <w:t>ngs in relation to metaphor use: a</w:t>
      </w:r>
      <w:r w:rsidR="003B5EFE" w:rsidRPr="00F82CDF">
        <w:t>ccordingly, it is when a metaphoric sense becomes well used, or conventionalised, that readers may start to be primed to associate certain collocations, colligations, semantic, pragmatic and textual associations with the metaphoric sense.</w:t>
      </w:r>
      <w:r w:rsidR="003B5EFE" w:rsidRPr="00F82CDF">
        <w:rPr>
          <w:b/>
        </w:rPr>
        <w:t xml:space="preserve"> </w:t>
      </w:r>
      <w:r w:rsidR="003B5EFE" w:rsidRPr="00F82CDF">
        <w:t xml:space="preserve">These primings in turn will become strengthened the more established the metaphoric sense is, and thus more removed from the non-metaphoric sense. This idea was given support in a study of the verb </w:t>
      </w:r>
      <w:r w:rsidR="003B5EFE" w:rsidRPr="00F82CDF">
        <w:rPr>
          <w:i/>
        </w:rPr>
        <w:t>to kindle</w:t>
      </w:r>
      <w:r w:rsidR="003B5EFE" w:rsidRPr="00F82CDF">
        <w:t xml:space="preserve"> in 19</w:t>
      </w:r>
      <w:r w:rsidR="003B5EFE" w:rsidRPr="00F82CDF">
        <w:rPr>
          <w:vertAlign w:val="superscript"/>
        </w:rPr>
        <w:t>th</w:t>
      </w:r>
      <w:r w:rsidR="00B1583F">
        <w:t xml:space="preserve"> Century fiction (Patterson</w:t>
      </w:r>
      <w:r w:rsidR="003B5EFE" w:rsidRPr="00F82CDF">
        <w:t xml:space="preserve"> 2014), whereby the more conventionalized uses of the verb as a metaphor displayed stronger associations or primings than novel or original metaphors using </w:t>
      </w:r>
      <w:r w:rsidR="003B5EFE" w:rsidRPr="00F82CDF">
        <w:rPr>
          <w:i/>
        </w:rPr>
        <w:t>kindle</w:t>
      </w:r>
      <w:r w:rsidR="003B5EFE" w:rsidRPr="00F82CDF">
        <w:t>, and were more distinct from the non-metaphoric sense.</w:t>
      </w:r>
      <w:r w:rsidR="00B41473" w:rsidRPr="00B41473">
        <w:rPr>
          <w:rStyle w:val="SubtleEmphasis"/>
          <w:i w:val="0"/>
          <w:color w:val="auto"/>
        </w:rPr>
        <w:t xml:space="preserve"> </w:t>
      </w:r>
      <w:r w:rsidR="00B41473">
        <w:rPr>
          <w:rStyle w:val="SubtleEmphasis"/>
          <w:i w:val="0"/>
          <w:color w:val="auto"/>
        </w:rPr>
        <w:t xml:space="preserve">Noun, adverb and personal pronoun collocates were shown to play a role in the semantic and lexical distinctions of metaphoric and non-metaphoric instances of </w:t>
      </w:r>
      <w:r w:rsidR="00B41473" w:rsidRPr="00B41473">
        <w:rPr>
          <w:rStyle w:val="SubtleEmphasis"/>
          <w:color w:val="auto"/>
        </w:rPr>
        <w:t>kindle</w:t>
      </w:r>
      <w:r w:rsidR="00B1583F">
        <w:rPr>
          <w:rStyle w:val="SubtleEmphasis"/>
          <w:i w:val="0"/>
          <w:color w:val="auto"/>
        </w:rPr>
        <w:t xml:space="preserve"> (Patterson</w:t>
      </w:r>
      <w:r w:rsidR="00B41473">
        <w:rPr>
          <w:rStyle w:val="SubtleEmphasis"/>
          <w:i w:val="0"/>
          <w:color w:val="auto"/>
        </w:rPr>
        <w:t xml:space="preserve"> 2014). This shed light on the types of things kindling</w:t>
      </w:r>
      <w:r w:rsidR="00B41473" w:rsidRPr="00E40B5F">
        <w:rPr>
          <w:rStyle w:val="SubtleEmphasis"/>
          <w:i w:val="0"/>
          <w:color w:val="auto"/>
        </w:rPr>
        <w:t xml:space="preserve">, the ways in which they are </w:t>
      </w:r>
      <w:r w:rsidR="00B41473">
        <w:rPr>
          <w:rStyle w:val="SubtleEmphasis"/>
          <w:i w:val="0"/>
          <w:color w:val="auto"/>
        </w:rPr>
        <w:t>kindled</w:t>
      </w:r>
      <w:r w:rsidR="00B41473" w:rsidRPr="00E40B5F">
        <w:rPr>
          <w:rStyle w:val="SubtleEmphasis"/>
          <w:i w:val="0"/>
          <w:color w:val="auto"/>
        </w:rPr>
        <w:t xml:space="preserve"> and the degree of animacy or animacy associate</w:t>
      </w:r>
      <w:r w:rsidR="00B41473">
        <w:rPr>
          <w:rStyle w:val="SubtleEmphasis"/>
          <w:i w:val="0"/>
          <w:color w:val="auto"/>
        </w:rPr>
        <w:t xml:space="preserve">d with the action of kindling. This research will focus on colligational priming, taking the top ten most frequent collocates as a starting point. </w:t>
      </w:r>
    </w:p>
    <w:p w14:paraId="76C7804B" w14:textId="6682D271" w:rsidR="003B5EFE" w:rsidRPr="00F82CDF" w:rsidRDefault="003B5EFE" w:rsidP="003D7F3E">
      <w:pPr>
        <w:pStyle w:val="Body1"/>
      </w:pPr>
      <w:r w:rsidRPr="00F82CDF">
        <w:tab/>
        <w:t xml:space="preserve">Whilst the Drinking Problem Hypothesis (2005) will not shed any light on how to identify or definitively classify metaphoric language (as no theory so far can), it might facilitate a focus on the set of choices being made by a speaker/writer and the level of fixedness of metaphoric senses in relation to their non-metaphoric counterparts. This might make possible a lexically driven explanation of our ability to identify metaphorical meanings, based on our encounters with language. </w:t>
      </w:r>
    </w:p>
    <w:p w14:paraId="42BB885D" w14:textId="77777777" w:rsidR="003B5EFE" w:rsidRPr="009052C8" w:rsidRDefault="003B5EFE" w:rsidP="003D7F3E">
      <w:pPr>
        <w:spacing w:line="240" w:lineRule="auto"/>
        <w:rPr>
          <w:i/>
        </w:rPr>
      </w:pPr>
    </w:p>
    <w:p w14:paraId="2A51CA15" w14:textId="50D8D0C4" w:rsidR="00E614A9" w:rsidRPr="007542D9" w:rsidRDefault="009052C8" w:rsidP="003D7F3E">
      <w:pPr>
        <w:spacing w:line="240" w:lineRule="auto"/>
        <w:rPr>
          <w:i/>
        </w:rPr>
      </w:pPr>
      <w:r w:rsidRPr="009052C8">
        <w:rPr>
          <w:i/>
        </w:rPr>
        <w:tab/>
      </w:r>
    </w:p>
    <w:p w14:paraId="576A123C" w14:textId="648B1153" w:rsidR="009530D3" w:rsidRPr="00856E13" w:rsidRDefault="007542D9" w:rsidP="00856E13">
      <w:pPr>
        <w:pStyle w:val="Heading2"/>
      </w:pPr>
      <w:r>
        <w:t>3</w:t>
      </w:r>
      <w:r w:rsidR="00E614A9">
        <w:t>. Methodology</w:t>
      </w:r>
    </w:p>
    <w:p w14:paraId="77133CD5" w14:textId="38119DA8" w:rsidR="00F50F1B" w:rsidRDefault="00F50F1B" w:rsidP="00856E13">
      <w:pPr>
        <w:pStyle w:val="Heading3"/>
      </w:pPr>
      <w:r>
        <w:tab/>
        <w:t>3.1 The corpus</w:t>
      </w:r>
    </w:p>
    <w:p w14:paraId="1B4A6A08" w14:textId="77777777" w:rsidR="009530D3" w:rsidRDefault="009530D3" w:rsidP="003D7F3E">
      <w:pPr>
        <w:spacing w:line="240" w:lineRule="auto"/>
        <w:rPr>
          <w:b/>
        </w:rPr>
      </w:pPr>
    </w:p>
    <w:p w14:paraId="0D28D9D3" w14:textId="2D73526E" w:rsidR="00A55A76" w:rsidRDefault="009530D3" w:rsidP="003D7F3E">
      <w:pPr>
        <w:spacing w:line="240" w:lineRule="auto"/>
        <w:rPr>
          <w:szCs w:val="22"/>
        </w:rPr>
      </w:pPr>
      <w:r>
        <w:rPr>
          <w:szCs w:val="22"/>
        </w:rPr>
        <w:t>The corpus</w:t>
      </w:r>
      <w:r w:rsidR="00A55A76" w:rsidRPr="00F82CDF">
        <w:rPr>
          <w:szCs w:val="22"/>
        </w:rPr>
        <w:t xml:space="preserve"> consists of texts written by English authors between 1800 and 1899. In total, there are 416 texts with a running token size of 45,480,658. There are no more than two texts written by a single author, in order to gain as widely representative a collection as possible, eliminating any idiosyncrasy. The texts are divided into two subfolders: fiction and non-fiction. Each subfolder consists of between 22 - 23 million tokens. The table below illustrates the exact token size and percentage of each sub-folder:</w:t>
      </w:r>
    </w:p>
    <w:p w14:paraId="3C2E1277" w14:textId="77777777" w:rsidR="00A40994" w:rsidRPr="00F82CDF" w:rsidRDefault="00A40994" w:rsidP="003D7F3E">
      <w:pPr>
        <w:spacing w:line="240" w:lineRule="auto"/>
        <w:rPr>
          <w:szCs w:val="22"/>
        </w:rPr>
      </w:pPr>
    </w:p>
    <w:p w14:paraId="73392DA5" w14:textId="77777777" w:rsidR="00A55A76" w:rsidRDefault="00A55A76" w:rsidP="003D7F3E">
      <w:pPr>
        <w:spacing w:line="240" w:lineRule="auto"/>
        <w:rPr>
          <w:szCs w:val="22"/>
        </w:rPr>
      </w:pPr>
    </w:p>
    <w:p w14:paraId="5EE6296B" w14:textId="4544363F" w:rsidR="00A606D3" w:rsidRPr="00A606D3" w:rsidRDefault="00A606D3" w:rsidP="00A606D3">
      <w:pPr>
        <w:pStyle w:val="Caption"/>
        <w:rPr>
          <w:sz w:val="22"/>
          <w:szCs w:val="22"/>
        </w:rPr>
      </w:pPr>
      <w:bookmarkStart w:id="0" w:name="_Toc310849893"/>
      <w:r w:rsidRPr="00F82CDF">
        <w:t xml:space="preserve">Table </w:t>
      </w:r>
      <w:r>
        <w:t>1</w:t>
      </w:r>
      <w:r w:rsidRPr="00F82CDF">
        <w:t>. Number of texts and token size of each subfolder of the corpus</w:t>
      </w:r>
      <w:bookmarkEnd w:id="0"/>
    </w:p>
    <w:tbl>
      <w:tblPr>
        <w:tblStyle w:val="MediumList2-Accent1"/>
        <w:tblW w:w="7196" w:type="dxa"/>
        <w:tblInd w:w="170" w:type="dxa"/>
        <w:tblLayout w:type="fixed"/>
        <w:tblLook w:val="0000" w:firstRow="0" w:lastRow="0" w:firstColumn="0" w:lastColumn="0" w:noHBand="0" w:noVBand="0"/>
      </w:tblPr>
      <w:tblGrid>
        <w:gridCol w:w="1799"/>
        <w:gridCol w:w="1799"/>
        <w:gridCol w:w="1799"/>
        <w:gridCol w:w="1799"/>
      </w:tblGrid>
      <w:tr w:rsidR="00A55A76" w:rsidRPr="00F82CDF" w14:paraId="07C2E183" w14:textId="77777777" w:rsidTr="00E036B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951" w:type="dxa"/>
            <w:tcBorders>
              <w:top w:val="single" w:sz="8" w:space="0" w:color="4F81BD" w:themeColor="accent1"/>
              <w:left w:val="none" w:sz="0" w:space="0" w:color="auto"/>
              <w:bottom w:val="single" w:sz="8" w:space="0" w:color="4F81BD" w:themeColor="accent1"/>
              <w:right w:val="single" w:sz="8" w:space="0" w:color="4F81BD" w:themeColor="accent1"/>
            </w:tcBorders>
            <w:shd w:val="clear" w:color="auto" w:fill="auto"/>
            <w:noWrap/>
          </w:tcPr>
          <w:p w14:paraId="73990368" w14:textId="77777777" w:rsidR="00A55A76" w:rsidRPr="00F82CDF" w:rsidRDefault="00A55A76" w:rsidP="003D7F3E">
            <w:pPr>
              <w:pStyle w:val="TableofAuthorities"/>
            </w:pPr>
            <w:r w:rsidRPr="00F82CDF">
              <w:t>Subfolder</w:t>
            </w:r>
          </w:p>
        </w:tc>
        <w:tc>
          <w:tcPr>
            <w:tcW w:w="19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tcPr>
          <w:p w14:paraId="50249F59" w14:textId="77777777" w:rsidR="00A55A76" w:rsidRPr="00F82CDF" w:rsidRDefault="00A55A76" w:rsidP="003D7F3E">
            <w:pPr>
              <w:pStyle w:val="TableofAuthorities"/>
              <w:cnfStyle w:val="000000100000" w:firstRow="0" w:lastRow="0" w:firstColumn="0" w:lastColumn="0" w:oddVBand="0" w:evenVBand="0" w:oddHBand="1" w:evenHBand="0" w:firstRowFirstColumn="0" w:firstRowLastColumn="0" w:lastRowFirstColumn="0" w:lastRowLastColumn="0"/>
            </w:pPr>
            <w:r w:rsidRPr="00F82CDF">
              <w:t>No. of texts</w:t>
            </w:r>
          </w:p>
        </w:tc>
        <w:tc>
          <w:tcPr>
            <w:cnfStyle w:val="000010000000" w:firstRow="0" w:lastRow="0" w:firstColumn="0" w:lastColumn="0" w:oddVBand="1" w:evenVBand="0" w:oddHBand="0" w:evenHBand="0" w:firstRowFirstColumn="0" w:firstRowLastColumn="0" w:lastRowFirstColumn="0" w:lastRowLastColumn="0"/>
            <w:tcW w:w="19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tcPr>
          <w:p w14:paraId="2801E8D5" w14:textId="77777777" w:rsidR="00A55A76" w:rsidRPr="00F82CDF" w:rsidRDefault="00A55A76" w:rsidP="003D7F3E">
            <w:pPr>
              <w:pStyle w:val="TableofAuthorities"/>
            </w:pPr>
            <w:r w:rsidRPr="00F82CDF">
              <w:t>Running token size</w:t>
            </w:r>
          </w:p>
        </w:tc>
        <w:tc>
          <w:tcPr>
            <w:tcW w:w="1950" w:type="dxa"/>
            <w:tcBorders>
              <w:top w:val="single" w:sz="8" w:space="0" w:color="4F81BD" w:themeColor="accent1"/>
              <w:left w:val="single" w:sz="8" w:space="0" w:color="4F81BD" w:themeColor="accent1"/>
              <w:bottom w:val="single" w:sz="8" w:space="0" w:color="4F81BD" w:themeColor="accent1"/>
            </w:tcBorders>
            <w:shd w:val="clear" w:color="auto" w:fill="auto"/>
            <w:noWrap/>
          </w:tcPr>
          <w:p w14:paraId="6C4E0280" w14:textId="77777777" w:rsidR="00A55A76" w:rsidRPr="00F82CDF" w:rsidRDefault="00A55A76" w:rsidP="003D7F3E">
            <w:pPr>
              <w:pStyle w:val="TableofAuthorities"/>
              <w:cnfStyle w:val="000000100000" w:firstRow="0" w:lastRow="0" w:firstColumn="0" w:lastColumn="0" w:oddVBand="0" w:evenVBand="0" w:oddHBand="1" w:evenHBand="0" w:firstRowFirstColumn="0" w:firstRowLastColumn="0" w:lastRowFirstColumn="0" w:lastRowLastColumn="0"/>
            </w:pPr>
            <w:r w:rsidRPr="00F82CDF">
              <w:t>% of corpus</w:t>
            </w:r>
          </w:p>
        </w:tc>
      </w:tr>
      <w:tr w:rsidR="00A55A76" w:rsidRPr="00F82CDF" w14:paraId="6E5153FE" w14:textId="77777777" w:rsidTr="00E036B1">
        <w:trPr>
          <w:trHeight w:val="260"/>
        </w:trPr>
        <w:tc>
          <w:tcPr>
            <w:cnfStyle w:val="000010000000" w:firstRow="0" w:lastRow="0" w:firstColumn="0" w:lastColumn="0" w:oddVBand="1" w:evenVBand="0" w:oddHBand="0" w:evenHBand="0" w:firstRowFirstColumn="0" w:firstRowLastColumn="0" w:lastRowFirstColumn="0" w:lastRowLastColumn="0"/>
            <w:tcW w:w="1951" w:type="dxa"/>
            <w:tcBorders>
              <w:top w:val="single" w:sz="8" w:space="0" w:color="4F81BD" w:themeColor="accent1"/>
              <w:left w:val="none" w:sz="0" w:space="0" w:color="auto"/>
              <w:bottom w:val="none" w:sz="0" w:space="0" w:color="auto"/>
              <w:right w:val="single" w:sz="8" w:space="0" w:color="4F81BD" w:themeColor="accent1"/>
            </w:tcBorders>
            <w:shd w:val="clear" w:color="auto" w:fill="auto"/>
            <w:noWrap/>
          </w:tcPr>
          <w:p w14:paraId="5A521F8D" w14:textId="77777777" w:rsidR="00A55A76" w:rsidRPr="00F82CDF" w:rsidRDefault="00A55A76" w:rsidP="003D7F3E">
            <w:pPr>
              <w:pStyle w:val="TableofAuthorities"/>
            </w:pPr>
            <w:r w:rsidRPr="00F82CDF">
              <w:t>1. Fiction</w:t>
            </w:r>
          </w:p>
        </w:tc>
        <w:tc>
          <w:tcPr>
            <w:tcW w:w="1950" w:type="dxa"/>
            <w:tcBorders>
              <w:top w:val="single" w:sz="8" w:space="0" w:color="4F81BD" w:themeColor="accent1"/>
              <w:left w:val="single" w:sz="8" w:space="0" w:color="4F81BD" w:themeColor="accent1"/>
            </w:tcBorders>
            <w:shd w:val="clear" w:color="auto" w:fill="auto"/>
            <w:noWrap/>
          </w:tcPr>
          <w:p w14:paraId="1B915092" w14:textId="77777777" w:rsidR="00A55A76" w:rsidRPr="00F82CDF" w:rsidRDefault="00A55A76" w:rsidP="003D7F3E">
            <w:pPr>
              <w:pStyle w:val="TableofAuthorities"/>
              <w:cnfStyle w:val="000000000000" w:firstRow="0" w:lastRow="0" w:firstColumn="0" w:lastColumn="0" w:oddVBand="0" w:evenVBand="0" w:oddHBand="0" w:evenHBand="0" w:firstRowFirstColumn="0" w:firstRowLastColumn="0" w:lastRowFirstColumn="0" w:lastRowLastColumn="0"/>
            </w:pPr>
            <w:r w:rsidRPr="00F82CDF">
              <w:t>184</w:t>
            </w:r>
          </w:p>
        </w:tc>
        <w:tc>
          <w:tcPr>
            <w:cnfStyle w:val="000010000000" w:firstRow="0" w:lastRow="0" w:firstColumn="0" w:lastColumn="0" w:oddVBand="1" w:evenVBand="0" w:oddHBand="0" w:evenHBand="0" w:firstRowFirstColumn="0" w:firstRowLastColumn="0" w:lastRowFirstColumn="0" w:lastRowLastColumn="0"/>
            <w:tcW w:w="1950" w:type="dxa"/>
            <w:tcBorders>
              <w:top w:val="single" w:sz="8" w:space="0" w:color="4F81BD" w:themeColor="accent1"/>
              <w:left w:val="none" w:sz="0" w:space="0" w:color="auto"/>
              <w:bottom w:val="none" w:sz="0" w:space="0" w:color="auto"/>
              <w:right w:val="none" w:sz="0" w:space="0" w:color="auto"/>
            </w:tcBorders>
            <w:shd w:val="clear" w:color="auto" w:fill="auto"/>
            <w:noWrap/>
          </w:tcPr>
          <w:p w14:paraId="30CCBD8B" w14:textId="77777777" w:rsidR="00A55A76" w:rsidRPr="00F82CDF" w:rsidRDefault="00A55A76" w:rsidP="003D7F3E">
            <w:pPr>
              <w:pStyle w:val="TableofAuthorities"/>
            </w:pPr>
            <w:r w:rsidRPr="00F82CDF">
              <w:t>22,979,640</w:t>
            </w:r>
          </w:p>
        </w:tc>
        <w:tc>
          <w:tcPr>
            <w:tcW w:w="1950" w:type="dxa"/>
            <w:tcBorders>
              <w:top w:val="single" w:sz="8" w:space="0" w:color="4F81BD" w:themeColor="accent1"/>
            </w:tcBorders>
            <w:shd w:val="clear" w:color="auto" w:fill="auto"/>
            <w:noWrap/>
          </w:tcPr>
          <w:p w14:paraId="3990426E" w14:textId="77777777" w:rsidR="00A55A76" w:rsidRPr="00F82CDF" w:rsidRDefault="00A55A76" w:rsidP="003D7F3E">
            <w:pPr>
              <w:pStyle w:val="TableofAuthorities"/>
              <w:cnfStyle w:val="000000000000" w:firstRow="0" w:lastRow="0" w:firstColumn="0" w:lastColumn="0" w:oddVBand="0" w:evenVBand="0" w:oddHBand="0" w:evenHBand="0" w:firstRowFirstColumn="0" w:firstRowLastColumn="0" w:lastRowFirstColumn="0" w:lastRowLastColumn="0"/>
            </w:pPr>
            <w:r w:rsidRPr="00F82CDF">
              <w:t>50.53</w:t>
            </w:r>
          </w:p>
        </w:tc>
      </w:tr>
      <w:tr w:rsidR="00A55A76" w:rsidRPr="00F82CDF" w14:paraId="5C8AA4F4" w14:textId="77777777" w:rsidTr="00E036B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single" w:sz="8" w:space="0" w:color="4F81BD" w:themeColor="accent1"/>
            </w:tcBorders>
            <w:shd w:val="clear" w:color="auto" w:fill="auto"/>
            <w:noWrap/>
          </w:tcPr>
          <w:p w14:paraId="411035E7" w14:textId="77777777" w:rsidR="00A55A76" w:rsidRPr="00F82CDF" w:rsidRDefault="00A55A76" w:rsidP="003D7F3E">
            <w:pPr>
              <w:pStyle w:val="TableofAuthorities"/>
            </w:pPr>
            <w:r w:rsidRPr="00F82CDF">
              <w:t>2. Non-Fiction</w:t>
            </w:r>
          </w:p>
        </w:tc>
        <w:tc>
          <w:tcPr>
            <w:tcW w:w="1950" w:type="dxa"/>
            <w:tcBorders>
              <w:top w:val="none" w:sz="0" w:space="0" w:color="auto"/>
              <w:left w:val="single" w:sz="8" w:space="0" w:color="4F81BD" w:themeColor="accent1"/>
              <w:bottom w:val="none" w:sz="0" w:space="0" w:color="auto"/>
              <w:right w:val="none" w:sz="0" w:space="0" w:color="auto"/>
            </w:tcBorders>
            <w:noWrap/>
          </w:tcPr>
          <w:p w14:paraId="25F0B7DC" w14:textId="77777777" w:rsidR="00A55A76" w:rsidRPr="00F82CDF" w:rsidRDefault="00A55A76" w:rsidP="003D7F3E">
            <w:pPr>
              <w:pStyle w:val="TableofAuthorities"/>
              <w:cnfStyle w:val="000000100000" w:firstRow="0" w:lastRow="0" w:firstColumn="0" w:lastColumn="0" w:oddVBand="0" w:evenVBand="0" w:oddHBand="1" w:evenHBand="0" w:firstRowFirstColumn="0" w:firstRowLastColumn="0" w:lastRowFirstColumn="0" w:lastRowLastColumn="0"/>
            </w:pPr>
            <w:r w:rsidRPr="00F82CDF">
              <w:t>232</w:t>
            </w:r>
          </w:p>
        </w:tc>
        <w:tc>
          <w:tcPr>
            <w:cnfStyle w:val="000010000000" w:firstRow="0" w:lastRow="0" w:firstColumn="0" w:lastColumn="0" w:oddVBand="1" w:evenVBand="0" w:oddHBand="0" w:evenHBand="0" w:firstRowFirstColumn="0" w:firstRowLastColumn="0" w:lastRowFirstColumn="0" w:lastRowLastColumn="0"/>
            <w:tcW w:w="1950" w:type="dxa"/>
            <w:tcBorders>
              <w:top w:val="none" w:sz="0" w:space="0" w:color="auto"/>
              <w:left w:val="none" w:sz="0" w:space="0" w:color="auto"/>
              <w:bottom w:val="none" w:sz="0" w:space="0" w:color="auto"/>
              <w:right w:val="none" w:sz="0" w:space="0" w:color="auto"/>
            </w:tcBorders>
            <w:noWrap/>
          </w:tcPr>
          <w:p w14:paraId="1ECA3DB4" w14:textId="77777777" w:rsidR="00A55A76" w:rsidRPr="00F82CDF" w:rsidRDefault="00A55A76" w:rsidP="003D7F3E">
            <w:pPr>
              <w:pStyle w:val="TableofAuthorities"/>
            </w:pPr>
            <w:r w:rsidRPr="00F82CDF">
              <w:t>22,501,018</w:t>
            </w:r>
          </w:p>
        </w:tc>
        <w:tc>
          <w:tcPr>
            <w:tcW w:w="1950" w:type="dxa"/>
            <w:tcBorders>
              <w:top w:val="none" w:sz="0" w:space="0" w:color="auto"/>
              <w:left w:val="none" w:sz="0" w:space="0" w:color="auto"/>
              <w:bottom w:val="none" w:sz="0" w:space="0" w:color="auto"/>
            </w:tcBorders>
            <w:noWrap/>
          </w:tcPr>
          <w:p w14:paraId="4FADE081" w14:textId="77777777" w:rsidR="00A55A76" w:rsidRPr="00F82CDF" w:rsidRDefault="00A55A76" w:rsidP="003D7F3E">
            <w:pPr>
              <w:pStyle w:val="TableofAuthorities"/>
              <w:cnfStyle w:val="000000100000" w:firstRow="0" w:lastRow="0" w:firstColumn="0" w:lastColumn="0" w:oddVBand="0" w:evenVBand="0" w:oddHBand="1" w:evenHBand="0" w:firstRowFirstColumn="0" w:firstRowLastColumn="0" w:lastRowFirstColumn="0" w:lastRowLastColumn="0"/>
            </w:pPr>
            <w:r w:rsidRPr="00F82CDF">
              <w:t>49.47</w:t>
            </w:r>
          </w:p>
        </w:tc>
      </w:tr>
      <w:tr w:rsidR="00A55A76" w:rsidRPr="00F82CDF" w14:paraId="7B69E0DB" w14:textId="77777777" w:rsidTr="00E036B1">
        <w:trPr>
          <w:trHeight w:val="260"/>
        </w:trPr>
        <w:tc>
          <w:tcPr>
            <w:cnfStyle w:val="000010000000" w:firstRow="0" w:lastRow="0" w:firstColumn="0" w:lastColumn="0" w:oddVBand="1" w:evenVBand="0" w:oddHBand="0" w:evenHBand="0" w:firstRowFirstColumn="0" w:firstRowLastColumn="0" w:lastRowFirstColumn="0" w:lastRowLastColumn="0"/>
            <w:tcW w:w="1951" w:type="dxa"/>
            <w:tcBorders>
              <w:left w:val="none" w:sz="0" w:space="0" w:color="auto"/>
              <w:bottom w:val="single" w:sz="8" w:space="0" w:color="4F81BD" w:themeColor="accent1"/>
              <w:right w:val="single" w:sz="8" w:space="0" w:color="4F81BD" w:themeColor="accent1"/>
            </w:tcBorders>
            <w:shd w:val="clear" w:color="auto" w:fill="auto"/>
            <w:noWrap/>
          </w:tcPr>
          <w:p w14:paraId="4DE71AA7" w14:textId="77777777" w:rsidR="00A55A76" w:rsidRPr="00F82CDF" w:rsidRDefault="00A55A76" w:rsidP="003D7F3E">
            <w:pPr>
              <w:pStyle w:val="TableofAuthorities"/>
            </w:pPr>
            <w:r w:rsidRPr="00F82CDF">
              <w:t>CORPUS TOTAL</w:t>
            </w:r>
          </w:p>
        </w:tc>
        <w:tc>
          <w:tcPr>
            <w:tcW w:w="1950" w:type="dxa"/>
            <w:tcBorders>
              <w:left w:val="single" w:sz="8" w:space="0" w:color="4F81BD" w:themeColor="accent1"/>
            </w:tcBorders>
            <w:shd w:val="clear" w:color="auto" w:fill="auto"/>
            <w:noWrap/>
          </w:tcPr>
          <w:p w14:paraId="35F655BB" w14:textId="77777777" w:rsidR="00A55A76" w:rsidRPr="00F82CDF" w:rsidRDefault="00A55A76" w:rsidP="003D7F3E">
            <w:pPr>
              <w:pStyle w:val="TableofAuthorities"/>
              <w:cnfStyle w:val="000000000000" w:firstRow="0" w:lastRow="0" w:firstColumn="0" w:lastColumn="0" w:oddVBand="0" w:evenVBand="0" w:oddHBand="0" w:evenHBand="0" w:firstRowFirstColumn="0" w:firstRowLastColumn="0" w:lastRowFirstColumn="0" w:lastRowLastColumn="0"/>
            </w:pPr>
            <w:r w:rsidRPr="00F82CDF">
              <w:t>416</w:t>
            </w:r>
          </w:p>
        </w:tc>
        <w:tc>
          <w:tcPr>
            <w:cnfStyle w:val="000010000000" w:firstRow="0" w:lastRow="0" w:firstColumn="0" w:lastColumn="0" w:oddVBand="1" w:evenVBand="0" w:oddHBand="0" w:evenHBand="0" w:firstRowFirstColumn="0" w:firstRowLastColumn="0" w:lastRowFirstColumn="0" w:lastRowLastColumn="0"/>
            <w:tcW w:w="1950" w:type="dxa"/>
            <w:tcBorders>
              <w:left w:val="none" w:sz="0" w:space="0" w:color="auto"/>
              <w:right w:val="none" w:sz="0" w:space="0" w:color="auto"/>
            </w:tcBorders>
            <w:shd w:val="clear" w:color="auto" w:fill="auto"/>
            <w:noWrap/>
          </w:tcPr>
          <w:p w14:paraId="4643B156" w14:textId="77777777" w:rsidR="00A55A76" w:rsidRPr="00F82CDF" w:rsidRDefault="00A55A76" w:rsidP="003D7F3E">
            <w:pPr>
              <w:pStyle w:val="TableofAuthorities"/>
            </w:pPr>
            <w:r w:rsidRPr="00F82CDF">
              <w:t>45,480,658</w:t>
            </w:r>
          </w:p>
        </w:tc>
        <w:tc>
          <w:tcPr>
            <w:tcW w:w="1950" w:type="dxa"/>
            <w:shd w:val="clear" w:color="auto" w:fill="auto"/>
            <w:noWrap/>
          </w:tcPr>
          <w:p w14:paraId="2DF7183E" w14:textId="77777777" w:rsidR="00A55A76" w:rsidRPr="00F82CDF" w:rsidRDefault="00A55A76" w:rsidP="003D7F3E">
            <w:pPr>
              <w:pStyle w:val="TableofAuthorities"/>
              <w:cnfStyle w:val="000000000000" w:firstRow="0" w:lastRow="0" w:firstColumn="0" w:lastColumn="0" w:oddVBand="0" w:evenVBand="0" w:oddHBand="0" w:evenHBand="0" w:firstRowFirstColumn="0" w:firstRowLastColumn="0" w:lastRowFirstColumn="0" w:lastRowLastColumn="0"/>
            </w:pPr>
            <w:r w:rsidRPr="00F82CDF">
              <w:t>100</w:t>
            </w:r>
          </w:p>
        </w:tc>
      </w:tr>
    </w:tbl>
    <w:p w14:paraId="76870C7B" w14:textId="77777777" w:rsidR="00A55A76" w:rsidRPr="00F82CDF" w:rsidRDefault="00A55A76" w:rsidP="003D7F3E">
      <w:pPr>
        <w:pStyle w:val="Body1"/>
      </w:pPr>
      <w:bookmarkStart w:id="1" w:name="_Toc305058122"/>
      <w:bookmarkStart w:id="2" w:name="_Toc305058187"/>
      <w:bookmarkStart w:id="3" w:name="_Toc304630574"/>
    </w:p>
    <w:p w14:paraId="5D850635" w14:textId="53369339" w:rsidR="00A55A76" w:rsidRDefault="00A55A76" w:rsidP="003D7F3E">
      <w:pPr>
        <w:spacing w:line="240" w:lineRule="auto"/>
        <w:rPr>
          <w:szCs w:val="22"/>
        </w:rPr>
      </w:pPr>
      <w:bookmarkStart w:id="4" w:name="_Toc304630576"/>
      <w:bookmarkEnd w:id="1"/>
      <w:bookmarkEnd w:id="2"/>
      <w:bookmarkEnd w:id="3"/>
      <w:r w:rsidRPr="00F82CDF">
        <w:rPr>
          <w:szCs w:val="22"/>
        </w:rPr>
        <w:t>Wo</w:t>
      </w:r>
      <w:r w:rsidR="00B1583F">
        <w:rPr>
          <w:szCs w:val="22"/>
        </w:rPr>
        <w:t>rdSmith Version 5 (Scott</w:t>
      </w:r>
      <w:r w:rsidR="0032287B">
        <w:rPr>
          <w:szCs w:val="22"/>
        </w:rPr>
        <w:t xml:space="preserve"> 2008</w:t>
      </w:r>
      <w:r w:rsidRPr="00F82CDF">
        <w:rPr>
          <w:szCs w:val="22"/>
        </w:rPr>
        <w:t xml:space="preserve">) is used to extract data from the corpus. An initial Keyword search identified words of unusually high frequency in the nineteenth century corpus in comparison with a more general and contemporary comparator corpus (the BNC). </w:t>
      </w:r>
      <w:r w:rsidRPr="00F82CDF">
        <w:rPr>
          <w:rFonts w:cs="Arial"/>
          <w:szCs w:val="22"/>
        </w:rPr>
        <w:t>T</w:t>
      </w:r>
      <w:r w:rsidR="00B1583F">
        <w:rPr>
          <w:rFonts w:cs="Arial"/>
          <w:szCs w:val="22"/>
        </w:rPr>
        <w:t>he Keyword function (Scott</w:t>
      </w:r>
      <w:r w:rsidR="0032287B">
        <w:rPr>
          <w:rFonts w:cs="Arial"/>
          <w:szCs w:val="22"/>
        </w:rPr>
        <w:t xml:space="preserve"> 2008</w:t>
      </w:r>
      <w:r w:rsidRPr="00F82CDF">
        <w:rPr>
          <w:rFonts w:cs="Arial"/>
          <w:szCs w:val="22"/>
        </w:rPr>
        <w:t>) compares the ‘keyness’ of items in one corpus, compared to a larger reference corpus</w:t>
      </w:r>
      <w:r w:rsidRPr="00F82CDF">
        <w:rPr>
          <w:rStyle w:val="FootnoteReference"/>
          <w:rFonts w:cs="Arial"/>
          <w:szCs w:val="22"/>
        </w:rPr>
        <w:footnoteReference w:id="3"/>
      </w:r>
      <w:r w:rsidRPr="00F82CDF">
        <w:rPr>
          <w:rFonts w:cs="Arial"/>
          <w:szCs w:val="22"/>
        </w:rPr>
        <w:t xml:space="preserve">. Items with a significant ‘keyness’ appear more frequently than would be expected in one of the two corpora. </w:t>
      </w:r>
      <w:r w:rsidRPr="00F82CDF">
        <w:rPr>
          <w:szCs w:val="22"/>
        </w:rPr>
        <w:t>The aim is to highlight high frequency items which are specific to the corpus. The analysis makes use of Wordsmith’s functions, such as concordance lists, collocates, clusters and pattern data.</w:t>
      </w:r>
      <w:bookmarkEnd w:id="4"/>
      <w:r w:rsidRPr="00F82CDF">
        <w:rPr>
          <w:szCs w:val="22"/>
        </w:rPr>
        <w:t xml:space="preserve"> It is hoped that a combined approach of all functions will allow for a detailed analysis of possible </w:t>
      </w:r>
      <w:r w:rsidR="00B41473">
        <w:rPr>
          <w:szCs w:val="22"/>
        </w:rPr>
        <w:t xml:space="preserve">colligational </w:t>
      </w:r>
      <w:r w:rsidRPr="00F82CDF">
        <w:rPr>
          <w:szCs w:val="22"/>
        </w:rPr>
        <w:t>primings.</w:t>
      </w:r>
    </w:p>
    <w:p w14:paraId="1570AEE6" w14:textId="77777777" w:rsidR="004A34EC" w:rsidRDefault="00A55A76" w:rsidP="003D7F3E">
      <w:pPr>
        <w:spacing w:line="240" w:lineRule="auto"/>
        <w:contextualSpacing/>
        <w:rPr>
          <w:szCs w:val="22"/>
        </w:rPr>
      </w:pPr>
      <w:r>
        <w:rPr>
          <w:szCs w:val="22"/>
        </w:rPr>
        <w:tab/>
      </w:r>
    </w:p>
    <w:p w14:paraId="16DA0DA0" w14:textId="0AE33D3F" w:rsidR="00F50F1B" w:rsidRPr="00F50F1B" w:rsidRDefault="00F50F1B" w:rsidP="00856E13">
      <w:pPr>
        <w:pStyle w:val="Heading3"/>
      </w:pPr>
      <w:r>
        <w:tab/>
      </w:r>
      <w:r w:rsidRPr="00F50F1B">
        <w:t>3.2 The metaphor identification process</w:t>
      </w:r>
    </w:p>
    <w:p w14:paraId="46497390" w14:textId="77777777" w:rsidR="00F50F1B" w:rsidRDefault="00F50F1B" w:rsidP="003D7F3E">
      <w:pPr>
        <w:spacing w:line="240" w:lineRule="auto"/>
        <w:contextualSpacing/>
        <w:rPr>
          <w:szCs w:val="22"/>
        </w:rPr>
      </w:pPr>
    </w:p>
    <w:p w14:paraId="095F5EA7" w14:textId="34143632" w:rsidR="00A55A76" w:rsidRPr="00A40994" w:rsidRDefault="00A55A76" w:rsidP="00A40994">
      <w:pPr>
        <w:spacing w:line="240" w:lineRule="auto"/>
        <w:contextualSpacing/>
        <w:rPr>
          <w:szCs w:val="22"/>
        </w:rPr>
      </w:pPr>
      <w:r w:rsidRPr="00F82CDF">
        <w:rPr>
          <w:szCs w:val="22"/>
        </w:rPr>
        <w:t>The analysis and comparison of the lexical characteristics of metaphoric and non-metaphoric instances requires, in the first place, a methodological decision involving the classification of each item as metaphor. In order to be able to analyse the two groups statistically, they must be divided in such a way that they become, in effect, separate corpora. This entails the division of concordance lines into two clear groups of metaphoric and non-metaphoric instances.</w:t>
      </w:r>
      <w:r w:rsidRPr="00F82CDF">
        <w:rPr>
          <w:rFonts w:cs="Arial"/>
          <w:szCs w:val="22"/>
        </w:rPr>
        <w:t xml:space="preserve"> </w:t>
      </w:r>
      <w:r w:rsidRPr="00F82CDF">
        <w:rPr>
          <w:szCs w:val="22"/>
        </w:rPr>
        <w:t>The division cannot be undertaken objectively, and so it was decided to create a middle group to amass any unsure, ambiguous or weak or heavily conventionalized metaphors. This will help to keep the two datasets as clear and prototypical as possible. Each list of concordance lines has been distributed to between three and six evaluators on separate occasions. They were asked to decide whether a given words was being used metaphorically within the context provided. Concordance lines were all set to 120 characters in length. If not enough context was provided to permit a decision, the participants could check more co-text by clicking on the concordance line to reveal more text</w:t>
      </w:r>
      <w:r w:rsidRPr="00F82CDF">
        <w:rPr>
          <w:rStyle w:val="FootnoteReference"/>
          <w:szCs w:val="22"/>
        </w:rPr>
        <w:footnoteReference w:id="4"/>
      </w:r>
      <w:r w:rsidRPr="00F82CDF">
        <w:rPr>
          <w:szCs w:val="22"/>
        </w:rPr>
        <w:t xml:space="preserve">. Participants were given three options for categorization. These were </w:t>
      </w:r>
      <w:r w:rsidRPr="00F82CDF">
        <w:rPr>
          <w:i/>
          <w:szCs w:val="22"/>
        </w:rPr>
        <w:t>metaphoric</w:t>
      </w:r>
      <w:r w:rsidRPr="00F82CDF">
        <w:rPr>
          <w:szCs w:val="22"/>
        </w:rPr>
        <w:t xml:space="preserve">, </w:t>
      </w:r>
      <w:r w:rsidRPr="00F82CDF">
        <w:rPr>
          <w:i/>
          <w:szCs w:val="22"/>
        </w:rPr>
        <w:t>literal</w:t>
      </w:r>
      <w:r w:rsidRPr="00F82CDF">
        <w:rPr>
          <w:szCs w:val="22"/>
        </w:rPr>
        <w:t xml:space="preserve"> and </w:t>
      </w:r>
      <w:r w:rsidRPr="00F82CDF">
        <w:rPr>
          <w:i/>
          <w:szCs w:val="22"/>
        </w:rPr>
        <w:t>unsure</w:t>
      </w:r>
      <w:r w:rsidRPr="00F82CDF">
        <w:rPr>
          <w:szCs w:val="22"/>
        </w:rPr>
        <w:t xml:space="preserve">. </w:t>
      </w:r>
      <w:r w:rsidRPr="00F82CDF">
        <w:rPr>
          <w:rFonts w:cs="Times New Roman"/>
          <w:szCs w:val="22"/>
        </w:rPr>
        <w:t xml:space="preserve">Where there was discrepancy between any individual(s) and the remaining readers, the concordance was in any case placed in the </w:t>
      </w:r>
      <w:r w:rsidRPr="00F82CDF">
        <w:rPr>
          <w:rFonts w:cs="Times New Roman"/>
          <w:i/>
          <w:szCs w:val="22"/>
        </w:rPr>
        <w:t xml:space="preserve">unsure </w:t>
      </w:r>
      <w:r w:rsidRPr="00F82CDF">
        <w:rPr>
          <w:rFonts w:cs="Times New Roman"/>
          <w:szCs w:val="22"/>
        </w:rPr>
        <w:t xml:space="preserve">group. The intention was to create the assurance that all clearly identified metaphors have unanimously been agreed upon by no fewer than three individuals. </w:t>
      </w:r>
      <w:r w:rsidRPr="00F82CDF">
        <w:rPr>
          <w:szCs w:val="22"/>
        </w:rPr>
        <w:t>The decision to use the term non-metaphoric rather than literal is in order to reduce the dominance of a dichotomist stance between the two groups, and instead to see them as a set that displays metaphoric behaviours, and a set that does not. The analysis will discuss more or less metaphoric meaning and more or less non-metaphoric meaning, seeing these as “end-points on a scale, rather than absolutes”, a stance similarly adopted by Lindquist and Levin (2008: 145). The sets of concordances lines are treated as if they were corpora and</w:t>
      </w:r>
      <w:r w:rsidR="00B1583F">
        <w:rPr>
          <w:szCs w:val="22"/>
        </w:rPr>
        <w:t xml:space="preserve"> fed into WordSmith (Scott</w:t>
      </w:r>
      <w:r w:rsidR="0032287B">
        <w:rPr>
          <w:szCs w:val="22"/>
        </w:rPr>
        <w:t xml:space="preserve"> 2008</w:t>
      </w:r>
      <w:r w:rsidRPr="00F82CDF">
        <w:rPr>
          <w:szCs w:val="22"/>
        </w:rPr>
        <w:t>) as single sub-corpora.</w:t>
      </w:r>
    </w:p>
    <w:p w14:paraId="297F212F" w14:textId="77777777" w:rsidR="00A55A76" w:rsidRDefault="00A55A76" w:rsidP="003D7F3E">
      <w:pPr>
        <w:spacing w:line="240" w:lineRule="auto"/>
        <w:rPr>
          <w:b/>
        </w:rPr>
      </w:pPr>
    </w:p>
    <w:p w14:paraId="1E9B72E0" w14:textId="17AEDCFC" w:rsidR="00E614A9" w:rsidRDefault="007542D9" w:rsidP="00856E13">
      <w:pPr>
        <w:pStyle w:val="Heading2"/>
      </w:pPr>
      <w:r>
        <w:t>4. The study</w:t>
      </w:r>
    </w:p>
    <w:p w14:paraId="058553F1" w14:textId="77777777" w:rsidR="00E40B5F" w:rsidRDefault="00E40B5F" w:rsidP="003D7F3E">
      <w:pPr>
        <w:spacing w:line="240" w:lineRule="auto"/>
        <w:rPr>
          <w:b/>
        </w:rPr>
      </w:pPr>
    </w:p>
    <w:p w14:paraId="1481D775" w14:textId="3170FDDD" w:rsidR="003D7F3E" w:rsidRPr="00B41473" w:rsidRDefault="003D7F3E" w:rsidP="00B41473">
      <w:pPr>
        <w:spacing w:line="240" w:lineRule="auto"/>
        <w:rPr>
          <w:iCs/>
        </w:rPr>
      </w:pPr>
      <w:bookmarkStart w:id="5" w:name="_Toc305157352"/>
      <w:r w:rsidRPr="00F82CDF">
        <w:t>The first group</w:t>
      </w:r>
      <w:r w:rsidR="00E40B5F">
        <w:t xml:space="preserve"> of data</w:t>
      </w:r>
      <w:r w:rsidRPr="00F82CDF">
        <w:t xml:space="preserve"> consists of the clear metaphors, which total 2863 instances and comprises over three quarters (75.10%) of the total data. The second group comprises the non-metaphors, which total 807 instances and make up 21.17% of the data</w:t>
      </w:r>
      <w:r w:rsidR="00E40B5F">
        <w:t>.</w:t>
      </w:r>
      <w:r w:rsidRPr="00F82CDF">
        <w:t xml:space="preserve"> The analysis will </w:t>
      </w:r>
      <w:r w:rsidR="00B41473">
        <w:t xml:space="preserve">focus on the top ten most frequent collocates in each dataset. It is expected that the items will be grammatical non-lexical items and thus </w:t>
      </w:r>
      <w:r w:rsidR="004957B1" w:rsidRPr="00E40B5F">
        <w:rPr>
          <w:rStyle w:val="SubtleEmphasis"/>
          <w:i w:val="0"/>
          <w:color w:val="auto"/>
        </w:rPr>
        <w:t>should give an indicat</w:t>
      </w:r>
      <w:r w:rsidR="004957B1">
        <w:rPr>
          <w:rStyle w:val="SubtleEmphasis"/>
          <w:i w:val="0"/>
          <w:color w:val="auto"/>
        </w:rPr>
        <w:t>ion of</w:t>
      </w:r>
      <w:r w:rsidR="00B41473">
        <w:rPr>
          <w:rStyle w:val="SubtleEmphasis"/>
          <w:i w:val="0"/>
          <w:color w:val="auto"/>
        </w:rPr>
        <w:t xml:space="preserve"> wider colligational patterns.</w:t>
      </w:r>
      <w:r w:rsidR="004957B1">
        <w:rPr>
          <w:rStyle w:val="SubtleEmphasis"/>
          <w:i w:val="0"/>
          <w:color w:val="auto"/>
        </w:rPr>
        <w:t xml:space="preserve"> </w:t>
      </w:r>
      <w:bookmarkStart w:id="6" w:name="_Toc305157781"/>
      <w:bookmarkEnd w:id="5"/>
    </w:p>
    <w:p w14:paraId="2F1E573D" w14:textId="73D32806" w:rsidR="003D7F3E" w:rsidRDefault="00153B05" w:rsidP="003D7F3E">
      <w:pPr>
        <w:spacing w:line="240" w:lineRule="auto"/>
      </w:pPr>
      <w:bookmarkStart w:id="7" w:name="_Toc305158348"/>
      <w:bookmarkEnd w:id="6"/>
      <w:r>
        <w:tab/>
      </w:r>
      <w:bookmarkStart w:id="8" w:name="_Toc305151621"/>
      <w:bookmarkStart w:id="9" w:name="_Toc305158349"/>
      <w:bookmarkStart w:id="10" w:name="_Toc305225323"/>
      <w:bookmarkStart w:id="11" w:name="_Toc305935746"/>
      <w:bookmarkStart w:id="12" w:name="_Toc305941083"/>
      <w:bookmarkStart w:id="13" w:name="_Toc305157356"/>
      <w:bookmarkEnd w:id="7"/>
      <w:r w:rsidR="003D7F3E" w:rsidRPr="00F82CDF">
        <w:t xml:space="preserve">The top 10 collocates of </w:t>
      </w:r>
      <w:r w:rsidR="003D7F3E" w:rsidRPr="00F82CDF">
        <w:rPr>
          <w:i/>
        </w:rPr>
        <w:t>grew</w:t>
      </w:r>
      <w:r w:rsidR="003D7F3E" w:rsidRPr="00F82CDF">
        <w:t xml:space="preserve"> for both datasets are given below:</w:t>
      </w:r>
      <w:bookmarkEnd w:id="13"/>
    </w:p>
    <w:p w14:paraId="7CD4DA6B" w14:textId="77777777" w:rsidR="00A606D3" w:rsidRPr="00B41473" w:rsidRDefault="00A606D3" w:rsidP="003D7F3E">
      <w:pPr>
        <w:spacing w:line="240" w:lineRule="auto"/>
        <w:rPr>
          <w:rFonts w:cs="Helvetica"/>
          <w:color w:val="1C1C1C"/>
          <w:szCs w:val="22"/>
        </w:rPr>
      </w:pPr>
    </w:p>
    <w:p w14:paraId="3A058046" w14:textId="66022F13" w:rsidR="003D7F3E" w:rsidRPr="00F82CDF" w:rsidRDefault="00A606D3" w:rsidP="00A606D3">
      <w:pPr>
        <w:pStyle w:val="Caption"/>
      </w:pPr>
      <w:bookmarkStart w:id="14" w:name="_Toc311117811"/>
      <w:r w:rsidRPr="00F82CDF">
        <w:t xml:space="preserve">Table </w:t>
      </w:r>
      <w:r>
        <w:t>2</w:t>
      </w:r>
      <w:r w:rsidRPr="00F82CDF">
        <w:t>. Top ten collocates in metaphoric and non-metaphoric datasets</w:t>
      </w:r>
      <w:bookmarkEnd w:id="14"/>
    </w:p>
    <w:tbl>
      <w:tblPr>
        <w:tblW w:w="4565" w:type="pct"/>
        <w:tblInd w:w="170" w:type="dxa"/>
        <w:tblLayout w:type="fixed"/>
        <w:tblLook w:val="04A0" w:firstRow="1" w:lastRow="0" w:firstColumn="1" w:lastColumn="0" w:noHBand="0" w:noVBand="1"/>
      </w:tblPr>
      <w:tblGrid>
        <w:gridCol w:w="549"/>
        <w:gridCol w:w="1134"/>
        <w:gridCol w:w="554"/>
        <w:gridCol w:w="313"/>
        <w:gridCol w:w="729"/>
        <w:gridCol w:w="725"/>
        <w:gridCol w:w="362"/>
        <w:gridCol w:w="221"/>
        <w:gridCol w:w="1015"/>
        <w:gridCol w:w="728"/>
        <w:gridCol w:w="591"/>
        <w:gridCol w:w="134"/>
        <w:gridCol w:w="720"/>
      </w:tblGrid>
      <w:tr w:rsidR="003D7F3E" w:rsidRPr="00F82CDF" w14:paraId="45160317" w14:textId="77777777" w:rsidTr="003D7F3E">
        <w:trPr>
          <w:trHeight w:val="320"/>
        </w:trPr>
        <w:tc>
          <w:tcPr>
            <w:tcW w:w="354" w:type="pct"/>
            <w:tcBorders>
              <w:top w:val="single" w:sz="8" w:space="0" w:color="4F81BD" w:themeColor="accent1"/>
              <w:left w:val="single" w:sz="8" w:space="0" w:color="4F81BD" w:themeColor="accent1"/>
              <w:bottom w:val="single" w:sz="8" w:space="0" w:color="4F81BD" w:themeColor="accent1"/>
              <w:right w:val="nil"/>
            </w:tcBorders>
            <w:shd w:val="clear" w:color="000000" w:fill="DAEEF3"/>
            <w:vAlign w:val="center"/>
            <w:hideMark/>
          </w:tcPr>
          <w:p w14:paraId="0016D15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w:t>
            </w:r>
          </w:p>
        </w:tc>
        <w:tc>
          <w:tcPr>
            <w:tcW w:w="1085" w:type="pct"/>
            <w:gridSpan w:val="2"/>
            <w:tcBorders>
              <w:top w:val="single" w:sz="8" w:space="0" w:color="4F81BD" w:themeColor="accent1"/>
              <w:left w:val="nil"/>
              <w:bottom w:val="single" w:sz="8" w:space="0" w:color="4F81BD" w:themeColor="accent1"/>
              <w:right w:val="nil"/>
            </w:tcBorders>
            <w:shd w:val="clear" w:color="000000" w:fill="DAEEF3"/>
            <w:vAlign w:val="center"/>
            <w:hideMark/>
          </w:tcPr>
          <w:p w14:paraId="066A2DF5"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METAPHOR</w:t>
            </w:r>
          </w:p>
        </w:tc>
        <w:tc>
          <w:tcPr>
            <w:tcW w:w="670" w:type="pct"/>
            <w:gridSpan w:val="2"/>
            <w:tcBorders>
              <w:top w:val="single" w:sz="8" w:space="0" w:color="4F81BD" w:themeColor="accent1"/>
              <w:left w:val="nil"/>
              <w:bottom w:val="single" w:sz="8" w:space="0" w:color="4F81BD" w:themeColor="accent1"/>
              <w:right w:val="nil"/>
            </w:tcBorders>
            <w:shd w:val="clear" w:color="000000" w:fill="DAEEF3"/>
            <w:vAlign w:val="center"/>
            <w:hideMark/>
          </w:tcPr>
          <w:p w14:paraId="3271D5B1"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w:t>
            </w:r>
          </w:p>
        </w:tc>
        <w:tc>
          <w:tcPr>
            <w:tcW w:w="464" w:type="pct"/>
            <w:tcBorders>
              <w:top w:val="single" w:sz="8" w:space="0" w:color="4F81BD" w:themeColor="accent1"/>
              <w:left w:val="nil"/>
              <w:bottom w:val="single" w:sz="8" w:space="0" w:color="4F81BD" w:themeColor="accent1"/>
              <w:right w:val="nil"/>
            </w:tcBorders>
            <w:shd w:val="clear" w:color="000000" w:fill="DAEEF3"/>
            <w:vAlign w:val="center"/>
            <w:hideMark/>
          </w:tcPr>
          <w:p w14:paraId="541FA59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w:t>
            </w:r>
          </w:p>
        </w:tc>
        <w:tc>
          <w:tcPr>
            <w:tcW w:w="233" w:type="pct"/>
            <w:tcBorders>
              <w:top w:val="single" w:sz="8" w:space="0" w:color="4F81BD" w:themeColor="accent1"/>
              <w:left w:val="nil"/>
              <w:bottom w:val="single" w:sz="8" w:space="0" w:color="4F81BD" w:themeColor="accent1"/>
              <w:right w:val="nil"/>
            </w:tcBorders>
            <w:shd w:val="clear" w:color="000000" w:fill="EAF1DD"/>
            <w:vAlign w:val="center"/>
            <w:hideMark/>
          </w:tcPr>
          <w:p w14:paraId="5D203B4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w:t>
            </w:r>
          </w:p>
        </w:tc>
        <w:tc>
          <w:tcPr>
            <w:tcW w:w="1263" w:type="pct"/>
            <w:gridSpan w:val="3"/>
            <w:tcBorders>
              <w:top w:val="single" w:sz="8" w:space="0" w:color="4F81BD" w:themeColor="accent1"/>
              <w:left w:val="nil"/>
              <w:bottom w:val="single" w:sz="8" w:space="0" w:color="4F81BD" w:themeColor="accent1"/>
              <w:right w:val="nil"/>
            </w:tcBorders>
            <w:shd w:val="clear" w:color="000000" w:fill="EAF1DD"/>
            <w:vAlign w:val="center"/>
            <w:hideMark/>
          </w:tcPr>
          <w:p w14:paraId="388F70E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NON-METAPHOR</w:t>
            </w:r>
          </w:p>
        </w:tc>
        <w:tc>
          <w:tcPr>
            <w:tcW w:w="930" w:type="pct"/>
            <w:gridSpan w:val="3"/>
            <w:tcBorders>
              <w:top w:val="single" w:sz="8" w:space="0" w:color="4F81BD" w:themeColor="accent1"/>
              <w:left w:val="nil"/>
              <w:bottom w:val="single" w:sz="8" w:space="0" w:color="4F81BD" w:themeColor="accent1"/>
              <w:right w:val="single" w:sz="8" w:space="0" w:color="4F81BD" w:themeColor="accent1"/>
            </w:tcBorders>
            <w:shd w:val="clear" w:color="000000" w:fill="EAF1DD"/>
            <w:vAlign w:val="center"/>
            <w:hideMark/>
          </w:tcPr>
          <w:p w14:paraId="71EA5043"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w:t>
            </w:r>
          </w:p>
        </w:tc>
      </w:tr>
      <w:tr w:rsidR="003D7F3E" w:rsidRPr="00F82CDF" w14:paraId="51425EA6" w14:textId="77777777" w:rsidTr="003D7F3E">
        <w:trPr>
          <w:trHeight w:val="580"/>
        </w:trPr>
        <w:tc>
          <w:tcPr>
            <w:tcW w:w="354" w:type="pct"/>
            <w:tcBorders>
              <w:top w:val="nil"/>
              <w:left w:val="single" w:sz="8" w:space="0" w:color="4F81BD"/>
              <w:bottom w:val="single" w:sz="8" w:space="0" w:color="4F81BD"/>
              <w:right w:val="single" w:sz="8" w:space="0" w:color="4F81BD"/>
            </w:tcBorders>
            <w:shd w:val="clear" w:color="000000" w:fill="DAEEF3"/>
            <w:vAlign w:val="center"/>
            <w:hideMark/>
          </w:tcPr>
          <w:p w14:paraId="788160C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R</w:t>
            </w:r>
          </w:p>
        </w:tc>
        <w:tc>
          <w:tcPr>
            <w:tcW w:w="729" w:type="pct"/>
            <w:tcBorders>
              <w:top w:val="nil"/>
              <w:left w:val="nil"/>
              <w:bottom w:val="single" w:sz="8" w:space="0" w:color="4F81BD"/>
              <w:right w:val="single" w:sz="8" w:space="0" w:color="4F81BD"/>
            </w:tcBorders>
            <w:shd w:val="clear" w:color="000000" w:fill="DAEEF3"/>
            <w:vAlign w:val="center"/>
            <w:hideMark/>
          </w:tcPr>
          <w:p w14:paraId="166B4AF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Collocate</w:t>
            </w:r>
          </w:p>
        </w:tc>
        <w:tc>
          <w:tcPr>
            <w:tcW w:w="557" w:type="pct"/>
            <w:gridSpan w:val="2"/>
            <w:tcBorders>
              <w:top w:val="nil"/>
              <w:left w:val="nil"/>
              <w:bottom w:val="single" w:sz="8" w:space="0" w:color="4F81BD"/>
              <w:right w:val="single" w:sz="8" w:space="0" w:color="4F81BD"/>
            </w:tcBorders>
            <w:shd w:val="clear" w:color="000000" w:fill="DAEEF3"/>
            <w:vAlign w:val="center"/>
            <w:hideMark/>
          </w:tcPr>
          <w:p w14:paraId="2D281CC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Freq. ptw.</w:t>
            </w:r>
          </w:p>
        </w:tc>
        <w:tc>
          <w:tcPr>
            <w:tcW w:w="469" w:type="pct"/>
            <w:tcBorders>
              <w:top w:val="nil"/>
              <w:left w:val="nil"/>
              <w:bottom w:val="single" w:sz="8" w:space="0" w:color="4F81BD"/>
              <w:right w:val="single" w:sz="8" w:space="0" w:color="4F81BD"/>
            </w:tcBorders>
            <w:shd w:val="clear" w:color="000000" w:fill="DAEEF3"/>
            <w:vAlign w:val="center"/>
            <w:hideMark/>
          </w:tcPr>
          <w:p w14:paraId="76E4F4D4"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L Freq.</w:t>
            </w:r>
          </w:p>
        </w:tc>
        <w:tc>
          <w:tcPr>
            <w:tcW w:w="466" w:type="pct"/>
            <w:tcBorders>
              <w:top w:val="nil"/>
              <w:left w:val="nil"/>
              <w:bottom w:val="single" w:sz="8" w:space="0" w:color="4F81BD"/>
              <w:right w:val="single" w:sz="8" w:space="0" w:color="4F81BD"/>
            </w:tcBorders>
            <w:shd w:val="clear" w:color="000000" w:fill="DAEEF3"/>
            <w:vAlign w:val="center"/>
            <w:hideMark/>
          </w:tcPr>
          <w:p w14:paraId="4891507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R Freq.</w:t>
            </w:r>
          </w:p>
        </w:tc>
        <w:tc>
          <w:tcPr>
            <w:tcW w:w="375" w:type="pct"/>
            <w:gridSpan w:val="2"/>
            <w:tcBorders>
              <w:top w:val="nil"/>
              <w:left w:val="nil"/>
              <w:bottom w:val="single" w:sz="8" w:space="0" w:color="4F81BD"/>
              <w:right w:val="single" w:sz="8" w:space="0" w:color="4F81BD"/>
            </w:tcBorders>
            <w:shd w:val="clear" w:color="000000" w:fill="EAF1DD"/>
            <w:vAlign w:val="center"/>
            <w:hideMark/>
          </w:tcPr>
          <w:p w14:paraId="09C9C5C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R</w:t>
            </w:r>
          </w:p>
        </w:tc>
        <w:tc>
          <w:tcPr>
            <w:tcW w:w="653" w:type="pct"/>
            <w:tcBorders>
              <w:top w:val="nil"/>
              <w:left w:val="nil"/>
              <w:bottom w:val="single" w:sz="8" w:space="0" w:color="4F81BD"/>
              <w:right w:val="single" w:sz="8" w:space="0" w:color="4F81BD"/>
            </w:tcBorders>
            <w:shd w:val="clear" w:color="000000" w:fill="EAF1DD"/>
            <w:vAlign w:val="center"/>
            <w:hideMark/>
          </w:tcPr>
          <w:p w14:paraId="1CB4E1C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Collocate</w:t>
            </w:r>
          </w:p>
        </w:tc>
        <w:tc>
          <w:tcPr>
            <w:tcW w:w="467" w:type="pct"/>
            <w:tcBorders>
              <w:top w:val="nil"/>
              <w:left w:val="nil"/>
              <w:bottom w:val="single" w:sz="8" w:space="0" w:color="4F81BD"/>
              <w:right w:val="single" w:sz="8" w:space="0" w:color="4F81BD"/>
            </w:tcBorders>
            <w:shd w:val="clear" w:color="000000" w:fill="EAF1DD"/>
            <w:vAlign w:val="center"/>
            <w:hideMark/>
          </w:tcPr>
          <w:p w14:paraId="624710A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Freq. ptw.</w:t>
            </w:r>
          </w:p>
        </w:tc>
        <w:tc>
          <w:tcPr>
            <w:tcW w:w="466" w:type="pct"/>
            <w:gridSpan w:val="2"/>
            <w:tcBorders>
              <w:top w:val="nil"/>
              <w:left w:val="nil"/>
              <w:bottom w:val="single" w:sz="8" w:space="0" w:color="4F81BD"/>
              <w:right w:val="single" w:sz="8" w:space="0" w:color="4F81BD"/>
            </w:tcBorders>
            <w:shd w:val="clear" w:color="000000" w:fill="EAF1DD"/>
            <w:vAlign w:val="center"/>
            <w:hideMark/>
          </w:tcPr>
          <w:p w14:paraId="5B576DD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L Freq.</w:t>
            </w:r>
          </w:p>
        </w:tc>
        <w:tc>
          <w:tcPr>
            <w:tcW w:w="464" w:type="pct"/>
            <w:tcBorders>
              <w:top w:val="nil"/>
              <w:left w:val="nil"/>
              <w:bottom w:val="single" w:sz="8" w:space="0" w:color="4F81BD"/>
              <w:right w:val="single" w:sz="8" w:space="0" w:color="4F81BD"/>
            </w:tcBorders>
            <w:shd w:val="clear" w:color="000000" w:fill="EAF1DD"/>
            <w:vAlign w:val="center"/>
            <w:hideMark/>
          </w:tcPr>
          <w:p w14:paraId="441E161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R Freq.</w:t>
            </w:r>
          </w:p>
        </w:tc>
      </w:tr>
      <w:tr w:rsidR="003D7F3E" w:rsidRPr="00F82CDF" w14:paraId="3DC4005B"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7A35EE87"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w:t>
            </w:r>
          </w:p>
        </w:tc>
        <w:tc>
          <w:tcPr>
            <w:tcW w:w="729" w:type="pct"/>
            <w:tcBorders>
              <w:top w:val="nil"/>
              <w:left w:val="nil"/>
              <w:bottom w:val="nil"/>
              <w:right w:val="single" w:sz="8" w:space="0" w:color="4F81BD"/>
            </w:tcBorders>
            <w:shd w:val="clear" w:color="auto" w:fill="auto"/>
            <w:vAlign w:val="center"/>
            <w:hideMark/>
          </w:tcPr>
          <w:p w14:paraId="020CA44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AND</w:t>
            </w:r>
          </w:p>
        </w:tc>
        <w:tc>
          <w:tcPr>
            <w:tcW w:w="557" w:type="pct"/>
            <w:gridSpan w:val="2"/>
            <w:tcBorders>
              <w:top w:val="nil"/>
              <w:left w:val="nil"/>
              <w:bottom w:val="nil"/>
              <w:right w:val="single" w:sz="8" w:space="0" w:color="4F81BD"/>
            </w:tcBorders>
            <w:shd w:val="clear" w:color="auto" w:fill="auto"/>
            <w:vAlign w:val="center"/>
            <w:hideMark/>
          </w:tcPr>
          <w:p w14:paraId="3A074615"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69.08</w:t>
            </w:r>
          </w:p>
        </w:tc>
        <w:tc>
          <w:tcPr>
            <w:tcW w:w="469" w:type="pct"/>
            <w:tcBorders>
              <w:top w:val="nil"/>
              <w:left w:val="nil"/>
              <w:bottom w:val="nil"/>
              <w:right w:val="nil"/>
            </w:tcBorders>
            <w:shd w:val="clear" w:color="auto" w:fill="auto"/>
            <w:vAlign w:val="center"/>
            <w:hideMark/>
          </w:tcPr>
          <w:p w14:paraId="44186AF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795</w:t>
            </w:r>
          </w:p>
        </w:tc>
        <w:tc>
          <w:tcPr>
            <w:tcW w:w="466" w:type="pct"/>
            <w:tcBorders>
              <w:top w:val="nil"/>
              <w:left w:val="nil"/>
              <w:bottom w:val="nil"/>
              <w:right w:val="single" w:sz="8" w:space="0" w:color="4F81BD"/>
            </w:tcBorders>
            <w:shd w:val="clear" w:color="auto" w:fill="auto"/>
            <w:vAlign w:val="center"/>
            <w:hideMark/>
          </w:tcPr>
          <w:p w14:paraId="77CDA18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1236</w:t>
            </w:r>
          </w:p>
        </w:tc>
        <w:tc>
          <w:tcPr>
            <w:tcW w:w="375" w:type="pct"/>
            <w:gridSpan w:val="2"/>
            <w:tcBorders>
              <w:top w:val="nil"/>
              <w:left w:val="nil"/>
              <w:bottom w:val="nil"/>
              <w:right w:val="nil"/>
            </w:tcBorders>
            <w:shd w:val="clear" w:color="000000" w:fill="EAF1DD"/>
            <w:vAlign w:val="center"/>
            <w:hideMark/>
          </w:tcPr>
          <w:p w14:paraId="26BAEA00"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w:t>
            </w:r>
          </w:p>
        </w:tc>
        <w:tc>
          <w:tcPr>
            <w:tcW w:w="653" w:type="pct"/>
            <w:tcBorders>
              <w:top w:val="nil"/>
              <w:left w:val="nil"/>
              <w:bottom w:val="nil"/>
              <w:right w:val="single" w:sz="8" w:space="0" w:color="4F81BD"/>
            </w:tcBorders>
            <w:shd w:val="clear" w:color="auto" w:fill="auto"/>
            <w:vAlign w:val="center"/>
            <w:hideMark/>
          </w:tcPr>
          <w:p w14:paraId="6BAFC4C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THE</w:t>
            </w:r>
          </w:p>
        </w:tc>
        <w:tc>
          <w:tcPr>
            <w:tcW w:w="467" w:type="pct"/>
            <w:tcBorders>
              <w:top w:val="nil"/>
              <w:left w:val="nil"/>
              <w:bottom w:val="nil"/>
              <w:right w:val="nil"/>
            </w:tcBorders>
            <w:shd w:val="clear" w:color="auto" w:fill="auto"/>
            <w:vAlign w:val="center"/>
            <w:hideMark/>
          </w:tcPr>
          <w:p w14:paraId="511C409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37.34</w:t>
            </w:r>
          </w:p>
        </w:tc>
        <w:tc>
          <w:tcPr>
            <w:tcW w:w="380" w:type="pct"/>
            <w:tcBorders>
              <w:top w:val="nil"/>
              <w:left w:val="nil"/>
              <w:bottom w:val="nil"/>
              <w:right w:val="nil"/>
            </w:tcBorders>
            <w:shd w:val="clear" w:color="auto" w:fill="auto"/>
            <w:vAlign w:val="center"/>
            <w:hideMark/>
          </w:tcPr>
          <w:p w14:paraId="43E77D8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297</w:t>
            </w:r>
          </w:p>
        </w:tc>
        <w:tc>
          <w:tcPr>
            <w:tcW w:w="551" w:type="pct"/>
            <w:gridSpan w:val="2"/>
            <w:tcBorders>
              <w:top w:val="nil"/>
              <w:left w:val="nil"/>
              <w:bottom w:val="nil"/>
              <w:right w:val="single" w:sz="8" w:space="0" w:color="4F81BD"/>
            </w:tcBorders>
            <w:shd w:val="clear" w:color="auto" w:fill="auto"/>
            <w:vAlign w:val="center"/>
            <w:hideMark/>
          </w:tcPr>
          <w:p w14:paraId="22C6C017"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292</w:t>
            </w:r>
          </w:p>
        </w:tc>
      </w:tr>
      <w:tr w:rsidR="003D7F3E" w:rsidRPr="00F82CDF" w14:paraId="4EF97C73"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234E8045"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w:t>
            </w:r>
          </w:p>
        </w:tc>
        <w:tc>
          <w:tcPr>
            <w:tcW w:w="729" w:type="pct"/>
            <w:tcBorders>
              <w:top w:val="nil"/>
              <w:left w:val="nil"/>
              <w:bottom w:val="nil"/>
              <w:right w:val="single" w:sz="8" w:space="0" w:color="4F81BD"/>
            </w:tcBorders>
            <w:shd w:val="clear" w:color="auto" w:fill="auto"/>
            <w:vAlign w:val="center"/>
            <w:hideMark/>
          </w:tcPr>
          <w:p w14:paraId="159BAF6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THE</w:t>
            </w:r>
          </w:p>
        </w:tc>
        <w:tc>
          <w:tcPr>
            <w:tcW w:w="557" w:type="pct"/>
            <w:gridSpan w:val="2"/>
            <w:tcBorders>
              <w:top w:val="nil"/>
              <w:left w:val="nil"/>
              <w:bottom w:val="nil"/>
              <w:right w:val="single" w:sz="8" w:space="0" w:color="4F81BD"/>
            </w:tcBorders>
            <w:shd w:val="clear" w:color="auto" w:fill="auto"/>
            <w:vAlign w:val="center"/>
            <w:hideMark/>
          </w:tcPr>
          <w:p w14:paraId="10A5088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58.67</w:t>
            </w:r>
          </w:p>
        </w:tc>
        <w:tc>
          <w:tcPr>
            <w:tcW w:w="469" w:type="pct"/>
            <w:tcBorders>
              <w:top w:val="nil"/>
              <w:left w:val="nil"/>
              <w:bottom w:val="nil"/>
              <w:right w:val="nil"/>
            </w:tcBorders>
            <w:shd w:val="clear" w:color="auto" w:fill="auto"/>
            <w:vAlign w:val="center"/>
            <w:hideMark/>
          </w:tcPr>
          <w:p w14:paraId="2645753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1072</w:t>
            </w:r>
          </w:p>
        </w:tc>
        <w:tc>
          <w:tcPr>
            <w:tcW w:w="466" w:type="pct"/>
            <w:tcBorders>
              <w:top w:val="nil"/>
              <w:left w:val="nil"/>
              <w:bottom w:val="nil"/>
              <w:right w:val="single" w:sz="8" w:space="0" w:color="4F81BD"/>
            </w:tcBorders>
            <w:shd w:val="clear" w:color="auto" w:fill="auto"/>
            <w:vAlign w:val="center"/>
            <w:hideMark/>
          </w:tcPr>
          <w:p w14:paraId="51AEAC13"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653</w:t>
            </w:r>
          </w:p>
        </w:tc>
        <w:tc>
          <w:tcPr>
            <w:tcW w:w="375" w:type="pct"/>
            <w:gridSpan w:val="2"/>
            <w:tcBorders>
              <w:top w:val="nil"/>
              <w:left w:val="nil"/>
              <w:bottom w:val="nil"/>
              <w:right w:val="nil"/>
            </w:tcBorders>
            <w:shd w:val="clear" w:color="000000" w:fill="EAF1DD"/>
            <w:vAlign w:val="center"/>
            <w:hideMark/>
          </w:tcPr>
          <w:p w14:paraId="350C40B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w:t>
            </w:r>
          </w:p>
        </w:tc>
        <w:tc>
          <w:tcPr>
            <w:tcW w:w="653" w:type="pct"/>
            <w:tcBorders>
              <w:top w:val="nil"/>
              <w:left w:val="nil"/>
              <w:bottom w:val="nil"/>
              <w:right w:val="single" w:sz="8" w:space="0" w:color="4F81BD"/>
            </w:tcBorders>
            <w:shd w:val="clear" w:color="auto" w:fill="auto"/>
            <w:vAlign w:val="center"/>
            <w:hideMark/>
          </w:tcPr>
          <w:p w14:paraId="321BE1A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AND</w:t>
            </w:r>
          </w:p>
        </w:tc>
        <w:tc>
          <w:tcPr>
            <w:tcW w:w="467" w:type="pct"/>
            <w:tcBorders>
              <w:top w:val="nil"/>
              <w:left w:val="nil"/>
              <w:bottom w:val="nil"/>
              <w:right w:val="nil"/>
            </w:tcBorders>
            <w:shd w:val="clear" w:color="auto" w:fill="auto"/>
            <w:vAlign w:val="center"/>
            <w:hideMark/>
          </w:tcPr>
          <w:p w14:paraId="72ACCBC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23.26</w:t>
            </w:r>
          </w:p>
        </w:tc>
        <w:tc>
          <w:tcPr>
            <w:tcW w:w="380" w:type="pct"/>
            <w:tcBorders>
              <w:top w:val="nil"/>
              <w:left w:val="nil"/>
              <w:bottom w:val="nil"/>
              <w:right w:val="nil"/>
            </w:tcBorders>
            <w:shd w:val="clear" w:color="auto" w:fill="auto"/>
            <w:vAlign w:val="center"/>
            <w:hideMark/>
          </w:tcPr>
          <w:p w14:paraId="6A13C5F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154</w:t>
            </w:r>
          </w:p>
        </w:tc>
        <w:tc>
          <w:tcPr>
            <w:tcW w:w="551" w:type="pct"/>
            <w:gridSpan w:val="2"/>
            <w:tcBorders>
              <w:top w:val="nil"/>
              <w:left w:val="nil"/>
              <w:bottom w:val="nil"/>
              <w:right w:val="single" w:sz="8" w:space="0" w:color="4F81BD"/>
            </w:tcBorders>
            <w:shd w:val="clear" w:color="auto" w:fill="auto"/>
            <w:vAlign w:val="center"/>
            <w:hideMark/>
          </w:tcPr>
          <w:p w14:paraId="139ED261"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213</w:t>
            </w:r>
          </w:p>
        </w:tc>
      </w:tr>
      <w:tr w:rsidR="003D7F3E" w:rsidRPr="00F82CDF" w14:paraId="2D4EDA96"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54281DD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w:t>
            </w:r>
          </w:p>
        </w:tc>
        <w:tc>
          <w:tcPr>
            <w:tcW w:w="729" w:type="pct"/>
            <w:tcBorders>
              <w:top w:val="nil"/>
              <w:left w:val="nil"/>
              <w:bottom w:val="nil"/>
              <w:right w:val="single" w:sz="8" w:space="0" w:color="4F81BD"/>
            </w:tcBorders>
            <w:shd w:val="clear" w:color="auto" w:fill="auto"/>
            <w:vAlign w:val="center"/>
            <w:hideMark/>
          </w:tcPr>
          <w:p w14:paraId="220EC28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OF</w:t>
            </w:r>
          </w:p>
        </w:tc>
        <w:tc>
          <w:tcPr>
            <w:tcW w:w="557" w:type="pct"/>
            <w:gridSpan w:val="2"/>
            <w:tcBorders>
              <w:top w:val="nil"/>
              <w:left w:val="nil"/>
              <w:bottom w:val="nil"/>
              <w:right w:val="single" w:sz="8" w:space="0" w:color="4F81BD"/>
            </w:tcBorders>
            <w:shd w:val="clear" w:color="auto" w:fill="auto"/>
            <w:vAlign w:val="center"/>
            <w:hideMark/>
          </w:tcPr>
          <w:p w14:paraId="2B49E96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21.84</w:t>
            </w:r>
          </w:p>
        </w:tc>
        <w:tc>
          <w:tcPr>
            <w:tcW w:w="469" w:type="pct"/>
            <w:tcBorders>
              <w:top w:val="nil"/>
              <w:left w:val="nil"/>
              <w:bottom w:val="nil"/>
              <w:right w:val="nil"/>
            </w:tcBorders>
            <w:shd w:val="clear" w:color="auto" w:fill="auto"/>
            <w:vAlign w:val="center"/>
            <w:hideMark/>
          </w:tcPr>
          <w:p w14:paraId="4D8BA98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328</w:t>
            </w:r>
          </w:p>
        </w:tc>
        <w:tc>
          <w:tcPr>
            <w:tcW w:w="466" w:type="pct"/>
            <w:tcBorders>
              <w:top w:val="nil"/>
              <w:left w:val="nil"/>
              <w:bottom w:val="nil"/>
              <w:right w:val="single" w:sz="8" w:space="0" w:color="4F81BD"/>
            </w:tcBorders>
            <w:shd w:val="clear" w:color="auto" w:fill="auto"/>
            <w:vAlign w:val="center"/>
            <w:hideMark/>
          </w:tcPr>
          <w:p w14:paraId="01F4423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314</w:t>
            </w:r>
          </w:p>
        </w:tc>
        <w:tc>
          <w:tcPr>
            <w:tcW w:w="375" w:type="pct"/>
            <w:gridSpan w:val="2"/>
            <w:tcBorders>
              <w:top w:val="nil"/>
              <w:left w:val="nil"/>
              <w:bottom w:val="nil"/>
              <w:right w:val="nil"/>
            </w:tcBorders>
            <w:shd w:val="clear" w:color="000000" w:fill="EAF1DD"/>
            <w:vAlign w:val="center"/>
            <w:hideMark/>
          </w:tcPr>
          <w:p w14:paraId="129E0AF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w:t>
            </w:r>
          </w:p>
        </w:tc>
        <w:tc>
          <w:tcPr>
            <w:tcW w:w="653" w:type="pct"/>
            <w:tcBorders>
              <w:top w:val="nil"/>
              <w:left w:val="nil"/>
              <w:bottom w:val="nil"/>
              <w:right w:val="single" w:sz="8" w:space="0" w:color="4F81BD"/>
            </w:tcBorders>
            <w:shd w:val="clear" w:color="auto" w:fill="auto"/>
            <w:vAlign w:val="center"/>
            <w:hideMark/>
          </w:tcPr>
          <w:p w14:paraId="541728F4"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OF</w:t>
            </w:r>
          </w:p>
        </w:tc>
        <w:tc>
          <w:tcPr>
            <w:tcW w:w="467" w:type="pct"/>
            <w:tcBorders>
              <w:top w:val="nil"/>
              <w:left w:val="nil"/>
              <w:bottom w:val="nil"/>
              <w:right w:val="nil"/>
            </w:tcBorders>
            <w:shd w:val="clear" w:color="auto" w:fill="auto"/>
            <w:vAlign w:val="center"/>
            <w:hideMark/>
          </w:tcPr>
          <w:p w14:paraId="178B023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12.55</w:t>
            </w:r>
          </w:p>
        </w:tc>
        <w:tc>
          <w:tcPr>
            <w:tcW w:w="380" w:type="pct"/>
            <w:tcBorders>
              <w:top w:val="nil"/>
              <w:left w:val="nil"/>
              <w:bottom w:val="nil"/>
              <w:right w:val="nil"/>
            </w:tcBorders>
            <w:shd w:val="clear" w:color="auto" w:fill="auto"/>
            <w:vAlign w:val="center"/>
            <w:hideMark/>
          </w:tcPr>
          <w:p w14:paraId="4AE0CF3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99</w:t>
            </w:r>
          </w:p>
        </w:tc>
        <w:tc>
          <w:tcPr>
            <w:tcW w:w="551" w:type="pct"/>
            <w:gridSpan w:val="2"/>
            <w:tcBorders>
              <w:top w:val="nil"/>
              <w:left w:val="nil"/>
              <w:bottom w:val="nil"/>
              <w:right w:val="single" w:sz="8" w:space="0" w:color="4F81BD"/>
            </w:tcBorders>
            <w:shd w:val="clear" w:color="auto" w:fill="auto"/>
            <w:vAlign w:val="center"/>
            <w:hideMark/>
          </w:tcPr>
          <w:p w14:paraId="2D799B7D"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99</w:t>
            </w:r>
          </w:p>
        </w:tc>
      </w:tr>
      <w:tr w:rsidR="003D7F3E" w:rsidRPr="00F82CDF" w14:paraId="3DF52A74"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45246D9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4</w:t>
            </w:r>
          </w:p>
        </w:tc>
        <w:tc>
          <w:tcPr>
            <w:tcW w:w="729" w:type="pct"/>
            <w:tcBorders>
              <w:top w:val="nil"/>
              <w:left w:val="nil"/>
              <w:bottom w:val="nil"/>
              <w:right w:val="single" w:sz="8" w:space="0" w:color="4F81BD"/>
            </w:tcBorders>
            <w:shd w:val="clear" w:color="auto" w:fill="auto"/>
            <w:vAlign w:val="center"/>
            <w:hideMark/>
          </w:tcPr>
          <w:p w14:paraId="218DA73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AS</w:t>
            </w:r>
          </w:p>
        </w:tc>
        <w:tc>
          <w:tcPr>
            <w:tcW w:w="557" w:type="pct"/>
            <w:gridSpan w:val="2"/>
            <w:tcBorders>
              <w:top w:val="nil"/>
              <w:left w:val="nil"/>
              <w:bottom w:val="nil"/>
              <w:right w:val="single" w:sz="8" w:space="0" w:color="4F81BD"/>
            </w:tcBorders>
            <w:shd w:val="clear" w:color="auto" w:fill="auto"/>
            <w:vAlign w:val="center"/>
            <w:hideMark/>
          </w:tcPr>
          <w:p w14:paraId="525546B1"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16.36</w:t>
            </w:r>
          </w:p>
        </w:tc>
        <w:tc>
          <w:tcPr>
            <w:tcW w:w="469" w:type="pct"/>
            <w:tcBorders>
              <w:top w:val="nil"/>
              <w:left w:val="nil"/>
              <w:bottom w:val="nil"/>
              <w:right w:val="nil"/>
            </w:tcBorders>
            <w:shd w:val="clear" w:color="auto" w:fill="auto"/>
            <w:vAlign w:val="center"/>
            <w:hideMark/>
          </w:tcPr>
          <w:p w14:paraId="2C85E05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224</w:t>
            </w:r>
          </w:p>
        </w:tc>
        <w:tc>
          <w:tcPr>
            <w:tcW w:w="466" w:type="pct"/>
            <w:tcBorders>
              <w:top w:val="nil"/>
              <w:left w:val="nil"/>
              <w:bottom w:val="nil"/>
              <w:right w:val="single" w:sz="8" w:space="0" w:color="4F81BD"/>
            </w:tcBorders>
            <w:shd w:val="clear" w:color="auto" w:fill="auto"/>
            <w:vAlign w:val="center"/>
            <w:hideMark/>
          </w:tcPr>
          <w:p w14:paraId="26FC8D53"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257</w:t>
            </w:r>
          </w:p>
        </w:tc>
        <w:tc>
          <w:tcPr>
            <w:tcW w:w="375" w:type="pct"/>
            <w:gridSpan w:val="2"/>
            <w:tcBorders>
              <w:top w:val="nil"/>
              <w:left w:val="nil"/>
              <w:bottom w:val="nil"/>
              <w:right w:val="nil"/>
            </w:tcBorders>
            <w:shd w:val="clear" w:color="000000" w:fill="EAF1DD"/>
            <w:vAlign w:val="center"/>
            <w:hideMark/>
          </w:tcPr>
          <w:p w14:paraId="41C67E9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4</w:t>
            </w:r>
          </w:p>
        </w:tc>
        <w:tc>
          <w:tcPr>
            <w:tcW w:w="653" w:type="pct"/>
            <w:tcBorders>
              <w:top w:val="nil"/>
              <w:left w:val="nil"/>
              <w:bottom w:val="nil"/>
              <w:right w:val="single" w:sz="8" w:space="0" w:color="4F81BD"/>
            </w:tcBorders>
            <w:shd w:val="clear" w:color="auto" w:fill="auto"/>
            <w:vAlign w:val="center"/>
            <w:hideMark/>
          </w:tcPr>
          <w:p w14:paraId="76F28393"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UP</w:t>
            </w:r>
          </w:p>
        </w:tc>
        <w:tc>
          <w:tcPr>
            <w:tcW w:w="467" w:type="pct"/>
            <w:tcBorders>
              <w:top w:val="nil"/>
              <w:left w:val="nil"/>
              <w:bottom w:val="nil"/>
              <w:right w:val="nil"/>
            </w:tcBorders>
            <w:shd w:val="clear" w:color="auto" w:fill="auto"/>
            <w:vAlign w:val="center"/>
            <w:hideMark/>
          </w:tcPr>
          <w:p w14:paraId="50AE84C1"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10.97</w:t>
            </w:r>
          </w:p>
        </w:tc>
        <w:tc>
          <w:tcPr>
            <w:tcW w:w="380" w:type="pct"/>
            <w:tcBorders>
              <w:top w:val="nil"/>
              <w:left w:val="nil"/>
              <w:bottom w:val="nil"/>
              <w:right w:val="nil"/>
            </w:tcBorders>
            <w:shd w:val="clear" w:color="auto" w:fill="auto"/>
            <w:vAlign w:val="center"/>
            <w:hideMark/>
          </w:tcPr>
          <w:p w14:paraId="5227BEB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5</w:t>
            </w:r>
          </w:p>
        </w:tc>
        <w:tc>
          <w:tcPr>
            <w:tcW w:w="551" w:type="pct"/>
            <w:gridSpan w:val="2"/>
            <w:tcBorders>
              <w:top w:val="nil"/>
              <w:left w:val="nil"/>
              <w:bottom w:val="nil"/>
              <w:right w:val="single" w:sz="8" w:space="0" w:color="4F81BD"/>
            </w:tcBorders>
            <w:shd w:val="clear" w:color="auto" w:fill="auto"/>
            <w:vAlign w:val="center"/>
            <w:hideMark/>
          </w:tcPr>
          <w:p w14:paraId="59CD8F0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168</w:t>
            </w:r>
          </w:p>
        </w:tc>
      </w:tr>
      <w:tr w:rsidR="003D7F3E" w:rsidRPr="00F82CDF" w14:paraId="2C749BF5"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016A8A5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5</w:t>
            </w:r>
          </w:p>
        </w:tc>
        <w:tc>
          <w:tcPr>
            <w:tcW w:w="729" w:type="pct"/>
            <w:tcBorders>
              <w:top w:val="nil"/>
              <w:left w:val="nil"/>
              <w:bottom w:val="nil"/>
              <w:right w:val="single" w:sz="8" w:space="0" w:color="4F81BD"/>
            </w:tcBorders>
            <w:shd w:val="clear" w:color="auto" w:fill="auto"/>
            <w:vAlign w:val="center"/>
            <w:hideMark/>
          </w:tcPr>
          <w:p w14:paraId="6F4A2284"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MORE</w:t>
            </w:r>
          </w:p>
        </w:tc>
        <w:tc>
          <w:tcPr>
            <w:tcW w:w="557" w:type="pct"/>
            <w:gridSpan w:val="2"/>
            <w:tcBorders>
              <w:top w:val="nil"/>
              <w:left w:val="nil"/>
              <w:bottom w:val="nil"/>
              <w:right w:val="single" w:sz="8" w:space="0" w:color="4F81BD"/>
            </w:tcBorders>
            <w:shd w:val="clear" w:color="auto" w:fill="auto"/>
            <w:vAlign w:val="center"/>
            <w:hideMark/>
          </w:tcPr>
          <w:p w14:paraId="0A1B05E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15.00</w:t>
            </w:r>
          </w:p>
        </w:tc>
        <w:tc>
          <w:tcPr>
            <w:tcW w:w="469" w:type="pct"/>
            <w:tcBorders>
              <w:top w:val="nil"/>
              <w:left w:val="nil"/>
              <w:bottom w:val="nil"/>
              <w:right w:val="nil"/>
            </w:tcBorders>
            <w:shd w:val="clear" w:color="auto" w:fill="auto"/>
            <w:vAlign w:val="center"/>
            <w:hideMark/>
          </w:tcPr>
          <w:p w14:paraId="49BE867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45</w:t>
            </w:r>
          </w:p>
        </w:tc>
        <w:tc>
          <w:tcPr>
            <w:tcW w:w="466" w:type="pct"/>
            <w:tcBorders>
              <w:top w:val="nil"/>
              <w:left w:val="nil"/>
              <w:bottom w:val="nil"/>
              <w:right w:val="single" w:sz="8" w:space="0" w:color="4F81BD"/>
            </w:tcBorders>
            <w:shd w:val="clear" w:color="auto" w:fill="auto"/>
            <w:vAlign w:val="center"/>
            <w:hideMark/>
          </w:tcPr>
          <w:p w14:paraId="2D3AA19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396</w:t>
            </w:r>
          </w:p>
        </w:tc>
        <w:tc>
          <w:tcPr>
            <w:tcW w:w="375" w:type="pct"/>
            <w:gridSpan w:val="2"/>
            <w:tcBorders>
              <w:top w:val="nil"/>
              <w:left w:val="nil"/>
              <w:bottom w:val="nil"/>
              <w:right w:val="nil"/>
            </w:tcBorders>
            <w:shd w:val="clear" w:color="000000" w:fill="EAF1DD"/>
            <w:vAlign w:val="center"/>
            <w:hideMark/>
          </w:tcPr>
          <w:p w14:paraId="3D55BD1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5</w:t>
            </w:r>
          </w:p>
        </w:tc>
        <w:tc>
          <w:tcPr>
            <w:tcW w:w="653" w:type="pct"/>
            <w:tcBorders>
              <w:top w:val="nil"/>
              <w:left w:val="nil"/>
              <w:bottom w:val="nil"/>
              <w:right w:val="single" w:sz="8" w:space="0" w:color="4F81BD"/>
            </w:tcBorders>
            <w:shd w:val="clear" w:color="auto" w:fill="auto"/>
            <w:vAlign w:val="center"/>
            <w:hideMark/>
          </w:tcPr>
          <w:p w14:paraId="1D445E7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A</w:t>
            </w:r>
          </w:p>
        </w:tc>
        <w:tc>
          <w:tcPr>
            <w:tcW w:w="467" w:type="pct"/>
            <w:tcBorders>
              <w:top w:val="nil"/>
              <w:left w:val="nil"/>
              <w:bottom w:val="nil"/>
              <w:right w:val="nil"/>
            </w:tcBorders>
            <w:shd w:val="clear" w:color="auto" w:fill="auto"/>
            <w:vAlign w:val="center"/>
            <w:hideMark/>
          </w:tcPr>
          <w:p w14:paraId="62E8FB2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10.90</w:t>
            </w:r>
          </w:p>
        </w:tc>
        <w:tc>
          <w:tcPr>
            <w:tcW w:w="380" w:type="pct"/>
            <w:tcBorders>
              <w:top w:val="nil"/>
              <w:left w:val="nil"/>
              <w:bottom w:val="nil"/>
              <w:right w:val="nil"/>
            </w:tcBorders>
            <w:shd w:val="clear" w:color="auto" w:fill="auto"/>
            <w:vAlign w:val="center"/>
            <w:hideMark/>
          </w:tcPr>
          <w:p w14:paraId="1EF72384"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61</w:t>
            </w:r>
          </w:p>
        </w:tc>
        <w:tc>
          <w:tcPr>
            <w:tcW w:w="551" w:type="pct"/>
            <w:gridSpan w:val="2"/>
            <w:tcBorders>
              <w:top w:val="nil"/>
              <w:left w:val="nil"/>
              <w:bottom w:val="nil"/>
              <w:right w:val="single" w:sz="8" w:space="0" w:color="4F81BD"/>
            </w:tcBorders>
            <w:shd w:val="clear" w:color="auto" w:fill="auto"/>
            <w:vAlign w:val="center"/>
            <w:hideMark/>
          </w:tcPr>
          <w:p w14:paraId="0A1A427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111</w:t>
            </w:r>
          </w:p>
        </w:tc>
      </w:tr>
      <w:tr w:rsidR="003D7F3E" w:rsidRPr="00F82CDF" w14:paraId="546FCF6D"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108FDFD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6</w:t>
            </w:r>
          </w:p>
        </w:tc>
        <w:tc>
          <w:tcPr>
            <w:tcW w:w="729" w:type="pct"/>
            <w:tcBorders>
              <w:top w:val="nil"/>
              <w:left w:val="nil"/>
              <w:bottom w:val="nil"/>
              <w:right w:val="single" w:sz="8" w:space="0" w:color="4F81BD"/>
            </w:tcBorders>
            <w:shd w:val="clear" w:color="auto" w:fill="auto"/>
            <w:vAlign w:val="center"/>
            <w:hideMark/>
          </w:tcPr>
          <w:p w14:paraId="7A8B3323"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HIS</w:t>
            </w:r>
          </w:p>
        </w:tc>
        <w:tc>
          <w:tcPr>
            <w:tcW w:w="557" w:type="pct"/>
            <w:gridSpan w:val="2"/>
            <w:tcBorders>
              <w:top w:val="nil"/>
              <w:left w:val="nil"/>
              <w:bottom w:val="nil"/>
              <w:right w:val="single" w:sz="8" w:space="0" w:color="4F81BD"/>
            </w:tcBorders>
            <w:shd w:val="clear" w:color="auto" w:fill="auto"/>
            <w:vAlign w:val="center"/>
            <w:hideMark/>
          </w:tcPr>
          <w:p w14:paraId="4935C57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14.01</w:t>
            </w:r>
          </w:p>
        </w:tc>
        <w:tc>
          <w:tcPr>
            <w:tcW w:w="469" w:type="pct"/>
            <w:tcBorders>
              <w:top w:val="nil"/>
              <w:left w:val="nil"/>
              <w:bottom w:val="nil"/>
              <w:right w:val="nil"/>
            </w:tcBorders>
            <w:shd w:val="clear" w:color="auto" w:fill="auto"/>
            <w:vAlign w:val="center"/>
            <w:hideMark/>
          </w:tcPr>
          <w:p w14:paraId="2EE55AE5"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260</w:t>
            </w:r>
          </w:p>
        </w:tc>
        <w:tc>
          <w:tcPr>
            <w:tcW w:w="466" w:type="pct"/>
            <w:tcBorders>
              <w:top w:val="nil"/>
              <w:left w:val="nil"/>
              <w:bottom w:val="nil"/>
              <w:right w:val="single" w:sz="8" w:space="0" w:color="4F81BD"/>
            </w:tcBorders>
            <w:shd w:val="clear" w:color="auto" w:fill="auto"/>
            <w:vAlign w:val="center"/>
            <w:hideMark/>
          </w:tcPr>
          <w:p w14:paraId="2FDCD5E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152</w:t>
            </w:r>
          </w:p>
        </w:tc>
        <w:tc>
          <w:tcPr>
            <w:tcW w:w="375" w:type="pct"/>
            <w:gridSpan w:val="2"/>
            <w:tcBorders>
              <w:top w:val="nil"/>
              <w:left w:val="nil"/>
              <w:bottom w:val="nil"/>
              <w:right w:val="nil"/>
            </w:tcBorders>
            <w:shd w:val="clear" w:color="000000" w:fill="EAF1DD"/>
            <w:vAlign w:val="center"/>
            <w:hideMark/>
          </w:tcPr>
          <w:p w14:paraId="460739DD"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6</w:t>
            </w:r>
          </w:p>
        </w:tc>
        <w:tc>
          <w:tcPr>
            <w:tcW w:w="653" w:type="pct"/>
            <w:tcBorders>
              <w:top w:val="nil"/>
              <w:left w:val="nil"/>
              <w:bottom w:val="nil"/>
              <w:right w:val="single" w:sz="8" w:space="0" w:color="4F81BD"/>
            </w:tcBorders>
            <w:shd w:val="clear" w:color="auto" w:fill="auto"/>
            <w:vAlign w:val="center"/>
            <w:hideMark/>
          </w:tcPr>
          <w:p w14:paraId="1E43B48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IN</w:t>
            </w:r>
          </w:p>
        </w:tc>
        <w:tc>
          <w:tcPr>
            <w:tcW w:w="467" w:type="pct"/>
            <w:tcBorders>
              <w:top w:val="nil"/>
              <w:left w:val="nil"/>
              <w:bottom w:val="nil"/>
              <w:right w:val="nil"/>
            </w:tcBorders>
            <w:shd w:val="clear" w:color="auto" w:fill="auto"/>
            <w:vAlign w:val="center"/>
            <w:hideMark/>
          </w:tcPr>
          <w:p w14:paraId="2672097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10.02</w:t>
            </w:r>
          </w:p>
        </w:tc>
        <w:tc>
          <w:tcPr>
            <w:tcW w:w="380" w:type="pct"/>
            <w:tcBorders>
              <w:top w:val="nil"/>
              <w:left w:val="nil"/>
              <w:bottom w:val="nil"/>
              <w:right w:val="nil"/>
            </w:tcBorders>
            <w:shd w:val="clear" w:color="auto" w:fill="auto"/>
            <w:vAlign w:val="center"/>
            <w:hideMark/>
          </w:tcPr>
          <w:p w14:paraId="7FE30E2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37</w:t>
            </w:r>
          </w:p>
        </w:tc>
        <w:tc>
          <w:tcPr>
            <w:tcW w:w="551" w:type="pct"/>
            <w:gridSpan w:val="2"/>
            <w:tcBorders>
              <w:top w:val="nil"/>
              <w:left w:val="nil"/>
              <w:bottom w:val="nil"/>
              <w:right w:val="single" w:sz="8" w:space="0" w:color="4F81BD"/>
            </w:tcBorders>
            <w:shd w:val="clear" w:color="auto" w:fill="auto"/>
            <w:vAlign w:val="center"/>
            <w:hideMark/>
          </w:tcPr>
          <w:p w14:paraId="44A3A14D"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121</w:t>
            </w:r>
          </w:p>
        </w:tc>
      </w:tr>
      <w:tr w:rsidR="003D7F3E" w:rsidRPr="00F82CDF" w14:paraId="0631D01D"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60757B3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7</w:t>
            </w:r>
          </w:p>
        </w:tc>
        <w:tc>
          <w:tcPr>
            <w:tcW w:w="729" w:type="pct"/>
            <w:tcBorders>
              <w:top w:val="nil"/>
              <w:left w:val="nil"/>
              <w:bottom w:val="nil"/>
              <w:right w:val="single" w:sz="8" w:space="0" w:color="4F81BD"/>
            </w:tcBorders>
            <w:shd w:val="clear" w:color="auto" w:fill="auto"/>
            <w:vAlign w:val="center"/>
            <w:hideMark/>
          </w:tcPr>
          <w:p w14:paraId="1605A98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HE</w:t>
            </w:r>
          </w:p>
        </w:tc>
        <w:tc>
          <w:tcPr>
            <w:tcW w:w="557" w:type="pct"/>
            <w:gridSpan w:val="2"/>
            <w:tcBorders>
              <w:top w:val="nil"/>
              <w:left w:val="nil"/>
              <w:bottom w:val="nil"/>
              <w:right w:val="single" w:sz="8" w:space="0" w:color="4F81BD"/>
            </w:tcBorders>
            <w:shd w:val="clear" w:color="auto" w:fill="auto"/>
            <w:vAlign w:val="center"/>
            <w:hideMark/>
          </w:tcPr>
          <w:p w14:paraId="7246709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13.77</w:t>
            </w:r>
          </w:p>
        </w:tc>
        <w:tc>
          <w:tcPr>
            <w:tcW w:w="469" w:type="pct"/>
            <w:tcBorders>
              <w:top w:val="nil"/>
              <w:left w:val="nil"/>
              <w:bottom w:val="nil"/>
              <w:right w:val="nil"/>
            </w:tcBorders>
            <w:shd w:val="clear" w:color="auto" w:fill="auto"/>
            <w:vAlign w:val="center"/>
            <w:hideMark/>
          </w:tcPr>
          <w:p w14:paraId="135B5AE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279</w:t>
            </w:r>
          </w:p>
        </w:tc>
        <w:tc>
          <w:tcPr>
            <w:tcW w:w="466" w:type="pct"/>
            <w:tcBorders>
              <w:top w:val="nil"/>
              <w:left w:val="nil"/>
              <w:bottom w:val="nil"/>
              <w:right w:val="single" w:sz="8" w:space="0" w:color="4F81BD"/>
            </w:tcBorders>
            <w:shd w:val="clear" w:color="auto" w:fill="auto"/>
            <w:vAlign w:val="center"/>
            <w:hideMark/>
          </w:tcPr>
          <w:p w14:paraId="32BB335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126</w:t>
            </w:r>
          </w:p>
        </w:tc>
        <w:tc>
          <w:tcPr>
            <w:tcW w:w="375" w:type="pct"/>
            <w:gridSpan w:val="2"/>
            <w:tcBorders>
              <w:top w:val="nil"/>
              <w:left w:val="nil"/>
              <w:bottom w:val="nil"/>
              <w:right w:val="nil"/>
            </w:tcBorders>
            <w:shd w:val="clear" w:color="000000" w:fill="EAF1DD"/>
            <w:vAlign w:val="center"/>
            <w:hideMark/>
          </w:tcPr>
          <w:p w14:paraId="52ADB89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7</w:t>
            </w:r>
          </w:p>
        </w:tc>
        <w:tc>
          <w:tcPr>
            <w:tcW w:w="653" w:type="pct"/>
            <w:tcBorders>
              <w:top w:val="nil"/>
              <w:left w:val="nil"/>
              <w:bottom w:val="nil"/>
              <w:right w:val="single" w:sz="8" w:space="0" w:color="4F81BD"/>
            </w:tcBorders>
            <w:shd w:val="clear" w:color="auto" w:fill="auto"/>
            <w:vAlign w:val="center"/>
            <w:hideMark/>
          </w:tcPr>
          <w:p w14:paraId="6D8F823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AS</w:t>
            </w:r>
          </w:p>
        </w:tc>
        <w:tc>
          <w:tcPr>
            <w:tcW w:w="467" w:type="pct"/>
            <w:tcBorders>
              <w:top w:val="nil"/>
              <w:left w:val="nil"/>
              <w:bottom w:val="nil"/>
              <w:right w:val="nil"/>
            </w:tcBorders>
            <w:shd w:val="clear" w:color="auto" w:fill="auto"/>
            <w:vAlign w:val="center"/>
            <w:hideMark/>
          </w:tcPr>
          <w:p w14:paraId="3582B65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8.81</w:t>
            </w:r>
          </w:p>
        </w:tc>
        <w:tc>
          <w:tcPr>
            <w:tcW w:w="380" w:type="pct"/>
            <w:tcBorders>
              <w:top w:val="nil"/>
              <w:left w:val="nil"/>
              <w:bottom w:val="nil"/>
              <w:right w:val="nil"/>
            </w:tcBorders>
            <w:shd w:val="clear" w:color="auto" w:fill="auto"/>
            <w:vAlign w:val="center"/>
            <w:hideMark/>
          </w:tcPr>
          <w:p w14:paraId="729A234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115</w:t>
            </w:r>
          </w:p>
        </w:tc>
        <w:tc>
          <w:tcPr>
            <w:tcW w:w="551" w:type="pct"/>
            <w:gridSpan w:val="2"/>
            <w:tcBorders>
              <w:top w:val="nil"/>
              <w:left w:val="nil"/>
              <w:bottom w:val="nil"/>
              <w:right w:val="single" w:sz="8" w:space="0" w:color="4F81BD"/>
            </w:tcBorders>
            <w:shd w:val="clear" w:color="auto" w:fill="auto"/>
            <w:vAlign w:val="center"/>
            <w:hideMark/>
          </w:tcPr>
          <w:p w14:paraId="1E4989A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24</w:t>
            </w:r>
          </w:p>
        </w:tc>
      </w:tr>
      <w:tr w:rsidR="003D7F3E" w:rsidRPr="00F82CDF" w14:paraId="506F9BAB"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4009AE3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8</w:t>
            </w:r>
          </w:p>
        </w:tc>
        <w:tc>
          <w:tcPr>
            <w:tcW w:w="729" w:type="pct"/>
            <w:tcBorders>
              <w:top w:val="nil"/>
              <w:left w:val="nil"/>
              <w:bottom w:val="nil"/>
              <w:right w:val="single" w:sz="8" w:space="0" w:color="4F81BD"/>
            </w:tcBorders>
            <w:shd w:val="clear" w:color="auto" w:fill="auto"/>
            <w:vAlign w:val="center"/>
            <w:hideMark/>
          </w:tcPr>
          <w:p w14:paraId="4E6D715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IT</w:t>
            </w:r>
          </w:p>
        </w:tc>
        <w:tc>
          <w:tcPr>
            <w:tcW w:w="557" w:type="pct"/>
            <w:gridSpan w:val="2"/>
            <w:tcBorders>
              <w:top w:val="nil"/>
              <w:left w:val="nil"/>
              <w:bottom w:val="nil"/>
              <w:right w:val="single" w:sz="8" w:space="0" w:color="4F81BD"/>
            </w:tcBorders>
            <w:shd w:val="clear" w:color="auto" w:fill="auto"/>
            <w:vAlign w:val="center"/>
            <w:hideMark/>
          </w:tcPr>
          <w:p w14:paraId="57A1C5A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12.86</w:t>
            </w:r>
          </w:p>
        </w:tc>
        <w:tc>
          <w:tcPr>
            <w:tcW w:w="469" w:type="pct"/>
            <w:tcBorders>
              <w:top w:val="nil"/>
              <w:left w:val="nil"/>
              <w:bottom w:val="nil"/>
              <w:right w:val="nil"/>
            </w:tcBorders>
            <w:shd w:val="clear" w:color="auto" w:fill="auto"/>
            <w:vAlign w:val="center"/>
            <w:hideMark/>
          </w:tcPr>
          <w:p w14:paraId="7428C0E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273</w:t>
            </w:r>
          </w:p>
        </w:tc>
        <w:tc>
          <w:tcPr>
            <w:tcW w:w="466" w:type="pct"/>
            <w:tcBorders>
              <w:top w:val="nil"/>
              <w:left w:val="nil"/>
              <w:bottom w:val="nil"/>
              <w:right w:val="single" w:sz="8" w:space="0" w:color="4F81BD"/>
            </w:tcBorders>
            <w:shd w:val="clear" w:color="auto" w:fill="auto"/>
            <w:vAlign w:val="center"/>
            <w:hideMark/>
          </w:tcPr>
          <w:p w14:paraId="5A7E50D0"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105</w:t>
            </w:r>
          </w:p>
        </w:tc>
        <w:tc>
          <w:tcPr>
            <w:tcW w:w="375" w:type="pct"/>
            <w:gridSpan w:val="2"/>
            <w:tcBorders>
              <w:top w:val="nil"/>
              <w:left w:val="nil"/>
              <w:bottom w:val="nil"/>
              <w:right w:val="nil"/>
            </w:tcBorders>
            <w:shd w:val="clear" w:color="000000" w:fill="EAF1DD"/>
            <w:vAlign w:val="center"/>
            <w:hideMark/>
          </w:tcPr>
          <w:p w14:paraId="3AEF1A33"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8</w:t>
            </w:r>
          </w:p>
        </w:tc>
        <w:tc>
          <w:tcPr>
            <w:tcW w:w="653" w:type="pct"/>
            <w:tcBorders>
              <w:top w:val="nil"/>
              <w:left w:val="nil"/>
              <w:bottom w:val="nil"/>
              <w:right w:val="single" w:sz="8" w:space="0" w:color="4F81BD"/>
            </w:tcBorders>
            <w:shd w:val="clear" w:color="auto" w:fill="auto"/>
            <w:vAlign w:val="center"/>
            <w:hideMark/>
          </w:tcPr>
          <w:p w14:paraId="01CCD9D1"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WHICH</w:t>
            </w:r>
          </w:p>
        </w:tc>
        <w:tc>
          <w:tcPr>
            <w:tcW w:w="467" w:type="pct"/>
            <w:tcBorders>
              <w:top w:val="nil"/>
              <w:left w:val="nil"/>
              <w:bottom w:val="nil"/>
              <w:right w:val="nil"/>
            </w:tcBorders>
            <w:shd w:val="clear" w:color="auto" w:fill="auto"/>
            <w:vAlign w:val="center"/>
            <w:hideMark/>
          </w:tcPr>
          <w:p w14:paraId="2ACCDEC0"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8.75</w:t>
            </w:r>
          </w:p>
        </w:tc>
        <w:tc>
          <w:tcPr>
            <w:tcW w:w="380" w:type="pct"/>
            <w:tcBorders>
              <w:top w:val="nil"/>
              <w:left w:val="nil"/>
              <w:bottom w:val="nil"/>
              <w:right w:val="nil"/>
            </w:tcBorders>
            <w:shd w:val="clear" w:color="auto" w:fill="auto"/>
            <w:vAlign w:val="center"/>
            <w:hideMark/>
          </w:tcPr>
          <w:p w14:paraId="108A2B9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127</w:t>
            </w:r>
          </w:p>
        </w:tc>
        <w:tc>
          <w:tcPr>
            <w:tcW w:w="551" w:type="pct"/>
            <w:gridSpan w:val="2"/>
            <w:tcBorders>
              <w:top w:val="nil"/>
              <w:left w:val="nil"/>
              <w:bottom w:val="nil"/>
              <w:right w:val="single" w:sz="8" w:space="0" w:color="4F81BD"/>
            </w:tcBorders>
            <w:shd w:val="clear" w:color="auto" w:fill="auto"/>
            <w:vAlign w:val="center"/>
            <w:hideMark/>
          </w:tcPr>
          <w:p w14:paraId="1FB72769"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11</w:t>
            </w:r>
          </w:p>
        </w:tc>
      </w:tr>
      <w:tr w:rsidR="003D7F3E" w:rsidRPr="00F82CDF" w14:paraId="65B09C2D" w14:textId="77777777" w:rsidTr="003D7F3E">
        <w:trPr>
          <w:trHeight w:val="300"/>
        </w:trPr>
        <w:tc>
          <w:tcPr>
            <w:tcW w:w="354" w:type="pct"/>
            <w:tcBorders>
              <w:top w:val="nil"/>
              <w:left w:val="single" w:sz="8" w:space="0" w:color="4F81BD"/>
              <w:bottom w:val="nil"/>
              <w:right w:val="nil"/>
            </w:tcBorders>
            <w:shd w:val="clear" w:color="000000" w:fill="DAEEF3"/>
            <w:vAlign w:val="center"/>
            <w:hideMark/>
          </w:tcPr>
          <w:p w14:paraId="64B3D59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9</w:t>
            </w:r>
          </w:p>
        </w:tc>
        <w:tc>
          <w:tcPr>
            <w:tcW w:w="729" w:type="pct"/>
            <w:tcBorders>
              <w:top w:val="nil"/>
              <w:left w:val="nil"/>
              <w:bottom w:val="nil"/>
              <w:right w:val="single" w:sz="8" w:space="0" w:color="4F81BD"/>
            </w:tcBorders>
            <w:shd w:val="clear" w:color="auto" w:fill="auto"/>
            <w:vAlign w:val="center"/>
            <w:hideMark/>
          </w:tcPr>
          <w:p w14:paraId="6217212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TO</w:t>
            </w:r>
          </w:p>
        </w:tc>
        <w:tc>
          <w:tcPr>
            <w:tcW w:w="557" w:type="pct"/>
            <w:gridSpan w:val="2"/>
            <w:tcBorders>
              <w:top w:val="nil"/>
              <w:left w:val="nil"/>
              <w:bottom w:val="nil"/>
              <w:right w:val="single" w:sz="8" w:space="0" w:color="4F81BD"/>
            </w:tcBorders>
            <w:shd w:val="clear" w:color="auto" w:fill="auto"/>
            <w:vAlign w:val="center"/>
            <w:hideMark/>
          </w:tcPr>
          <w:p w14:paraId="2C60DB8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12.82</w:t>
            </w:r>
          </w:p>
        </w:tc>
        <w:tc>
          <w:tcPr>
            <w:tcW w:w="469" w:type="pct"/>
            <w:tcBorders>
              <w:top w:val="nil"/>
              <w:left w:val="nil"/>
              <w:bottom w:val="nil"/>
              <w:right w:val="nil"/>
            </w:tcBorders>
            <w:shd w:val="clear" w:color="auto" w:fill="auto"/>
            <w:vAlign w:val="center"/>
            <w:hideMark/>
          </w:tcPr>
          <w:p w14:paraId="1AD34AAD"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93</w:t>
            </w:r>
          </w:p>
        </w:tc>
        <w:tc>
          <w:tcPr>
            <w:tcW w:w="466" w:type="pct"/>
            <w:tcBorders>
              <w:top w:val="nil"/>
              <w:left w:val="nil"/>
              <w:bottom w:val="nil"/>
              <w:right w:val="single" w:sz="8" w:space="0" w:color="4F81BD"/>
            </w:tcBorders>
            <w:shd w:val="clear" w:color="auto" w:fill="auto"/>
            <w:vAlign w:val="center"/>
            <w:hideMark/>
          </w:tcPr>
          <w:p w14:paraId="36E486E5"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284</w:t>
            </w:r>
          </w:p>
        </w:tc>
        <w:tc>
          <w:tcPr>
            <w:tcW w:w="375" w:type="pct"/>
            <w:gridSpan w:val="2"/>
            <w:tcBorders>
              <w:top w:val="nil"/>
              <w:left w:val="nil"/>
              <w:bottom w:val="nil"/>
              <w:right w:val="nil"/>
            </w:tcBorders>
            <w:shd w:val="clear" w:color="000000" w:fill="EAF1DD"/>
            <w:vAlign w:val="center"/>
            <w:hideMark/>
          </w:tcPr>
          <w:p w14:paraId="7817D3E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9</w:t>
            </w:r>
          </w:p>
        </w:tc>
        <w:tc>
          <w:tcPr>
            <w:tcW w:w="653" w:type="pct"/>
            <w:tcBorders>
              <w:top w:val="nil"/>
              <w:left w:val="nil"/>
              <w:bottom w:val="nil"/>
              <w:right w:val="single" w:sz="8" w:space="0" w:color="4F81BD"/>
            </w:tcBorders>
            <w:shd w:val="clear" w:color="auto" w:fill="auto"/>
            <w:vAlign w:val="center"/>
            <w:hideMark/>
          </w:tcPr>
          <w:p w14:paraId="452A625F"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THAT</w:t>
            </w:r>
          </w:p>
        </w:tc>
        <w:tc>
          <w:tcPr>
            <w:tcW w:w="467" w:type="pct"/>
            <w:tcBorders>
              <w:top w:val="nil"/>
              <w:left w:val="nil"/>
              <w:bottom w:val="nil"/>
              <w:right w:val="nil"/>
            </w:tcBorders>
            <w:shd w:val="clear" w:color="auto" w:fill="auto"/>
            <w:vAlign w:val="center"/>
            <w:hideMark/>
          </w:tcPr>
          <w:p w14:paraId="060CBBB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8.62</w:t>
            </w:r>
          </w:p>
        </w:tc>
        <w:tc>
          <w:tcPr>
            <w:tcW w:w="380" w:type="pct"/>
            <w:tcBorders>
              <w:top w:val="nil"/>
              <w:left w:val="nil"/>
              <w:bottom w:val="nil"/>
              <w:right w:val="nil"/>
            </w:tcBorders>
            <w:shd w:val="clear" w:color="auto" w:fill="auto"/>
            <w:vAlign w:val="center"/>
            <w:hideMark/>
          </w:tcPr>
          <w:p w14:paraId="318B2AB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113</w:t>
            </w:r>
          </w:p>
        </w:tc>
        <w:tc>
          <w:tcPr>
            <w:tcW w:w="551" w:type="pct"/>
            <w:gridSpan w:val="2"/>
            <w:tcBorders>
              <w:top w:val="nil"/>
              <w:left w:val="nil"/>
              <w:bottom w:val="nil"/>
              <w:right w:val="single" w:sz="8" w:space="0" w:color="4F81BD"/>
            </w:tcBorders>
            <w:shd w:val="clear" w:color="auto" w:fill="auto"/>
            <w:vAlign w:val="center"/>
            <w:hideMark/>
          </w:tcPr>
          <w:p w14:paraId="42F254EB"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23</w:t>
            </w:r>
          </w:p>
        </w:tc>
      </w:tr>
      <w:tr w:rsidR="003D7F3E" w:rsidRPr="00F82CDF" w14:paraId="525480A5" w14:textId="77777777" w:rsidTr="003D7F3E">
        <w:trPr>
          <w:trHeight w:val="320"/>
        </w:trPr>
        <w:tc>
          <w:tcPr>
            <w:tcW w:w="354" w:type="pct"/>
            <w:tcBorders>
              <w:top w:val="nil"/>
              <w:left w:val="single" w:sz="8" w:space="0" w:color="4F81BD"/>
              <w:bottom w:val="single" w:sz="8" w:space="0" w:color="4F81BD"/>
              <w:right w:val="nil"/>
            </w:tcBorders>
            <w:shd w:val="clear" w:color="000000" w:fill="DAEEF3"/>
            <w:vAlign w:val="center"/>
            <w:hideMark/>
          </w:tcPr>
          <w:p w14:paraId="43645E43"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10</w:t>
            </w:r>
          </w:p>
        </w:tc>
        <w:tc>
          <w:tcPr>
            <w:tcW w:w="729" w:type="pct"/>
            <w:tcBorders>
              <w:top w:val="nil"/>
              <w:left w:val="nil"/>
              <w:bottom w:val="single" w:sz="8" w:space="0" w:color="4F81BD"/>
              <w:right w:val="single" w:sz="8" w:space="0" w:color="4F81BD"/>
            </w:tcBorders>
            <w:shd w:val="clear" w:color="auto" w:fill="auto"/>
            <w:vAlign w:val="center"/>
            <w:hideMark/>
          </w:tcPr>
          <w:p w14:paraId="7C810A1A"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A</w:t>
            </w:r>
          </w:p>
        </w:tc>
        <w:tc>
          <w:tcPr>
            <w:tcW w:w="557" w:type="pct"/>
            <w:gridSpan w:val="2"/>
            <w:tcBorders>
              <w:top w:val="nil"/>
              <w:left w:val="nil"/>
              <w:bottom w:val="single" w:sz="8" w:space="0" w:color="4F81BD"/>
              <w:right w:val="single" w:sz="8" w:space="0" w:color="4F81BD"/>
            </w:tcBorders>
            <w:shd w:val="clear" w:color="auto" w:fill="auto"/>
            <w:vAlign w:val="center"/>
            <w:hideMark/>
          </w:tcPr>
          <w:p w14:paraId="7D6D7882"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 11.70</w:t>
            </w:r>
          </w:p>
        </w:tc>
        <w:tc>
          <w:tcPr>
            <w:tcW w:w="469" w:type="pct"/>
            <w:tcBorders>
              <w:top w:val="nil"/>
              <w:left w:val="nil"/>
              <w:bottom w:val="single" w:sz="8" w:space="0" w:color="4F81BD"/>
              <w:right w:val="nil"/>
            </w:tcBorders>
            <w:shd w:val="clear" w:color="auto" w:fill="auto"/>
            <w:vAlign w:val="center"/>
            <w:hideMark/>
          </w:tcPr>
          <w:p w14:paraId="6BB5172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118</w:t>
            </w:r>
          </w:p>
        </w:tc>
        <w:tc>
          <w:tcPr>
            <w:tcW w:w="466" w:type="pct"/>
            <w:tcBorders>
              <w:top w:val="nil"/>
              <w:left w:val="nil"/>
              <w:bottom w:val="single" w:sz="8" w:space="0" w:color="4F81BD"/>
              <w:right w:val="single" w:sz="8" w:space="0" w:color="4F81BD"/>
            </w:tcBorders>
            <w:shd w:val="clear" w:color="auto" w:fill="auto"/>
            <w:vAlign w:val="center"/>
            <w:hideMark/>
          </w:tcPr>
          <w:p w14:paraId="1D46EE3E"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226</w:t>
            </w:r>
          </w:p>
        </w:tc>
        <w:tc>
          <w:tcPr>
            <w:tcW w:w="375" w:type="pct"/>
            <w:gridSpan w:val="2"/>
            <w:tcBorders>
              <w:top w:val="nil"/>
              <w:left w:val="nil"/>
              <w:bottom w:val="single" w:sz="8" w:space="0" w:color="4F81BD"/>
              <w:right w:val="nil"/>
            </w:tcBorders>
            <w:shd w:val="clear" w:color="000000" w:fill="EAF1DD"/>
            <w:vAlign w:val="center"/>
            <w:hideMark/>
          </w:tcPr>
          <w:p w14:paraId="452E92B8"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10</w:t>
            </w:r>
          </w:p>
        </w:tc>
        <w:tc>
          <w:tcPr>
            <w:tcW w:w="653" w:type="pct"/>
            <w:tcBorders>
              <w:top w:val="nil"/>
              <w:left w:val="nil"/>
              <w:bottom w:val="single" w:sz="8" w:space="0" w:color="4F81BD"/>
              <w:right w:val="single" w:sz="8" w:space="0" w:color="4F81BD"/>
            </w:tcBorders>
            <w:shd w:val="clear" w:color="auto" w:fill="auto"/>
            <w:vAlign w:val="center"/>
            <w:hideMark/>
          </w:tcPr>
          <w:p w14:paraId="26BF80A6"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TO</w:t>
            </w:r>
          </w:p>
        </w:tc>
        <w:tc>
          <w:tcPr>
            <w:tcW w:w="467" w:type="pct"/>
            <w:tcBorders>
              <w:top w:val="nil"/>
              <w:left w:val="nil"/>
              <w:bottom w:val="single" w:sz="8" w:space="0" w:color="4F81BD"/>
              <w:right w:val="nil"/>
            </w:tcBorders>
            <w:shd w:val="clear" w:color="auto" w:fill="auto"/>
            <w:vAlign w:val="center"/>
            <w:hideMark/>
          </w:tcPr>
          <w:p w14:paraId="1BB7380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7.86</w:t>
            </w:r>
          </w:p>
        </w:tc>
        <w:tc>
          <w:tcPr>
            <w:tcW w:w="380" w:type="pct"/>
            <w:tcBorders>
              <w:top w:val="nil"/>
              <w:left w:val="nil"/>
              <w:bottom w:val="single" w:sz="8" w:space="0" w:color="4F81BD"/>
              <w:right w:val="nil"/>
            </w:tcBorders>
            <w:shd w:val="clear" w:color="auto" w:fill="auto"/>
            <w:vAlign w:val="center"/>
            <w:hideMark/>
          </w:tcPr>
          <w:p w14:paraId="5EEDF2BC" w14:textId="77777777" w:rsidR="003D7F3E" w:rsidRPr="00F82CDF" w:rsidRDefault="003D7F3E" w:rsidP="003D7F3E">
            <w:pPr>
              <w:spacing w:line="240" w:lineRule="auto"/>
              <w:rPr>
                <w:rFonts w:eastAsia="Times New Roman" w:cs="Times New Roman"/>
                <w:color w:val="000000"/>
                <w:sz w:val="20"/>
                <w:szCs w:val="20"/>
              </w:rPr>
            </w:pPr>
            <w:r w:rsidRPr="00F82CDF">
              <w:rPr>
                <w:rFonts w:eastAsia="Times New Roman" w:cs="Times New Roman"/>
                <w:color w:val="000000"/>
                <w:sz w:val="20"/>
                <w:szCs w:val="20"/>
              </w:rPr>
              <w:t>36</w:t>
            </w:r>
          </w:p>
        </w:tc>
        <w:tc>
          <w:tcPr>
            <w:tcW w:w="551" w:type="pct"/>
            <w:gridSpan w:val="2"/>
            <w:tcBorders>
              <w:top w:val="nil"/>
              <w:left w:val="nil"/>
              <w:bottom w:val="single" w:sz="8" w:space="0" w:color="4F81BD"/>
              <w:right w:val="single" w:sz="8" w:space="0" w:color="4F81BD"/>
            </w:tcBorders>
            <w:shd w:val="clear" w:color="auto" w:fill="auto"/>
            <w:vAlign w:val="center"/>
            <w:hideMark/>
          </w:tcPr>
          <w:p w14:paraId="6985EFFC" w14:textId="77777777" w:rsidR="003D7F3E" w:rsidRPr="00F82CDF" w:rsidRDefault="003D7F3E" w:rsidP="003D7F3E">
            <w:pPr>
              <w:keepNext/>
              <w:spacing w:line="240" w:lineRule="auto"/>
              <w:rPr>
                <w:rFonts w:eastAsia="Times New Roman" w:cs="Times New Roman"/>
                <w:color w:val="000000"/>
                <w:sz w:val="20"/>
                <w:szCs w:val="20"/>
              </w:rPr>
            </w:pPr>
            <w:r w:rsidRPr="00F82CDF">
              <w:rPr>
                <w:rFonts w:eastAsia="Times New Roman" w:cs="Times New Roman"/>
                <w:color w:val="000000"/>
                <w:sz w:val="20"/>
                <w:szCs w:val="20"/>
              </w:rPr>
              <w:t>88</w:t>
            </w:r>
          </w:p>
        </w:tc>
      </w:tr>
    </w:tbl>
    <w:p w14:paraId="13A6A3E2" w14:textId="77777777" w:rsidR="003D7F3E" w:rsidRPr="00F82CDF" w:rsidRDefault="003D7F3E" w:rsidP="003D7F3E">
      <w:pPr>
        <w:spacing w:line="240" w:lineRule="auto"/>
      </w:pPr>
    </w:p>
    <w:p w14:paraId="7AE9C188" w14:textId="45536405" w:rsidR="003D7F3E" w:rsidRPr="00F82CDF" w:rsidRDefault="003D7F3E" w:rsidP="003D7F3E">
      <w:pPr>
        <w:spacing w:line="240" w:lineRule="auto"/>
      </w:pPr>
      <w:bookmarkStart w:id="15" w:name="_Toc305157537"/>
      <w:r w:rsidRPr="00F82CDF">
        <w:t>In terms of the top three collocates (</w:t>
      </w:r>
      <w:r w:rsidRPr="00F82CDF">
        <w:rPr>
          <w:i/>
        </w:rPr>
        <w:t xml:space="preserve">and, the </w:t>
      </w:r>
      <w:r w:rsidRPr="00F82CDF">
        <w:t xml:space="preserve">and </w:t>
      </w:r>
      <w:r w:rsidRPr="00F82CDF">
        <w:rPr>
          <w:i/>
        </w:rPr>
        <w:t>of</w:t>
      </w:r>
      <w:r w:rsidRPr="00F82CDF">
        <w:t xml:space="preserve">), the point most worthy of note is the frequency difference of </w:t>
      </w:r>
      <w:r w:rsidRPr="00F82CDF">
        <w:rPr>
          <w:i/>
        </w:rPr>
        <w:t>and</w:t>
      </w:r>
      <w:r w:rsidRPr="00F82CDF">
        <w:t>. There is a 45.82</w:t>
      </w:r>
      <w:r w:rsidRPr="00F82CDF">
        <w:rPr>
          <w:rFonts w:cs="Helvetica"/>
          <w:color w:val="1C1C1C"/>
          <w:szCs w:val="22"/>
        </w:rPr>
        <w:t>‰</w:t>
      </w:r>
      <w:r w:rsidRPr="00F82CDF">
        <w:t xml:space="preserve"> difference between the metaphoric dataset (69.08</w:t>
      </w:r>
      <w:r w:rsidRPr="00F82CDF">
        <w:rPr>
          <w:rFonts w:cs="Helvetica"/>
          <w:color w:val="1C1C1C"/>
          <w:szCs w:val="22"/>
        </w:rPr>
        <w:t>‰)</w:t>
      </w:r>
      <w:r w:rsidRPr="00F82CDF">
        <w:t xml:space="preserve"> and the non-metaphoric set (23.26</w:t>
      </w:r>
      <w:r w:rsidRPr="00F82CDF">
        <w:rPr>
          <w:rFonts w:cs="Helvetica"/>
          <w:color w:val="1C1C1C"/>
          <w:szCs w:val="22"/>
        </w:rPr>
        <w:t>‰) frequencies</w:t>
      </w:r>
      <w:r w:rsidRPr="00F82CDF">
        <w:t xml:space="preserve">. The distribution before and after the headword </w:t>
      </w:r>
      <w:r w:rsidRPr="00F82CDF">
        <w:rPr>
          <w:i/>
        </w:rPr>
        <w:t>grew</w:t>
      </w:r>
      <w:r w:rsidRPr="00F82CDF">
        <w:t xml:space="preserve"> is roughly similar in both datasets: it appears slightly more frequently after </w:t>
      </w:r>
      <w:r w:rsidRPr="00F82CDF">
        <w:rPr>
          <w:i/>
        </w:rPr>
        <w:t>grew</w:t>
      </w:r>
      <w:r w:rsidRPr="00F82CDF">
        <w:t xml:space="preserve"> than before it in both groups. </w:t>
      </w:r>
      <w:bookmarkEnd w:id="15"/>
    </w:p>
    <w:p w14:paraId="74B27397" w14:textId="77777777" w:rsidR="003D7F3E" w:rsidRPr="00F82CDF" w:rsidRDefault="003D7F3E" w:rsidP="003D7F3E">
      <w:pPr>
        <w:pStyle w:val="Body1"/>
      </w:pPr>
      <w:r w:rsidRPr="00F82CDF">
        <w:tab/>
      </w:r>
      <w:bookmarkStart w:id="16" w:name="_Toc305157538"/>
      <w:r w:rsidRPr="00F82CDF">
        <w:t xml:space="preserve">The fourth most frequent collocate of metaphoric </w:t>
      </w:r>
      <w:r w:rsidRPr="00F82CDF">
        <w:rPr>
          <w:i/>
        </w:rPr>
        <w:t>grew</w:t>
      </w:r>
      <w:r w:rsidRPr="00F82CDF">
        <w:t xml:space="preserve"> is </w:t>
      </w:r>
      <w:r w:rsidRPr="00F82CDF">
        <w:rPr>
          <w:i/>
        </w:rPr>
        <w:t>as</w:t>
      </w:r>
      <w:r w:rsidRPr="00F82CDF">
        <w:t xml:space="preserve"> (occurring 16.36 times per thousand words). As a single item, </w:t>
      </w:r>
      <w:r w:rsidRPr="00F82CDF">
        <w:rPr>
          <w:i/>
        </w:rPr>
        <w:t>as</w:t>
      </w:r>
      <w:r w:rsidRPr="00F82CDF">
        <w:t xml:space="preserve"> has a variety of functions. Each instance has been identified as having one of two roles: prepositional or subordinating (based on Carter and McCarthy’s terminology, 2006). The large majority of uses of </w:t>
      </w:r>
      <w:r w:rsidRPr="00F82CDF">
        <w:rPr>
          <w:i/>
        </w:rPr>
        <w:t>as</w:t>
      </w:r>
      <w:r w:rsidRPr="00F82CDF">
        <w:t xml:space="preserve"> are subordinating in the metaphoric corpus and these are fairly evenly distributed between </w:t>
      </w:r>
      <w:r w:rsidRPr="00F82CDF">
        <w:rPr>
          <w:i/>
        </w:rPr>
        <w:t>grew</w:t>
      </w:r>
      <w:r w:rsidRPr="00F82CDF">
        <w:t xml:space="preserve"> being a part of the subordinating clause (e.g. </w:t>
      </w:r>
      <w:r w:rsidRPr="00F82CDF">
        <w:rPr>
          <w:i/>
        </w:rPr>
        <w:t>he became more and more angry, as he grew in years)</w:t>
      </w:r>
      <w:r w:rsidRPr="00F82CDF">
        <w:t xml:space="preserve"> and the </w:t>
      </w:r>
      <w:r w:rsidRPr="00F82CDF">
        <w:rPr>
          <w:i/>
        </w:rPr>
        <w:t>grew</w:t>
      </w:r>
      <w:r w:rsidRPr="00F82CDF">
        <w:t xml:space="preserve"> preceding the subordinating clause (e.g. </w:t>
      </w:r>
      <w:r w:rsidRPr="00F82CDF">
        <w:rPr>
          <w:i/>
        </w:rPr>
        <w:t>Ships and guns, masts and sails, grew better, as did the administrative process)</w:t>
      </w:r>
      <w:r w:rsidRPr="00F82CDF">
        <w:t xml:space="preserve">. In the non-metaphoric corpus, the majority of instances of </w:t>
      </w:r>
      <w:r w:rsidRPr="00F82CDF">
        <w:rPr>
          <w:i/>
        </w:rPr>
        <w:t>as</w:t>
      </w:r>
      <w:r w:rsidRPr="00F82CDF">
        <w:t xml:space="preserve"> are also subordinating, but most often </w:t>
      </w:r>
      <w:r w:rsidRPr="00F82CDF">
        <w:rPr>
          <w:i/>
        </w:rPr>
        <w:t>grew</w:t>
      </w:r>
      <w:r w:rsidRPr="00F82CDF">
        <w:t xml:space="preserve"> is a part of the subordinating clause, and usually positioned on the right of </w:t>
      </w:r>
      <w:r w:rsidRPr="00F82CDF">
        <w:rPr>
          <w:i/>
        </w:rPr>
        <w:t>as</w:t>
      </w:r>
      <w:r w:rsidRPr="00F82CDF">
        <w:t xml:space="preserve"> (e.g.</w:t>
      </w:r>
      <w:r w:rsidRPr="00F82CDF">
        <w:rPr>
          <w:i/>
        </w:rPr>
        <w:t xml:space="preserve"> I meant to explain this some time as you grew older</w:t>
      </w:r>
      <w:r w:rsidRPr="00F82CDF">
        <w:t xml:space="preserve">). Below is a comparison of the most frequent </w:t>
      </w:r>
      <w:r w:rsidRPr="00F82CDF">
        <w:rPr>
          <w:i/>
        </w:rPr>
        <w:t>as</w:t>
      </w:r>
      <w:r w:rsidRPr="00F82CDF">
        <w:t>/</w:t>
      </w:r>
      <w:r w:rsidRPr="00F82CDF">
        <w:rPr>
          <w:i/>
        </w:rPr>
        <w:t>grew</w:t>
      </w:r>
      <w:r w:rsidRPr="00F82CDF">
        <w:t xml:space="preserve"> clusters in each corpus:</w:t>
      </w:r>
      <w:bookmarkEnd w:id="16"/>
    </w:p>
    <w:p w14:paraId="7D096B5A" w14:textId="77777777" w:rsidR="003D7F3E" w:rsidRDefault="003D7F3E" w:rsidP="003D7F3E">
      <w:pPr>
        <w:pStyle w:val="Body1"/>
      </w:pPr>
    </w:p>
    <w:p w14:paraId="209E710B" w14:textId="755F01A0" w:rsidR="00A606D3" w:rsidRPr="00F82CDF" w:rsidRDefault="00A606D3" w:rsidP="00A606D3">
      <w:pPr>
        <w:pStyle w:val="Caption"/>
      </w:pPr>
      <w:bookmarkStart w:id="17" w:name="_Toc311117812"/>
      <w:r w:rsidRPr="00F82CDF">
        <w:t xml:space="preserve">Table </w:t>
      </w:r>
      <w:r>
        <w:t>3</w:t>
      </w:r>
      <w:r w:rsidRPr="00F82CDF">
        <w:t>. Most frequent as/</w:t>
      </w:r>
      <w:r w:rsidRPr="00F82CDF">
        <w:rPr>
          <w:i/>
        </w:rPr>
        <w:t>grew</w:t>
      </w:r>
      <w:r w:rsidRPr="00F82CDF">
        <w:t xml:space="preserve"> clusters in both datasets (with a minimum frequency of 5)</w:t>
      </w:r>
      <w:bookmarkEnd w:id="17"/>
    </w:p>
    <w:tbl>
      <w:tblPr>
        <w:tblW w:w="8018" w:type="dxa"/>
        <w:tblInd w:w="17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364"/>
        <w:gridCol w:w="1984"/>
        <w:gridCol w:w="709"/>
        <w:gridCol w:w="992"/>
        <w:gridCol w:w="425"/>
        <w:gridCol w:w="1843"/>
        <w:gridCol w:w="709"/>
        <w:gridCol w:w="992"/>
      </w:tblGrid>
      <w:tr w:rsidR="003D7F3E" w:rsidRPr="009D0C46" w14:paraId="221FEAAF" w14:textId="77777777" w:rsidTr="003D7F3E">
        <w:trPr>
          <w:trHeight w:val="261"/>
        </w:trPr>
        <w:tc>
          <w:tcPr>
            <w:tcW w:w="364" w:type="dxa"/>
            <w:tcBorders>
              <w:bottom w:val="single" w:sz="8" w:space="0" w:color="4F81BD" w:themeColor="accent1"/>
            </w:tcBorders>
            <w:shd w:val="clear" w:color="000000" w:fill="DAEEF3"/>
            <w:noWrap/>
            <w:hideMark/>
          </w:tcPr>
          <w:p w14:paraId="6D685381" w14:textId="77777777" w:rsidR="003D7F3E" w:rsidRPr="009D0C46" w:rsidRDefault="003D7F3E" w:rsidP="003D7F3E">
            <w:pPr>
              <w:pStyle w:val="TableofAuthorities"/>
              <w:rPr>
                <w:sz w:val="20"/>
                <w:szCs w:val="20"/>
              </w:rPr>
            </w:pPr>
            <w:r w:rsidRPr="009D0C46">
              <w:rPr>
                <w:sz w:val="20"/>
                <w:szCs w:val="20"/>
              </w:rPr>
              <w:t> </w:t>
            </w:r>
          </w:p>
        </w:tc>
        <w:tc>
          <w:tcPr>
            <w:tcW w:w="2693" w:type="dxa"/>
            <w:gridSpan w:val="2"/>
            <w:tcBorders>
              <w:bottom w:val="single" w:sz="8" w:space="0" w:color="4F81BD" w:themeColor="accent1"/>
            </w:tcBorders>
            <w:shd w:val="clear" w:color="000000" w:fill="DAEEF3"/>
            <w:noWrap/>
            <w:hideMark/>
          </w:tcPr>
          <w:p w14:paraId="565866C9" w14:textId="77777777" w:rsidR="003D7F3E" w:rsidRPr="009D0C46" w:rsidRDefault="003D7F3E" w:rsidP="003D7F3E">
            <w:pPr>
              <w:pStyle w:val="TableofAuthorities"/>
              <w:rPr>
                <w:sz w:val="20"/>
                <w:szCs w:val="20"/>
              </w:rPr>
            </w:pPr>
            <w:bookmarkStart w:id="18" w:name="RANGE!J4"/>
            <w:r w:rsidRPr="009D0C46">
              <w:rPr>
                <w:sz w:val="20"/>
                <w:szCs w:val="20"/>
              </w:rPr>
              <w:t>METAPHOR</w:t>
            </w:r>
            <w:bookmarkEnd w:id="18"/>
          </w:p>
        </w:tc>
        <w:tc>
          <w:tcPr>
            <w:tcW w:w="992" w:type="dxa"/>
            <w:tcBorders>
              <w:bottom w:val="single" w:sz="8" w:space="0" w:color="4F81BD" w:themeColor="accent1"/>
            </w:tcBorders>
            <w:shd w:val="clear" w:color="000000" w:fill="DAEEF3"/>
            <w:noWrap/>
            <w:hideMark/>
          </w:tcPr>
          <w:p w14:paraId="186C0EA7" w14:textId="77777777" w:rsidR="003D7F3E" w:rsidRPr="009D0C46" w:rsidRDefault="003D7F3E" w:rsidP="003D7F3E">
            <w:pPr>
              <w:pStyle w:val="TableofAuthorities"/>
              <w:rPr>
                <w:sz w:val="20"/>
                <w:szCs w:val="20"/>
              </w:rPr>
            </w:pPr>
            <w:r w:rsidRPr="009D0C46">
              <w:rPr>
                <w:sz w:val="20"/>
                <w:szCs w:val="20"/>
              </w:rPr>
              <w:t> </w:t>
            </w:r>
          </w:p>
        </w:tc>
        <w:tc>
          <w:tcPr>
            <w:tcW w:w="2977" w:type="dxa"/>
            <w:gridSpan w:val="3"/>
            <w:tcBorders>
              <w:bottom w:val="single" w:sz="8" w:space="0" w:color="4F81BD" w:themeColor="accent1"/>
            </w:tcBorders>
            <w:shd w:val="clear" w:color="000000" w:fill="EAF1DD"/>
            <w:noWrap/>
            <w:hideMark/>
          </w:tcPr>
          <w:p w14:paraId="047AEA26" w14:textId="77777777" w:rsidR="003D7F3E" w:rsidRPr="009D0C46" w:rsidRDefault="003D7F3E" w:rsidP="003D7F3E">
            <w:pPr>
              <w:pStyle w:val="TableofAuthorities"/>
              <w:rPr>
                <w:sz w:val="20"/>
                <w:szCs w:val="20"/>
              </w:rPr>
            </w:pPr>
            <w:bookmarkStart w:id="19" w:name="RANGE!N4"/>
            <w:r w:rsidRPr="009D0C46">
              <w:rPr>
                <w:sz w:val="20"/>
                <w:szCs w:val="20"/>
              </w:rPr>
              <w:t>NON-METAPHOR</w:t>
            </w:r>
          </w:p>
          <w:bookmarkEnd w:id="19"/>
          <w:p w14:paraId="7A75603C" w14:textId="77777777" w:rsidR="003D7F3E" w:rsidRPr="009D0C46" w:rsidRDefault="003D7F3E" w:rsidP="003D7F3E">
            <w:pPr>
              <w:pStyle w:val="TableofAuthorities"/>
              <w:rPr>
                <w:sz w:val="20"/>
                <w:szCs w:val="20"/>
              </w:rPr>
            </w:pPr>
            <w:r w:rsidRPr="009D0C46">
              <w:rPr>
                <w:sz w:val="20"/>
                <w:szCs w:val="20"/>
              </w:rPr>
              <w:t> </w:t>
            </w:r>
          </w:p>
        </w:tc>
        <w:tc>
          <w:tcPr>
            <w:tcW w:w="992" w:type="dxa"/>
            <w:tcBorders>
              <w:bottom w:val="single" w:sz="8" w:space="0" w:color="4F81BD" w:themeColor="accent1"/>
            </w:tcBorders>
            <w:shd w:val="clear" w:color="000000" w:fill="EAF1DD"/>
            <w:noWrap/>
            <w:hideMark/>
          </w:tcPr>
          <w:p w14:paraId="03F9D2FD" w14:textId="77777777" w:rsidR="003D7F3E" w:rsidRPr="009D0C46" w:rsidRDefault="003D7F3E" w:rsidP="003D7F3E">
            <w:pPr>
              <w:pStyle w:val="TableofAuthorities"/>
              <w:rPr>
                <w:sz w:val="20"/>
                <w:szCs w:val="20"/>
              </w:rPr>
            </w:pPr>
            <w:r w:rsidRPr="009D0C46">
              <w:rPr>
                <w:sz w:val="20"/>
                <w:szCs w:val="20"/>
              </w:rPr>
              <w:t> </w:t>
            </w:r>
          </w:p>
        </w:tc>
      </w:tr>
      <w:tr w:rsidR="003D7F3E" w:rsidRPr="009D0C46" w14:paraId="795D3D01" w14:textId="77777777" w:rsidTr="003D7F3E">
        <w:trPr>
          <w:trHeight w:val="261"/>
        </w:trPr>
        <w:tc>
          <w:tcPr>
            <w:tcW w:w="364" w:type="dxa"/>
            <w:tcBorders>
              <w:top w:val="single" w:sz="8" w:space="0" w:color="4F81BD" w:themeColor="accent1"/>
              <w:bottom w:val="single" w:sz="8" w:space="0" w:color="4F81BD" w:themeColor="accent1"/>
              <w:right w:val="single" w:sz="8" w:space="0" w:color="4F81BD" w:themeColor="accent1"/>
            </w:tcBorders>
            <w:shd w:val="clear" w:color="000000" w:fill="DAEEF3"/>
            <w:noWrap/>
            <w:hideMark/>
          </w:tcPr>
          <w:p w14:paraId="3D7B0CF2" w14:textId="77777777" w:rsidR="003D7F3E" w:rsidRPr="009D0C46" w:rsidRDefault="003D7F3E" w:rsidP="003D7F3E">
            <w:pPr>
              <w:pStyle w:val="TableofAuthorities"/>
              <w:rPr>
                <w:sz w:val="20"/>
                <w:szCs w:val="20"/>
              </w:rPr>
            </w:pPr>
            <w:r w:rsidRPr="009D0C46">
              <w:rPr>
                <w:sz w:val="20"/>
                <w:szCs w:val="20"/>
              </w:rPr>
              <w:t>R</w:t>
            </w:r>
          </w:p>
        </w:tc>
        <w:tc>
          <w:tcPr>
            <w:tcW w:w="198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000000" w:fill="DAEEF3"/>
            <w:noWrap/>
            <w:hideMark/>
          </w:tcPr>
          <w:p w14:paraId="34AC83CB" w14:textId="77777777" w:rsidR="003D7F3E" w:rsidRPr="009D0C46" w:rsidRDefault="003D7F3E" w:rsidP="003D7F3E">
            <w:pPr>
              <w:pStyle w:val="TableofAuthorities"/>
              <w:rPr>
                <w:sz w:val="20"/>
                <w:szCs w:val="20"/>
              </w:rPr>
            </w:pPr>
            <w:bookmarkStart w:id="20" w:name="RANGE!J5"/>
            <w:r w:rsidRPr="009D0C46">
              <w:rPr>
                <w:sz w:val="20"/>
                <w:szCs w:val="20"/>
              </w:rPr>
              <w:t>Cluster</w:t>
            </w:r>
            <w:bookmarkEnd w:id="20"/>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000000" w:fill="DAEEF3"/>
            <w:noWrap/>
            <w:hideMark/>
          </w:tcPr>
          <w:p w14:paraId="5948E174" w14:textId="77777777" w:rsidR="003D7F3E" w:rsidRPr="009D0C46" w:rsidRDefault="003D7F3E" w:rsidP="003D7F3E">
            <w:pPr>
              <w:pStyle w:val="TableofAuthorities"/>
              <w:rPr>
                <w:sz w:val="20"/>
                <w:szCs w:val="20"/>
              </w:rPr>
            </w:pPr>
            <w:bookmarkStart w:id="21" w:name="RANGE!K5"/>
            <w:r w:rsidRPr="009D0C46">
              <w:rPr>
                <w:sz w:val="20"/>
                <w:szCs w:val="20"/>
              </w:rPr>
              <w:t>Freq.</w:t>
            </w:r>
            <w:bookmarkEnd w:id="21"/>
          </w:p>
        </w:tc>
        <w:tc>
          <w:tcPr>
            <w:tcW w:w="99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000000" w:fill="DAEEF3"/>
            <w:noWrap/>
            <w:hideMark/>
          </w:tcPr>
          <w:p w14:paraId="5BFE0FC2" w14:textId="77777777" w:rsidR="003D7F3E" w:rsidRPr="009D0C46" w:rsidRDefault="003D7F3E" w:rsidP="003D7F3E">
            <w:pPr>
              <w:pStyle w:val="TableofAuthorities"/>
              <w:rPr>
                <w:sz w:val="20"/>
                <w:szCs w:val="20"/>
              </w:rPr>
            </w:pPr>
            <w:r w:rsidRPr="009D0C46">
              <w:rPr>
                <w:sz w:val="20"/>
                <w:szCs w:val="20"/>
              </w:rPr>
              <w:t>Freq. (ptw)</w:t>
            </w: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000000" w:fill="EAF1DD"/>
            <w:noWrap/>
            <w:hideMark/>
          </w:tcPr>
          <w:p w14:paraId="3CAF5F8A" w14:textId="77777777" w:rsidR="003D7F3E" w:rsidRPr="009D0C46" w:rsidRDefault="003D7F3E" w:rsidP="003D7F3E">
            <w:pPr>
              <w:pStyle w:val="TableofAuthorities"/>
              <w:rPr>
                <w:sz w:val="20"/>
                <w:szCs w:val="20"/>
              </w:rPr>
            </w:pPr>
            <w:r w:rsidRPr="009D0C46">
              <w:rPr>
                <w:sz w:val="20"/>
                <w:szCs w:val="20"/>
              </w:rPr>
              <w:t>R</w:t>
            </w:r>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000000" w:fill="EAF1DD"/>
            <w:noWrap/>
            <w:hideMark/>
          </w:tcPr>
          <w:p w14:paraId="2EF117B6" w14:textId="77777777" w:rsidR="003D7F3E" w:rsidRPr="009D0C46" w:rsidRDefault="003D7F3E" w:rsidP="003D7F3E">
            <w:pPr>
              <w:pStyle w:val="TableofAuthorities"/>
              <w:rPr>
                <w:sz w:val="20"/>
                <w:szCs w:val="20"/>
              </w:rPr>
            </w:pPr>
            <w:r w:rsidRPr="009D0C46">
              <w:rPr>
                <w:sz w:val="20"/>
                <w:szCs w:val="20"/>
              </w:rPr>
              <w:t>Cluster</w:t>
            </w:r>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000000" w:fill="EAF1DD"/>
            <w:noWrap/>
            <w:hideMark/>
          </w:tcPr>
          <w:p w14:paraId="72276E24" w14:textId="77777777" w:rsidR="003D7F3E" w:rsidRPr="009D0C46" w:rsidRDefault="003D7F3E" w:rsidP="003D7F3E">
            <w:pPr>
              <w:pStyle w:val="TableofAuthorities"/>
              <w:rPr>
                <w:sz w:val="20"/>
                <w:szCs w:val="20"/>
              </w:rPr>
            </w:pPr>
            <w:bookmarkStart w:id="22" w:name="RANGE!P5"/>
            <w:r w:rsidRPr="009D0C46">
              <w:rPr>
                <w:sz w:val="20"/>
                <w:szCs w:val="20"/>
              </w:rPr>
              <w:t>Freq.</w:t>
            </w:r>
            <w:bookmarkEnd w:id="22"/>
          </w:p>
        </w:tc>
        <w:tc>
          <w:tcPr>
            <w:tcW w:w="992" w:type="dxa"/>
            <w:tcBorders>
              <w:top w:val="single" w:sz="8" w:space="0" w:color="4F81BD" w:themeColor="accent1"/>
              <w:left w:val="single" w:sz="8" w:space="0" w:color="4F81BD" w:themeColor="accent1"/>
              <w:bottom w:val="single" w:sz="8" w:space="0" w:color="4F81BD" w:themeColor="accent1"/>
            </w:tcBorders>
            <w:shd w:val="clear" w:color="000000" w:fill="EAF1DD"/>
            <w:noWrap/>
            <w:hideMark/>
          </w:tcPr>
          <w:p w14:paraId="6DB950CA" w14:textId="77777777" w:rsidR="003D7F3E" w:rsidRPr="009D0C46" w:rsidRDefault="003D7F3E" w:rsidP="003D7F3E">
            <w:pPr>
              <w:pStyle w:val="TableofAuthorities"/>
              <w:rPr>
                <w:sz w:val="20"/>
                <w:szCs w:val="20"/>
              </w:rPr>
            </w:pPr>
            <w:r w:rsidRPr="009D0C46">
              <w:rPr>
                <w:sz w:val="20"/>
                <w:szCs w:val="20"/>
              </w:rPr>
              <w:t>Freq. (ptw)</w:t>
            </w:r>
          </w:p>
        </w:tc>
      </w:tr>
      <w:tr w:rsidR="003D7F3E" w:rsidRPr="009D0C46" w14:paraId="11488573" w14:textId="77777777" w:rsidTr="003D7F3E">
        <w:trPr>
          <w:trHeight w:val="261"/>
        </w:trPr>
        <w:tc>
          <w:tcPr>
            <w:tcW w:w="364" w:type="dxa"/>
            <w:tcBorders>
              <w:top w:val="single" w:sz="8" w:space="0" w:color="4F81BD" w:themeColor="accent1"/>
              <w:bottom w:val="nil"/>
            </w:tcBorders>
            <w:shd w:val="clear" w:color="000000" w:fill="DAEEF3"/>
            <w:noWrap/>
            <w:hideMark/>
          </w:tcPr>
          <w:p w14:paraId="08FA57A9" w14:textId="77777777" w:rsidR="003D7F3E" w:rsidRPr="009D0C46" w:rsidRDefault="003D7F3E" w:rsidP="003D7F3E">
            <w:pPr>
              <w:pStyle w:val="TableofAuthorities"/>
              <w:rPr>
                <w:sz w:val="20"/>
                <w:szCs w:val="20"/>
              </w:rPr>
            </w:pPr>
            <w:r w:rsidRPr="009D0C46">
              <w:rPr>
                <w:sz w:val="20"/>
                <w:szCs w:val="20"/>
              </w:rPr>
              <w:t> 1</w:t>
            </w:r>
          </w:p>
        </w:tc>
        <w:tc>
          <w:tcPr>
            <w:tcW w:w="1984" w:type="dxa"/>
            <w:tcBorders>
              <w:top w:val="single" w:sz="8" w:space="0" w:color="4F81BD" w:themeColor="accent1"/>
              <w:bottom w:val="nil"/>
              <w:right w:val="single" w:sz="8" w:space="0" w:color="4F81BD" w:themeColor="accent1"/>
            </w:tcBorders>
            <w:shd w:val="clear" w:color="auto" w:fill="auto"/>
            <w:noWrap/>
            <w:hideMark/>
          </w:tcPr>
          <w:p w14:paraId="0701B176" w14:textId="77777777" w:rsidR="003D7F3E" w:rsidRPr="009D0C46" w:rsidRDefault="003D7F3E" w:rsidP="003D7F3E">
            <w:pPr>
              <w:pStyle w:val="TableofAuthorities"/>
              <w:rPr>
                <w:caps/>
                <w:sz w:val="20"/>
                <w:szCs w:val="20"/>
              </w:rPr>
            </w:pPr>
            <w:bookmarkStart w:id="23" w:name="RANGE!J6"/>
            <w:r w:rsidRPr="009D0C46">
              <w:rPr>
                <w:caps/>
                <w:sz w:val="20"/>
                <w:szCs w:val="20"/>
              </w:rPr>
              <w:t>AS IT grew</w:t>
            </w:r>
            <w:bookmarkEnd w:id="23"/>
          </w:p>
        </w:tc>
        <w:tc>
          <w:tcPr>
            <w:tcW w:w="709" w:type="dxa"/>
            <w:tcBorders>
              <w:top w:val="single" w:sz="8" w:space="0" w:color="4F81BD" w:themeColor="accent1"/>
              <w:left w:val="single" w:sz="8" w:space="0" w:color="4F81BD" w:themeColor="accent1"/>
            </w:tcBorders>
            <w:shd w:val="clear" w:color="auto" w:fill="auto"/>
            <w:noWrap/>
            <w:hideMark/>
          </w:tcPr>
          <w:p w14:paraId="67019EC8" w14:textId="77777777" w:rsidR="003D7F3E" w:rsidRPr="009D0C46" w:rsidRDefault="003D7F3E" w:rsidP="003D7F3E">
            <w:pPr>
              <w:pStyle w:val="TableofAuthorities"/>
              <w:rPr>
                <w:caps/>
                <w:sz w:val="20"/>
                <w:szCs w:val="20"/>
              </w:rPr>
            </w:pPr>
            <w:bookmarkStart w:id="24" w:name="RANGE!K6"/>
            <w:r w:rsidRPr="009D0C46">
              <w:rPr>
                <w:caps/>
                <w:sz w:val="20"/>
                <w:szCs w:val="20"/>
              </w:rPr>
              <w:t>44</w:t>
            </w:r>
            <w:bookmarkEnd w:id="24"/>
          </w:p>
        </w:tc>
        <w:tc>
          <w:tcPr>
            <w:tcW w:w="992" w:type="dxa"/>
            <w:tcBorders>
              <w:top w:val="single" w:sz="8" w:space="0" w:color="4F81BD" w:themeColor="accent1"/>
              <w:right w:val="single" w:sz="8" w:space="0" w:color="4F81BD" w:themeColor="accent1"/>
            </w:tcBorders>
            <w:shd w:val="clear" w:color="auto" w:fill="auto"/>
            <w:noWrap/>
            <w:hideMark/>
          </w:tcPr>
          <w:p w14:paraId="44355139" w14:textId="77777777" w:rsidR="003D7F3E" w:rsidRPr="009D0C46" w:rsidRDefault="003D7F3E" w:rsidP="003D7F3E">
            <w:pPr>
              <w:pStyle w:val="TableofAuthorities"/>
              <w:rPr>
                <w:caps/>
                <w:sz w:val="20"/>
                <w:szCs w:val="20"/>
              </w:rPr>
            </w:pPr>
            <w:r w:rsidRPr="009D0C46">
              <w:rPr>
                <w:caps/>
                <w:sz w:val="20"/>
                <w:szCs w:val="20"/>
              </w:rPr>
              <w:t>2.79</w:t>
            </w:r>
          </w:p>
        </w:tc>
        <w:tc>
          <w:tcPr>
            <w:tcW w:w="425" w:type="dxa"/>
            <w:tcBorders>
              <w:top w:val="single" w:sz="8" w:space="0" w:color="4F81BD" w:themeColor="accent1"/>
              <w:left w:val="single" w:sz="8" w:space="0" w:color="4F81BD" w:themeColor="accent1"/>
              <w:bottom w:val="nil"/>
            </w:tcBorders>
            <w:shd w:val="clear" w:color="000000" w:fill="EAF1DD"/>
            <w:noWrap/>
            <w:hideMark/>
          </w:tcPr>
          <w:p w14:paraId="4C79C721" w14:textId="77777777" w:rsidR="003D7F3E" w:rsidRPr="009D0C46" w:rsidRDefault="003D7F3E" w:rsidP="003D7F3E">
            <w:pPr>
              <w:pStyle w:val="TableofAuthorities"/>
              <w:rPr>
                <w:caps/>
                <w:sz w:val="20"/>
                <w:szCs w:val="20"/>
              </w:rPr>
            </w:pPr>
            <w:r w:rsidRPr="009D0C46">
              <w:rPr>
                <w:caps/>
                <w:sz w:val="20"/>
                <w:szCs w:val="20"/>
              </w:rPr>
              <w:t xml:space="preserve"> 1</w:t>
            </w:r>
          </w:p>
        </w:tc>
        <w:tc>
          <w:tcPr>
            <w:tcW w:w="1843" w:type="dxa"/>
            <w:tcBorders>
              <w:top w:val="single" w:sz="8" w:space="0" w:color="4F81BD" w:themeColor="accent1"/>
              <w:bottom w:val="nil"/>
              <w:right w:val="single" w:sz="8" w:space="0" w:color="4F81BD" w:themeColor="accent1"/>
            </w:tcBorders>
            <w:shd w:val="clear" w:color="auto" w:fill="auto"/>
            <w:noWrap/>
            <w:hideMark/>
          </w:tcPr>
          <w:p w14:paraId="76D92B81" w14:textId="77777777" w:rsidR="003D7F3E" w:rsidRPr="009D0C46" w:rsidRDefault="003D7F3E" w:rsidP="003D7F3E">
            <w:pPr>
              <w:pStyle w:val="TableofAuthorities"/>
              <w:rPr>
                <w:caps/>
                <w:sz w:val="20"/>
                <w:szCs w:val="20"/>
              </w:rPr>
            </w:pPr>
            <w:bookmarkStart w:id="25" w:name="RANGE!N6"/>
            <w:r w:rsidRPr="009D0C46">
              <w:rPr>
                <w:caps/>
                <w:sz w:val="20"/>
                <w:szCs w:val="20"/>
              </w:rPr>
              <w:t>AS THEY grew</w:t>
            </w:r>
            <w:bookmarkEnd w:id="25"/>
          </w:p>
        </w:tc>
        <w:tc>
          <w:tcPr>
            <w:tcW w:w="709" w:type="dxa"/>
            <w:tcBorders>
              <w:top w:val="single" w:sz="8" w:space="0" w:color="4F81BD" w:themeColor="accent1"/>
              <w:left w:val="single" w:sz="8" w:space="0" w:color="4F81BD" w:themeColor="accent1"/>
            </w:tcBorders>
            <w:shd w:val="clear" w:color="auto" w:fill="auto"/>
            <w:noWrap/>
            <w:hideMark/>
          </w:tcPr>
          <w:p w14:paraId="0466F0FF" w14:textId="77777777" w:rsidR="003D7F3E" w:rsidRPr="009D0C46" w:rsidRDefault="003D7F3E" w:rsidP="003D7F3E">
            <w:pPr>
              <w:pStyle w:val="TableofAuthorities"/>
              <w:rPr>
                <w:sz w:val="20"/>
                <w:szCs w:val="20"/>
              </w:rPr>
            </w:pPr>
            <w:bookmarkStart w:id="26" w:name="RANGE!P6"/>
            <w:r w:rsidRPr="009D0C46">
              <w:rPr>
                <w:sz w:val="20"/>
                <w:szCs w:val="20"/>
              </w:rPr>
              <w:t>20</w:t>
            </w:r>
            <w:bookmarkEnd w:id="26"/>
          </w:p>
        </w:tc>
        <w:tc>
          <w:tcPr>
            <w:tcW w:w="992" w:type="dxa"/>
            <w:tcBorders>
              <w:top w:val="single" w:sz="8" w:space="0" w:color="4F81BD" w:themeColor="accent1"/>
            </w:tcBorders>
            <w:shd w:val="clear" w:color="auto" w:fill="auto"/>
            <w:noWrap/>
            <w:hideMark/>
          </w:tcPr>
          <w:p w14:paraId="7C38274C" w14:textId="77777777" w:rsidR="003D7F3E" w:rsidRPr="009D0C46" w:rsidRDefault="003D7F3E" w:rsidP="003D7F3E">
            <w:pPr>
              <w:pStyle w:val="TableofAuthorities"/>
              <w:rPr>
                <w:sz w:val="20"/>
                <w:szCs w:val="20"/>
              </w:rPr>
            </w:pPr>
            <w:r w:rsidRPr="009D0C46">
              <w:rPr>
                <w:sz w:val="20"/>
                <w:szCs w:val="20"/>
              </w:rPr>
              <w:t>0.68</w:t>
            </w:r>
          </w:p>
        </w:tc>
      </w:tr>
      <w:tr w:rsidR="003D7F3E" w:rsidRPr="009D0C46" w14:paraId="73FAD49C" w14:textId="77777777" w:rsidTr="003D7F3E">
        <w:trPr>
          <w:trHeight w:val="261"/>
        </w:trPr>
        <w:tc>
          <w:tcPr>
            <w:tcW w:w="364" w:type="dxa"/>
            <w:tcBorders>
              <w:top w:val="nil"/>
              <w:bottom w:val="nil"/>
            </w:tcBorders>
            <w:shd w:val="clear" w:color="000000" w:fill="DAEEF3"/>
            <w:noWrap/>
            <w:hideMark/>
          </w:tcPr>
          <w:p w14:paraId="2634438D" w14:textId="77777777" w:rsidR="003D7F3E" w:rsidRPr="009D0C46" w:rsidRDefault="003D7F3E" w:rsidP="003D7F3E">
            <w:pPr>
              <w:pStyle w:val="TableofAuthorities"/>
              <w:rPr>
                <w:sz w:val="20"/>
                <w:szCs w:val="20"/>
              </w:rPr>
            </w:pPr>
            <w:r w:rsidRPr="009D0C46">
              <w:rPr>
                <w:sz w:val="20"/>
                <w:szCs w:val="20"/>
              </w:rPr>
              <w:t> 2</w:t>
            </w:r>
          </w:p>
        </w:tc>
        <w:tc>
          <w:tcPr>
            <w:tcW w:w="1984" w:type="dxa"/>
            <w:tcBorders>
              <w:top w:val="nil"/>
              <w:bottom w:val="nil"/>
              <w:right w:val="single" w:sz="8" w:space="0" w:color="4F81BD" w:themeColor="accent1"/>
            </w:tcBorders>
            <w:shd w:val="clear" w:color="auto" w:fill="auto"/>
            <w:noWrap/>
            <w:hideMark/>
          </w:tcPr>
          <w:p w14:paraId="3E104998" w14:textId="77777777" w:rsidR="003D7F3E" w:rsidRPr="009D0C46" w:rsidRDefault="003D7F3E" w:rsidP="003D7F3E">
            <w:pPr>
              <w:pStyle w:val="TableofAuthorities"/>
              <w:rPr>
                <w:caps/>
                <w:sz w:val="20"/>
                <w:szCs w:val="20"/>
              </w:rPr>
            </w:pPr>
            <w:bookmarkStart w:id="27" w:name="RANGE!J8"/>
            <w:r w:rsidRPr="009D0C46">
              <w:rPr>
                <w:caps/>
                <w:sz w:val="20"/>
                <w:szCs w:val="20"/>
              </w:rPr>
              <w:t>SOON AS IT grew</w:t>
            </w:r>
            <w:bookmarkEnd w:id="27"/>
          </w:p>
        </w:tc>
        <w:tc>
          <w:tcPr>
            <w:tcW w:w="709" w:type="dxa"/>
            <w:tcBorders>
              <w:left w:val="single" w:sz="8" w:space="0" w:color="4F81BD" w:themeColor="accent1"/>
            </w:tcBorders>
            <w:shd w:val="clear" w:color="auto" w:fill="auto"/>
            <w:noWrap/>
            <w:hideMark/>
          </w:tcPr>
          <w:p w14:paraId="11E4301A" w14:textId="77777777" w:rsidR="003D7F3E" w:rsidRPr="009D0C46" w:rsidRDefault="003D7F3E" w:rsidP="003D7F3E">
            <w:pPr>
              <w:pStyle w:val="TableofAuthorities"/>
              <w:rPr>
                <w:caps/>
                <w:sz w:val="20"/>
                <w:szCs w:val="20"/>
              </w:rPr>
            </w:pPr>
            <w:bookmarkStart w:id="28" w:name="RANGE!K8"/>
            <w:r w:rsidRPr="009D0C46">
              <w:rPr>
                <w:caps/>
                <w:sz w:val="20"/>
                <w:szCs w:val="20"/>
              </w:rPr>
              <w:t>21</w:t>
            </w:r>
            <w:bookmarkEnd w:id="28"/>
          </w:p>
        </w:tc>
        <w:tc>
          <w:tcPr>
            <w:tcW w:w="992" w:type="dxa"/>
            <w:tcBorders>
              <w:right w:val="single" w:sz="8" w:space="0" w:color="4F81BD" w:themeColor="accent1"/>
            </w:tcBorders>
            <w:shd w:val="clear" w:color="auto" w:fill="auto"/>
            <w:noWrap/>
            <w:hideMark/>
          </w:tcPr>
          <w:p w14:paraId="7A160DCA" w14:textId="77777777" w:rsidR="003D7F3E" w:rsidRPr="009D0C46" w:rsidRDefault="003D7F3E" w:rsidP="003D7F3E">
            <w:pPr>
              <w:pStyle w:val="TableofAuthorities"/>
              <w:rPr>
                <w:caps/>
                <w:sz w:val="20"/>
                <w:szCs w:val="20"/>
              </w:rPr>
            </w:pPr>
            <w:r w:rsidRPr="009D0C46">
              <w:rPr>
                <w:caps/>
                <w:sz w:val="20"/>
                <w:szCs w:val="20"/>
              </w:rPr>
              <w:t>1.33</w:t>
            </w:r>
          </w:p>
        </w:tc>
        <w:tc>
          <w:tcPr>
            <w:tcW w:w="425" w:type="dxa"/>
            <w:tcBorders>
              <w:top w:val="nil"/>
              <w:left w:val="single" w:sz="8" w:space="0" w:color="4F81BD" w:themeColor="accent1"/>
              <w:bottom w:val="nil"/>
            </w:tcBorders>
            <w:shd w:val="clear" w:color="000000" w:fill="EAF1DD"/>
            <w:noWrap/>
            <w:hideMark/>
          </w:tcPr>
          <w:p w14:paraId="3B1BEF00" w14:textId="77777777" w:rsidR="003D7F3E" w:rsidRPr="009D0C46" w:rsidRDefault="003D7F3E" w:rsidP="003D7F3E">
            <w:pPr>
              <w:pStyle w:val="TableofAuthorities"/>
              <w:rPr>
                <w:caps/>
                <w:sz w:val="20"/>
                <w:szCs w:val="20"/>
              </w:rPr>
            </w:pPr>
            <w:r w:rsidRPr="009D0C46">
              <w:rPr>
                <w:caps/>
                <w:sz w:val="20"/>
                <w:szCs w:val="20"/>
              </w:rPr>
              <w:t xml:space="preserve"> 1</w:t>
            </w:r>
          </w:p>
        </w:tc>
        <w:tc>
          <w:tcPr>
            <w:tcW w:w="1843" w:type="dxa"/>
            <w:tcBorders>
              <w:top w:val="nil"/>
              <w:bottom w:val="nil"/>
              <w:right w:val="single" w:sz="8" w:space="0" w:color="4F81BD" w:themeColor="accent1"/>
            </w:tcBorders>
            <w:shd w:val="clear" w:color="auto" w:fill="auto"/>
            <w:noWrap/>
            <w:hideMark/>
          </w:tcPr>
          <w:p w14:paraId="39ACAD24" w14:textId="77777777" w:rsidR="003D7F3E" w:rsidRPr="009D0C46" w:rsidRDefault="003D7F3E" w:rsidP="003D7F3E">
            <w:pPr>
              <w:pStyle w:val="TableofAuthorities"/>
              <w:rPr>
                <w:caps/>
                <w:sz w:val="20"/>
                <w:szCs w:val="20"/>
              </w:rPr>
            </w:pPr>
            <w:bookmarkStart w:id="29" w:name="RANGE!N7"/>
            <w:r w:rsidRPr="009D0C46">
              <w:rPr>
                <w:caps/>
                <w:sz w:val="20"/>
                <w:szCs w:val="20"/>
              </w:rPr>
              <w:t>AS HE grew</w:t>
            </w:r>
            <w:bookmarkEnd w:id="29"/>
          </w:p>
        </w:tc>
        <w:tc>
          <w:tcPr>
            <w:tcW w:w="709" w:type="dxa"/>
            <w:tcBorders>
              <w:left w:val="single" w:sz="8" w:space="0" w:color="4F81BD" w:themeColor="accent1"/>
            </w:tcBorders>
            <w:shd w:val="clear" w:color="auto" w:fill="auto"/>
            <w:noWrap/>
            <w:hideMark/>
          </w:tcPr>
          <w:p w14:paraId="307B0543" w14:textId="77777777" w:rsidR="003D7F3E" w:rsidRPr="009D0C46" w:rsidRDefault="003D7F3E" w:rsidP="003D7F3E">
            <w:pPr>
              <w:pStyle w:val="TableofAuthorities"/>
              <w:rPr>
                <w:sz w:val="20"/>
                <w:szCs w:val="20"/>
              </w:rPr>
            </w:pPr>
            <w:bookmarkStart w:id="30" w:name="RANGE!P7"/>
            <w:r w:rsidRPr="009D0C46">
              <w:rPr>
                <w:sz w:val="20"/>
                <w:szCs w:val="20"/>
              </w:rPr>
              <w:t>20</w:t>
            </w:r>
            <w:bookmarkEnd w:id="30"/>
          </w:p>
        </w:tc>
        <w:tc>
          <w:tcPr>
            <w:tcW w:w="992" w:type="dxa"/>
            <w:shd w:val="clear" w:color="auto" w:fill="auto"/>
            <w:noWrap/>
            <w:hideMark/>
          </w:tcPr>
          <w:p w14:paraId="7A85A43E" w14:textId="77777777" w:rsidR="003D7F3E" w:rsidRPr="009D0C46" w:rsidRDefault="003D7F3E" w:rsidP="003D7F3E">
            <w:pPr>
              <w:pStyle w:val="TableofAuthorities"/>
              <w:rPr>
                <w:sz w:val="20"/>
                <w:szCs w:val="20"/>
              </w:rPr>
            </w:pPr>
            <w:r w:rsidRPr="009D0C46">
              <w:rPr>
                <w:sz w:val="20"/>
                <w:szCs w:val="20"/>
              </w:rPr>
              <w:t>0.68</w:t>
            </w:r>
          </w:p>
        </w:tc>
      </w:tr>
      <w:tr w:rsidR="003D7F3E" w:rsidRPr="009D0C46" w14:paraId="28951E65" w14:textId="77777777" w:rsidTr="003D7F3E">
        <w:trPr>
          <w:trHeight w:val="261"/>
        </w:trPr>
        <w:tc>
          <w:tcPr>
            <w:tcW w:w="364" w:type="dxa"/>
            <w:tcBorders>
              <w:top w:val="nil"/>
              <w:bottom w:val="nil"/>
            </w:tcBorders>
            <w:shd w:val="clear" w:color="000000" w:fill="DAEEF3"/>
            <w:noWrap/>
            <w:hideMark/>
          </w:tcPr>
          <w:p w14:paraId="78BB48B3" w14:textId="77777777" w:rsidR="003D7F3E" w:rsidRPr="009D0C46" w:rsidRDefault="003D7F3E" w:rsidP="003D7F3E">
            <w:pPr>
              <w:pStyle w:val="TableofAuthorities"/>
              <w:rPr>
                <w:sz w:val="20"/>
                <w:szCs w:val="20"/>
              </w:rPr>
            </w:pPr>
            <w:r w:rsidRPr="009D0C46">
              <w:rPr>
                <w:sz w:val="20"/>
                <w:szCs w:val="20"/>
              </w:rPr>
              <w:t> 3</w:t>
            </w:r>
          </w:p>
        </w:tc>
        <w:tc>
          <w:tcPr>
            <w:tcW w:w="1984" w:type="dxa"/>
            <w:tcBorders>
              <w:top w:val="nil"/>
              <w:bottom w:val="nil"/>
              <w:right w:val="single" w:sz="8" w:space="0" w:color="4F81BD" w:themeColor="accent1"/>
            </w:tcBorders>
            <w:shd w:val="clear" w:color="auto" w:fill="auto"/>
            <w:noWrap/>
            <w:hideMark/>
          </w:tcPr>
          <w:p w14:paraId="43E0E7C0" w14:textId="77777777" w:rsidR="003D7F3E" w:rsidRPr="009D0C46" w:rsidRDefault="003D7F3E" w:rsidP="003D7F3E">
            <w:pPr>
              <w:pStyle w:val="TableofAuthorities"/>
              <w:rPr>
                <w:caps/>
                <w:sz w:val="20"/>
                <w:szCs w:val="20"/>
              </w:rPr>
            </w:pPr>
            <w:bookmarkStart w:id="31" w:name="RANGE!J11"/>
            <w:r w:rsidRPr="009D0C46">
              <w:rPr>
                <w:caps/>
                <w:sz w:val="20"/>
                <w:szCs w:val="20"/>
              </w:rPr>
              <w:t>AS SOON AS IT grew</w:t>
            </w:r>
            <w:bookmarkEnd w:id="31"/>
          </w:p>
        </w:tc>
        <w:tc>
          <w:tcPr>
            <w:tcW w:w="709" w:type="dxa"/>
            <w:tcBorders>
              <w:left w:val="single" w:sz="8" w:space="0" w:color="4F81BD" w:themeColor="accent1"/>
            </w:tcBorders>
            <w:shd w:val="clear" w:color="auto" w:fill="auto"/>
            <w:noWrap/>
            <w:hideMark/>
          </w:tcPr>
          <w:p w14:paraId="262779CF" w14:textId="77777777" w:rsidR="003D7F3E" w:rsidRPr="009D0C46" w:rsidRDefault="003D7F3E" w:rsidP="003D7F3E">
            <w:pPr>
              <w:pStyle w:val="TableofAuthorities"/>
              <w:rPr>
                <w:caps/>
                <w:sz w:val="20"/>
                <w:szCs w:val="20"/>
              </w:rPr>
            </w:pPr>
            <w:bookmarkStart w:id="32" w:name="RANGE!K11"/>
            <w:r w:rsidRPr="009D0C46">
              <w:rPr>
                <w:caps/>
                <w:sz w:val="20"/>
                <w:szCs w:val="20"/>
              </w:rPr>
              <w:t>20</w:t>
            </w:r>
            <w:bookmarkEnd w:id="32"/>
          </w:p>
        </w:tc>
        <w:tc>
          <w:tcPr>
            <w:tcW w:w="992" w:type="dxa"/>
            <w:tcBorders>
              <w:right w:val="single" w:sz="8" w:space="0" w:color="4F81BD" w:themeColor="accent1"/>
            </w:tcBorders>
            <w:shd w:val="clear" w:color="auto" w:fill="auto"/>
            <w:noWrap/>
            <w:hideMark/>
          </w:tcPr>
          <w:p w14:paraId="5378B17F" w14:textId="77777777" w:rsidR="003D7F3E" w:rsidRPr="009D0C46" w:rsidRDefault="003D7F3E" w:rsidP="003D7F3E">
            <w:pPr>
              <w:pStyle w:val="TableofAuthorities"/>
              <w:rPr>
                <w:caps/>
                <w:sz w:val="20"/>
                <w:szCs w:val="20"/>
              </w:rPr>
            </w:pPr>
            <w:r w:rsidRPr="009D0C46">
              <w:rPr>
                <w:caps/>
                <w:sz w:val="20"/>
                <w:szCs w:val="20"/>
              </w:rPr>
              <w:t>1.27</w:t>
            </w:r>
          </w:p>
        </w:tc>
        <w:tc>
          <w:tcPr>
            <w:tcW w:w="425" w:type="dxa"/>
            <w:tcBorders>
              <w:top w:val="nil"/>
              <w:left w:val="single" w:sz="8" w:space="0" w:color="4F81BD" w:themeColor="accent1"/>
              <w:bottom w:val="nil"/>
            </w:tcBorders>
            <w:shd w:val="clear" w:color="000000" w:fill="EAF1DD"/>
            <w:noWrap/>
            <w:hideMark/>
          </w:tcPr>
          <w:p w14:paraId="583E30EC" w14:textId="77777777" w:rsidR="003D7F3E" w:rsidRPr="009D0C46" w:rsidRDefault="003D7F3E" w:rsidP="003D7F3E">
            <w:pPr>
              <w:pStyle w:val="TableofAuthorities"/>
              <w:rPr>
                <w:caps/>
                <w:sz w:val="20"/>
                <w:szCs w:val="20"/>
              </w:rPr>
            </w:pPr>
            <w:r w:rsidRPr="009D0C46">
              <w:rPr>
                <w:caps/>
                <w:sz w:val="20"/>
                <w:szCs w:val="20"/>
              </w:rPr>
              <w:t> 2</w:t>
            </w:r>
          </w:p>
        </w:tc>
        <w:tc>
          <w:tcPr>
            <w:tcW w:w="1843" w:type="dxa"/>
            <w:tcBorders>
              <w:top w:val="nil"/>
              <w:bottom w:val="nil"/>
              <w:right w:val="single" w:sz="8" w:space="0" w:color="4F81BD" w:themeColor="accent1"/>
            </w:tcBorders>
            <w:shd w:val="clear" w:color="auto" w:fill="auto"/>
            <w:noWrap/>
            <w:hideMark/>
          </w:tcPr>
          <w:p w14:paraId="64E7BB21" w14:textId="77777777" w:rsidR="003D7F3E" w:rsidRPr="009D0C46" w:rsidRDefault="003D7F3E" w:rsidP="003D7F3E">
            <w:pPr>
              <w:pStyle w:val="TableofAuthorities"/>
              <w:rPr>
                <w:caps/>
                <w:sz w:val="20"/>
                <w:szCs w:val="20"/>
              </w:rPr>
            </w:pPr>
            <w:bookmarkStart w:id="33" w:name="RANGE!N8"/>
            <w:r w:rsidRPr="009D0C46">
              <w:rPr>
                <w:caps/>
                <w:sz w:val="20"/>
                <w:szCs w:val="20"/>
              </w:rPr>
              <w:t>AS SHE grew</w:t>
            </w:r>
            <w:bookmarkEnd w:id="33"/>
          </w:p>
        </w:tc>
        <w:tc>
          <w:tcPr>
            <w:tcW w:w="709" w:type="dxa"/>
            <w:tcBorders>
              <w:left w:val="single" w:sz="8" w:space="0" w:color="4F81BD" w:themeColor="accent1"/>
            </w:tcBorders>
            <w:shd w:val="clear" w:color="auto" w:fill="auto"/>
            <w:noWrap/>
            <w:hideMark/>
          </w:tcPr>
          <w:p w14:paraId="2902C252" w14:textId="77777777" w:rsidR="003D7F3E" w:rsidRPr="009D0C46" w:rsidRDefault="003D7F3E" w:rsidP="003D7F3E">
            <w:pPr>
              <w:pStyle w:val="TableofAuthorities"/>
              <w:rPr>
                <w:sz w:val="20"/>
                <w:szCs w:val="20"/>
              </w:rPr>
            </w:pPr>
            <w:bookmarkStart w:id="34" w:name="RANGE!P8"/>
            <w:r w:rsidRPr="009D0C46">
              <w:rPr>
                <w:sz w:val="20"/>
                <w:szCs w:val="20"/>
              </w:rPr>
              <w:t>16</w:t>
            </w:r>
            <w:bookmarkEnd w:id="34"/>
          </w:p>
        </w:tc>
        <w:tc>
          <w:tcPr>
            <w:tcW w:w="992" w:type="dxa"/>
            <w:shd w:val="clear" w:color="auto" w:fill="auto"/>
            <w:noWrap/>
            <w:hideMark/>
          </w:tcPr>
          <w:p w14:paraId="69E59BC1" w14:textId="77777777" w:rsidR="003D7F3E" w:rsidRPr="009D0C46" w:rsidRDefault="003D7F3E" w:rsidP="003D7F3E">
            <w:pPr>
              <w:pStyle w:val="TableofAuthorities"/>
              <w:rPr>
                <w:sz w:val="20"/>
                <w:szCs w:val="20"/>
              </w:rPr>
            </w:pPr>
            <w:r w:rsidRPr="009D0C46">
              <w:rPr>
                <w:sz w:val="20"/>
                <w:szCs w:val="20"/>
              </w:rPr>
              <w:t>0.54</w:t>
            </w:r>
          </w:p>
        </w:tc>
      </w:tr>
      <w:tr w:rsidR="003D7F3E" w:rsidRPr="009D0C46" w14:paraId="686D3E59" w14:textId="77777777" w:rsidTr="003D7F3E">
        <w:trPr>
          <w:trHeight w:val="261"/>
        </w:trPr>
        <w:tc>
          <w:tcPr>
            <w:tcW w:w="364" w:type="dxa"/>
            <w:tcBorders>
              <w:top w:val="nil"/>
              <w:bottom w:val="nil"/>
            </w:tcBorders>
            <w:shd w:val="clear" w:color="000000" w:fill="DAEEF3"/>
            <w:noWrap/>
            <w:hideMark/>
          </w:tcPr>
          <w:p w14:paraId="7BBBD604" w14:textId="77777777" w:rsidR="003D7F3E" w:rsidRPr="009D0C46" w:rsidRDefault="003D7F3E" w:rsidP="003D7F3E">
            <w:pPr>
              <w:pStyle w:val="TableofAuthorities"/>
              <w:rPr>
                <w:sz w:val="20"/>
                <w:szCs w:val="20"/>
              </w:rPr>
            </w:pPr>
            <w:r w:rsidRPr="009D0C46">
              <w:rPr>
                <w:sz w:val="20"/>
                <w:szCs w:val="20"/>
              </w:rPr>
              <w:t> 4</w:t>
            </w:r>
          </w:p>
        </w:tc>
        <w:tc>
          <w:tcPr>
            <w:tcW w:w="1984" w:type="dxa"/>
            <w:tcBorders>
              <w:top w:val="nil"/>
              <w:bottom w:val="nil"/>
              <w:right w:val="single" w:sz="8" w:space="0" w:color="4F81BD" w:themeColor="accent1"/>
            </w:tcBorders>
            <w:shd w:val="clear" w:color="auto" w:fill="auto"/>
            <w:noWrap/>
            <w:hideMark/>
          </w:tcPr>
          <w:p w14:paraId="700E42AC" w14:textId="77777777" w:rsidR="003D7F3E" w:rsidRPr="009D0C46" w:rsidRDefault="003D7F3E" w:rsidP="003D7F3E">
            <w:pPr>
              <w:pStyle w:val="TableofAuthorities"/>
              <w:rPr>
                <w:caps/>
                <w:sz w:val="20"/>
                <w:szCs w:val="20"/>
              </w:rPr>
            </w:pPr>
            <w:bookmarkStart w:id="35" w:name="RANGE!J12"/>
            <w:r w:rsidRPr="009D0C46">
              <w:rPr>
                <w:caps/>
                <w:sz w:val="20"/>
                <w:szCs w:val="20"/>
              </w:rPr>
              <w:t>AS IT grew DARK</w:t>
            </w:r>
            <w:bookmarkEnd w:id="35"/>
          </w:p>
        </w:tc>
        <w:tc>
          <w:tcPr>
            <w:tcW w:w="709" w:type="dxa"/>
            <w:tcBorders>
              <w:left w:val="single" w:sz="8" w:space="0" w:color="4F81BD" w:themeColor="accent1"/>
            </w:tcBorders>
            <w:shd w:val="clear" w:color="auto" w:fill="auto"/>
            <w:noWrap/>
            <w:hideMark/>
          </w:tcPr>
          <w:p w14:paraId="6E20BDFD" w14:textId="77777777" w:rsidR="003D7F3E" w:rsidRPr="009D0C46" w:rsidRDefault="003D7F3E" w:rsidP="003D7F3E">
            <w:pPr>
              <w:pStyle w:val="TableofAuthorities"/>
              <w:rPr>
                <w:caps/>
                <w:sz w:val="20"/>
                <w:szCs w:val="20"/>
              </w:rPr>
            </w:pPr>
            <w:bookmarkStart w:id="36" w:name="RANGE!K12"/>
            <w:r w:rsidRPr="009D0C46">
              <w:rPr>
                <w:caps/>
                <w:sz w:val="20"/>
                <w:szCs w:val="20"/>
              </w:rPr>
              <w:t>19</w:t>
            </w:r>
            <w:bookmarkEnd w:id="36"/>
          </w:p>
        </w:tc>
        <w:tc>
          <w:tcPr>
            <w:tcW w:w="992" w:type="dxa"/>
            <w:tcBorders>
              <w:right w:val="single" w:sz="8" w:space="0" w:color="4F81BD" w:themeColor="accent1"/>
            </w:tcBorders>
            <w:shd w:val="clear" w:color="auto" w:fill="auto"/>
            <w:noWrap/>
            <w:hideMark/>
          </w:tcPr>
          <w:p w14:paraId="79257656" w14:textId="77777777" w:rsidR="003D7F3E" w:rsidRPr="009D0C46" w:rsidRDefault="003D7F3E" w:rsidP="003D7F3E">
            <w:pPr>
              <w:pStyle w:val="TableofAuthorities"/>
              <w:rPr>
                <w:caps/>
                <w:sz w:val="20"/>
                <w:szCs w:val="20"/>
              </w:rPr>
            </w:pPr>
            <w:r w:rsidRPr="009D0C46">
              <w:rPr>
                <w:caps/>
                <w:sz w:val="20"/>
                <w:szCs w:val="20"/>
              </w:rPr>
              <w:t>1.2</w:t>
            </w:r>
          </w:p>
        </w:tc>
        <w:tc>
          <w:tcPr>
            <w:tcW w:w="425" w:type="dxa"/>
            <w:tcBorders>
              <w:top w:val="nil"/>
              <w:left w:val="single" w:sz="8" w:space="0" w:color="4F81BD" w:themeColor="accent1"/>
              <w:bottom w:val="nil"/>
            </w:tcBorders>
            <w:shd w:val="clear" w:color="000000" w:fill="EAF1DD"/>
            <w:noWrap/>
            <w:hideMark/>
          </w:tcPr>
          <w:p w14:paraId="2D39C2F2" w14:textId="77777777" w:rsidR="003D7F3E" w:rsidRPr="009D0C46" w:rsidRDefault="003D7F3E" w:rsidP="003D7F3E">
            <w:pPr>
              <w:pStyle w:val="TableofAuthorities"/>
              <w:rPr>
                <w:caps/>
                <w:sz w:val="20"/>
                <w:szCs w:val="20"/>
              </w:rPr>
            </w:pPr>
            <w:r w:rsidRPr="009D0C46">
              <w:rPr>
                <w:caps/>
                <w:sz w:val="20"/>
                <w:szCs w:val="20"/>
              </w:rPr>
              <w:t> 3</w:t>
            </w:r>
          </w:p>
        </w:tc>
        <w:tc>
          <w:tcPr>
            <w:tcW w:w="1843" w:type="dxa"/>
            <w:tcBorders>
              <w:top w:val="nil"/>
              <w:bottom w:val="nil"/>
              <w:right w:val="single" w:sz="8" w:space="0" w:color="4F81BD" w:themeColor="accent1"/>
            </w:tcBorders>
            <w:shd w:val="clear" w:color="auto" w:fill="auto"/>
            <w:noWrap/>
            <w:hideMark/>
          </w:tcPr>
          <w:p w14:paraId="1BF88194" w14:textId="77777777" w:rsidR="003D7F3E" w:rsidRPr="009D0C46" w:rsidRDefault="003D7F3E" w:rsidP="003D7F3E">
            <w:pPr>
              <w:pStyle w:val="TableofAuthorities"/>
              <w:rPr>
                <w:caps/>
                <w:sz w:val="20"/>
                <w:szCs w:val="20"/>
              </w:rPr>
            </w:pPr>
            <w:bookmarkStart w:id="37" w:name="RANGE!N9"/>
            <w:r w:rsidRPr="009D0C46">
              <w:rPr>
                <w:caps/>
                <w:sz w:val="20"/>
                <w:szCs w:val="20"/>
              </w:rPr>
              <w:t>AS SHE grew UP</w:t>
            </w:r>
            <w:bookmarkEnd w:id="37"/>
          </w:p>
        </w:tc>
        <w:tc>
          <w:tcPr>
            <w:tcW w:w="709" w:type="dxa"/>
            <w:tcBorders>
              <w:left w:val="single" w:sz="8" w:space="0" w:color="4F81BD" w:themeColor="accent1"/>
            </w:tcBorders>
            <w:shd w:val="clear" w:color="auto" w:fill="auto"/>
            <w:noWrap/>
            <w:hideMark/>
          </w:tcPr>
          <w:p w14:paraId="278FBF11" w14:textId="77777777" w:rsidR="003D7F3E" w:rsidRPr="009D0C46" w:rsidRDefault="003D7F3E" w:rsidP="003D7F3E">
            <w:pPr>
              <w:pStyle w:val="TableofAuthorities"/>
              <w:rPr>
                <w:sz w:val="20"/>
                <w:szCs w:val="20"/>
              </w:rPr>
            </w:pPr>
            <w:bookmarkStart w:id="38" w:name="RANGE!P9"/>
            <w:r w:rsidRPr="009D0C46">
              <w:rPr>
                <w:sz w:val="20"/>
                <w:szCs w:val="20"/>
              </w:rPr>
              <w:t>13</w:t>
            </w:r>
            <w:bookmarkEnd w:id="38"/>
          </w:p>
        </w:tc>
        <w:tc>
          <w:tcPr>
            <w:tcW w:w="992" w:type="dxa"/>
            <w:shd w:val="clear" w:color="auto" w:fill="auto"/>
            <w:noWrap/>
            <w:hideMark/>
          </w:tcPr>
          <w:p w14:paraId="50A1C0C6" w14:textId="77777777" w:rsidR="003D7F3E" w:rsidRPr="009D0C46" w:rsidRDefault="003D7F3E" w:rsidP="003D7F3E">
            <w:pPr>
              <w:pStyle w:val="TableofAuthorities"/>
              <w:rPr>
                <w:sz w:val="20"/>
                <w:szCs w:val="20"/>
              </w:rPr>
            </w:pPr>
            <w:r w:rsidRPr="009D0C46">
              <w:rPr>
                <w:sz w:val="20"/>
                <w:szCs w:val="20"/>
              </w:rPr>
              <w:t>0.44</w:t>
            </w:r>
          </w:p>
        </w:tc>
      </w:tr>
      <w:tr w:rsidR="003D7F3E" w:rsidRPr="009D0C46" w14:paraId="5F1D4ACD" w14:textId="77777777" w:rsidTr="003D7F3E">
        <w:trPr>
          <w:trHeight w:val="261"/>
        </w:trPr>
        <w:tc>
          <w:tcPr>
            <w:tcW w:w="364" w:type="dxa"/>
            <w:tcBorders>
              <w:top w:val="nil"/>
              <w:bottom w:val="nil"/>
            </w:tcBorders>
            <w:shd w:val="clear" w:color="000000" w:fill="DAEEF3"/>
            <w:noWrap/>
            <w:hideMark/>
          </w:tcPr>
          <w:p w14:paraId="41FDD50B" w14:textId="77777777" w:rsidR="003D7F3E" w:rsidRPr="009D0C46" w:rsidRDefault="003D7F3E" w:rsidP="003D7F3E">
            <w:pPr>
              <w:pStyle w:val="TableofAuthorities"/>
              <w:rPr>
                <w:sz w:val="20"/>
                <w:szCs w:val="20"/>
              </w:rPr>
            </w:pPr>
            <w:r w:rsidRPr="009D0C46">
              <w:rPr>
                <w:sz w:val="20"/>
                <w:szCs w:val="20"/>
              </w:rPr>
              <w:t> 5</w:t>
            </w:r>
          </w:p>
        </w:tc>
        <w:tc>
          <w:tcPr>
            <w:tcW w:w="1984" w:type="dxa"/>
            <w:tcBorders>
              <w:top w:val="nil"/>
              <w:bottom w:val="nil"/>
              <w:right w:val="single" w:sz="8" w:space="0" w:color="4F81BD" w:themeColor="accent1"/>
            </w:tcBorders>
            <w:shd w:val="clear" w:color="auto" w:fill="auto"/>
            <w:noWrap/>
            <w:hideMark/>
          </w:tcPr>
          <w:p w14:paraId="41E2D260" w14:textId="77777777" w:rsidR="003D7F3E" w:rsidRPr="009D0C46" w:rsidRDefault="003D7F3E" w:rsidP="003D7F3E">
            <w:pPr>
              <w:pStyle w:val="TableofAuthorities"/>
              <w:rPr>
                <w:caps/>
                <w:sz w:val="20"/>
                <w:szCs w:val="20"/>
              </w:rPr>
            </w:pPr>
            <w:bookmarkStart w:id="39" w:name="RANGE!J13"/>
            <w:r w:rsidRPr="009D0C46">
              <w:rPr>
                <w:caps/>
                <w:sz w:val="20"/>
                <w:szCs w:val="20"/>
              </w:rPr>
              <w:t>AS HE grew</w:t>
            </w:r>
            <w:bookmarkEnd w:id="39"/>
          </w:p>
        </w:tc>
        <w:tc>
          <w:tcPr>
            <w:tcW w:w="709" w:type="dxa"/>
            <w:tcBorders>
              <w:left w:val="single" w:sz="8" w:space="0" w:color="4F81BD" w:themeColor="accent1"/>
            </w:tcBorders>
            <w:shd w:val="clear" w:color="auto" w:fill="auto"/>
            <w:noWrap/>
            <w:hideMark/>
          </w:tcPr>
          <w:p w14:paraId="35AD7C60" w14:textId="77777777" w:rsidR="003D7F3E" w:rsidRPr="009D0C46" w:rsidRDefault="003D7F3E" w:rsidP="003D7F3E">
            <w:pPr>
              <w:pStyle w:val="TableofAuthorities"/>
              <w:rPr>
                <w:caps/>
                <w:sz w:val="20"/>
                <w:szCs w:val="20"/>
              </w:rPr>
            </w:pPr>
            <w:bookmarkStart w:id="40" w:name="RANGE!K13"/>
            <w:r w:rsidRPr="009D0C46">
              <w:rPr>
                <w:caps/>
                <w:sz w:val="20"/>
                <w:szCs w:val="20"/>
              </w:rPr>
              <w:t>15</w:t>
            </w:r>
            <w:bookmarkEnd w:id="40"/>
          </w:p>
        </w:tc>
        <w:tc>
          <w:tcPr>
            <w:tcW w:w="992" w:type="dxa"/>
            <w:tcBorders>
              <w:right w:val="single" w:sz="8" w:space="0" w:color="4F81BD" w:themeColor="accent1"/>
            </w:tcBorders>
            <w:shd w:val="clear" w:color="auto" w:fill="auto"/>
            <w:noWrap/>
            <w:hideMark/>
          </w:tcPr>
          <w:p w14:paraId="5B893DFF" w14:textId="77777777" w:rsidR="003D7F3E" w:rsidRPr="009D0C46" w:rsidRDefault="003D7F3E" w:rsidP="003D7F3E">
            <w:pPr>
              <w:pStyle w:val="TableofAuthorities"/>
              <w:rPr>
                <w:caps/>
                <w:sz w:val="20"/>
                <w:szCs w:val="20"/>
              </w:rPr>
            </w:pPr>
            <w:r w:rsidRPr="009D0C46">
              <w:rPr>
                <w:caps/>
                <w:sz w:val="20"/>
                <w:szCs w:val="20"/>
              </w:rPr>
              <w:t>0.95</w:t>
            </w:r>
          </w:p>
        </w:tc>
        <w:tc>
          <w:tcPr>
            <w:tcW w:w="425" w:type="dxa"/>
            <w:tcBorders>
              <w:top w:val="nil"/>
              <w:left w:val="single" w:sz="8" w:space="0" w:color="4F81BD" w:themeColor="accent1"/>
              <w:bottom w:val="nil"/>
            </w:tcBorders>
            <w:shd w:val="clear" w:color="000000" w:fill="EAF1DD"/>
            <w:noWrap/>
            <w:hideMark/>
          </w:tcPr>
          <w:p w14:paraId="3B1C58A6" w14:textId="77777777" w:rsidR="003D7F3E" w:rsidRPr="009D0C46" w:rsidRDefault="003D7F3E" w:rsidP="003D7F3E">
            <w:pPr>
              <w:pStyle w:val="TableofAuthorities"/>
              <w:rPr>
                <w:caps/>
                <w:sz w:val="20"/>
                <w:szCs w:val="20"/>
              </w:rPr>
            </w:pPr>
            <w:r w:rsidRPr="009D0C46">
              <w:rPr>
                <w:caps/>
                <w:sz w:val="20"/>
                <w:szCs w:val="20"/>
              </w:rPr>
              <w:t> 4</w:t>
            </w:r>
          </w:p>
        </w:tc>
        <w:tc>
          <w:tcPr>
            <w:tcW w:w="1843" w:type="dxa"/>
            <w:tcBorders>
              <w:top w:val="nil"/>
              <w:bottom w:val="nil"/>
              <w:right w:val="single" w:sz="8" w:space="0" w:color="4F81BD" w:themeColor="accent1"/>
            </w:tcBorders>
            <w:shd w:val="clear" w:color="auto" w:fill="auto"/>
            <w:noWrap/>
            <w:hideMark/>
          </w:tcPr>
          <w:p w14:paraId="49819931" w14:textId="77777777" w:rsidR="003D7F3E" w:rsidRPr="009D0C46" w:rsidRDefault="003D7F3E" w:rsidP="003D7F3E">
            <w:pPr>
              <w:pStyle w:val="TableofAuthorities"/>
              <w:rPr>
                <w:caps/>
                <w:sz w:val="20"/>
                <w:szCs w:val="20"/>
              </w:rPr>
            </w:pPr>
            <w:bookmarkStart w:id="41" w:name="RANGE!N10"/>
            <w:r w:rsidRPr="009D0C46">
              <w:rPr>
                <w:caps/>
                <w:sz w:val="20"/>
                <w:szCs w:val="20"/>
              </w:rPr>
              <w:t>AS HE grew UP</w:t>
            </w:r>
            <w:bookmarkEnd w:id="41"/>
          </w:p>
        </w:tc>
        <w:tc>
          <w:tcPr>
            <w:tcW w:w="709" w:type="dxa"/>
            <w:tcBorders>
              <w:left w:val="single" w:sz="8" w:space="0" w:color="4F81BD" w:themeColor="accent1"/>
            </w:tcBorders>
            <w:shd w:val="clear" w:color="auto" w:fill="auto"/>
            <w:noWrap/>
            <w:hideMark/>
          </w:tcPr>
          <w:p w14:paraId="0BDED22F" w14:textId="77777777" w:rsidR="003D7F3E" w:rsidRPr="009D0C46" w:rsidRDefault="003D7F3E" w:rsidP="003D7F3E">
            <w:pPr>
              <w:pStyle w:val="TableofAuthorities"/>
              <w:rPr>
                <w:sz w:val="20"/>
                <w:szCs w:val="20"/>
              </w:rPr>
            </w:pPr>
            <w:bookmarkStart w:id="42" w:name="RANGE!P10"/>
            <w:r w:rsidRPr="009D0C46">
              <w:rPr>
                <w:sz w:val="20"/>
                <w:szCs w:val="20"/>
              </w:rPr>
              <w:t>11</w:t>
            </w:r>
            <w:bookmarkEnd w:id="42"/>
          </w:p>
        </w:tc>
        <w:tc>
          <w:tcPr>
            <w:tcW w:w="992" w:type="dxa"/>
            <w:shd w:val="clear" w:color="auto" w:fill="auto"/>
            <w:noWrap/>
            <w:hideMark/>
          </w:tcPr>
          <w:p w14:paraId="7E31FF55" w14:textId="77777777" w:rsidR="003D7F3E" w:rsidRPr="009D0C46" w:rsidRDefault="003D7F3E" w:rsidP="003D7F3E">
            <w:pPr>
              <w:pStyle w:val="TableofAuthorities"/>
              <w:rPr>
                <w:sz w:val="20"/>
                <w:szCs w:val="20"/>
              </w:rPr>
            </w:pPr>
            <w:r w:rsidRPr="009D0C46">
              <w:rPr>
                <w:sz w:val="20"/>
                <w:szCs w:val="20"/>
              </w:rPr>
              <w:t>0.37</w:t>
            </w:r>
          </w:p>
        </w:tc>
      </w:tr>
      <w:tr w:rsidR="003D7F3E" w:rsidRPr="009D0C46" w14:paraId="115201FE" w14:textId="77777777" w:rsidTr="003D7F3E">
        <w:trPr>
          <w:trHeight w:val="261"/>
        </w:trPr>
        <w:tc>
          <w:tcPr>
            <w:tcW w:w="364" w:type="dxa"/>
            <w:tcBorders>
              <w:top w:val="nil"/>
              <w:bottom w:val="nil"/>
            </w:tcBorders>
            <w:shd w:val="clear" w:color="000000" w:fill="DAEEF3"/>
            <w:noWrap/>
            <w:hideMark/>
          </w:tcPr>
          <w:p w14:paraId="01CB7C1C" w14:textId="77777777" w:rsidR="003D7F3E" w:rsidRPr="009D0C46" w:rsidRDefault="003D7F3E" w:rsidP="003D7F3E">
            <w:pPr>
              <w:pStyle w:val="TableofAuthorities"/>
              <w:rPr>
                <w:sz w:val="20"/>
                <w:szCs w:val="20"/>
              </w:rPr>
            </w:pPr>
            <w:r w:rsidRPr="009D0C46">
              <w:rPr>
                <w:sz w:val="20"/>
                <w:szCs w:val="20"/>
              </w:rPr>
              <w:t>6</w:t>
            </w:r>
          </w:p>
        </w:tc>
        <w:tc>
          <w:tcPr>
            <w:tcW w:w="1984" w:type="dxa"/>
            <w:tcBorders>
              <w:top w:val="nil"/>
              <w:bottom w:val="nil"/>
              <w:right w:val="single" w:sz="8" w:space="0" w:color="4F81BD" w:themeColor="accent1"/>
            </w:tcBorders>
            <w:shd w:val="clear" w:color="auto" w:fill="auto"/>
            <w:noWrap/>
            <w:hideMark/>
          </w:tcPr>
          <w:p w14:paraId="7664E548" w14:textId="77777777" w:rsidR="003D7F3E" w:rsidRPr="009D0C46" w:rsidRDefault="003D7F3E" w:rsidP="003D7F3E">
            <w:pPr>
              <w:pStyle w:val="TableofAuthorities"/>
              <w:rPr>
                <w:caps/>
                <w:sz w:val="20"/>
                <w:szCs w:val="20"/>
              </w:rPr>
            </w:pPr>
            <w:r w:rsidRPr="009D0C46">
              <w:rPr>
                <w:caps/>
                <w:sz w:val="20"/>
                <w:szCs w:val="20"/>
              </w:rPr>
              <w:t>AS THEY grew</w:t>
            </w:r>
          </w:p>
        </w:tc>
        <w:tc>
          <w:tcPr>
            <w:tcW w:w="709" w:type="dxa"/>
            <w:tcBorders>
              <w:left w:val="single" w:sz="8" w:space="0" w:color="4F81BD" w:themeColor="accent1"/>
            </w:tcBorders>
            <w:shd w:val="clear" w:color="auto" w:fill="auto"/>
            <w:noWrap/>
            <w:hideMark/>
          </w:tcPr>
          <w:p w14:paraId="17BCF452" w14:textId="77777777" w:rsidR="003D7F3E" w:rsidRPr="009D0C46" w:rsidRDefault="003D7F3E" w:rsidP="003D7F3E">
            <w:pPr>
              <w:pStyle w:val="TableofAuthorities"/>
              <w:rPr>
                <w:caps/>
                <w:sz w:val="20"/>
                <w:szCs w:val="20"/>
              </w:rPr>
            </w:pPr>
            <w:r w:rsidRPr="009D0C46">
              <w:rPr>
                <w:caps/>
                <w:sz w:val="20"/>
                <w:szCs w:val="20"/>
              </w:rPr>
              <w:t>11</w:t>
            </w:r>
          </w:p>
        </w:tc>
        <w:tc>
          <w:tcPr>
            <w:tcW w:w="992" w:type="dxa"/>
            <w:tcBorders>
              <w:right w:val="single" w:sz="8" w:space="0" w:color="4F81BD" w:themeColor="accent1"/>
            </w:tcBorders>
            <w:shd w:val="clear" w:color="auto" w:fill="auto"/>
            <w:noWrap/>
            <w:hideMark/>
          </w:tcPr>
          <w:p w14:paraId="46F5AD41" w14:textId="77777777" w:rsidR="003D7F3E" w:rsidRPr="009D0C46" w:rsidRDefault="003D7F3E" w:rsidP="003D7F3E">
            <w:pPr>
              <w:pStyle w:val="TableofAuthorities"/>
              <w:rPr>
                <w:caps/>
                <w:sz w:val="20"/>
                <w:szCs w:val="20"/>
              </w:rPr>
            </w:pPr>
            <w:r w:rsidRPr="009D0C46">
              <w:rPr>
                <w:caps/>
                <w:sz w:val="20"/>
                <w:szCs w:val="20"/>
              </w:rPr>
              <w:t>0.37</w:t>
            </w:r>
          </w:p>
        </w:tc>
        <w:tc>
          <w:tcPr>
            <w:tcW w:w="425" w:type="dxa"/>
            <w:tcBorders>
              <w:top w:val="nil"/>
              <w:left w:val="single" w:sz="8" w:space="0" w:color="4F81BD" w:themeColor="accent1"/>
              <w:bottom w:val="nil"/>
            </w:tcBorders>
            <w:shd w:val="clear" w:color="000000" w:fill="EAF1DD"/>
            <w:noWrap/>
            <w:hideMark/>
          </w:tcPr>
          <w:p w14:paraId="5A046AAE" w14:textId="77777777" w:rsidR="003D7F3E" w:rsidRPr="009D0C46" w:rsidRDefault="003D7F3E" w:rsidP="003D7F3E">
            <w:pPr>
              <w:pStyle w:val="TableofAuthorities"/>
              <w:rPr>
                <w:caps/>
                <w:sz w:val="20"/>
                <w:szCs w:val="20"/>
              </w:rPr>
            </w:pPr>
            <w:r w:rsidRPr="009D0C46">
              <w:rPr>
                <w:caps/>
                <w:sz w:val="20"/>
                <w:szCs w:val="20"/>
              </w:rPr>
              <w:t> 5</w:t>
            </w:r>
          </w:p>
        </w:tc>
        <w:tc>
          <w:tcPr>
            <w:tcW w:w="1843" w:type="dxa"/>
            <w:tcBorders>
              <w:top w:val="nil"/>
              <w:bottom w:val="nil"/>
              <w:right w:val="single" w:sz="8" w:space="0" w:color="4F81BD" w:themeColor="accent1"/>
            </w:tcBorders>
            <w:shd w:val="clear" w:color="auto" w:fill="auto"/>
            <w:noWrap/>
            <w:hideMark/>
          </w:tcPr>
          <w:p w14:paraId="767D8DC4" w14:textId="77777777" w:rsidR="003D7F3E" w:rsidRPr="009D0C46" w:rsidRDefault="003D7F3E" w:rsidP="003D7F3E">
            <w:pPr>
              <w:pStyle w:val="TableofAuthorities"/>
              <w:rPr>
                <w:caps/>
                <w:sz w:val="20"/>
                <w:szCs w:val="20"/>
              </w:rPr>
            </w:pPr>
            <w:bookmarkStart w:id="43" w:name="RANGE!N11"/>
            <w:r w:rsidRPr="009D0C46">
              <w:rPr>
                <w:caps/>
                <w:sz w:val="20"/>
                <w:szCs w:val="20"/>
              </w:rPr>
              <w:t>AS I grew</w:t>
            </w:r>
            <w:bookmarkEnd w:id="43"/>
          </w:p>
        </w:tc>
        <w:tc>
          <w:tcPr>
            <w:tcW w:w="709" w:type="dxa"/>
            <w:tcBorders>
              <w:left w:val="single" w:sz="8" w:space="0" w:color="4F81BD" w:themeColor="accent1"/>
            </w:tcBorders>
            <w:shd w:val="clear" w:color="auto" w:fill="auto"/>
            <w:noWrap/>
            <w:hideMark/>
          </w:tcPr>
          <w:p w14:paraId="49B4A25F" w14:textId="77777777" w:rsidR="003D7F3E" w:rsidRPr="009D0C46" w:rsidRDefault="003D7F3E" w:rsidP="003D7F3E">
            <w:pPr>
              <w:pStyle w:val="TableofAuthorities"/>
              <w:rPr>
                <w:sz w:val="20"/>
                <w:szCs w:val="20"/>
              </w:rPr>
            </w:pPr>
            <w:bookmarkStart w:id="44" w:name="RANGE!P11"/>
            <w:r w:rsidRPr="009D0C46">
              <w:rPr>
                <w:sz w:val="20"/>
                <w:szCs w:val="20"/>
              </w:rPr>
              <w:t>10</w:t>
            </w:r>
            <w:bookmarkEnd w:id="44"/>
          </w:p>
        </w:tc>
        <w:tc>
          <w:tcPr>
            <w:tcW w:w="992" w:type="dxa"/>
            <w:shd w:val="clear" w:color="auto" w:fill="auto"/>
            <w:noWrap/>
            <w:hideMark/>
          </w:tcPr>
          <w:p w14:paraId="31C5EE41" w14:textId="77777777" w:rsidR="003D7F3E" w:rsidRPr="009D0C46" w:rsidRDefault="003D7F3E" w:rsidP="003D7F3E">
            <w:pPr>
              <w:pStyle w:val="TableofAuthorities"/>
              <w:rPr>
                <w:sz w:val="20"/>
                <w:szCs w:val="20"/>
              </w:rPr>
            </w:pPr>
            <w:r w:rsidRPr="009D0C46">
              <w:rPr>
                <w:sz w:val="20"/>
                <w:szCs w:val="20"/>
              </w:rPr>
              <w:t>0.34</w:t>
            </w:r>
          </w:p>
        </w:tc>
      </w:tr>
      <w:tr w:rsidR="003D7F3E" w:rsidRPr="009D0C46" w14:paraId="6BCA9194" w14:textId="77777777" w:rsidTr="003D7F3E">
        <w:trPr>
          <w:trHeight w:val="261"/>
        </w:trPr>
        <w:tc>
          <w:tcPr>
            <w:tcW w:w="364" w:type="dxa"/>
            <w:tcBorders>
              <w:top w:val="nil"/>
              <w:bottom w:val="nil"/>
            </w:tcBorders>
            <w:shd w:val="clear" w:color="000000" w:fill="DAEEF3"/>
            <w:noWrap/>
            <w:hideMark/>
          </w:tcPr>
          <w:p w14:paraId="1223209A" w14:textId="77777777" w:rsidR="003D7F3E" w:rsidRPr="009D0C46" w:rsidRDefault="003D7F3E" w:rsidP="003D7F3E">
            <w:pPr>
              <w:pStyle w:val="TableofAuthorities"/>
              <w:rPr>
                <w:sz w:val="20"/>
                <w:szCs w:val="20"/>
              </w:rPr>
            </w:pPr>
            <w:r w:rsidRPr="009D0C46">
              <w:rPr>
                <w:sz w:val="20"/>
                <w:szCs w:val="20"/>
              </w:rPr>
              <w:t>7</w:t>
            </w:r>
          </w:p>
        </w:tc>
        <w:tc>
          <w:tcPr>
            <w:tcW w:w="1984" w:type="dxa"/>
            <w:tcBorders>
              <w:top w:val="nil"/>
              <w:bottom w:val="nil"/>
              <w:right w:val="single" w:sz="8" w:space="0" w:color="4F81BD" w:themeColor="accent1"/>
            </w:tcBorders>
            <w:shd w:val="clear" w:color="auto" w:fill="auto"/>
            <w:noWrap/>
            <w:hideMark/>
          </w:tcPr>
          <w:p w14:paraId="68A677AE" w14:textId="77777777" w:rsidR="003D7F3E" w:rsidRPr="009D0C46" w:rsidRDefault="003D7F3E" w:rsidP="003D7F3E">
            <w:pPr>
              <w:pStyle w:val="TableofAuthorities"/>
              <w:rPr>
                <w:caps/>
                <w:sz w:val="20"/>
                <w:szCs w:val="20"/>
              </w:rPr>
            </w:pPr>
            <w:r w:rsidRPr="009D0C46">
              <w:rPr>
                <w:caps/>
                <w:sz w:val="20"/>
                <w:szCs w:val="20"/>
              </w:rPr>
              <w:t>AS SHE grew</w:t>
            </w:r>
          </w:p>
        </w:tc>
        <w:tc>
          <w:tcPr>
            <w:tcW w:w="709" w:type="dxa"/>
            <w:tcBorders>
              <w:left w:val="single" w:sz="8" w:space="0" w:color="4F81BD" w:themeColor="accent1"/>
            </w:tcBorders>
            <w:shd w:val="clear" w:color="auto" w:fill="auto"/>
            <w:noWrap/>
            <w:hideMark/>
          </w:tcPr>
          <w:p w14:paraId="554A2FD7" w14:textId="77777777" w:rsidR="003D7F3E" w:rsidRPr="009D0C46" w:rsidRDefault="003D7F3E" w:rsidP="003D7F3E">
            <w:pPr>
              <w:pStyle w:val="TableofAuthorities"/>
              <w:rPr>
                <w:caps/>
                <w:sz w:val="20"/>
                <w:szCs w:val="20"/>
              </w:rPr>
            </w:pPr>
            <w:r w:rsidRPr="009D0C46">
              <w:rPr>
                <w:caps/>
                <w:sz w:val="20"/>
                <w:szCs w:val="20"/>
              </w:rPr>
              <w:t>10</w:t>
            </w:r>
          </w:p>
        </w:tc>
        <w:tc>
          <w:tcPr>
            <w:tcW w:w="992" w:type="dxa"/>
            <w:tcBorders>
              <w:right w:val="single" w:sz="8" w:space="0" w:color="4F81BD" w:themeColor="accent1"/>
            </w:tcBorders>
            <w:shd w:val="clear" w:color="auto" w:fill="auto"/>
            <w:noWrap/>
            <w:hideMark/>
          </w:tcPr>
          <w:p w14:paraId="1A1A3EF2" w14:textId="77777777" w:rsidR="003D7F3E" w:rsidRPr="009D0C46" w:rsidRDefault="003D7F3E" w:rsidP="003D7F3E">
            <w:pPr>
              <w:pStyle w:val="TableofAuthorities"/>
              <w:rPr>
                <w:caps/>
                <w:sz w:val="20"/>
                <w:szCs w:val="20"/>
              </w:rPr>
            </w:pPr>
            <w:r w:rsidRPr="009D0C46">
              <w:rPr>
                <w:caps/>
                <w:sz w:val="20"/>
                <w:szCs w:val="20"/>
              </w:rPr>
              <w:t>0.34</w:t>
            </w:r>
          </w:p>
        </w:tc>
        <w:tc>
          <w:tcPr>
            <w:tcW w:w="425" w:type="dxa"/>
            <w:tcBorders>
              <w:top w:val="nil"/>
              <w:left w:val="single" w:sz="8" w:space="0" w:color="4F81BD" w:themeColor="accent1"/>
              <w:bottom w:val="nil"/>
            </w:tcBorders>
            <w:shd w:val="clear" w:color="000000" w:fill="EAF1DD"/>
            <w:noWrap/>
            <w:hideMark/>
          </w:tcPr>
          <w:p w14:paraId="7BED9CB5" w14:textId="77777777" w:rsidR="003D7F3E" w:rsidRPr="009D0C46" w:rsidRDefault="003D7F3E" w:rsidP="003D7F3E">
            <w:pPr>
              <w:pStyle w:val="TableofAuthorities"/>
              <w:rPr>
                <w:caps/>
                <w:sz w:val="20"/>
                <w:szCs w:val="20"/>
              </w:rPr>
            </w:pPr>
            <w:r w:rsidRPr="009D0C46">
              <w:rPr>
                <w:caps/>
                <w:sz w:val="20"/>
                <w:szCs w:val="20"/>
              </w:rPr>
              <w:t> 6</w:t>
            </w:r>
          </w:p>
        </w:tc>
        <w:tc>
          <w:tcPr>
            <w:tcW w:w="1843" w:type="dxa"/>
            <w:tcBorders>
              <w:top w:val="nil"/>
              <w:bottom w:val="nil"/>
              <w:right w:val="single" w:sz="8" w:space="0" w:color="4F81BD" w:themeColor="accent1"/>
            </w:tcBorders>
            <w:shd w:val="clear" w:color="auto" w:fill="auto"/>
            <w:noWrap/>
            <w:hideMark/>
          </w:tcPr>
          <w:p w14:paraId="65A1C0F1" w14:textId="77777777" w:rsidR="003D7F3E" w:rsidRPr="009D0C46" w:rsidRDefault="003D7F3E" w:rsidP="003D7F3E">
            <w:pPr>
              <w:pStyle w:val="TableofAuthorities"/>
              <w:rPr>
                <w:caps/>
                <w:sz w:val="20"/>
                <w:szCs w:val="20"/>
              </w:rPr>
            </w:pPr>
            <w:bookmarkStart w:id="45" w:name="RANGE!N12"/>
            <w:r w:rsidRPr="009D0C46">
              <w:rPr>
                <w:caps/>
                <w:sz w:val="20"/>
                <w:szCs w:val="20"/>
              </w:rPr>
              <w:t>AS I grew UP</w:t>
            </w:r>
            <w:bookmarkEnd w:id="45"/>
          </w:p>
        </w:tc>
        <w:tc>
          <w:tcPr>
            <w:tcW w:w="709" w:type="dxa"/>
            <w:tcBorders>
              <w:left w:val="single" w:sz="8" w:space="0" w:color="4F81BD" w:themeColor="accent1"/>
            </w:tcBorders>
            <w:shd w:val="clear" w:color="auto" w:fill="auto"/>
            <w:noWrap/>
            <w:hideMark/>
          </w:tcPr>
          <w:p w14:paraId="0973BAB1" w14:textId="77777777" w:rsidR="003D7F3E" w:rsidRPr="009D0C46" w:rsidRDefault="003D7F3E" w:rsidP="003D7F3E">
            <w:pPr>
              <w:pStyle w:val="TableofAuthorities"/>
              <w:rPr>
                <w:sz w:val="20"/>
                <w:szCs w:val="20"/>
              </w:rPr>
            </w:pPr>
            <w:bookmarkStart w:id="46" w:name="RANGE!P12"/>
            <w:r w:rsidRPr="009D0C46">
              <w:rPr>
                <w:sz w:val="20"/>
                <w:szCs w:val="20"/>
              </w:rPr>
              <w:t>9</w:t>
            </w:r>
            <w:bookmarkEnd w:id="46"/>
          </w:p>
        </w:tc>
        <w:tc>
          <w:tcPr>
            <w:tcW w:w="992" w:type="dxa"/>
            <w:shd w:val="clear" w:color="auto" w:fill="auto"/>
            <w:noWrap/>
            <w:hideMark/>
          </w:tcPr>
          <w:p w14:paraId="37CDC34F" w14:textId="77777777" w:rsidR="003D7F3E" w:rsidRPr="009D0C46" w:rsidRDefault="003D7F3E" w:rsidP="003D7F3E">
            <w:pPr>
              <w:pStyle w:val="TableofAuthorities"/>
              <w:rPr>
                <w:sz w:val="20"/>
                <w:szCs w:val="20"/>
              </w:rPr>
            </w:pPr>
            <w:r w:rsidRPr="009D0C46">
              <w:rPr>
                <w:sz w:val="20"/>
                <w:szCs w:val="20"/>
              </w:rPr>
              <w:t>0.31</w:t>
            </w:r>
          </w:p>
        </w:tc>
      </w:tr>
      <w:tr w:rsidR="003D7F3E" w:rsidRPr="009D0C46" w14:paraId="783DE4A7" w14:textId="77777777" w:rsidTr="003D7F3E">
        <w:trPr>
          <w:trHeight w:val="261"/>
        </w:trPr>
        <w:tc>
          <w:tcPr>
            <w:tcW w:w="364" w:type="dxa"/>
            <w:tcBorders>
              <w:top w:val="nil"/>
              <w:bottom w:val="single" w:sz="8" w:space="0" w:color="4F81BD" w:themeColor="accent1"/>
            </w:tcBorders>
            <w:shd w:val="clear" w:color="000000" w:fill="DAEEF3"/>
            <w:noWrap/>
            <w:hideMark/>
          </w:tcPr>
          <w:p w14:paraId="553FB979" w14:textId="77777777" w:rsidR="003D7F3E" w:rsidRPr="009D0C46" w:rsidRDefault="003D7F3E" w:rsidP="003D7F3E">
            <w:pPr>
              <w:pStyle w:val="TableofAuthorities"/>
              <w:rPr>
                <w:sz w:val="20"/>
                <w:szCs w:val="20"/>
              </w:rPr>
            </w:pPr>
            <w:r w:rsidRPr="009D0C46">
              <w:rPr>
                <w:sz w:val="20"/>
                <w:szCs w:val="20"/>
              </w:rPr>
              <w:t>8</w:t>
            </w:r>
          </w:p>
        </w:tc>
        <w:tc>
          <w:tcPr>
            <w:tcW w:w="1984" w:type="dxa"/>
            <w:tcBorders>
              <w:top w:val="nil"/>
              <w:bottom w:val="single" w:sz="8" w:space="0" w:color="4F81BD" w:themeColor="accent1"/>
              <w:right w:val="single" w:sz="8" w:space="0" w:color="4F81BD" w:themeColor="accent1"/>
            </w:tcBorders>
            <w:shd w:val="clear" w:color="auto" w:fill="auto"/>
            <w:noWrap/>
            <w:hideMark/>
          </w:tcPr>
          <w:p w14:paraId="08BB4794" w14:textId="77777777" w:rsidR="003D7F3E" w:rsidRPr="009D0C46" w:rsidRDefault="003D7F3E" w:rsidP="003D7F3E">
            <w:pPr>
              <w:pStyle w:val="TableofAuthorities"/>
              <w:rPr>
                <w:caps/>
                <w:sz w:val="20"/>
                <w:szCs w:val="20"/>
              </w:rPr>
            </w:pPr>
            <w:r w:rsidRPr="009D0C46">
              <w:rPr>
                <w:caps/>
                <w:sz w:val="20"/>
                <w:szCs w:val="20"/>
              </w:rPr>
              <w:t>grew BETTER AS</w:t>
            </w:r>
          </w:p>
        </w:tc>
        <w:tc>
          <w:tcPr>
            <w:tcW w:w="709" w:type="dxa"/>
            <w:tcBorders>
              <w:left w:val="single" w:sz="8" w:space="0" w:color="4F81BD" w:themeColor="accent1"/>
            </w:tcBorders>
            <w:shd w:val="clear" w:color="auto" w:fill="auto"/>
            <w:noWrap/>
            <w:hideMark/>
          </w:tcPr>
          <w:p w14:paraId="13B5AC78" w14:textId="77777777" w:rsidR="003D7F3E" w:rsidRPr="009D0C46" w:rsidRDefault="003D7F3E" w:rsidP="003D7F3E">
            <w:pPr>
              <w:pStyle w:val="TableofAuthorities"/>
              <w:rPr>
                <w:caps/>
                <w:sz w:val="20"/>
                <w:szCs w:val="20"/>
              </w:rPr>
            </w:pPr>
            <w:r w:rsidRPr="009D0C46">
              <w:rPr>
                <w:caps/>
                <w:sz w:val="20"/>
                <w:szCs w:val="20"/>
              </w:rPr>
              <w:t>5</w:t>
            </w:r>
          </w:p>
        </w:tc>
        <w:tc>
          <w:tcPr>
            <w:tcW w:w="992" w:type="dxa"/>
            <w:tcBorders>
              <w:right w:val="single" w:sz="8" w:space="0" w:color="4F81BD" w:themeColor="accent1"/>
            </w:tcBorders>
            <w:shd w:val="clear" w:color="auto" w:fill="auto"/>
            <w:noWrap/>
            <w:hideMark/>
          </w:tcPr>
          <w:p w14:paraId="3BA637CF" w14:textId="77777777" w:rsidR="003D7F3E" w:rsidRPr="009D0C46" w:rsidRDefault="003D7F3E" w:rsidP="003D7F3E">
            <w:pPr>
              <w:pStyle w:val="TableofAuthorities"/>
              <w:rPr>
                <w:caps/>
                <w:sz w:val="20"/>
                <w:szCs w:val="20"/>
              </w:rPr>
            </w:pPr>
            <w:r w:rsidRPr="009D0C46">
              <w:rPr>
                <w:caps/>
                <w:sz w:val="20"/>
                <w:szCs w:val="20"/>
              </w:rPr>
              <w:t>0.17</w:t>
            </w:r>
          </w:p>
        </w:tc>
        <w:tc>
          <w:tcPr>
            <w:tcW w:w="425" w:type="dxa"/>
            <w:tcBorders>
              <w:top w:val="nil"/>
              <w:left w:val="single" w:sz="8" w:space="0" w:color="4F81BD" w:themeColor="accent1"/>
              <w:bottom w:val="single" w:sz="8" w:space="0" w:color="4F81BD" w:themeColor="accent1"/>
            </w:tcBorders>
            <w:shd w:val="clear" w:color="000000" w:fill="EAF1DD"/>
            <w:noWrap/>
            <w:hideMark/>
          </w:tcPr>
          <w:p w14:paraId="72B7CD39" w14:textId="77777777" w:rsidR="003D7F3E" w:rsidRPr="009D0C46" w:rsidRDefault="003D7F3E" w:rsidP="003D7F3E">
            <w:pPr>
              <w:pStyle w:val="TableofAuthorities"/>
              <w:rPr>
                <w:caps/>
                <w:sz w:val="20"/>
                <w:szCs w:val="20"/>
              </w:rPr>
            </w:pPr>
            <w:r w:rsidRPr="009D0C46">
              <w:rPr>
                <w:caps/>
                <w:sz w:val="20"/>
                <w:szCs w:val="20"/>
              </w:rPr>
              <w:t> 7</w:t>
            </w:r>
          </w:p>
        </w:tc>
        <w:tc>
          <w:tcPr>
            <w:tcW w:w="1843" w:type="dxa"/>
            <w:tcBorders>
              <w:top w:val="nil"/>
              <w:bottom w:val="single" w:sz="8" w:space="0" w:color="4F81BD" w:themeColor="accent1"/>
              <w:right w:val="single" w:sz="8" w:space="0" w:color="4F81BD" w:themeColor="accent1"/>
            </w:tcBorders>
            <w:shd w:val="clear" w:color="auto" w:fill="auto"/>
            <w:noWrap/>
            <w:hideMark/>
          </w:tcPr>
          <w:p w14:paraId="1048F96C" w14:textId="77777777" w:rsidR="003D7F3E" w:rsidRPr="009D0C46" w:rsidRDefault="003D7F3E" w:rsidP="003D7F3E">
            <w:pPr>
              <w:pStyle w:val="TableofAuthorities"/>
              <w:rPr>
                <w:caps/>
                <w:sz w:val="20"/>
                <w:szCs w:val="20"/>
              </w:rPr>
            </w:pPr>
            <w:bookmarkStart w:id="47" w:name="RANGE!N16"/>
            <w:r w:rsidRPr="009D0C46">
              <w:rPr>
                <w:caps/>
                <w:sz w:val="20"/>
                <w:szCs w:val="20"/>
              </w:rPr>
              <w:t>AS THEY grew UP</w:t>
            </w:r>
            <w:bookmarkEnd w:id="47"/>
          </w:p>
        </w:tc>
        <w:tc>
          <w:tcPr>
            <w:tcW w:w="709" w:type="dxa"/>
            <w:tcBorders>
              <w:left w:val="single" w:sz="8" w:space="0" w:color="4F81BD" w:themeColor="accent1"/>
            </w:tcBorders>
            <w:shd w:val="clear" w:color="auto" w:fill="auto"/>
            <w:noWrap/>
            <w:hideMark/>
          </w:tcPr>
          <w:p w14:paraId="5A95657F" w14:textId="77777777" w:rsidR="003D7F3E" w:rsidRPr="009D0C46" w:rsidRDefault="003D7F3E" w:rsidP="003D7F3E">
            <w:pPr>
              <w:pStyle w:val="TableofAuthorities"/>
              <w:rPr>
                <w:sz w:val="20"/>
                <w:szCs w:val="20"/>
              </w:rPr>
            </w:pPr>
            <w:bookmarkStart w:id="48" w:name="RANGE!P16"/>
            <w:r w:rsidRPr="009D0C46">
              <w:rPr>
                <w:sz w:val="20"/>
                <w:szCs w:val="20"/>
              </w:rPr>
              <w:t>6</w:t>
            </w:r>
            <w:bookmarkEnd w:id="48"/>
          </w:p>
        </w:tc>
        <w:tc>
          <w:tcPr>
            <w:tcW w:w="992" w:type="dxa"/>
            <w:shd w:val="clear" w:color="auto" w:fill="auto"/>
            <w:noWrap/>
            <w:hideMark/>
          </w:tcPr>
          <w:p w14:paraId="30639AFF" w14:textId="77777777" w:rsidR="003D7F3E" w:rsidRPr="009D0C46" w:rsidRDefault="003D7F3E" w:rsidP="003D7F3E">
            <w:pPr>
              <w:pStyle w:val="TableofAuthorities"/>
              <w:rPr>
                <w:sz w:val="20"/>
                <w:szCs w:val="20"/>
              </w:rPr>
            </w:pPr>
            <w:bookmarkStart w:id="49" w:name="RANGE!Q16"/>
            <w:r w:rsidRPr="009D0C46">
              <w:rPr>
                <w:sz w:val="20"/>
                <w:szCs w:val="20"/>
              </w:rPr>
              <w:t>0.2</w:t>
            </w:r>
            <w:bookmarkEnd w:id="49"/>
          </w:p>
        </w:tc>
      </w:tr>
    </w:tbl>
    <w:p w14:paraId="4FE5F02E" w14:textId="77777777" w:rsidR="003D7F3E" w:rsidRPr="00F82CDF" w:rsidRDefault="003D7F3E" w:rsidP="003D7F3E">
      <w:pPr>
        <w:spacing w:line="240" w:lineRule="auto"/>
      </w:pPr>
    </w:p>
    <w:p w14:paraId="433BE75B" w14:textId="77777777" w:rsidR="003D7F3E" w:rsidRPr="00F82CDF" w:rsidRDefault="003D7F3E" w:rsidP="003D7F3E">
      <w:pPr>
        <w:spacing w:line="240" w:lineRule="auto"/>
      </w:pPr>
      <w:bookmarkStart w:id="50" w:name="_Toc305157607"/>
      <w:r w:rsidRPr="00F82CDF">
        <w:t xml:space="preserve">The table shows that </w:t>
      </w:r>
      <w:r w:rsidRPr="00F82CDF">
        <w:rPr>
          <w:i/>
        </w:rPr>
        <w:t>as</w:t>
      </w:r>
      <w:r w:rsidRPr="00F82CDF">
        <w:t xml:space="preserve"> appears in a wider variety of clusters in both datasets. The token frequency however is greater in the metaphoric data, supporting the higher frequency of </w:t>
      </w:r>
      <w:r w:rsidRPr="00F82CDF">
        <w:rPr>
          <w:i/>
        </w:rPr>
        <w:t>as</w:t>
      </w:r>
      <w:r w:rsidRPr="00F82CDF">
        <w:t xml:space="preserve"> as a collocate over all. Whilst both cluster lists show </w:t>
      </w:r>
      <w:r w:rsidRPr="00F82CDF">
        <w:rPr>
          <w:i/>
        </w:rPr>
        <w:t>grew</w:t>
      </w:r>
      <w:r w:rsidRPr="00F82CDF">
        <w:t xml:space="preserve"> as a part of a subordinating clause, </w:t>
      </w:r>
      <w:r w:rsidRPr="00F82CDF">
        <w:rPr>
          <w:i/>
        </w:rPr>
        <w:t>grew</w:t>
      </w:r>
      <w:r w:rsidRPr="00F82CDF">
        <w:t xml:space="preserve"> precedes a subordinating clause, only in the metaphoric dataset (</w:t>
      </w:r>
      <w:r w:rsidRPr="00F82CDF">
        <w:rPr>
          <w:i/>
        </w:rPr>
        <w:t>grew</w:t>
      </w:r>
      <w:r w:rsidRPr="00F82CDF">
        <w:t xml:space="preserve"> </w:t>
      </w:r>
      <w:r w:rsidRPr="00F82CDF">
        <w:rPr>
          <w:i/>
        </w:rPr>
        <w:t>better as</w:t>
      </w:r>
      <w:r w:rsidRPr="00F82CDF">
        <w:t>). Interestingly, it is the non-metaphoric cluster list that shows a higher frequency of personal pronouns (</w:t>
      </w:r>
      <w:r w:rsidRPr="00F82CDF">
        <w:rPr>
          <w:i/>
        </w:rPr>
        <w:t xml:space="preserve">they, he, she </w:t>
      </w:r>
      <w:r w:rsidRPr="00F82CDF">
        <w:t xml:space="preserve">and </w:t>
      </w:r>
      <w:r w:rsidRPr="00F82CDF">
        <w:rPr>
          <w:i/>
        </w:rPr>
        <w:t xml:space="preserve">I </w:t>
      </w:r>
      <w:r w:rsidRPr="00F82CDF">
        <w:t xml:space="preserve">are found in all clusters). There are four cluster types with the lexical item </w:t>
      </w:r>
      <w:r w:rsidRPr="00F82CDF">
        <w:rPr>
          <w:i/>
        </w:rPr>
        <w:t>grew</w:t>
      </w:r>
      <w:r w:rsidRPr="00F82CDF">
        <w:t xml:space="preserve"> </w:t>
      </w:r>
      <w:r w:rsidRPr="00F82CDF">
        <w:rPr>
          <w:i/>
        </w:rPr>
        <w:t>up</w:t>
      </w:r>
      <w:r w:rsidRPr="00F82CDF">
        <w:t xml:space="preserve">, which may account for the high frequency of pronouns. </w:t>
      </w:r>
      <w:r w:rsidRPr="00F82CDF">
        <w:rPr>
          <w:i/>
        </w:rPr>
        <w:t>Grew</w:t>
      </w:r>
      <w:r w:rsidRPr="00F82CDF">
        <w:t xml:space="preserve"> </w:t>
      </w:r>
      <w:r w:rsidRPr="00F82CDF">
        <w:rPr>
          <w:i/>
        </w:rPr>
        <w:t>up</w:t>
      </w:r>
      <w:r w:rsidRPr="00F82CDF">
        <w:t xml:space="preserve"> as a lexical item has a specific and separate meaning to </w:t>
      </w:r>
      <w:r w:rsidRPr="00F82CDF">
        <w:rPr>
          <w:i/>
        </w:rPr>
        <w:t>grew</w:t>
      </w:r>
      <w:r w:rsidRPr="00F82CDF">
        <w:t xml:space="preserve">, being restricted to human life only. The use of </w:t>
      </w:r>
      <w:r w:rsidRPr="00F82CDF">
        <w:rPr>
          <w:i/>
        </w:rPr>
        <w:t>grew</w:t>
      </w:r>
      <w:r w:rsidRPr="00F82CDF">
        <w:t xml:space="preserve"> </w:t>
      </w:r>
      <w:r w:rsidRPr="00F82CDF">
        <w:rPr>
          <w:i/>
        </w:rPr>
        <w:t>up</w:t>
      </w:r>
      <w:r w:rsidRPr="00F82CDF">
        <w:t xml:space="preserve"> within a subordinating </w:t>
      </w:r>
      <w:r w:rsidRPr="00F82CDF">
        <w:rPr>
          <w:i/>
        </w:rPr>
        <w:t>as</w:t>
      </w:r>
      <w:r w:rsidRPr="00F82CDF">
        <w:t xml:space="preserve"> clause suggests the item provides additional information rather than being the focus of the statement. </w:t>
      </w:r>
    </w:p>
    <w:p w14:paraId="6C27754F" w14:textId="45EB6DCB" w:rsidR="003D7F3E" w:rsidRPr="00F82CDF" w:rsidRDefault="003D7F3E" w:rsidP="003D7F3E">
      <w:pPr>
        <w:pStyle w:val="Body1"/>
      </w:pPr>
      <w:r w:rsidRPr="00F82CDF">
        <w:tab/>
        <w:t xml:space="preserve">The first four clusters in the metaphoric dataset in contrast, refer to </w:t>
      </w:r>
      <w:r w:rsidRPr="00F82CDF">
        <w:rPr>
          <w:i/>
        </w:rPr>
        <w:t>it</w:t>
      </w:r>
      <w:r w:rsidRPr="00F82CDF">
        <w:t xml:space="preserve"> as subject pronoun. Only 24.83% of all the clusters make reference to a personal pronoun (</w:t>
      </w:r>
      <w:r w:rsidRPr="00F82CDF">
        <w:rPr>
          <w:i/>
        </w:rPr>
        <w:t xml:space="preserve">he, she </w:t>
      </w:r>
      <w:r w:rsidRPr="00F82CDF">
        <w:t xml:space="preserve">of </w:t>
      </w:r>
      <w:r w:rsidRPr="00F82CDF">
        <w:rPr>
          <w:i/>
        </w:rPr>
        <w:t>they</w:t>
      </w:r>
      <w:r w:rsidRPr="00F82CDF">
        <w:t xml:space="preserve">). </w:t>
      </w:r>
      <w:r w:rsidRPr="00F82CDF">
        <w:rPr>
          <w:i/>
        </w:rPr>
        <w:t>Grew</w:t>
      </w:r>
      <w:r w:rsidRPr="00F82CDF">
        <w:t xml:space="preserve"> </w:t>
      </w:r>
      <w:r w:rsidRPr="00F82CDF">
        <w:rPr>
          <w:i/>
        </w:rPr>
        <w:t>better as</w:t>
      </w:r>
      <w:r w:rsidRPr="00F82CDF">
        <w:t xml:space="preserve"> signals an improvement in condition, and is thus loosely associated with a non-metaphoric sense of </w:t>
      </w:r>
      <w:r w:rsidRPr="00F82CDF">
        <w:rPr>
          <w:i/>
        </w:rPr>
        <w:t>grew</w:t>
      </w:r>
      <w:r w:rsidRPr="00F82CDF">
        <w:t xml:space="preserve">. Also of interest are the two clusters containing </w:t>
      </w:r>
      <w:r w:rsidRPr="00F82CDF">
        <w:rPr>
          <w:i/>
        </w:rPr>
        <w:t>soon</w:t>
      </w:r>
      <w:r w:rsidRPr="00F82CDF">
        <w:t xml:space="preserve">, which refer to </w:t>
      </w:r>
      <w:r w:rsidRPr="00F82CDF">
        <w:rPr>
          <w:i/>
        </w:rPr>
        <w:t>time</w:t>
      </w:r>
      <w:r w:rsidRPr="00F82CDF">
        <w:t xml:space="preserve">. There is one cluster containing </w:t>
      </w:r>
      <w:r w:rsidRPr="00F82CDF">
        <w:rPr>
          <w:i/>
        </w:rPr>
        <w:t>grew</w:t>
      </w:r>
      <w:r w:rsidRPr="00F82CDF">
        <w:t xml:space="preserve"> </w:t>
      </w:r>
      <w:r w:rsidRPr="00F82CDF">
        <w:rPr>
          <w:i/>
        </w:rPr>
        <w:t>dark</w:t>
      </w:r>
      <w:r w:rsidRPr="00F82CDF">
        <w:t xml:space="preserve">, which is also related to time, particularly in the context of the nineteenth century. Finally, calculating all </w:t>
      </w:r>
      <w:r w:rsidRPr="00F82CDF">
        <w:rPr>
          <w:i/>
        </w:rPr>
        <w:t>as</w:t>
      </w:r>
      <w:r w:rsidRPr="00F82CDF">
        <w:t xml:space="preserve"> clusters (also those without </w:t>
      </w:r>
      <w:r w:rsidRPr="00F82CDF">
        <w:rPr>
          <w:i/>
        </w:rPr>
        <w:t>grew</w:t>
      </w:r>
      <w:r w:rsidRPr="00F82CDF">
        <w:t xml:space="preserve"> present), there is also a higher type frequency amongst the metaphoric dataset. Other instances include </w:t>
      </w:r>
      <w:r w:rsidRPr="00F82CDF">
        <w:rPr>
          <w:i/>
        </w:rPr>
        <w:t xml:space="preserve">as soon as, as well as, </w:t>
      </w:r>
      <w:r w:rsidRPr="00F82CDF">
        <w:t xml:space="preserve">and </w:t>
      </w:r>
      <w:r w:rsidRPr="00F82CDF">
        <w:rPr>
          <w:i/>
        </w:rPr>
        <w:t>and as it</w:t>
      </w:r>
      <w:r w:rsidRPr="00F82CDF">
        <w:t xml:space="preserve">. Although these cannot be analysed in relation to the behaviour of </w:t>
      </w:r>
      <w:r w:rsidRPr="00F82CDF">
        <w:rPr>
          <w:i/>
        </w:rPr>
        <w:t>grew</w:t>
      </w:r>
      <w:r w:rsidRPr="00F82CDF">
        <w:t xml:space="preserve"> directly, the first four of these clusters convey a sense of comparison. </w:t>
      </w:r>
      <w:bookmarkEnd w:id="50"/>
      <w:r w:rsidRPr="00F82CDF">
        <w:t xml:space="preserve">This is a finding which mirrors the </w:t>
      </w:r>
      <w:r w:rsidRPr="00F82CDF">
        <w:rPr>
          <w:i/>
        </w:rPr>
        <w:t>cultivated</w:t>
      </w:r>
      <w:r w:rsidRPr="00F82CDF">
        <w:t xml:space="preserve"> (v) study, where </w:t>
      </w:r>
      <w:r w:rsidRPr="00F82CDF">
        <w:rPr>
          <w:i/>
        </w:rPr>
        <w:t>cultivated</w:t>
      </w:r>
      <w:r w:rsidRPr="00F82CDF">
        <w:t xml:space="preserve"> </w:t>
      </w:r>
      <w:r w:rsidRPr="00F82CDF">
        <w:rPr>
          <w:i/>
        </w:rPr>
        <w:t>as</w:t>
      </w:r>
      <w:r w:rsidRPr="00F82CDF">
        <w:t xml:space="preserve"> </w:t>
      </w:r>
      <w:r w:rsidRPr="00F82CDF">
        <w:rPr>
          <w:i/>
        </w:rPr>
        <w:t>X</w:t>
      </w:r>
      <w:r w:rsidRPr="00F82CDF">
        <w:t xml:space="preserve"> </w:t>
      </w:r>
      <w:r w:rsidRPr="00F82CDF">
        <w:rPr>
          <w:i/>
        </w:rPr>
        <w:t>as</w:t>
      </w:r>
      <w:r w:rsidRPr="00F82CDF">
        <w:t xml:space="preserve"> accounted for half of a</w:t>
      </w:r>
      <w:r w:rsidR="00EE2212">
        <w:t xml:space="preserve">ll instances of the collocate </w:t>
      </w:r>
      <w:r w:rsidR="00EE2212">
        <w:rPr>
          <w:i/>
        </w:rPr>
        <w:t>as</w:t>
      </w:r>
      <w:r w:rsidRPr="00F82CDF">
        <w:t xml:space="preserve"> in a metaphoric context. Whilst it might have been expected that some of these instances would be similes, this turns out not to be the case, and the metaphoricity usually lies elsewhere (i.e. outside of the </w:t>
      </w:r>
      <w:r w:rsidRPr="00F82CDF">
        <w:rPr>
          <w:i/>
        </w:rPr>
        <w:t>as</w:t>
      </w:r>
      <w:r w:rsidRPr="00F82CDF">
        <w:t xml:space="preserve"> structure), most often referring to the light. The majority of instances of the cluster form the larger phrase </w:t>
      </w:r>
      <w:r w:rsidRPr="00F82CDF">
        <w:rPr>
          <w:i/>
        </w:rPr>
        <w:t>as soon as it</w:t>
      </w:r>
      <w:r w:rsidRPr="00F82CDF">
        <w:t xml:space="preserve"> </w:t>
      </w:r>
      <w:r w:rsidRPr="00F82CDF">
        <w:rPr>
          <w:i/>
        </w:rPr>
        <w:t>grew</w:t>
      </w:r>
      <w:r w:rsidRPr="00F82CDF">
        <w:t xml:space="preserve"> </w:t>
      </w:r>
      <w:r w:rsidRPr="00F82CDF">
        <w:rPr>
          <w:i/>
        </w:rPr>
        <w:t>dark/dusk/light</w:t>
      </w:r>
      <w:r w:rsidRPr="00F82CDF">
        <w:t>:</w:t>
      </w:r>
    </w:p>
    <w:p w14:paraId="40CC3D14" w14:textId="77777777" w:rsidR="003D7F3E" w:rsidRDefault="003D7F3E" w:rsidP="003D7F3E">
      <w:pPr>
        <w:pStyle w:val="Body1"/>
      </w:pPr>
    </w:p>
    <w:p w14:paraId="7EED83C7" w14:textId="11BFB979" w:rsidR="00A606D3" w:rsidRPr="00F82CDF" w:rsidRDefault="00A606D3" w:rsidP="00A606D3">
      <w:pPr>
        <w:pStyle w:val="Caption"/>
      </w:pPr>
      <w:bookmarkStart w:id="51" w:name="_Toc311118977"/>
      <w:r w:rsidRPr="00F82CDF">
        <w:t xml:space="preserve">Concordance </w:t>
      </w:r>
      <w:r>
        <w:t>1</w:t>
      </w:r>
      <w:r w:rsidRPr="00F82CDF">
        <w:t xml:space="preserve">. </w:t>
      </w:r>
      <w:r w:rsidRPr="00F82CDF">
        <w:rPr>
          <w:i/>
        </w:rPr>
        <w:t>As soon as</w:t>
      </w:r>
      <w:r w:rsidRPr="00F82CDF">
        <w:t xml:space="preserve"> clusters in metaphoric dataset</w:t>
      </w:r>
      <w:bookmarkEnd w:id="51"/>
    </w:p>
    <w:p w14:paraId="764FF8F6" w14:textId="77777777" w:rsidR="003D7F3E" w:rsidRPr="00F82CDF" w:rsidRDefault="003D7F3E" w:rsidP="003D7F3E">
      <w:pPr>
        <w:pStyle w:val="Caption"/>
      </w:pPr>
      <w:r w:rsidRPr="00F82CDF">
        <w:rPr>
          <w:noProof/>
        </w:rPr>
        <w:drawing>
          <wp:inline distT="0" distB="0" distL="0" distR="0" wp14:anchorId="0F50ABBB" wp14:editId="0BC31312">
            <wp:extent cx="3517900" cy="2257390"/>
            <wp:effectExtent l="25400" t="25400" r="12700" b="292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7 at 14.34.02.png"/>
                    <pic:cNvPicPr/>
                  </pic:nvPicPr>
                  <pic:blipFill>
                    <a:blip r:embed="rId9">
                      <a:extLst>
                        <a:ext uri="{28A0092B-C50C-407E-A947-70E740481C1C}">
                          <a14:useLocalDpi xmlns:a14="http://schemas.microsoft.com/office/drawing/2010/main" val="0"/>
                        </a:ext>
                      </a:extLst>
                    </a:blip>
                    <a:stretch>
                      <a:fillRect/>
                    </a:stretch>
                  </pic:blipFill>
                  <pic:spPr>
                    <a:xfrm>
                      <a:off x="0" y="0"/>
                      <a:ext cx="3518120" cy="2257531"/>
                    </a:xfrm>
                    <a:prstGeom prst="rect">
                      <a:avLst/>
                    </a:prstGeom>
                    <a:ln w="12700" cmpd="sng">
                      <a:solidFill>
                        <a:schemeClr val="accent1"/>
                      </a:solidFill>
                    </a:ln>
                  </pic:spPr>
                </pic:pic>
              </a:graphicData>
            </a:graphic>
          </wp:inline>
        </w:drawing>
      </w:r>
    </w:p>
    <w:p w14:paraId="57CAAC69" w14:textId="77777777" w:rsidR="003D7F3E" w:rsidRPr="00F82CDF" w:rsidRDefault="003D7F3E" w:rsidP="003D7F3E">
      <w:pPr>
        <w:pStyle w:val="Body1"/>
      </w:pPr>
    </w:p>
    <w:p w14:paraId="15452578" w14:textId="77777777" w:rsidR="003D7F3E" w:rsidRDefault="003D7F3E" w:rsidP="003D7F3E">
      <w:pPr>
        <w:spacing w:line="240" w:lineRule="auto"/>
      </w:pPr>
      <w:bookmarkStart w:id="52" w:name="_Toc305157608"/>
      <w:r w:rsidRPr="00F82CDF">
        <w:t xml:space="preserve">The fourth most frequent collocate of </w:t>
      </w:r>
      <w:r w:rsidRPr="00F82CDF">
        <w:rPr>
          <w:i/>
        </w:rPr>
        <w:t>grew</w:t>
      </w:r>
      <w:r w:rsidRPr="00F82CDF">
        <w:t xml:space="preserve"> in the non-metaphoric data is </w:t>
      </w:r>
      <w:r w:rsidRPr="00F82CDF">
        <w:rPr>
          <w:i/>
        </w:rPr>
        <w:t>up</w:t>
      </w:r>
      <w:r w:rsidRPr="00F82CDF">
        <w:t xml:space="preserve"> (occurring 10.96 times per thousand words). Almost all of these instances (97.11%) occur to the right of </w:t>
      </w:r>
      <w:r w:rsidRPr="00F82CDF">
        <w:rPr>
          <w:i/>
        </w:rPr>
        <w:t>grew</w:t>
      </w:r>
      <w:r w:rsidRPr="00F82CDF">
        <w:t xml:space="preserve">. This shows a prevalence of the specific lexical item </w:t>
      </w:r>
      <w:r w:rsidRPr="00F82CDF">
        <w:rPr>
          <w:i/>
        </w:rPr>
        <w:t>grew</w:t>
      </w:r>
      <w:r w:rsidRPr="00F82CDF">
        <w:t xml:space="preserve"> </w:t>
      </w:r>
      <w:r w:rsidRPr="00F82CDF">
        <w:rPr>
          <w:i/>
        </w:rPr>
        <w:t>up</w:t>
      </w:r>
      <w:r w:rsidRPr="00F82CDF">
        <w:t xml:space="preserve">, and a closer analysis of the collocate data shows that 165 out of a total of 173 (95.38%) instances follow </w:t>
      </w:r>
      <w:r w:rsidRPr="00F82CDF">
        <w:rPr>
          <w:i/>
        </w:rPr>
        <w:t>grew</w:t>
      </w:r>
      <w:r w:rsidRPr="00F82CDF">
        <w:t xml:space="preserve"> directly in R1 position. </w:t>
      </w:r>
      <w:r w:rsidRPr="00F82CDF">
        <w:rPr>
          <w:i/>
        </w:rPr>
        <w:t>Grew</w:t>
      </w:r>
      <w:r w:rsidRPr="00F82CDF">
        <w:t xml:space="preserve"> </w:t>
      </w:r>
      <w:r w:rsidRPr="00F82CDF">
        <w:rPr>
          <w:i/>
        </w:rPr>
        <w:t>up</w:t>
      </w:r>
      <w:r w:rsidRPr="00F82CDF">
        <w:t xml:space="preserve"> occurs in over a fifth (21.44%) of all non-metaphoric instances of </w:t>
      </w:r>
      <w:r w:rsidRPr="00F82CDF">
        <w:rPr>
          <w:i/>
        </w:rPr>
        <w:t>grew</w:t>
      </w:r>
      <w:r w:rsidRPr="00F82CDF">
        <w:t xml:space="preserve"> concordance lines, showing it to be a key lexical phrase associated with growing in a non-metaphoric sense. The phrase implies a growing up of people in age, stature, and also maturity:</w:t>
      </w:r>
      <w:bookmarkEnd w:id="52"/>
    </w:p>
    <w:p w14:paraId="0D33FD2B" w14:textId="77777777" w:rsidR="00A606D3" w:rsidRPr="00F82CDF" w:rsidRDefault="00A606D3" w:rsidP="003D7F3E">
      <w:pPr>
        <w:spacing w:line="240" w:lineRule="auto"/>
      </w:pPr>
    </w:p>
    <w:p w14:paraId="18BB2099" w14:textId="4D3465B1" w:rsidR="003D7F3E" w:rsidRPr="00F82CDF" w:rsidRDefault="00A606D3" w:rsidP="00A606D3">
      <w:pPr>
        <w:pStyle w:val="Caption"/>
      </w:pPr>
      <w:bookmarkStart w:id="53" w:name="_Toc311118978"/>
      <w:r w:rsidRPr="00F82CDF">
        <w:t xml:space="preserve">Concordance </w:t>
      </w:r>
      <w:r>
        <w:t>2</w:t>
      </w:r>
      <w:r w:rsidRPr="00F82CDF">
        <w:t xml:space="preserve">. Selection of </w:t>
      </w:r>
      <w:r w:rsidRPr="00F82CDF">
        <w:rPr>
          <w:i/>
        </w:rPr>
        <w:t>grew</w:t>
      </w:r>
      <w:r w:rsidRPr="00F82CDF">
        <w:t xml:space="preserve"> </w:t>
      </w:r>
      <w:r w:rsidRPr="00F82CDF">
        <w:rPr>
          <w:i/>
        </w:rPr>
        <w:t xml:space="preserve">up </w:t>
      </w:r>
      <w:r w:rsidRPr="00F82CDF">
        <w:t>occurrences in non-metaphoric dataset</w:t>
      </w:r>
      <w:bookmarkEnd w:id="53"/>
    </w:p>
    <w:p w14:paraId="5DDE434E" w14:textId="77777777" w:rsidR="003D7F3E" w:rsidRPr="00F82CDF" w:rsidRDefault="003D7F3E" w:rsidP="003D7F3E">
      <w:pPr>
        <w:pStyle w:val="Caption"/>
      </w:pPr>
      <w:r w:rsidRPr="00F82CDF">
        <w:rPr>
          <w:noProof/>
        </w:rPr>
        <w:drawing>
          <wp:inline distT="0" distB="0" distL="0" distR="0" wp14:anchorId="2EBF1CA3" wp14:editId="74BA5A8D">
            <wp:extent cx="4512230" cy="2146300"/>
            <wp:effectExtent l="25400" t="25400" r="34925" b="1270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5.39.33.png"/>
                    <pic:cNvPicPr/>
                  </pic:nvPicPr>
                  <pic:blipFill>
                    <a:blip r:embed="rId10">
                      <a:extLst>
                        <a:ext uri="{28A0092B-C50C-407E-A947-70E740481C1C}">
                          <a14:useLocalDpi xmlns:a14="http://schemas.microsoft.com/office/drawing/2010/main" val="0"/>
                        </a:ext>
                      </a:extLst>
                    </a:blip>
                    <a:stretch>
                      <a:fillRect/>
                    </a:stretch>
                  </pic:blipFill>
                  <pic:spPr>
                    <a:xfrm>
                      <a:off x="0" y="0"/>
                      <a:ext cx="4512462" cy="2146410"/>
                    </a:xfrm>
                    <a:prstGeom prst="rect">
                      <a:avLst/>
                    </a:prstGeom>
                    <a:ln w="12700">
                      <a:solidFill>
                        <a:schemeClr val="accent1"/>
                      </a:solidFill>
                    </a:ln>
                  </pic:spPr>
                </pic:pic>
              </a:graphicData>
            </a:graphic>
          </wp:inline>
        </w:drawing>
      </w:r>
    </w:p>
    <w:p w14:paraId="60CF1D5F" w14:textId="77777777" w:rsidR="003D7F3E" w:rsidRPr="00F82CDF" w:rsidRDefault="003D7F3E" w:rsidP="003D7F3E">
      <w:pPr>
        <w:spacing w:line="240" w:lineRule="auto"/>
      </w:pPr>
    </w:p>
    <w:p w14:paraId="04A69EFB" w14:textId="77777777" w:rsidR="003D7F3E" w:rsidRPr="00F82CDF" w:rsidRDefault="003D7F3E" w:rsidP="003D7F3E">
      <w:pPr>
        <w:spacing w:line="240" w:lineRule="auto"/>
      </w:pPr>
      <w:bookmarkStart w:id="54" w:name="_Toc305157610"/>
      <w:r w:rsidRPr="00F82CDF">
        <w:t xml:space="preserve">Many of the lexical items on the left of </w:t>
      </w:r>
      <w:r w:rsidRPr="00F82CDF">
        <w:rPr>
          <w:i/>
        </w:rPr>
        <w:t>grew</w:t>
      </w:r>
      <w:r w:rsidRPr="00F82CDF">
        <w:t xml:space="preserve"> </w:t>
      </w:r>
      <w:r w:rsidRPr="00F82CDF">
        <w:rPr>
          <w:i/>
        </w:rPr>
        <w:t>up</w:t>
      </w:r>
      <w:r w:rsidRPr="00F82CDF">
        <w:t xml:space="preserve"> are related to children (</w:t>
      </w:r>
      <w:r w:rsidRPr="00F82CDF">
        <w:rPr>
          <w:i/>
        </w:rPr>
        <w:t xml:space="preserve">boy, young Allen, young Albert, youth, children), </w:t>
      </w:r>
      <w:r w:rsidRPr="00F82CDF">
        <w:t>whilst many on the right describe desirable characteristics (</w:t>
      </w:r>
      <w:r w:rsidRPr="00F82CDF">
        <w:rPr>
          <w:i/>
        </w:rPr>
        <w:t xml:space="preserve">handsome, intellectual, industrious, healthy, strong, hearty). </w:t>
      </w:r>
      <w:r w:rsidRPr="00F82CDF">
        <w:t xml:space="preserve">There are also references to </w:t>
      </w:r>
      <w:r w:rsidRPr="00F82CDF">
        <w:rPr>
          <w:i/>
        </w:rPr>
        <w:t>man</w:t>
      </w:r>
      <w:r w:rsidRPr="00F82CDF">
        <w:t xml:space="preserve"> and </w:t>
      </w:r>
      <w:r w:rsidRPr="00F82CDF">
        <w:rPr>
          <w:i/>
        </w:rPr>
        <w:t>lad</w:t>
      </w:r>
      <w:r w:rsidRPr="00F82CDF">
        <w:t>.</w:t>
      </w:r>
      <w:r w:rsidRPr="00F82CDF">
        <w:rPr>
          <w:i/>
        </w:rPr>
        <w:t xml:space="preserve"> </w:t>
      </w:r>
      <w:r w:rsidRPr="00F82CDF">
        <w:t xml:space="preserve">In the majority of instances </w:t>
      </w:r>
      <w:r w:rsidRPr="00F82CDF">
        <w:rPr>
          <w:i/>
        </w:rPr>
        <w:t>grew</w:t>
      </w:r>
      <w:r w:rsidRPr="00F82CDF">
        <w:t xml:space="preserve"> </w:t>
      </w:r>
      <w:r w:rsidRPr="00F82CDF">
        <w:rPr>
          <w:i/>
        </w:rPr>
        <w:t>up</w:t>
      </w:r>
      <w:r w:rsidRPr="00F82CDF">
        <w:t xml:space="preserve"> is used non-metaphorically to mean a physical growth or development from a </w:t>
      </w:r>
      <w:r w:rsidRPr="00F82CDF">
        <w:rPr>
          <w:i/>
        </w:rPr>
        <w:t>young boy/girl/child</w:t>
      </w:r>
      <w:r w:rsidRPr="00F82CDF">
        <w:t xml:space="preserve">, into a </w:t>
      </w:r>
      <w:r w:rsidRPr="00F82CDF">
        <w:rPr>
          <w:i/>
        </w:rPr>
        <w:t>man/lad</w:t>
      </w:r>
      <w:r w:rsidRPr="00F82CDF">
        <w:t xml:space="preserve"> etc., alongside </w:t>
      </w:r>
      <w:r w:rsidRPr="00F82CDF">
        <w:rPr>
          <w:rFonts w:cs="Arial"/>
        </w:rPr>
        <w:t xml:space="preserve">an implied growth in maturity and the positive acquisition of desirable attributes, physical and otherwise. </w:t>
      </w:r>
      <w:r w:rsidRPr="00F82CDF">
        <w:rPr>
          <w:rFonts w:cs="Arial"/>
          <w:i/>
        </w:rPr>
        <w:t>Grew</w:t>
      </w:r>
      <w:r w:rsidRPr="00F82CDF">
        <w:rPr>
          <w:rFonts w:cs="Arial"/>
        </w:rPr>
        <w:t xml:space="preserve"> UP appears to be used equally as a phrasal verb + complement, (e.g. </w:t>
      </w:r>
      <w:r w:rsidRPr="00F82CDF">
        <w:rPr>
          <w:rFonts w:cs="Arial"/>
          <w:i/>
        </w:rPr>
        <w:t>the children grew up strong and hearty</w:t>
      </w:r>
      <w:r w:rsidRPr="00F82CDF">
        <w:rPr>
          <w:rFonts w:cs="Arial"/>
        </w:rPr>
        <w:t xml:space="preserve">), or without a complement (e.g. </w:t>
      </w:r>
      <w:r w:rsidRPr="00F82CDF">
        <w:rPr>
          <w:rFonts w:cs="Arial"/>
          <w:i/>
        </w:rPr>
        <w:t>in his father’s sight the boy grew up</w:t>
      </w:r>
      <w:r w:rsidRPr="00F82CDF">
        <w:rPr>
          <w:rFonts w:cs="Arial"/>
        </w:rPr>
        <w:t>).</w:t>
      </w:r>
      <w:r w:rsidRPr="00F82CDF">
        <w:rPr>
          <w:rFonts w:cs="Arial"/>
          <w:b/>
        </w:rPr>
        <w:t xml:space="preserve"> </w:t>
      </w:r>
      <w:bookmarkEnd w:id="54"/>
      <w:r w:rsidRPr="00F82CDF">
        <w:rPr>
          <w:rFonts w:cs="Arial"/>
        </w:rPr>
        <w:t>As mentioned, as a lexical item the phrase has a separate and specific meaning, thus is always used in relation to humans and found in close proximity to personal pronouns, proper nouns or person-related lexis (</w:t>
      </w:r>
      <w:r w:rsidRPr="00F82CDF">
        <w:rPr>
          <w:rFonts w:cs="Arial"/>
          <w:i/>
        </w:rPr>
        <w:t>boy</w:t>
      </w:r>
      <w:r w:rsidRPr="00F82CDF">
        <w:rPr>
          <w:rFonts w:cs="Arial"/>
        </w:rPr>
        <w:t xml:space="preserve">, </w:t>
      </w:r>
      <w:r w:rsidRPr="00F82CDF">
        <w:rPr>
          <w:rFonts w:cs="Arial"/>
          <w:i/>
        </w:rPr>
        <w:t>child</w:t>
      </w:r>
      <w:r w:rsidRPr="00F82CDF">
        <w:rPr>
          <w:rFonts w:cs="Arial"/>
        </w:rPr>
        <w:t xml:space="preserve"> etc.).</w:t>
      </w:r>
    </w:p>
    <w:p w14:paraId="072DB204" w14:textId="6F56A78F" w:rsidR="003D7F3E" w:rsidRPr="00F82CDF" w:rsidRDefault="003D7F3E" w:rsidP="003D7F3E">
      <w:pPr>
        <w:pStyle w:val="Body1"/>
      </w:pPr>
      <w:r w:rsidRPr="00F82CDF">
        <w:rPr>
          <w:b/>
          <w:color w:val="4F81BD" w:themeColor="accent1"/>
        </w:rPr>
        <w:tab/>
      </w:r>
      <w:bookmarkStart w:id="55" w:name="_Toc305157611"/>
      <w:r w:rsidRPr="00F82CDF">
        <w:t xml:space="preserve">The fifth most frequent collocate in the metaphoric data is </w:t>
      </w:r>
      <w:r w:rsidRPr="00F82CDF">
        <w:rPr>
          <w:i/>
        </w:rPr>
        <w:t>more</w:t>
      </w:r>
      <w:r w:rsidRPr="00F82CDF">
        <w:t xml:space="preserve"> </w:t>
      </w:r>
      <w:r w:rsidR="00EE2212">
        <w:t xml:space="preserve">which </w:t>
      </w:r>
      <w:r w:rsidRPr="00F82CDF">
        <w:t xml:space="preserve">shows a high level of fixedness. 89.8% of all instances occur on the right of </w:t>
      </w:r>
      <w:r w:rsidRPr="00F82CDF">
        <w:rPr>
          <w:i/>
        </w:rPr>
        <w:t>grew</w:t>
      </w:r>
      <w:r w:rsidRPr="00F82CDF">
        <w:t xml:space="preserve">. The majority of these occur in positions R1 and R3: 198 (44.91%) and 116 (26.30%) instances respectively. Concordance examples of </w:t>
      </w:r>
      <w:r w:rsidRPr="00F82CDF">
        <w:rPr>
          <w:i/>
        </w:rPr>
        <w:t>grew</w:t>
      </w:r>
      <w:r w:rsidRPr="00F82CDF">
        <w:t xml:space="preserve"> </w:t>
      </w:r>
      <w:r w:rsidRPr="00F82CDF">
        <w:rPr>
          <w:i/>
        </w:rPr>
        <w:t>more</w:t>
      </w:r>
      <w:r w:rsidRPr="00F82CDF">
        <w:t xml:space="preserve"> are shown below:</w:t>
      </w:r>
      <w:bookmarkEnd w:id="55"/>
    </w:p>
    <w:p w14:paraId="7F130B15" w14:textId="77777777" w:rsidR="003D7F3E" w:rsidRDefault="003D7F3E" w:rsidP="003D7F3E">
      <w:pPr>
        <w:pStyle w:val="Body1"/>
      </w:pPr>
    </w:p>
    <w:p w14:paraId="7A7ADB05" w14:textId="2D7923FF" w:rsidR="00A606D3" w:rsidRPr="00F82CDF" w:rsidRDefault="00A606D3" w:rsidP="00A606D3">
      <w:pPr>
        <w:pStyle w:val="Caption"/>
      </w:pPr>
      <w:bookmarkStart w:id="56" w:name="_Toc311118979"/>
      <w:r w:rsidRPr="00F82CDF">
        <w:t xml:space="preserve">Concordance </w:t>
      </w:r>
      <w:r>
        <w:t>3</w:t>
      </w:r>
      <w:r w:rsidRPr="00F82CDF">
        <w:t xml:space="preserve">. Selection of </w:t>
      </w:r>
      <w:r w:rsidRPr="00F82CDF">
        <w:rPr>
          <w:i/>
        </w:rPr>
        <w:t>grew</w:t>
      </w:r>
      <w:r w:rsidRPr="00F82CDF">
        <w:t xml:space="preserve"> </w:t>
      </w:r>
      <w:r w:rsidRPr="00F82CDF">
        <w:rPr>
          <w:i/>
        </w:rPr>
        <w:t>more</w:t>
      </w:r>
      <w:r w:rsidRPr="00F82CDF">
        <w:t xml:space="preserve"> occurrences in metaphoric dataset</w:t>
      </w:r>
      <w:bookmarkEnd w:id="56"/>
    </w:p>
    <w:p w14:paraId="189D1759" w14:textId="77777777" w:rsidR="003D7F3E" w:rsidRPr="00F82CDF" w:rsidRDefault="003D7F3E" w:rsidP="003D7F3E">
      <w:pPr>
        <w:pStyle w:val="Caption"/>
      </w:pPr>
      <w:r w:rsidRPr="00F82CDF">
        <w:rPr>
          <w:noProof/>
        </w:rPr>
        <w:drawing>
          <wp:inline distT="0" distB="0" distL="0" distR="0" wp14:anchorId="2C30BC0D" wp14:editId="1726257E">
            <wp:extent cx="3975100" cy="2600578"/>
            <wp:effectExtent l="25400" t="25400" r="12700" b="158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5.43.58.png"/>
                    <pic:cNvPicPr/>
                  </pic:nvPicPr>
                  <pic:blipFill>
                    <a:blip r:embed="rId11">
                      <a:extLst>
                        <a:ext uri="{28A0092B-C50C-407E-A947-70E740481C1C}">
                          <a14:useLocalDpi xmlns:a14="http://schemas.microsoft.com/office/drawing/2010/main" val="0"/>
                        </a:ext>
                      </a:extLst>
                    </a:blip>
                    <a:stretch>
                      <a:fillRect/>
                    </a:stretch>
                  </pic:blipFill>
                  <pic:spPr>
                    <a:xfrm>
                      <a:off x="0" y="0"/>
                      <a:ext cx="3975622" cy="2600920"/>
                    </a:xfrm>
                    <a:prstGeom prst="rect">
                      <a:avLst/>
                    </a:prstGeom>
                    <a:ln w="12700" cmpd="sng">
                      <a:solidFill>
                        <a:schemeClr val="accent1"/>
                      </a:solidFill>
                    </a:ln>
                  </pic:spPr>
                </pic:pic>
              </a:graphicData>
            </a:graphic>
          </wp:inline>
        </w:drawing>
      </w:r>
    </w:p>
    <w:p w14:paraId="47D324AA" w14:textId="77777777" w:rsidR="003D7F3E" w:rsidRPr="00F82CDF" w:rsidRDefault="003D7F3E" w:rsidP="003D7F3E">
      <w:pPr>
        <w:spacing w:line="240" w:lineRule="auto"/>
      </w:pPr>
    </w:p>
    <w:p w14:paraId="0A326128" w14:textId="77777777" w:rsidR="003D7F3E" w:rsidRPr="00F82CDF" w:rsidRDefault="003D7F3E" w:rsidP="003D7F3E">
      <w:pPr>
        <w:spacing w:line="240" w:lineRule="auto"/>
      </w:pPr>
      <w:bookmarkStart w:id="57" w:name="_Toc305157613"/>
      <w:r w:rsidRPr="00F82CDF">
        <w:t xml:space="preserve">The majority of adjectives following the collocation are related to emotion or abstract characteristics, showing that most uses of </w:t>
      </w:r>
      <w:r w:rsidRPr="00F82CDF">
        <w:rPr>
          <w:i/>
        </w:rPr>
        <w:t>grew</w:t>
      </w:r>
      <w:r w:rsidRPr="00F82CDF">
        <w:t xml:space="preserve"> </w:t>
      </w:r>
      <w:r w:rsidRPr="00F82CDF">
        <w:rPr>
          <w:i/>
        </w:rPr>
        <w:t>more</w:t>
      </w:r>
      <w:r w:rsidRPr="00F82CDF">
        <w:t xml:space="preserve"> are used in relation to a change in temperament, state, or emotion rather than physical growth. A large majority of the imagery associated with the adjectives on the right of the collocation are negative. These include </w:t>
      </w:r>
      <w:r w:rsidRPr="00F82CDF">
        <w:rPr>
          <w:i/>
        </w:rPr>
        <w:t>languid and faint, vague, feeble, tedious, harsh, abandoned, discordant, oppressive</w:t>
      </w:r>
      <w:r w:rsidRPr="00F82CDF">
        <w:t xml:space="preserve"> and </w:t>
      </w:r>
      <w:r w:rsidRPr="00F82CDF">
        <w:rPr>
          <w:i/>
        </w:rPr>
        <w:t>seedy</w:t>
      </w:r>
      <w:r w:rsidRPr="00F82CDF">
        <w:t>. Even seemingly neutral adjectives are associated with negativity when more context is provided. This includes the increase in the number of people flying and on foot being associated with congestion in the 13</w:t>
      </w:r>
      <w:r w:rsidRPr="00F82CDF">
        <w:rPr>
          <w:vertAlign w:val="superscript"/>
        </w:rPr>
        <w:t>th</w:t>
      </w:r>
      <w:r w:rsidRPr="00F82CDF">
        <w:t xml:space="preserve"> line above, and the increase in the frequency of visits by the character in the 17</w:t>
      </w:r>
      <w:r w:rsidRPr="00F82CDF">
        <w:rPr>
          <w:vertAlign w:val="superscript"/>
        </w:rPr>
        <w:t>th</w:t>
      </w:r>
      <w:r w:rsidRPr="00F82CDF">
        <w:t xml:space="preserve"> line is undesired by Margaret. When </w:t>
      </w:r>
      <w:r w:rsidRPr="00F82CDF">
        <w:rPr>
          <w:i/>
        </w:rPr>
        <w:t>more</w:t>
      </w:r>
      <w:r w:rsidRPr="00F82CDF">
        <w:t xml:space="preserve"> is in R3 position, items in R1 and R2 are mainly quantifiers such as in the example </w:t>
      </w:r>
      <w:r w:rsidRPr="00F82CDF">
        <w:rPr>
          <w:i/>
        </w:rPr>
        <w:t>Mr Audley grew a little more agreeable.</w:t>
      </w:r>
      <w:r w:rsidRPr="00F82CDF">
        <w:t xml:space="preserve"> </w:t>
      </w:r>
    </w:p>
    <w:p w14:paraId="49C5F560" w14:textId="77777777" w:rsidR="003D7F3E" w:rsidRDefault="003D7F3E" w:rsidP="003D7F3E">
      <w:pPr>
        <w:pStyle w:val="Body1"/>
      </w:pPr>
      <w:r w:rsidRPr="00F82CDF">
        <w:tab/>
        <w:t xml:space="preserve">71 of the instances of </w:t>
      </w:r>
      <w:r w:rsidRPr="00F82CDF">
        <w:rPr>
          <w:i/>
        </w:rPr>
        <w:t>grew</w:t>
      </w:r>
      <w:r w:rsidRPr="00F82CDF">
        <w:t xml:space="preserve"> </w:t>
      </w:r>
      <w:r w:rsidRPr="00F82CDF">
        <w:rPr>
          <w:i/>
        </w:rPr>
        <w:t>more</w:t>
      </w:r>
      <w:r w:rsidRPr="00F82CDF">
        <w:t xml:space="preserve"> form part of the larger colligation </w:t>
      </w:r>
      <w:r w:rsidRPr="00F82CDF">
        <w:rPr>
          <w:i/>
        </w:rPr>
        <w:t>grew</w:t>
      </w:r>
      <w:r w:rsidRPr="00F82CDF">
        <w:t xml:space="preserve"> </w:t>
      </w:r>
      <w:r w:rsidRPr="00F82CDF">
        <w:rPr>
          <w:i/>
        </w:rPr>
        <w:t xml:space="preserve">more and more </w:t>
      </w:r>
      <w:r w:rsidRPr="00F82CDF">
        <w:t>(+adj.)</w:t>
      </w:r>
      <w:r w:rsidRPr="00F82CDF">
        <w:rPr>
          <w:i/>
        </w:rPr>
        <w:t xml:space="preserve"> </w:t>
      </w:r>
      <w:r w:rsidRPr="00F82CDF">
        <w:t xml:space="preserve">where </w:t>
      </w:r>
      <w:r w:rsidRPr="00F82CDF">
        <w:rPr>
          <w:i/>
        </w:rPr>
        <w:t>grew</w:t>
      </w:r>
      <w:r w:rsidRPr="00F82CDF">
        <w:t xml:space="preserve"> fills both R1 and R3 positions simultaneously. In total 35.86% of R1 </w:t>
      </w:r>
      <w:r w:rsidRPr="00F82CDF">
        <w:rPr>
          <w:i/>
        </w:rPr>
        <w:t>more</w:t>
      </w:r>
      <w:r w:rsidRPr="00F82CDF">
        <w:t xml:space="preserve"> collocates and 61.21% of R3 </w:t>
      </w:r>
      <w:r w:rsidRPr="00F82CDF">
        <w:rPr>
          <w:i/>
        </w:rPr>
        <w:t>more</w:t>
      </w:r>
      <w:r w:rsidRPr="00F82CDF">
        <w:t xml:space="preserve"> collocates form part of the larger cluster </w:t>
      </w:r>
      <w:r w:rsidRPr="00F82CDF">
        <w:rPr>
          <w:i/>
        </w:rPr>
        <w:t>grew</w:t>
      </w:r>
      <w:r w:rsidRPr="00F82CDF">
        <w:t xml:space="preserve"> </w:t>
      </w:r>
      <w:r w:rsidRPr="00F82CDF">
        <w:rPr>
          <w:i/>
        </w:rPr>
        <w:t>more and more</w:t>
      </w:r>
      <w:r w:rsidRPr="00F82CDF">
        <w:t>, which in turn colligates with an adjective. Examples of these are shown below:</w:t>
      </w:r>
      <w:bookmarkEnd w:id="57"/>
    </w:p>
    <w:p w14:paraId="5069EBB7" w14:textId="77777777" w:rsidR="00A606D3" w:rsidRPr="00F82CDF" w:rsidRDefault="00A606D3" w:rsidP="003D7F3E">
      <w:pPr>
        <w:pStyle w:val="Body1"/>
      </w:pPr>
    </w:p>
    <w:p w14:paraId="0A84BB5A" w14:textId="77777777" w:rsidR="00A606D3" w:rsidRPr="00F82CDF" w:rsidRDefault="00A606D3" w:rsidP="00A606D3">
      <w:pPr>
        <w:pStyle w:val="Caption"/>
      </w:pPr>
      <w:bookmarkStart w:id="58" w:name="_Toc311118980"/>
      <w:r w:rsidRPr="00F82CDF">
        <w:t xml:space="preserve">Concordance </w:t>
      </w:r>
      <w:r>
        <w:t>4</w:t>
      </w:r>
      <w:r w:rsidRPr="00F82CDF">
        <w:t xml:space="preserve">. Selection of </w:t>
      </w:r>
      <w:r w:rsidRPr="00F82CDF">
        <w:rPr>
          <w:i/>
        </w:rPr>
        <w:t xml:space="preserve">grew more and more + </w:t>
      </w:r>
      <w:r w:rsidRPr="00F82CDF">
        <w:t>adj. in metaphoric dataset</w:t>
      </w:r>
      <w:bookmarkEnd w:id="58"/>
    </w:p>
    <w:p w14:paraId="4A634668" w14:textId="77777777" w:rsidR="003D7F3E" w:rsidRPr="00F82CDF" w:rsidRDefault="003D7F3E" w:rsidP="003D7F3E">
      <w:pPr>
        <w:pStyle w:val="Body1"/>
      </w:pPr>
    </w:p>
    <w:p w14:paraId="5D90D826" w14:textId="77777777" w:rsidR="003D7F3E" w:rsidRPr="00F82CDF" w:rsidRDefault="003D7F3E" w:rsidP="003D7F3E">
      <w:pPr>
        <w:pStyle w:val="Caption"/>
      </w:pPr>
      <w:r w:rsidRPr="00F82CDF">
        <w:rPr>
          <w:noProof/>
        </w:rPr>
        <w:drawing>
          <wp:inline distT="0" distB="0" distL="0" distR="0" wp14:anchorId="0DC6D871" wp14:editId="19EF3D4A">
            <wp:extent cx="3860800" cy="2861179"/>
            <wp:effectExtent l="25400" t="25400" r="25400" b="349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5.45.49.png"/>
                    <pic:cNvPicPr/>
                  </pic:nvPicPr>
                  <pic:blipFill>
                    <a:blip r:embed="rId12">
                      <a:extLst>
                        <a:ext uri="{28A0092B-C50C-407E-A947-70E740481C1C}">
                          <a14:useLocalDpi xmlns:a14="http://schemas.microsoft.com/office/drawing/2010/main" val="0"/>
                        </a:ext>
                      </a:extLst>
                    </a:blip>
                    <a:stretch>
                      <a:fillRect/>
                    </a:stretch>
                  </pic:blipFill>
                  <pic:spPr>
                    <a:xfrm>
                      <a:off x="0" y="0"/>
                      <a:ext cx="3861385" cy="2861612"/>
                    </a:xfrm>
                    <a:prstGeom prst="rect">
                      <a:avLst/>
                    </a:prstGeom>
                    <a:ln w="12700" cmpd="sng">
                      <a:solidFill>
                        <a:schemeClr val="accent1"/>
                      </a:solidFill>
                    </a:ln>
                  </pic:spPr>
                </pic:pic>
              </a:graphicData>
            </a:graphic>
          </wp:inline>
        </w:drawing>
      </w:r>
    </w:p>
    <w:p w14:paraId="42BDBFB2" w14:textId="77777777" w:rsidR="003D7F3E" w:rsidRPr="00F82CDF" w:rsidRDefault="003D7F3E" w:rsidP="003D7F3E">
      <w:pPr>
        <w:spacing w:line="240" w:lineRule="auto"/>
      </w:pPr>
    </w:p>
    <w:p w14:paraId="046FE8E8" w14:textId="77777777" w:rsidR="003D7F3E" w:rsidRPr="00F82CDF" w:rsidRDefault="003D7F3E" w:rsidP="003D7F3E">
      <w:pPr>
        <w:spacing w:line="240" w:lineRule="auto"/>
      </w:pPr>
      <w:bookmarkStart w:id="59" w:name="_Toc305157615"/>
      <w:r w:rsidRPr="00F82CDF">
        <w:t>The adjectives are varied in their references; however there seems to be a similar element of negative pragmatic association. On the left side of the cluster, there is a variety of subjects; the majority are human (</w:t>
      </w:r>
      <w:r w:rsidRPr="00F82CDF">
        <w:rPr>
          <w:i/>
        </w:rPr>
        <w:t xml:space="preserve">Mrs Hadwin, Freddy, Mr Heathcliff, Tess, Jem, he </w:t>
      </w:r>
      <w:r w:rsidRPr="00F82CDF">
        <w:t>x4), there are also abstract subjects (</w:t>
      </w:r>
      <w:r w:rsidRPr="00F82CDF">
        <w:rPr>
          <w:i/>
        </w:rPr>
        <w:t xml:space="preserve">attention, atmosphere, burden, vigilance, the whole of their theology, </w:t>
      </w:r>
      <w:r w:rsidRPr="00F82CDF">
        <w:t xml:space="preserve">and </w:t>
      </w:r>
      <w:r w:rsidRPr="00F82CDF">
        <w:rPr>
          <w:i/>
        </w:rPr>
        <w:t>her</w:t>
      </w:r>
      <w:r w:rsidRPr="00F82CDF">
        <w:t xml:space="preserve"> </w:t>
      </w:r>
      <w:r w:rsidRPr="00F82CDF">
        <w:rPr>
          <w:i/>
        </w:rPr>
        <w:t xml:space="preserve">taste for disrespectability) </w:t>
      </w:r>
      <w:r w:rsidRPr="00F82CDF">
        <w:t>which are not always in the same clause, and a small number of concrete subjects (</w:t>
      </w:r>
      <w:r w:rsidRPr="00F82CDF">
        <w:rPr>
          <w:i/>
        </w:rPr>
        <w:t xml:space="preserve">country, face </w:t>
      </w:r>
      <w:r w:rsidRPr="00F82CDF">
        <w:t xml:space="preserve">and </w:t>
      </w:r>
      <w:r w:rsidRPr="00F82CDF">
        <w:rPr>
          <w:i/>
        </w:rPr>
        <w:t>voice</w:t>
      </w:r>
      <w:r w:rsidRPr="00F82CDF">
        <w:t xml:space="preserve">). Looking to the right of the cluster, the large majority of the adjectives are clearly negative. This is reflected in the screenshot above (e.g. </w:t>
      </w:r>
      <w:r w:rsidRPr="00F82CDF">
        <w:rPr>
          <w:i/>
        </w:rPr>
        <w:t>abhorrent</w:t>
      </w:r>
      <w:r w:rsidRPr="00F82CDF">
        <w:t xml:space="preserve">, </w:t>
      </w:r>
      <w:r w:rsidRPr="00F82CDF">
        <w:rPr>
          <w:i/>
        </w:rPr>
        <w:t>violent, silent and morose, afraid, drowsy, yellow and woebegone, anxious, oppressive, tedious, disinclined, disdainful, enamoured</w:t>
      </w:r>
      <w:r w:rsidRPr="00F82CDF">
        <w:t xml:space="preserve">). </w:t>
      </w:r>
      <w:bookmarkEnd w:id="59"/>
      <w:r w:rsidRPr="00F82CDF">
        <w:t xml:space="preserve">In total 37 out of 98 (37.76%) of the adjectives following the colligation </w:t>
      </w:r>
      <w:r w:rsidRPr="00F82CDF">
        <w:rPr>
          <w:i/>
        </w:rPr>
        <w:t>grew more and more</w:t>
      </w:r>
      <w:r w:rsidRPr="00F82CDF">
        <w:t xml:space="preserve"> are negative in their pragmatic association. </w:t>
      </w:r>
    </w:p>
    <w:p w14:paraId="5446CC92" w14:textId="77777777" w:rsidR="003D7F3E" w:rsidRPr="00F82CDF" w:rsidRDefault="003D7F3E" w:rsidP="003D7F3E">
      <w:pPr>
        <w:pStyle w:val="Body1"/>
      </w:pPr>
      <w:r w:rsidRPr="00F82CDF">
        <w:tab/>
      </w:r>
      <w:bookmarkStart w:id="60" w:name="_Toc305157616"/>
      <w:r w:rsidRPr="00F82CDF">
        <w:t xml:space="preserve">More specifically, the sample above suggests that the colligation </w:t>
      </w:r>
      <w:r w:rsidRPr="00F82CDF">
        <w:rPr>
          <w:i/>
        </w:rPr>
        <w:t>grew</w:t>
      </w:r>
      <w:r w:rsidRPr="00F82CDF">
        <w:t xml:space="preserve"> </w:t>
      </w:r>
      <w:r w:rsidRPr="00F82CDF">
        <w:rPr>
          <w:i/>
        </w:rPr>
        <w:t xml:space="preserve">more and more </w:t>
      </w:r>
      <w:r w:rsidRPr="00F82CDF">
        <w:t xml:space="preserve">(+ adj.) is used in relation to a negative change in a character’s temperament or a situation. The repetition </w:t>
      </w:r>
      <w:r w:rsidRPr="00F82CDF">
        <w:rPr>
          <w:i/>
        </w:rPr>
        <w:t>more</w:t>
      </w:r>
      <w:r w:rsidRPr="00F82CDF">
        <w:t xml:space="preserve"> </w:t>
      </w:r>
      <w:r w:rsidRPr="00F82CDF">
        <w:rPr>
          <w:i/>
        </w:rPr>
        <w:t xml:space="preserve">and more </w:t>
      </w:r>
      <w:r w:rsidRPr="00F82CDF">
        <w:t>also suggests a slow development rather than a sudden one. This can also be said to be in keeping with the non-metaphoric meaning of gradual, organic development associated with growth and will be discussed in more detail later.</w:t>
      </w:r>
      <w:bookmarkEnd w:id="60"/>
    </w:p>
    <w:p w14:paraId="3B22D109" w14:textId="77777777" w:rsidR="003D7F3E" w:rsidRDefault="003D7F3E" w:rsidP="003D7F3E">
      <w:pPr>
        <w:pStyle w:val="Body1"/>
      </w:pPr>
      <w:r w:rsidRPr="00F82CDF">
        <w:tab/>
        <w:t xml:space="preserve">As the above discussion also demonstrated key differences semantically and pragmatically between the two datasets, the role of intensifiers used alongside the adjectives needs now to be explored. The following table summarises the data: </w:t>
      </w:r>
    </w:p>
    <w:p w14:paraId="1D13801D" w14:textId="77777777" w:rsidR="00A606D3" w:rsidRPr="00F82CDF" w:rsidRDefault="00A606D3" w:rsidP="003D7F3E">
      <w:pPr>
        <w:pStyle w:val="Body1"/>
      </w:pPr>
    </w:p>
    <w:p w14:paraId="41BA117F" w14:textId="351A9B21" w:rsidR="003D7F3E" w:rsidRPr="00F82CDF" w:rsidRDefault="00A606D3" w:rsidP="00A606D3">
      <w:pPr>
        <w:pStyle w:val="Caption"/>
      </w:pPr>
      <w:bookmarkStart w:id="61" w:name="_Toc311117813"/>
      <w:r w:rsidRPr="00F82CDF">
        <w:t xml:space="preserve">Table </w:t>
      </w:r>
      <w:r>
        <w:t>4</w:t>
      </w:r>
      <w:r w:rsidRPr="00F82CDF">
        <w:t>. Intensifier collocates in both datasets</w:t>
      </w:r>
      <w:bookmarkEnd w:id="61"/>
    </w:p>
    <w:tbl>
      <w:tblPr>
        <w:tblStyle w:val="LightShading-Accent1"/>
        <w:tblW w:w="7228" w:type="dxa"/>
        <w:tblInd w:w="170" w:type="dxa"/>
        <w:tblLayout w:type="fixed"/>
        <w:tblLook w:val="04A0" w:firstRow="1" w:lastRow="0" w:firstColumn="1" w:lastColumn="0" w:noHBand="0" w:noVBand="1"/>
      </w:tblPr>
      <w:tblGrid>
        <w:gridCol w:w="505"/>
        <w:gridCol w:w="1134"/>
        <w:gridCol w:w="512"/>
        <w:gridCol w:w="339"/>
        <w:gridCol w:w="1134"/>
        <w:gridCol w:w="567"/>
        <w:gridCol w:w="1134"/>
        <w:gridCol w:w="709"/>
        <w:gridCol w:w="203"/>
        <w:gridCol w:w="33"/>
        <w:gridCol w:w="925"/>
        <w:gridCol w:w="33"/>
      </w:tblGrid>
      <w:tr w:rsidR="003D7F3E" w:rsidRPr="00F82CDF" w14:paraId="512FBC9A" w14:textId="77777777" w:rsidTr="003D7F3E">
        <w:trPr>
          <w:gridAfter w:val="1"/>
          <w:cnfStyle w:val="100000000000" w:firstRow="1" w:lastRow="0" w:firstColumn="0" w:lastColumn="0" w:oddVBand="0" w:evenVBand="0" w:oddHBand="0" w:evenHBand="0" w:firstRowFirstColumn="0" w:firstRowLastColumn="0" w:lastRowFirstColumn="0" w:lastRowLastColumn="0"/>
          <w:wAfter w:w="33" w:type="dxa"/>
          <w:trHeight w:val="261"/>
        </w:trPr>
        <w:tc>
          <w:tcPr>
            <w:cnfStyle w:val="001000000000" w:firstRow="0" w:lastRow="0" w:firstColumn="1" w:lastColumn="0" w:oddVBand="0" w:evenVBand="0" w:oddHBand="0" w:evenHBand="0" w:firstRowFirstColumn="0" w:firstRowLastColumn="0" w:lastRowFirstColumn="0" w:lastRowLastColumn="0"/>
            <w:tcW w:w="3624" w:type="dxa"/>
            <w:gridSpan w:val="5"/>
            <w:tcBorders>
              <w:left w:val="single" w:sz="8" w:space="0" w:color="4F81BD" w:themeColor="accent1"/>
              <w:right w:val="single" w:sz="8" w:space="0" w:color="4F81BD" w:themeColor="accent1"/>
            </w:tcBorders>
            <w:shd w:val="clear" w:color="auto" w:fill="DAEEF3" w:themeFill="accent5" w:themeFillTint="33"/>
            <w:hideMark/>
          </w:tcPr>
          <w:p w14:paraId="1A3E1D11" w14:textId="77777777" w:rsidR="003D7F3E" w:rsidRPr="00F82CDF" w:rsidRDefault="003D7F3E" w:rsidP="003D7F3E">
            <w:pPr>
              <w:pStyle w:val="TableofAuthorities"/>
              <w:ind w:left="0" w:firstLine="0"/>
              <w:contextualSpacing/>
              <w:rPr>
                <w:bCs w:val="0"/>
                <w:color w:val="auto"/>
              </w:rPr>
            </w:pPr>
            <w:bookmarkStart w:id="62" w:name="_Toc305158185"/>
            <w:r w:rsidRPr="00F82CDF">
              <w:rPr>
                <w:b w:val="0"/>
                <w:color w:val="auto"/>
              </w:rPr>
              <w:t>METAPHOR</w:t>
            </w:r>
            <w:bookmarkEnd w:id="62"/>
          </w:p>
        </w:tc>
        <w:tc>
          <w:tcPr>
            <w:tcW w:w="2613" w:type="dxa"/>
            <w:gridSpan w:val="4"/>
            <w:tcBorders>
              <w:left w:val="single" w:sz="8" w:space="0" w:color="4F81BD" w:themeColor="accent1"/>
            </w:tcBorders>
            <w:shd w:val="clear" w:color="auto" w:fill="EAF1DD" w:themeFill="accent3" w:themeFillTint="33"/>
            <w:hideMark/>
          </w:tcPr>
          <w:p w14:paraId="5BEDC62D" w14:textId="77777777" w:rsidR="003D7F3E" w:rsidRPr="00F82CDF" w:rsidRDefault="003D7F3E" w:rsidP="003D7F3E">
            <w:pPr>
              <w:pStyle w:val="TableofAuthorities"/>
              <w:ind w:left="0" w:firstLine="0"/>
              <w:contextualSpacing/>
              <w:cnfStyle w:val="100000000000" w:firstRow="1" w:lastRow="0" w:firstColumn="0" w:lastColumn="0" w:oddVBand="0" w:evenVBand="0" w:oddHBand="0" w:evenHBand="0" w:firstRowFirstColumn="0" w:firstRowLastColumn="0" w:lastRowFirstColumn="0" w:lastRowLastColumn="0"/>
              <w:rPr>
                <w:bCs w:val="0"/>
                <w:color w:val="auto"/>
              </w:rPr>
            </w:pPr>
            <w:r w:rsidRPr="00F82CDF">
              <w:rPr>
                <w:b w:val="0"/>
                <w:color w:val="auto"/>
              </w:rPr>
              <w:t> </w:t>
            </w:r>
            <w:bookmarkStart w:id="63" w:name="_Toc305158186"/>
            <w:r w:rsidRPr="00F82CDF">
              <w:rPr>
                <w:b w:val="0"/>
                <w:color w:val="auto"/>
              </w:rPr>
              <w:t>NON-MET</w:t>
            </w:r>
            <w:bookmarkEnd w:id="63"/>
            <w:r w:rsidRPr="00F82CDF">
              <w:rPr>
                <w:b w:val="0"/>
                <w:color w:val="auto"/>
              </w:rPr>
              <w:t>APHOR</w:t>
            </w:r>
          </w:p>
        </w:tc>
        <w:tc>
          <w:tcPr>
            <w:tcW w:w="958" w:type="dxa"/>
            <w:gridSpan w:val="2"/>
            <w:tcBorders>
              <w:right w:val="single" w:sz="8" w:space="0" w:color="4F81BD" w:themeColor="accent1"/>
            </w:tcBorders>
            <w:shd w:val="clear" w:color="auto" w:fill="EAF1DD" w:themeFill="accent3" w:themeFillTint="33"/>
            <w:hideMark/>
          </w:tcPr>
          <w:p w14:paraId="4BD8A49B" w14:textId="77777777" w:rsidR="003D7F3E" w:rsidRPr="00F82CDF" w:rsidRDefault="003D7F3E" w:rsidP="003D7F3E">
            <w:pPr>
              <w:pStyle w:val="TableofAuthorities"/>
              <w:ind w:left="0" w:firstLine="0"/>
              <w:contextualSpacing/>
              <w:cnfStyle w:val="100000000000" w:firstRow="1" w:lastRow="0" w:firstColumn="0" w:lastColumn="0" w:oddVBand="0" w:evenVBand="0" w:oddHBand="0" w:evenHBand="0" w:firstRowFirstColumn="0" w:firstRowLastColumn="0" w:lastRowFirstColumn="0" w:lastRowLastColumn="0"/>
              <w:rPr>
                <w:color w:val="auto"/>
              </w:rPr>
            </w:pPr>
            <w:r w:rsidRPr="00F82CDF">
              <w:rPr>
                <w:color w:val="auto"/>
              </w:rPr>
              <w:t> </w:t>
            </w:r>
          </w:p>
        </w:tc>
      </w:tr>
      <w:tr w:rsidR="003D7F3E" w:rsidRPr="00F82CDF" w14:paraId="27C10D05" w14:textId="77777777" w:rsidTr="003D7F3E">
        <w:trPr>
          <w:gridAfter w:val="1"/>
          <w:cnfStyle w:val="000000100000" w:firstRow="0" w:lastRow="0" w:firstColumn="0" w:lastColumn="0" w:oddVBand="0" w:evenVBand="0" w:oddHBand="1" w:evenHBand="0" w:firstRowFirstColumn="0" w:firstRowLastColumn="0" w:lastRowFirstColumn="0" w:lastRowLastColumn="0"/>
          <w:wAfter w:w="33" w:type="dxa"/>
          <w:trHeight w:val="261"/>
        </w:trPr>
        <w:tc>
          <w:tcPr>
            <w:cnfStyle w:val="001000000000" w:firstRow="0" w:lastRow="0" w:firstColumn="1" w:lastColumn="0" w:oddVBand="0" w:evenVBand="0" w:oddHBand="0" w:evenHBand="0" w:firstRowFirstColumn="0" w:firstRowLastColumn="0" w:lastRowFirstColumn="0" w:lastRowLastColumn="0"/>
            <w:tcW w:w="50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hideMark/>
          </w:tcPr>
          <w:p w14:paraId="2F63482C" w14:textId="77777777" w:rsidR="003D7F3E" w:rsidRPr="00F82CDF" w:rsidRDefault="003D7F3E" w:rsidP="003D7F3E">
            <w:pPr>
              <w:pStyle w:val="TableofAuthorities"/>
              <w:ind w:left="0" w:firstLine="0"/>
              <w:contextualSpacing/>
              <w:rPr>
                <w:b w:val="0"/>
                <w:color w:val="auto"/>
              </w:rPr>
            </w:pPr>
            <w:r w:rsidRPr="00F82CDF">
              <w:rPr>
                <w:b w:val="0"/>
                <w:color w:val="auto"/>
              </w:rPr>
              <w:t>R</w:t>
            </w:r>
          </w:p>
        </w:tc>
        <w:tc>
          <w:tcPr>
            <w:tcW w:w="11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hideMark/>
          </w:tcPr>
          <w:p w14:paraId="0ED48CDD" w14:textId="77777777" w:rsidR="003D7F3E" w:rsidRPr="00F82CDF" w:rsidRDefault="003D7F3E" w:rsidP="003D7F3E">
            <w:pPr>
              <w:pStyle w:val="TableofAuthorities"/>
              <w:ind w:left="0" w:firstLine="0"/>
              <w:contextualSpacing/>
              <w:cnfStyle w:val="000000100000" w:firstRow="0" w:lastRow="0" w:firstColumn="0" w:lastColumn="0" w:oddVBand="0" w:evenVBand="0" w:oddHBand="1" w:evenHBand="0" w:firstRowFirstColumn="0" w:firstRowLastColumn="0" w:lastRowFirstColumn="0" w:lastRowLastColumn="0"/>
              <w:rPr>
                <w:color w:val="auto"/>
              </w:rPr>
            </w:pPr>
            <w:bookmarkStart w:id="64" w:name="_Toc305158188"/>
            <w:r w:rsidRPr="00F82CDF">
              <w:rPr>
                <w:color w:val="auto"/>
              </w:rPr>
              <w:t>Collocate</w:t>
            </w:r>
            <w:bookmarkEnd w:id="64"/>
          </w:p>
        </w:tc>
        <w:tc>
          <w:tcPr>
            <w:tcW w:w="851"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hideMark/>
          </w:tcPr>
          <w:p w14:paraId="0B2CBBB3" w14:textId="77777777" w:rsidR="003D7F3E" w:rsidRPr="00F82CDF" w:rsidRDefault="003D7F3E" w:rsidP="003D7F3E">
            <w:pPr>
              <w:pStyle w:val="TableofAuthorities"/>
              <w:ind w:left="0" w:firstLine="0"/>
              <w:contextualSpacing/>
              <w:cnfStyle w:val="000000100000" w:firstRow="0" w:lastRow="0" w:firstColumn="0" w:lastColumn="0" w:oddVBand="0" w:evenVBand="0" w:oddHBand="1" w:evenHBand="0" w:firstRowFirstColumn="0" w:firstRowLastColumn="0" w:lastRowFirstColumn="0" w:lastRowLastColumn="0"/>
              <w:rPr>
                <w:color w:val="auto"/>
              </w:rPr>
            </w:pPr>
            <w:bookmarkStart w:id="65" w:name="_Toc305158189"/>
            <w:r w:rsidRPr="00F82CDF">
              <w:rPr>
                <w:color w:val="auto"/>
              </w:rPr>
              <w:t>Freq.</w:t>
            </w:r>
            <w:bookmarkEnd w:id="65"/>
          </w:p>
        </w:tc>
        <w:tc>
          <w:tcPr>
            <w:tcW w:w="11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hideMark/>
          </w:tcPr>
          <w:p w14:paraId="4E298B75" w14:textId="77777777" w:rsidR="003D7F3E" w:rsidRPr="00F82CDF" w:rsidRDefault="003D7F3E" w:rsidP="003D7F3E">
            <w:pPr>
              <w:pStyle w:val="TableofAuthorities"/>
              <w:ind w:left="0" w:firstLine="0"/>
              <w:contextualSpacing/>
              <w:cnfStyle w:val="000000100000" w:firstRow="0" w:lastRow="0" w:firstColumn="0" w:lastColumn="0" w:oddVBand="0" w:evenVBand="0" w:oddHBand="1" w:evenHBand="0" w:firstRowFirstColumn="0" w:firstRowLastColumn="0" w:lastRowFirstColumn="0" w:lastRowLastColumn="0"/>
              <w:rPr>
                <w:color w:val="auto"/>
              </w:rPr>
            </w:pPr>
            <w:r w:rsidRPr="00F82CDF">
              <w:rPr>
                <w:color w:val="auto"/>
              </w:rPr>
              <w:t>Freq. ptw</w:t>
            </w:r>
          </w:p>
        </w:tc>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hideMark/>
          </w:tcPr>
          <w:p w14:paraId="2AD7E1A5" w14:textId="77777777" w:rsidR="003D7F3E" w:rsidRPr="00F82CDF" w:rsidRDefault="003D7F3E" w:rsidP="003D7F3E">
            <w:pPr>
              <w:pStyle w:val="TableofAuthorities"/>
              <w:ind w:left="0" w:firstLine="0"/>
              <w:contextualSpacing/>
              <w:cnfStyle w:val="000000100000" w:firstRow="0" w:lastRow="0" w:firstColumn="0" w:lastColumn="0" w:oddVBand="0" w:evenVBand="0" w:oddHBand="1" w:evenHBand="0" w:firstRowFirstColumn="0" w:firstRowLastColumn="0" w:lastRowFirstColumn="0" w:lastRowLastColumn="0"/>
              <w:rPr>
                <w:color w:val="auto"/>
              </w:rPr>
            </w:pPr>
            <w:r w:rsidRPr="00F82CDF">
              <w:rPr>
                <w:color w:val="auto"/>
              </w:rPr>
              <w:t>R</w:t>
            </w:r>
          </w:p>
        </w:tc>
        <w:tc>
          <w:tcPr>
            <w:tcW w:w="113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hideMark/>
          </w:tcPr>
          <w:p w14:paraId="36F83E20" w14:textId="77777777" w:rsidR="003D7F3E" w:rsidRPr="00F82CDF" w:rsidRDefault="003D7F3E" w:rsidP="003D7F3E">
            <w:pPr>
              <w:pStyle w:val="TableofAuthorities"/>
              <w:ind w:left="0" w:firstLine="0"/>
              <w:contextualSpacing/>
              <w:cnfStyle w:val="000000100000" w:firstRow="0" w:lastRow="0" w:firstColumn="0" w:lastColumn="0" w:oddVBand="0" w:evenVBand="0" w:oddHBand="1" w:evenHBand="0" w:firstRowFirstColumn="0" w:firstRowLastColumn="0" w:lastRowFirstColumn="0" w:lastRowLastColumn="0"/>
              <w:rPr>
                <w:color w:val="auto"/>
              </w:rPr>
            </w:pPr>
            <w:bookmarkStart w:id="66" w:name="_Toc305158192"/>
            <w:r w:rsidRPr="00F82CDF">
              <w:rPr>
                <w:color w:val="auto"/>
              </w:rPr>
              <w:t>Collocate</w:t>
            </w:r>
            <w:bookmarkEnd w:id="66"/>
          </w:p>
        </w:tc>
        <w:tc>
          <w:tcPr>
            <w:tcW w:w="7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hideMark/>
          </w:tcPr>
          <w:p w14:paraId="6C741A87" w14:textId="77777777" w:rsidR="003D7F3E" w:rsidRPr="00F82CDF" w:rsidRDefault="003D7F3E" w:rsidP="003D7F3E">
            <w:pPr>
              <w:pStyle w:val="TableofAuthorities"/>
              <w:ind w:left="0" w:firstLine="0"/>
              <w:contextualSpacing/>
              <w:cnfStyle w:val="000000100000" w:firstRow="0" w:lastRow="0" w:firstColumn="0" w:lastColumn="0" w:oddVBand="0" w:evenVBand="0" w:oddHBand="1" w:evenHBand="0" w:firstRowFirstColumn="0" w:firstRowLastColumn="0" w:lastRowFirstColumn="0" w:lastRowLastColumn="0"/>
              <w:rPr>
                <w:color w:val="auto"/>
              </w:rPr>
            </w:pPr>
            <w:bookmarkStart w:id="67" w:name="_Toc305158193"/>
            <w:r w:rsidRPr="00F82CDF">
              <w:rPr>
                <w:color w:val="auto"/>
              </w:rPr>
              <w:t>Freq.</w:t>
            </w:r>
            <w:bookmarkEnd w:id="67"/>
          </w:p>
        </w:tc>
        <w:tc>
          <w:tcPr>
            <w:tcW w:w="1161"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hideMark/>
          </w:tcPr>
          <w:p w14:paraId="3D2AA321" w14:textId="77777777" w:rsidR="003D7F3E" w:rsidRPr="00F82CDF" w:rsidRDefault="003D7F3E" w:rsidP="003D7F3E">
            <w:pPr>
              <w:pStyle w:val="TableofAuthorities"/>
              <w:ind w:left="0" w:firstLine="0"/>
              <w:contextualSpacing/>
              <w:cnfStyle w:val="000000100000" w:firstRow="0" w:lastRow="0" w:firstColumn="0" w:lastColumn="0" w:oddVBand="0" w:evenVBand="0" w:oddHBand="1" w:evenHBand="0" w:firstRowFirstColumn="0" w:firstRowLastColumn="0" w:lastRowFirstColumn="0" w:lastRowLastColumn="0"/>
              <w:rPr>
                <w:color w:val="auto"/>
              </w:rPr>
            </w:pPr>
            <w:r w:rsidRPr="00F82CDF">
              <w:rPr>
                <w:color w:val="auto"/>
              </w:rPr>
              <w:t>Freq. ptw</w:t>
            </w:r>
          </w:p>
        </w:tc>
      </w:tr>
      <w:tr w:rsidR="003D7F3E" w:rsidRPr="00F82CDF" w14:paraId="368C0E38" w14:textId="77777777" w:rsidTr="003D7F3E">
        <w:trPr>
          <w:gridAfter w:val="1"/>
          <w:wAfter w:w="33" w:type="dxa"/>
          <w:trHeight w:val="261"/>
        </w:trPr>
        <w:tc>
          <w:tcPr>
            <w:cnfStyle w:val="001000000000" w:firstRow="0" w:lastRow="0" w:firstColumn="1" w:lastColumn="0" w:oddVBand="0" w:evenVBand="0" w:oddHBand="0" w:evenHBand="0" w:firstRowFirstColumn="0" w:firstRowLastColumn="0" w:lastRowFirstColumn="0" w:lastRowLastColumn="0"/>
            <w:tcW w:w="505" w:type="dxa"/>
            <w:tcBorders>
              <w:top w:val="single" w:sz="8" w:space="0" w:color="4F81BD" w:themeColor="accent1"/>
              <w:left w:val="single" w:sz="8" w:space="0" w:color="4F81BD" w:themeColor="accent1"/>
              <w:bottom w:val="nil"/>
            </w:tcBorders>
            <w:shd w:val="clear" w:color="auto" w:fill="DAEEF3" w:themeFill="accent5" w:themeFillTint="33"/>
            <w:hideMark/>
          </w:tcPr>
          <w:p w14:paraId="341D3F1A" w14:textId="77777777" w:rsidR="003D7F3E" w:rsidRPr="00F82CDF" w:rsidRDefault="003D7F3E" w:rsidP="003D7F3E">
            <w:pPr>
              <w:pStyle w:val="TableofAuthorities"/>
              <w:rPr>
                <w:b w:val="0"/>
                <w:color w:val="auto"/>
              </w:rPr>
            </w:pPr>
            <w:r w:rsidRPr="00F82CDF">
              <w:rPr>
                <w:b w:val="0"/>
                <w:color w:val="auto"/>
              </w:rPr>
              <w:t>1</w:t>
            </w:r>
          </w:p>
        </w:tc>
        <w:tc>
          <w:tcPr>
            <w:tcW w:w="1134" w:type="dxa"/>
            <w:tcBorders>
              <w:top w:val="single" w:sz="8" w:space="0" w:color="4F81BD" w:themeColor="accent1"/>
              <w:bottom w:val="nil"/>
              <w:right w:val="single" w:sz="8" w:space="0" w:color="4F81BD" w:themeColor="accent1"/>
            </w:tcBorders>
            <w:shd w:val="clear" w:color="auto" w:fill="auto"/>
            <w:hideMark/>
          </w:tcPr>
          <w:p w14:paraId="610A8A75"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68" w:name="_Toc305158196"/>
            <w:r w:rsidRPr="00F82CDF">
              <w:rPr>
                <w:color w:val="auto"/>
              </w:rPr>
              <w:t>MORE</w:t>
            </w:r>
            <w:bookmarkEnd w:id="68"/>
          </w:p>
        </w:tc>
        <w:tc>
          <w:tcPr>
            <w:tcW w:w="851" w:type="dxa"/>
            <w:gridSpan w:val="2"/>
            <w:tcBorders>
              <w:top w:val="single" w:sz="8" w:space="0" w:color="4F81BD" w:themeColor="accent1"/>
              <w:left w:val="single" w:sz="8" w:space="0" w:color="4F81BD" w:themeColor="accent1"/>
              <w:bottom w:val="nil"/>
            </w:tcBorders>
            <w:shd w:val="clear" w:color="auto" w:fill="auto"/>
            <w:hideMark/>
          </w:tcPr>
          <w:p w14:paraId="6C6E8551"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69" w:name="_Toc305158197"/>
            <w:r w:rsidRPr="00F82CDF">
              <w:rPr>
                <w:color w:val="auto"/>
              </w:rPr>
              <w:t>481</w:t>
            </w:r>
            <w:bookmarkEnd w:id="69"/>
          </w:p>
        </w:tc>
        <w:tc>
          <w:tcPr>
            <w:tcW w:w="1134" w:type="dxa"/>
            <w:tcBorders>
              <w:top w:val="single" w:sz="8" w:space="0" w:color="4F81BD" w:themeColor="accent1"/>
              <w:bottom w:val="nil"/>
              <w:right w:val="single" w:sz="8" w:space="0" w:color="4F81BD" w:themeColor="accent1"/>
            </w:tcBorders>
            <w:shd w:val="clear" w:color="auto" w:fill="auto"/>
            <w:hideMark/>
          </w:tcPr>
          <w:p w14:paraId="66FD53F5"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70" w:name="_Toc305158198"/>
            <w:r w:rsidRPr="00F82CDF">
              <w:rPr>
                <w:color w:val="auto"/>
              </w:rPr>
              <w:t>16.</w:t>
            </w:r>
            <w:bookmarkEnd w:id="70"/>
            <w:r w:rsidRPr="00F82CDF">
              <w:rPr>
                <w:color w:val="auto"/>
              </w:rPr>
              <w:t>36</w:t>
            </w:r>
          </w:p>
        </w:tc>
        <w:tc>
          <w:tcPr>
            <w:tcW w:w="567" w:type="dxa"/>
            <w:tcBorders>
              <w:top w:val="single" w:sz="8" w:space="0" w:color="4F81BD" w:themeColor="accent1"/>
              <w:left w:val="single" w:sz="8" w:space="0" w:color="4F81BD" w:themeColor="accent1"/>
              <w:bottom w:val="nil"/>
            </w:tcBorders>
            <w:shd w:val="clear" w:color="auto" w:fill="EAF1DD" w:themeFill="accent3" w:themeFillTint="33"/>
            <w:hideMark/>
          </w:tcPr>
          <w:p w14:paraId="1F8ACEA0"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r w:rsidRPr="00F82CDF">
              <w:rPr>
                <w:color w:val="auto"/>
              </w:rPr>
              <w:t>1</w:t>
            </w:r>
          </w:p>
        </w:tc>
        <w:tc>
          <w:tcPr>
            <w:tcW w:w="1134" w:type="dxa"/>
            <w:tcBorders>
              <w:top w:val="single" w:sz="8" w:space="0" w:color="4F81BD" w:themeColor="accent1"/>
              <w:bottom w:val="nil"/>
              <w:right w:val="single" w:sz="8" w:space="0" w:color="4F81BD" w:themeColor="accent1"/>
            </w:tcBorders>
            <w:shd w:val="clear" w:color="auto" w:fill="auto"/>
            <w:hideMark/>
          </w:tcPr>
          <w:p w14:paraId="2B2583D4"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71" w:name="_Toc305158200"/>
            <w:r w:rsidRPr="00F82CDF">
              <w:rPr>
                <w:color w:val="auto"/>
              </w:rPr>
              <w:t>MORE</w:t>
            </w:r>
            <w:bookmarkEnd w:id="71"/>
          </w:p>
        </w:tc>
        <w:tc>
          <w:tcPr>
            <w:tcW w:w="709" w:type="dxa"/>
            <w:tcBorders>
              <w:top w:val="single" w:sz="8" w:space="0" w:color="4F81BD" w:themeColor="accent1"/>
              <w:left w:val="single" w:sz="8" w:space="0" w:color="4F81BD" w:themeColor="accent1"/>
              <w:bottom w:val="nil"/>
            </w:tcBorders>
            <w:shd w:val="clear" w:color="auto" w:fill="auto"/>
            <w:hideMark/>
          </w:tcPr>
          <w:p w14:paraId="593F1C3A"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72" w:name="_Toc305158201"/>
            <w:r w:rsidRPr="00F82CDF">
              <w:rPr>
                <w:color w:val="auto"/>
              </w:rPr>
              <w:t>29</w:t>
            </w:r>
            <w:bookmarkEnd w:id="72"/>
          </w:p>
        </w:tc>
        <w:tc>
          <w:tcPr>
            <w:tcW w:w="1161" w:type="dxa"/>
            <w:gridSpan w:val="3"/>
            <w:tcBorders>
              <w:top w:val="single" w:sz="8" w:space="0" w:color="4F81BD" w:themeColor="accent1"/>
              <w:bottom w:val="nil"/>
              <w:right w:val="single" w:sz="8" w:space="0" w:color="4F81BD" w:themeColor="accent1"/>
            </w:tcBorders>
            <w:shd w:val="clear" w:color="auto" w:fill="auto"/>
            <w:hideMark/>
          </w:tcPr>
          <w:p w14:paraId="652AD075"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73" w:name="_Toc305158202"/>
            <w:r w:rsidRPr="00F82CDF">
              <w:rPr>
                <w:color w:val="auto"/>
              </w:rPr>
              <w:t>3.8</w:t>
            </w:r>
            <w:bookmarkEnd w:id="73"/>
            <w:r w:rsidRPr="00F82CDF">
              <w:rPr>
                <w:color w:val="auto"/>
              </w:rPr>
              <w:t>4</w:t>
            </w:r>
          </w:p>
        </w:tc>
      </w:tr>
      <w:tr w:rsidR="003D7F3E" w:rsidRPr="00F82CDF" w14:paraId="47850A7F" w14:textId="77777777" w:rsidTr="003D7F3E">
        <w:trPr>
          <w:gridAfter w:val="1"/>
          <w:cnfStyle w:val="000000100000" w:firstRow="0" w:lastRow="0" w:firstColumn="0" w:lastColumn="0" w:oddVBand="0" w:evenVBand="0" w:oddHBand="1" w:evenHBand="0" w:firstRowFirstColumn="0" w:firstRowLastColumn="0" w:lastRowFirstColumn="0" w:lastRowLastColumn="0"/>
          <w:wAfter w:w="33" w:type="dxa"/>
          <w:trHeight w:val="261"/>
        </w:trPr>
        <w:tc>
          <w:tcPr>
            <w:cnfStyle w:val="001000000000" w:firstRow="0" w:lastRow="0" w:firstColumn="1" w:lastColumn="0" w:oddVBand="0" w:evenVBand="0" w:oddHBand="0" w:evenHBand="0" w:firstRowFirstColumn="0" w:firstRowLastColumn="0" w:lastRowFirstColumn="0" w:lastRowLastColumn="0"/>
            <w:tcW w:w="505" w:type="dxa"/>
            <w:tcBorders>
              <w:top w:val="nil"/>
              <w:left w:val="single" w:sz="8" w:space="0" w:color="4F81BD" w:themeColor="accent1"/>
              <w:bottom w:val="nil"/>
            </w:tcBorders>
            <w:shd w:val="clear" w:color="auto" w:fill="DAEEF3" w:themeFill="accent5" w:themeFillTint="33"/>
            <w:hideMark/>
          </w:tcPr>
          <w:p w14:paraId="360A3B88" w14:textId="77777777" w:rsidR="003D7F3E" w:rsidRPr="00F82CDF" w:rsidRDefault="003D7F3E" w:rsidP="003D7F3E">
            <w:pPr>
              <w:pStyle w:val="TableofAuthorities"/>
              <w:rPr>
                <w:b w:val="0"/>
                <w:color w:val="auto"/>
              </w:rPr>
            </w:pPr>
            <w:r w:rsidRPr="00F82CDF">
              <w:rPr>
                <w:b w:val="0"/>
                <w:color w:val="auto"/>
              </w:rPr>
              <w:t>2</w:t>
            </w:r>
          </w:p>
        </w:tc>
        <w:tc>
          <w:tcPr>
            <w:tcW w:w="1134" w:type="dxa"/>
            <w:tcBorders>
              <w:top w:val="nil"/>
              <w:bottom w:val="nil"/>
              <w:right w:val="single" w:sz="8" w:space="0" w:color="4F81BD" w:themeColor="accent1"/>
            </w:tcBorders>
            <w:shd w:val="clear" w:color="auto" w:fill="auto"/>
            <w:hideMark/>
          </w:tcPr>
          <w:p w14:paraId="419AAB4B"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rPr>
                <w:color w:val="auto"/>
              </w:rPr>
            </w:pPr>
            <w:bookmarkStart w:id="74" w:name="_Toc305158204"/>
            <w:r w:rsidRPr="00F82CDF">
              <w:rPr>
                <w:color w:val="auto"/>
              </w:rPr>
              <w:t>VERY</w:t>
            </w:r>
            <w:bookmarkEnd w:id="74"/>
          </w:p>
        </w:tc>
        <w:tc>
          <w:tcPr>
            <w:tcW w:w="851" w:type="dxa"/>
            <w:gridSpan w:val="2"/>
            <w:tcBorders>
              <w:top w:val="nil"/>
              <w:left w:val="single" w:sz="8" w:space="0" w:color="4F81BD" w:themeColor="accent1"/>
              <w:bottom w:val="nil"/>
            </w:tcBorders>
            <w:shd w:val="clear" w:color="auto" w:fill="auto"/>
            <w:hideMark/>
          </w:tcPr>
          <w:p w14:paraId="65AA42BF"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rPr>
                <w:color w:val="auto"/>
              </w:rPr>
            </w:pPr>
            <w:bookmarkStart w:id="75" w:name="_Toc305158205"/>
            <w:r w:rsidRPr="00F82CDF">
              <w:rPr>
                <w:color w:val="auto"/>
              </w:rPr>
              <w:t>103</w:t>
            </w:r>
            <w:bookmarkEnd w:id="75"/>
          </w:p>
        </w:tc>
        <w:tc>
          <w:tcPr>
            <w:tcW w:w="1134" w:type="dxa"/>
            <w:tcBorders>
              <w:top w:val="nil"/>
              <w:bottom w:val="nil"/>
              <w:right w:val="single" w:sz="8" w:space="0" w:color="4F81BD" w:themeColor="accent1"/>
            </w:tcBorders>
            <w:shd w:val="clear" w:color="auto" w:fill="auto"/>
            <w:hideMark/>
          </w:tcPr>
          <w:p w14:paraId="4FCF85CF"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rPr>
                <w:color w:val="auto"/>
              </w:rPr>
            </w:pPr>
            <w:r w:rsidRPr="00F82CDF">
              <w:rPr>
                <w:color w:val="auto"/>
              </w:rPr>
              <w:t>3.50</w:t>
            </w:r>
          </w:p>
        </w:tc>
        <w:tc>
          <w:tcPr>
            <w:tcW w:w="567" w:type="dxa"/>
            <w:tcBorders>
              <w:top w:val="nil"/>
              <w:left w:val="single" w:sz="8" w:space="0" w:color="4F81BD" w:themeColor="accent1"/>
              <w:bottom w:val="nil"/>
            </w:tcBorders>
            <w:shd w:val="clear" w:color="auto" w:fill="EAF1DD" w:themeFill="accent3" w:themeFillTint="33"/>
            <w:hideMark/>
          </w:tcPr>
          <w:p w14:paraId="674D29AB"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rPr>
                <w:color w:val="auto"/>
              </w:rPr>
            </w:pPr>
            <w:r w:rsidRPr="00F82CDF">
              <w:rPr>
                <w:color w:val="auto"/>
              </w:rPr>
              <w:t>2</w:t>
            </w:r>
          </w:p>
        </w:tc>
        <w:tc>
          <w:tcPr>
            <w:tcW w:w="1134" w:type="dxa"/>
            <w:tcBorders>
              <w:top w:val="nil"/>
              <w:bottom w:val="nil"/>
              <w:right w:val="single" w:sz="8" w:space="0" w:color="4F81BD" w:themeColor="accent1"/>
            </w:tcBorders>
            <w:shd w:val="clear" w:color="auto" w:fill="auto"/>
            <w:hideMark/>
          </w:tcPr>
          <w:p w14:paraId="16446C4D"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rPr>
                <w:color w:val="auto"/>
              </w:rPr>
            </w:pPr>
            <w:bookmarkStart w:id="76" w:name="_Toc305158208"/>
            <w:r w:rsidRPr="00F82CDF">
              <w:rPr>
                <w:color w:val="auto"/>
              </w:rPr>
              <w:t>VERY</w:t>
            </w:r>
            <w:bookmarkEnd w:id="76"/>
          </w:p>
        </w:tc>
        <w:tc>
          <w:tcPr>
            <w:tcW w:w="709" w:type="dxa"/>
            <w:tcBorders>
              <w:top w:val="nil"/>
              <w:left w:val="single" w:sz="8" w:space="0" w:color="4F81BD" w:themeColor="accent1"/>
              <w:bottom w:val="nil"/>
            </w:tcBorders>
            <w:shd w:val="clear" w:color="auto" w:fill="auto"/>
            <w:hideMark/>
          </w:tcPr>
          <w:p w14:paraId="59FB7E05"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rPr>
                <w:color w:val="auto"/>
              </w:rPr>
            </w:pPr>
            <w:bookmarkStart w:id="77" w:name="_Toc305158209"/>
            <w:r w:rsidRPr="00F82CDF">
              <w:rPr>
                <w:color w:val="auto"/>
              </w:rPr>
              <w:t>17</w:t>
            </w:r>
            <w:bookmarkEnd w:id="77"/>
          </w:p>
        </w:tc>
        <w:tc>
          <w:tcPr>
            <w:tcW w:w="1161" w:type="dxa"/>
            <w:gridSpan w:val="3"/>
            <w:tcBorders>
              <w:top w:val="nil"/>
              <w:bottom w:val="nil"/>
              <w:right w:val="single" w:sz="8" w:space="0" w:color="4F81BD" w:themeColor="accent1"/>
            </w:tcBorders>
            <w:shd w:val="clear" w:color="auto" w:fill="auto"/>
            <w:hideMark/>
          </w:tcPr>
          <w:p w14:paraId="201E5A90"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rPr>
                <w:color w:val="auto"/>
              </w:rPr>
            </w:pPr>
            <w:r w:rsidRPr="00F82CDF">
              <w:rPr>
                <w:color w:val="auto"/>
              </w:rPr>
              <w:t>1.08</w:t>
            </w:r>
          </w:p>
        </w:tc>
      </w:tr>
      <w:tr w:rsidR="003D7F3E" w:rsidRPr="00F82CDF" w14:paraId="46F3050F" w14:textId="77777777" w:rsidTr="003D7F3E">
        <w:trPr>
          <w:trHeight w:val="261"/>
        </w:trPr>
        <w:tc>
          <w:tcPr>
            <w:cnfStyle w:val="001000000000" w:firstRow="0" w:lastRow="0" w:firstColumn="1" w:lastColumn="0" w:oddVBand="0" w:evenVBand="0" w:oddHBand="0" w:evenHBand="0" w:firstRowFirstColumn="0" w:firstRowLastColumn="0" w:lastRowFirstColumn="0" w:lastRowLastColumn="0"/>
            <w:tcW w:w="505" w:type="dxa"/>
            <w:tcBorders>
              <w:top w:val="nil"/>
              <w:left w:val="single" w:sz="8" w:space="0" w:color="4F81BD" w:themeColor="accent1"/>
              <w:bottom w:val="single" w:sz="8" w:space="0" w:color="4F81BD" w:themeColor="accent1"/>
            </w:tcBorders>
            <w:shd w:val="clear" w:color="auto" w:fill="DAEEF3" w:themeFill="accent5" w:themeFillTint="33"/>
          </w:tcPr>
          <w:p w14:paraId="55F08F37" w14:textId="77777777" w:rsidR="003D7F3E" w:rsidRPr="00F82CDF" w:rsidRDefault="003D7F3E" w:rsidP="003D7F3E">
            <w:pPr>
              <w:pStyle w:val="TableofAuthorities"/>
              <w:rPr>
                <w:b w:val="0"/>
                <w:color w:val="auto"/>
              </w:rPr>
            </w:pPr>
            <w:r w:rsidRPr="00F82CDF">
              <w:rPr>
                <w:b w:val="0"/>
                <w:color w:val="auto"/>
              </w:rPr>
              <w:t>3</w:t>
            </w:r>
          </w:p>
        </w:tc>
        <w:tc>
          <w:tcPr>
            <w:tcW w:w="1134" w:type="dxa"/>
            <w:tcBorders>
              <w:top w:val="nil"/>
              <w:bottom w:val="single" w:sz="8" w:space="0" w:color="4F81BD" w:themeColor="accent1"/>
              <w:right w:val="single" w:sz="8" w:space="0" w:color="4F81BD" w:themeColor="accent1"/>
            </w:tcBorders>
            <w:shd w:val="clear" w:color="auto" w:fill="auto"/>
          </w:tcPr>
          <w:p w14:paraId="08B30C19"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78" w:name="_Toc305158212"/>
            <w:r w:rsidRPr="00F82CDF">
              <w:rPr>
                <w:color w:val="auto"/>
              </w:rPr>
              <w:t>LESS</w:t>
            </w:r>
            <w:bookmarkEnd w:id="78"/>
          </w:p>
        </w:tc>
        <w:tc>
          <w:tcPr>
            <w:tcW w:w="851" w:type="dxa"/>
            <w:gridSpan w:val="2"/>
            <w:tcBorders>
              <w:top w:val="nil"/>
              <w:left w:val="single" w:sz="8" w:space="0" w:color="4F81BD" w:themeColor="accent1"/>
              <w:bottom w:val="single" w:sz="8" w:space="0" w:color="4F81BD" w:themeColor="accent1"/>
            </w:tcBorders>
            <w:shd w:val="clear" w:color="auto" w:fill="auto"/>
          </w:tcPr>
          <w:p w14:paraId="57E3C9C3"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79" w:name="_Toc305158213"/>
            <w:r w:rsidRPr="00F82CDF">
              <w:rPr>
                <w:color w:val="auto"/>
              </w:rPr>
              <w:t>57</w:t>
            </w:r>
            <w:bookmarkEnd w:id="79"/>
          </w:p>
        </w:tc>
        <w:tc>
          <w:tcPr>
            <w:tcW w:w="1134" w:type="dxa"/>
            <w:tcBorders>
              <w:top w:val="nil"/>
              <w:bottom w:val="single" w:sz="8" w:space="0" w:color="4F81BD" w:themeColor="accent1"/>
              <w:right w:val="single" w:sz="8" w:space="0" w:color="4F81BD" w:themeColor="accent1"/>
            </w:tcBorders>
            <w:shd w:val="clear" w:color="auto" w:fill="auto"/>
          </w:tcPr>
          <w:p w14:paraId="58C01DE6"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bookmarkStart w:id="80" w:name="_Toc305158214"/>
            <w:r w:rsidRPr="00F82CDF">
              <w:rPr>
                <w:color w:val="auto"/>
              </w:rPr>
              <w:t>1.9</w:t>
            </w:r>
            <w:bookmarkEnd w:id="80"/>
            <w:r w:rsidRPr="00F82CDF">
              <w:rPr>
                <w:color w:val="auto"/>
              </w:rPr>
              <w:t>4</w:t>
            </w:r>
          </w:p>
        </w:tc>
        <w:tc>
          <w:tcPr>
            <w:tcW w:w="567" w:type="dxa"/>
            <w:tcBorders>
              <w:top w:val="nil"/>
              <w:left w:val="single" w:sz="8" w:space="0" w:color="4F81BD" w:themeColor="accent1"/>
              <w:bottom w:val="single" w:sz="8" w:space="0" w:color="4F81BD" w:themeColor="accent1"/>
            </w:tcBorders>
            <w:shd w:val="clear" w:color="auto" w:fill="EAF1DD" w:themeFill="accent3" w:themeFillTint="33"/>
            <w:noWrap/>
            <w:hideMark/>
          </w:tcPr>
          <w:p w14:paraId="5D47D526"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p>
        </w:tc>
        <w:tc>
          <w:tcPr>
            <w:tcW w:w="1134" w:type="dxa"/>
            <w:tcBorders>
              <w:top w:val="nil"/>
              <w:bottom w:val="single" w:sz="8" w:space="0" w:color="4F81BD" w:themeColor="accent1"/>
              <w:right w:val="single" w:sz="8" w:space="0" w:color="4F81BD" w:themeColor="accent1"/>
            </w:tcBorders>
            <w:shd w:val="clear" w:color="auto" w:fill="auto"/>
            <w:noWrap/>
            <w:hideMark/>
          </w:tcPr>
          <w:p w14:paraId="27C8EF6B"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p>
        </w:tc>
        <w:tc>
          <w:tcPr>
            <w:tcW w:w="709" w:type="dxa"/>
            <w:tcBorders>
              <w:top w:val="nil"/>
              <w:left w:val="single" w:sz="8" w:space="0" w:color="4F81BD" w:themeColor="accent1"/>
              <w:bottom w:val="single" w:sz="8" w:space="0" w:color="4F81BD" w:themeColor="accent1"/>
            </w:tcBorders>
            <w:shd w:val="clear" w:color="auto" w:fill="auto"/>
            <w:noWrap/>
            <w:hideMark/>
          </w:tcPr>
          <w:p w14:paraId="6295A2D4"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p>
        </w:tc>
        <w:tc>
          <w:tcPr>
            <w:tcW w:w="236" w:type="dxa"/>
            <w:gridSpan w:val="2"/>
            <w:tcBorders>
              <w:top w:val="nil"/>
              <w:bottom w:val="single" w:sz="8" w:space="0" w:color="4F81BD" w:themeColor="accent1"/>
            </w:tcBorders>
            <w:shd w:val="clear" w:color="auto" w:fill="auto"/>
            <w:noWrap/>
            <w:hideMark/>
          </w:tcPr>
          <w:p w14:paraId="21947962"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p>
        </w:tc>
        <w:tc>
          <w:tcPr>
            <w:tcW w:w="958" w:type="dxa"/>
            <w:gridSpan w:val="2"/>
            <w:tcBorders>
              <w:top w:val="nil"/>
              <w:bottom w:val="single" w:sz="8" w:space="0" w:color="4F81BD" w:themeColor="accent1"/>
              <w:right w:val="single" w:sz="8" w:space="0" w:color="4F81BD" w:themeColor="accent1"/>
            </w:tcBorders>
            <w:shd w:val="clear" w:color="auto" w:fill="auto"/>
            <w:noWrap/>
            <w:hideMark/>
          </w:tcPr>
          <w:p w14:paraId="58015A53" w14:textId="77777777" w:rsidR="003D7F3E" w:rsidRPr="00F82CDF" w:rsidRDefault="003D7F3E" w:rsidP="003D7F3E">
            <w:pPr>
              <w:pStyle w:val="TableofAuthorities"/>
              <w:cnfStyle w:val="000000000000" w:firstRow="0" w:lastRow="0" w:firstColumn="0" w:lastColumn="0" w:oddVBand="0" w:evenVBand="0" w:oddHBand="0" w:evenHBand="0" w:firstRowFirstColumn="0" w:firstRowLastColumn="0" w:lastRowFirstColumn="0" w:lastRowLastColumn="0"/>
              <w:rPr>
                <w:color w:val="auto"/>
              </w:rPr>
            </w:pPr>
          </w:p>
        </w:tc>
      </w:tr>
      <w:tr w:rsidR="003D7F3E" w:rsidRPr="00F82CDF" w14:paraId="56E43A9D" w14:textId="77777777" w:rsidTr="003D7F3E">
        <w:trPr>
          <w:gridAfter w:val="8"/>
          <w:cnfStyle w:val="000000100000" w:firstRow="0" w:lastRow="0" w:firstColumn="0" w:lastColumn="0" w:oddVBand="0" w:evenVBand="0" w:oddHBand="1" w:evenHBand="0" w:firstRowFirstColumn="0" w:firstRowLastColumn="0" w:lastRowFirstColumn="0" w:lastRowLastColumn="0"/>
          <w:wAfter w:w="4738" w:type="dxa"/>
          <w:trHeight w:val="300"/>
        </w:trPr>
        <w:tc>
          <w:tcPr>
            <w:cnfStyle w:val="001000000000" w:firstRow="0" w:lastRow="0" w:firstColumn="1" w:lastColumn="0" w:oddVBand="0" w:evenVBand="0" w:oddHBand="0" w:evenHBand="0" w:firstRowFirstColumn="0" w:firstRowLastColumn="0" w:lastRowFirstColumn="0" w:lastRowLastColumn="0"/>
            <w:tcW w:w="505" w:type="dxa"/>
            <w:tcBorders>
              <w:top w:val="nil"/>
              <w:bottom w:val="nil"/>
            </w:tcBorders>
            <w:shd w:val="clear" w:color="auto" w:fill="auto"/>
            <w:noWrap/>
            <w:hideMark/>
          </w:tcPr>
          <w:p w14:paraId="7415E14B" w14:textId="77777777" w:rsidR="003D7F3E" w:rsidRPr="00F82CDF" w:rsidRDefault="003D7F3E" w:rsidP="003D7F3E">
            <w:pPr>
              <w:pStyle w:val="TableofAuthorities"/>
            </w:pPr>
          </w:p>
        </w:tc>
        <w:tc>
          <w:tcPr>
            <w:tcW w:w="1134" w:type="dxa"/>
            <w:tcBorders>
              <w:top w:val="nil"/>
              <w:bottom w:val="nil"/>
            </w:tcBorders>
            <w:shd w:val="clear" w:color="auto" w:fill="auto"/>
            <w:noWrap/>
            <w:hideMark/>
          </w:tcPr>
          <w:p w14:paraId="0670FA14"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pPr>
          </w:p>
        </w:tc>
        <w:tc>
          <w:tcPr>
            <w:tcW w:w="512" w:type="dxa"/>
            <w:tcBorders>
              <w:top w:val="nil"/>
              <w:bottom w:val="nil"/>
            </w:tcBorders>
            <w:shd w:val="clear" w:color="auto" w:fill="auto"/>
            <w:noWrap/>
            <w:hideMark/>
          </w:tcPr>
          <w:p w14:paraId="3736803F"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pPr>
          </w:p>
        </w:tc>
        <w:tc>
          <w:tcPr>
            <w:tcW w:w="339" w:type="dxa"/>
            <w:tcBorders>
              <w:top w:val="nil"/>
              <w:bottom w:val="nil"/>
            </w:tcBorders>
            <w:shd w:val="clear" w:color="auto" w:fill="auto"/>
            <w:noWrap/>
            <w:hideMark/>
          </w:tcPr>
          <w:p w14:paraId="40E2C675" w14:textId="77777777" w:rsidR="003D7F3E" w:rsidRPr="00F82CDF" w:rsidRDefault="003D7F3E" w:rsidP="003D7F3E">
            <w:pPr>
              <w:pStyle w:val="TableofAuthorities"/>
              <w:cnfStyle w:val="000000100000" w:firstRow="0" w:lastRow="0" w:firstColumn="0" w:lastColumn="0" w:oddVBand="0" w:evenVBand="0" w:oddHBand="1" w:evenHBand="0" w:firstRowFirstColumn="0" w:firstRowLastColumn="0" w:lastRowFirstColumn="0" w:lastRowLastColumn="0"/>
            </w:pPr>
          </w:p>
        </w:tc>
      </w:tr>
    </w:tbl>
    <w:p w14:paraId="5C4CA5AD" w14:textId="77777777" w:rsidR="003D7F3E" w:rsidRPr="00F82CDF" w:rsidRDefault="003D7F3E" w:rsidP="003D7F3E">
      <w:pPr>
        <w:spacing w:line="240" w:lineRule="auto"/>
      </w:pPr>
    </w:p>
    <w:p w14:paraId="037CB285" w14:textId="77777777" w:rsidR="003D7F3E" w:rsidRDefault="003D7F3E" w:rsidP="003D7F3E">
      <w:pPr>
        <w:spacing w:line="240" w:lineRule="auto"/>
      </w:pPr>
      <w:bookmarkStart w:id="81" w:name="_Toc305158216"/>
      <w:r w:rsidRPr="00F82CDF">
        <w:t xml:space="preserve">The first point to note is the difference in frequency per thousand for the top collocate </w:t>
      </w:r>
      <w:r w:rsidRPr="00F82CDF">
        <w:rPr>
          <w:i/>
        </w:rPr>
        <w:t>more</w:t>
      </w:r>
      <w:r w:rsidRPr="00F82CDF">
        <w:t xml:space="preserve"> between the metaphoric and the non-metaphoric datasets (16.36% and 3.84% respectively). The second most frequent collocate in the metaphoric set is </w:t>
      </w:r>
      <w:r w:rsidRPr="00F82CDF">
        <w:rPr>
          <w:i/>
        </w:rPr>
        <w:t>very</w:t>
      </w:r>
      <w:r w:rsidRPr="00F82CDF">
        <w:t xml:space="preserve">, occurring 3.5 times per thousand. This makes </w:t>
      </w:r>
      <w:r w:rsidRPr="00F82CDF">
        <w:rPr>
          <w:i/>
        </w:rPr>
        <w:t>more</w:t>
      </w:r>
      <w:r w:rsidRPr="00F82CDF">
        <w:t xml:space="preserve"> unusually frequent in its comparison to any other intensifier within this dataset.</w:t>
      </w:r>
      <w:bookmarkEnd w:id="81"/>
      <w:r w:rsidRPr="00F82CDF">
        <w:t xml:space="preserve"> </w:t>
      </w:r>
      <w:bookmarkStart w:id="82" w:name="_Toc305158217"/>
      <w:r w:rsidRPr="00F82CDF">
        <w:rPr>
          <w:i/>
        </w:rPr>
        <w:t>Less</w:t>
      </w:r>
      <w:r w:rsidRPr="00F82CDF">
        <w:t xml:space="preserve"> is only on the collocate list of the metaphoric dataset, presumably because to grow in a non-metaphoric sense, means an increase rather than a decrease. It is possible to grow less fast i.e. at a slower rate, but most often </w:t>
      </w:r>
      <w:r w:rsidRPr="00F82CDF">
        <w:rPr>
          <w:i/>
        </w:rPr>
        <w:t>grew</w:t>
      </w:r>
      <w:r w:rsidRPr="00F82CDF">
        <w:t xml:space="preserve"> </w:t>
      </w:r>
      <w:r w:rsidRPr="00F82CDF">
        <w:rPr>
          <w:i/>
        </w:rPr>
        <w:t xml:space="preserve">less </w:t>
      </w:r>
      <w:r w:rsidRPr="00F82CDF">
        <w:t xml:space="preserve">(X) refers to the </w:t>
      </w:r>
      <w:r w:rsidRPr="00F82CDF">
        <w:rPr>
          <w:i/>
        </w:rPr>
        <w:t>became</w:t>
      </w:r>
      <w:r w:rsidRPr="00F82CDF">
        <w:t xml:space="preserve"> sense. </w:t>
      </w:r>
      <w:r w:rsidRPr="00F82CDF">
        <w:rPr>
          <w:i/>
        </w:rPr>
        <w:t>Less</w:t>
      </w:r>
      <w:r w:rsidRPr="00F82CDF">
        <w:t xml:space="preserve"> occurs 57 times. It is ranked 50</w:t>
      </w:r>
      <w:r w:rsidRPr="00F82CDF">
        <w:rPr>
          <w:vertAlign w:val="superscript"/>
        </w:rPr>
        <w:t>th</w:t>
      </w:r>
      <w:r w:rsidRPr="00F82CDF">
        <w:t xml:space="preserve"> (according to WordSmith’s collocate list) and occurs 1.94 times per thousand words. 50 out of 57 instances (87.71%) occur on the right of </w:t>
      </w:r>
      <w:r w:rsidRPr="00F82CDF">
        <w:rPr>
          <w:i/>
        </w:rPr>
        <w:t>grew</w:t>
      </w:r>
      <w:r w:rsidRPr="00F82CDF">
        <w:t xml:space="preserve">: 21 of these (42.00%) occur in R1 position whilst 11 (22.00%) occur in R3. It is unsurprising that </w:t>
      </w:r>
      <w:r w:rsidRPr="00F82CDF">
        <w:rPr>
          <w:i/>
        </w:rPr>
        <w:t>less</w:t>
      </w:r>
      <w:r w:rsidRPr="00F82CDF">
        <w:t xml:space="preserve"> behaves similarly to </w:t>
      </w:r>
      <w:r w:rsidRPr="00F82CDF">
        <w:rPr>
          <w:i/>
        </w:rPr>
        <w:t>more</w:t>
      </w:r>
      <w:r w:rsidRPr="00F82CDF">
        <w:t xml:space="preserve"> in relation to </w:t>
      </w:r>
      <w:r w:rsidRPr="00F82CDF">
        <w:rPr>
          <w:i/>
        </w:rPr>
        <w:t>grew</w:t>
      </w:r>
      <w:r w:rsidRPr="00F82CDF">
        <w:t xml:space="preserve">. Also comparable to </w:t>
      </w:r>
      <w:r w:rsidRPr="00F82CDF">
        <w:rPr>
          <w:i/>
        </w:rPr>
        <w:t>more</w:t>
      </w:r>
      <w:r w:rsidRPr="00F82CDF">
        <w:t xml:space="preserve">, many of the instances of </w:t>
      </w:r>
      <w:r w:rsidRPr="00F82CDF">
        <w:rPr>
          <w:i/>
        </w:rPr>
        <w:t>grew</w:t>
      </w:r>
      <w:r w:rsidRPr="00F82CDF">
        <w:t xml:space="preserve"> </w:t>
      </w:r>
      <w:r w:rsidRPr="00F82CDF">
        <w:rPr>
          <w:i/>
        </w:rPr>
        <w:t>less</w:t>
      </w:r>
      <w:r w:rsidRPr="00F82CDF">
        <w:t xml:space="preserve"> are followed by an adjective:</w:t>
      </w:r>
      <w:bookmarkEnd w:id="82"/>
    </w:p>
    <w:p w14:paraId="0E887AAB" w14:textId="77777777" w:rsidR="00A606D3" w:rsidRDefault="00A606D3" w:rsidP="003D7F3E">
      <w:pPr>
        <w:spacing w:line="240" w:lineRule="auto"/>
      </w:pPr>
    </w:p>
    <w:p w14:paraId="24D6A287" w14:textId="77777777" w:rsidR="00A606D3" w:rsidRPr="00F82CDF" w:rsidRDefault="00A606D3" w:rsidP="003D7F3E">
      <w:pPr>
        <w:spacing w:line="240" w:lineRule="auto"/>
      </w:pPr>
    </w:p>
    <w:p w14:paraId="61D95588" w14:textId="1B7E917D" w:rsidR="003D7F3E" w:rsidRPr="00F82CDF" w:rsidRDefault="00A606D3" w:rsidP="00A606D3">
      <w:pPr>
        <w:pStyle w:val="Caption"/>
      </w:pPr>
      <w:bookmarkStart w:id="83" w:name="_Toc311118981"/>
      <w:r w:rsidRPr="00F82CDF">
        <w:t xml:space="preserve">Concordance </w:t>
      </w:r>
      <w:r>
        <w:t>5</w:t>
      </w:r>
      <w:r w:rsidRPr="00F82CDF">
        <w:t xml:space="preserve">. All instances of </w:t>
      </w:r>
      <w:r w:rsidRPr="00F82CDF">
        <w:rPr>
          <w:i/>
        </w:rPr>
        <w:t>grew less</w:t>
      </w:r>
      <w:r w:rsidRPr="00F82CDF">
        <w:t xml:space="preserve"> in metaphoric dataset</w:t>
      </w:r>
      <w:bookmarkEnd w:id="83"/>
    </w:p>
    <w:p w14:paraId="69B32B9A" w14:textId="77777777" w:rsidR="003D7F3E" w:rsidRPr="00F82CDF" w:rsidRDefault="003D7F3E" w:rsidP="003D7F3E">
      <w:pPr>
        <w:pStyle w:val="Caption"/>
      </w:pPr>
      <w:r w:rsidRPr="00F82CDF">
        <w:rPr>
          <w:noProof/>
        </w:rPr>
        <w:drawing>
          <wp:inline distT="0" distB="0" distL="0" distR="0" wp14:anchorId="24A79AC4" wp14:editId="4CE90979">
            <wp:extent cx="3975100" cy="2538797"/>
            <wp:effectExtent l="25400" t="25400" r="12700" b="266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5.58.31.png"/>
                    <pic:cNvPicPr/>
                  </pic:nvPicPr>
                  <pic:blipFill>
                    <a:blip r:embed="rId13">
                      <a:extLst>
                        <a:ext uri="{28A0092B-C50C-407E-A947-70E740481C1C}">
                          <a14:useLocalDpi xmlns:a14="http://schemas.microsoft.com/office/drawing/2010/main" val="0"/>
                        </a:ext>
                      </a:extLst>
                    </a:blip>
                    <a:stretch>
                      <a:fillRect/>
                    </a:stretch>
                  </pic:blipFill>
                  <pic:spPr>
                    <a:xfrm>
                      <a:off x="0" y="0"/>
                      <a:ext cx="3975929" cy="2539326"/>
                    </a:xfrm>
                    <a:prstGeom prst="rect">
                      <a:avLst/>
                    </a:prstGeom>
                    <a:ln w="12700" cmpd="sng">
                      <a:solidFill>
                        <a:schemeClr val="accent1"/>
                      </a:solidFill>
                    </a:ln>
                  </pic:spPr>
                </pic:pic>
              </a:graphicData>
            </a:graphic>
          </wp:inline>
        </w:drawing>
      </w:r>
    </w:p>
    <w:p w14:paraId="2BB408ED" w14:textId="77777777" w:rsidR="003D7F3E" w:rsidRPr="00F82CDF" w:rsidRDefault="003D7F3E" w:rsidP="003D7F3E">
      <w:pPr>
        <w:spacing w:line="240" w:lineRule="auto"/>
      </w:pPr>
    </w:p>
    <w:p w14:paraId="34C73A66" w14:textId="77777777" w:rsidR="003D7F3E" w:rsidRPr="00F82CDF" w:rsidRDefault="003D7F3E" w:rsidP="003D7F3E">
      <w:pPr>
        <w:spacing w:line="240" w:lineRule="auto"/>
      </w:pPr>
      <w:bookmarkStart w:id="84" w:name="_Toc305158219"/>
      <w:r w:rsidRPr="00F82CDF">
        <w:t>Often the items are related to abstract traits in reference to a character, their utterance or action (</w:t>
      </w:r>
      <w:r w:rsidRPr="00F82CDF">
        <w:rPr>
          <w:i/>
        </w:rPr>
        <w:t>constrained, embarrassed, speculative, unpleasing</w:t>
      </w:r>
      <w:r w:rsidRPr="00F82CDF">
        <w:t>). Many of the adjectives describe a concrete thing (</w:t>
      </w:r>
      <w:r w:rsidRPr="00F82CDF">
        <w:rPr>
          <w:i/>
        </w:rPr>
        <w:t>dry</w:t>
      </w:r>
      <w:r w:rsidRPr="00F82CDF">
        <w:t xml:space="preserve"> in relation to a </w:t>
      </w:r>
      <w:r w:rsidRPr="00F82CDF">
        <w:rPr>
          <w:i/>
        </w:rPr>
        <w:t>throat</w:t>
      </w:r>
      <w:r w:rsidRPr="00F82CDF">
        <w:t xml:space="preserve">, </w:t>
      </w:r>
      <w:r w:rsidRPr="00F82CDF">
        <w:rPr>
          <w:i/>
        </w:rPr>
        <w:t>shaky</w:t>
      </w:r>
      <w:r w:rsidRPr="00F82CDF">
        <w:t xml:space="preserve"> in relation to a </w:t>
      </w:r>
      <w:r w:rsidRPr="00F82CDF">
        <w:rPr>
          <w:i/>
        </w:rPr>
        <w:t>hand</w:t>
      </w:r>
      <w:r w:rsidRPr="00F82CDF">
        <w:t xml:space="preserve">). Despite this, </w:t>
      </w:r>
      <w:r w:rsidRPr="00F82CDF">
        <w:rPr>
          <w:i/>
        </w:rPr>
        <w:t>grew</w:t>
      </w:r>
      <w:r w:rsidRPr="00F82CDF">
        <w:t xml:space="preserve"> is still not used in a physical sense, but rather as a form of development or transformation. All instances of </w:t>
      </w:r>
      <w:r w:rsidRPr="00F82CDF">
        <w:rPr>
          <w:i/>
        </w:rPr>
        <w:t>grew</w:t>
      </w:r>
      <w:r w:rsidRPr="00F82CDF">
        <w:t xml:space="preserve"> </w:t>
      </w:r>
      <w:r w:rsidRPr="00F82CDF">
        <w:rPr>
          <w:i/>
        </w:rPr>
        <w:t>less</w:t>
      </w:r>
      <w:r w:rsidRPr="00F82CDF">
        <w:t xml:space="preserve"> can be replaced with </w:t>
      </w:r>
      <w:r w:rsidRPr="00F82CDF">
        <w:rPr>
          <w:i/>
        </w:rPr>
        <w:t>became</w:t>
      </w:r>
      <w:bookmarkEnd w:id="84"/>
      <w:r w:rsidRPr="00F82CDF">
        <w:t xml:space="preserve">. </w:t>
      </w:r>
    </w:p>
    <w:p w14:paraId="5A182DC6" w14:textId="77777777" w:rsidR="003D7F3E" w:rsidRDefault="003D7F3E" w:rsidP="003D7F3E">
      <w:pPr>
        <w:pStyle w:val="Body1"/>
      </w:pPr>
      <w:r w:rsidRPr="00F82CDF">
        <w:rPr>
          <w:b/>
          <w:color w:val="4F81BD"/>
        </w:rPr>
        <w:tab/>
      </w:r>
      <w:bookmarkStart w:id="85" w:name="_Toc305158220"/>
      <w:r w:rsidRPr="00F82CDF">
        <w:t xml:space="preserve">There are 8 instances of the cluster </w:t>
      </w:r>
      <w:r w:rsidRPr="00F82CDF">
        <w:rPr>
          <w:i/>
        </w:rPr>
        <w:t>grew</w:t>
      </w:r>
      <w:r w:rsidRPr="00F82CDF">
        <w:t xml:space="preserve"> </w:t>
      </w:r>
      <w:r w:rsidRPr="00F82CDF">
        <w:rPr>
          <w:i/>
        </w:rPr>
        <w:t xml:space="preserve">less and less, </w:t>
      </w:r>
      <w:r w:rsidRPr="00F82CDF">
        <w:t xml:space="preserve">making up 14.04% of all instances of </w:t>
      </w:r>
      <w:r w:rsidRPr="00F82CDF">
        <w:rPr>
          <w:i/>
        </w:rPr>
        <w:t>grew</w:t>
      </w:r>
      <w:r w:rsidRPr="00F82CDF">
        <w:t xml:space="preserve"> in this corpus. This can be compared to the 71 instances of </w:t>
      </w:r>
      <w:r w:rsidRPr="00F82CDF">
        <w:rPr>
          <w:i/>
        </w:rPr>
        <w:t>grew</w:t>
      </w:r>
      <w:r w:rsidRPr="00F82CDF">
        <w:t xml:space="preserve"> </w:t>
      </w:r>
      <w:r w:rsidRPr="00F82CDF">
        <w:rPr>
          <w:i/>
        </w:rPr>
        <w:t>more and more</w:t>
      </w:r>
      <w:r w:rsidRPr="00F82CDF">
        <w:t xml:space="preserve"> in the same corpus, making up 16.09% of all instances of </w:t>
      </w:r>
      <w:r w:rsidRPr="00F82CDF">
        <w:rPr>
          <w:i/>
        </w:rPr>
        <w:t>more</w:t>
      </w:r>
      <w:r w:rsidRPr="00F82CDF">
        <w:t xml:space="preserve">. Thus whilst </w:t>
      </w:r>
      <w:r w:rsidRPr="00F82CDF">
        <w:rPr>
          <w:i/>
        </w:rPr>
        <w:t>less</w:t>
      </w:r>
      <w:r w:rsidRPr="00F82CDF">
        <w:t xml:space="preserve"> is less frequent than </w:t>
      </w:r>
      <w:r w:rsidRPr="00F82CDF">
        <w:rPr>
          <w:i/>
        </w:rPr>
        <w:t>more</w:t>
      </w:r>
      <w:r w:rsidRPr="00F82CDF">
        <w:t xml:space="preserve">, it is almost as likely to be found in the cluster </w:t>
      </w:r>
      <w:r w:rsidRPr="00F82CDF">
        <w:rPr>
          <w:i/>
        </w:rPr>
        <w:t xml:space="preserve">less and less </w:t>
      </w:r>
      <w:r w:rsidRPr="00F82CDF">
        <w:t xml:space="preserve">as </w:t>
      </w:r>
      <w:r w:rsidRPr="00F82CDF">
        <w:rPr>
          <w:i/>
        </w:rPr>
        <w:t>more</w:t>
      </w:r>
      <w:r w:rsidRPr="00F82CDF">
        <w:t xml:space="preserve"> is likely to be found in the cluster </w:t>
      </w:r>
      <w:r w:rsidRPr="00F82CDF">
        <w:rPr>
          <w:i/>
        </w:rPr>
        <w:t>more and more</w:t>
      </w:r>
      <w:r w:rsidRPr="00F82CDF">
        <w:t>. This makes it more fixed in structure</w:t>
      </w:r>
      <w:bookmarkEnd w:id="85"/>
      <w:r w:rsidRPr="00F82CDF">
        <w:t>. Instances are shown below:</w:t>
      </w:r>
    </w:p>
    <w:p w14:paraId="580F917A" w14:textId="77777777" w:rsidR="00A606D3" w:rsidRPr="00F82CDF" w:rsidRDefault="00A606D3" w:rsidP="003D7F3E">
      <w:pPr>
        <w:pStyle w:val="Body1"/>
      </w:pPr>
    </w:p>
    <w:p w14:paraId="6CA0F326" w14:textId="77777777" w:rsidR="003D7F3E" w:rsidRPr="00F82CDF" w:rsidRDefault="003D7F3E" w:rsidP="003D7F3E">
      <w:pPr>
        <w:pStyle w:val="Body1"/>
      </w:pPr>
    </w:p>
    <w:p w14:paraId="684CE87C" w14:textId="77777777" w:rsidR="00A606D3" w:rsidRPr="00F82CDF" w:rsidRDefault="00A606D3" w:rsidP="00A606D3">
      <w:pPr>
        <w:pStyle w:val="Caption"/>
      </w:pPr>
      <w:bookmarkStart w:id="86" w:name="_Toc311118982"/>
      <w:r w:rsidRPr="00F82CDF">
        <w:t xml:space="preserve">Concordance </w:t>
      </w:r>
      <w:r>
        <w:t>6</w:t>
      </w:r>
      <w:r w:rsidRPr="00F82CDF">
        <w:t xml:space="preserve">. All instances of </w:t>
      </w:r>
      <w:r w:rsidRPr="00F82CDF">
        <w:rPr>
          <w:i/>
        </w:rPr>
        <w:t>grew less and less</w:t>
      </w:r>
      <w:r w:rsidRPr="00F82CDF">
        <w:t xml:space="preserve"> in metaphoric dataset</w:t>
      </w:r>
      <w:bookmarkEnd w:id="86"/>
    </w:p>
    <w:p w14:paraId="759CDA0F" w14:textId="77777777" w:rsidR="003D7F3E" w:rsidRPr="00F82CDF" w:rsidRDefault="003D7F3E" w:rsidP="003D7F3E">
      <w:pPr>
        <w:pStyle w:val="Caption"/>
      </w:pPr>
      <w:r w:rsidRPr="00F82CDF">
        <w:rPr>
          <w:noProof/>
        </w:rPr>
        <w:drawing>
          <wp:inline distT="0" distB="0" distL="0" distR="0" wp14:anchorId="231D509C" wp14:editId="36AA287F">
            <wp:extent cx="4457700" cy="1442039"/>
            <wp:effectExtent l="25400" t="25400" r="12700" b="317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5.59.34.png"/>
                    <pic:cNvPicPr/>
                  </pic:nvPicPr>
                  <pic:blipFill>
                    <a:blip r:embed="rId14">
                      <a:extLst>
                        <a:ext uri="{28A0092B-C50C-407E-A947-70E740481C1C}">
                          <a14:useLocalDpi xmlns:a14="http://schemas.microsoft.com/office/drawing/2010/main" val="0"/>
                        </a:ext>
                      </a:extLst>
                    </a:blip>
                    <a:stretch>
                      <a:fillRect/>
                    </a:stretch>
                  </pic:blipFill>
                  <pic:spPr>
                    <a:xfrm>
                      <a:off x="0" y="0"/>
                      <a:ext cx="4457700" cy="1442039"/>
                    </a:xfrm>
                    <a:prstGeom prst="rect">
                      <a:avLst/>
                    </a:prstGeom>
                    <a:ln w="12700" cmpd="sng">
                      <a:solidFill>
                        <a:schemeClr val="accent1"/>
                      </a:solidFill>
                    </a:ln>
                  </pic:spPr>
                </pic:pic>
              </a:graphicData>
            </a:graphic>
          </wp:inline>
        </w:drawing>
      </w:r>
    </w:p>
    <w:p w14:paraId="7CD5746A" w14:textId="77777777" w:rsidR="003D7F3E" w:rsidRPr="00F82CDF" w:rsidRDefault="003D7F3E" w:rsidP="003D7F3E">
      <w:pPr>
        <w:spacing w:line="240" w:lineRule="auto"/>
      </w:pPr>
    </w:p>
    <w:p w14:paraId="23DFF88D" w14:textId="77777777" w:rsidR="003D7F3E" w:rsidRPr="00F82CDF" w:rsidRDefault="003D7F3E" w:rsidP="003D7F3E">
      <w:pPr>
        <w:spacing w:line="240" w:lineRule="auto"/>
        <w:rPr>
          <w:b/>
          <w:color w:val="4F81BD"/>
        </w:rPr>
      </w:pPr>
      <w:bookmarkStart w:id="87" w:name="_Toc305158222"/>
      <w:r w:rsidRPr="00F82CDF">
        <w:t xml:space="preserve">Again, there appears to be no generalisation that can be made about what </w:t>
      </w:r>
      <w:r w:rsidRPr="00F82CDF">
        <w:rPr>
          <w:i/>
        </w:rPr>
        <w:t xml:space="preserve">less and less </w:t>
      </w:r>
      <w:r w:rsidRPr="00F82CDF">
        <w:t xml:space="preserve">is referring to in these examples. </w:t>
      </w:r>
      <w:r w:rsidRPr="00F82CDF">
        <w:rPr>
          <w:i/>
        </w:rPr>
        <w:t>Grew</w:t>
      </w:r>
      <w:r w:rsidRPr="00F82CDF">
        <w:t xml:space="preserve"> </w:t>
      </w:r>
      <w:r w:rsidRPr="00F82CDF">
        <w:rPr>
          <w:i/>
        </w:rPr>
        <w:t xml:space="preserve">less and less </w:t>
      </w:r>
      <w:r w:rsidRPr="00F82CDF">
        <w:t xml:space="preserve">is used here both in reference to people (abstract and physical characteristics) and external concrete/abstract entities. There is also less preference for the colligation </w:t>
      </w:r>
      <w:r w:rsidRPr="00F82CDF">
        <w:rPr>
          <w:i/>
        </w:rPr>
        <w:t>grew less and less</w:t>
      </w:r>
      <w:r w:rsidRPr="00F82CDF">
        <w:t xml:space="preserve"> (+adj.). </w:t>
      </w:r>
      <w:bookmarkEnd w:id="87"/>
      <w:r w:rsidRPr="00F82CDF">
        <w:t xml:space="preserve">Furthermore, unlike </w:t>
      </w:r>
      <w:r w:rsidRPr="00F82CDF">
        <w:rPr>
          <w:i/>
        </w:rPr>
        <w:t>grew</w:t>
      </w:r>
      <w:r w:rsidRPr="00F82CDF">
        <w:t xml:space="preserve"> </w:t>
      </w:r>
      <w:r w:rsidRPr="00F82CDF">
        <w:rPr>
          <w:i/>
        </w:rPr>
        <w:t>more</w:t>
      </w:r>
      <w:r w:rsidRPr="00F82CDF">
        <w:t xml:space="preserve"> </w:t>
      </w:r>
      <w:r w:rsidRPr="00F82CDF">
        <w:rPr>
          <w:i/>
        </w:rPr>
        <w:t>and</w:t>
      </w:r>
      <w:r w:rsidRPr="00F82CDF">
        <w:t xml:space="preserve"> </w:t>
      </w:r>
      <w:r w:rsidRPr="00F82CDF">
        <w:rPr>
          <w:i/>
        </w:rPr>
        <w:t>more</w:t>
      </w:r>
      <w:r w:rsidRPr="00F82CDF">
        <w:t xml:space="preserve">, there appears to be no strong pragmatic associations attached to the cluster. This may be due to the small amount of data. Some instances refer to improvement, whilst other refer to a deterioration in condition or circumstance. </w:t>
      </w:r>
    </w:p>
    <w:p w14:paraId="624EFE61" w14:textId="77777777" w:rsidR="003D7F3E" w:rsidRDefault="003D7F3E" w:rsidP="003D7F3E">
      <w:pPr>
        <w:pStyle w:val="Body1"/>
      </w:pPr>
      <w:r w:rsidRPr="00F82CDF">
        <w:tab/>
      </w:r>
      <w:bookmarkStart w:id="88" w:name="_Toc305157617"/>
      <w:r w:rsidRPr="00F82CDF">
        <w:t xml:space="preserve">Delving further into the data, analysis of </w:t>
      </w:r>
      <w:r w:rsidRPr="00F82CDF">
        <w:rPr>
          <w:i/>
        </w:rPr>
        <w:t>grew</w:t>
      </w:r>
      <w:r w:rsidRPr="00F82CDF">
        <w:t xml:space="preserve"> when used alongside a comparative adjective or adverb (e.g. </w:t>
      </w:r>
      <w:r w:rsidRPr="00F82CDF">
        <w:rPr>
          <w:i/>
        </w:rPr>
        <w:t>darker, smaller</w:t>
      </w:r>
      <w:r w:rsidRPr="00F82CDF">
        <w:t xml:space="preserve"> etc.), should also provide a similar indication of whether </w:t>
      </w:r>
      <w:r w:rsidRPr="00F82CDF">
        <w:rPr>
          <w:i/>
        </w:rPr>
        <w:t>grew</w:t>
      </w:r>
      <w:r w:rsidRPr="00F82CDF">
        <w:t xml:space="preserve"> as is being used as a metaphor in a transformative sense. Comparatives with a frequency higher than ten are shown below. Columns 4 and 5 show their ranking in R1 and R3 position (taking into consideration clusters such as </w:t>
      </w:r>
      <w:r w:rsidRPr="00F82CDF">
        <w:rPr>
          <w:i/>
        </w:rPr>
        <w:t>grew brighter and brighter</w:t>
      </w:r>
      <w:r w:rsidRPr="00F82CDF">
        <w:t>):</w:t>
      </w:r>
      <w:bookmarkEnd w:id="88"/>
      <w:r w:rsidRPr="00F82CDF">
        <w:t xml:space="preserve"> </w:t>
      </w:r>
    </w:p>
    <w:p w14:paraId="64A3481C" w14:textId="77777777" w:rsidR="00A606D3" w:rsidRPr="00F82CDF" w:rsidRDefault="00A606D3" w:rsidP="003D7F3E">
      <w:pPr>
        <w:pStyle w:val="Body1"/>
      </w:pPr>
    </w:p>
    <w:p w14:paraId="0B81C22F" w14:textId="405F48E4" w:rsidR="003D7F3E" w:rsidRPr="00F82CDF" w:rsidRDefault="00A606D3" w:rsidP="00A606D3">
      <w:pPr>
        <w:pStyle w:val="Caption"/>
      </w:pPr>
      <w:bookmarkStart w:id="89" w:name="_Toc311117814"/>
      <w:r w:rsidRPr="00F82CDF">
        <w:t xml:space="preserve">Table </w:t>
      </w:r>
      <w:r>
        <w:t>5</w:t>
      </w:r>
      <w:r w:rsidRPr="00F82CDF">
        <w:t>. Collocates acting as comparatives in metaphoric dataset</w:t>
      </w:r>
      <w:bookmarkEnd w:id="89"/>
    </w:p>
    <w:tbl>
      <w:tblPr>
        <w:tblW w:w="7195" w:type="dxa"/>
        <w:tblInd w:w="17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498"/>
        <w:gridCol w:w="901"/>
        <w:gridCol w:w="1199"/>
        <w:gridCol w:w="1199"/>
        <w:gridCol w:w="1199"/>
        <w:gridCol w:w="1199"/>
      </w:tblGrid>
      <w:tr w:rsidR="003D7F3E" w:rsidRPr="00F82CDF" w14:paraId="37D63B88" w14:textId="77777777" w:rsidTr="003D7F3E">
        <w:trPr>
          <w:trHeight w:val="261"/>
        </w:trPr>
        <w:tc>
          <w:tcPr>
            <w:tcW w:w="1498" w:type="dxa"/>
            <w:tcBorders>
              <w:top w:val="single" w:sz="8" w:space="0" w:color="4F81BD" w:themeColor="accent1"/>
              <w:left w:val="single" w:sz="8" w:space="0" w:color="4F81BD" w:themeColor="accent1"/>
              <w:bottom w:val="single" w:sz="8" w:space="0" w:color="4F81BD" w:themeColor="accent1"/>
              <w:right w:val="nil"/>
            </w:tcBorders>
            <w:shd w:val="clear" w:color="auto" w:fill="DAEEF3" w:themeFill="accent5" w:themeFillTint="33"/>
            <w:noWrap/>
            <w:hideMark/>
          </w:tcPr>
          <w:p w14:paraId="0C032A9E" w14:textId="77777777" w:rsidR="003D7F3E" w:rsidRPr="00F82CDF" w:rsidRDefault="003D7F3E" w:rsidP="003D7F3E">
            <w:pPr>
              <w:pStyle w:val="TableofAuthorities"/>
            </w:pPr>
            <w:r w:rsidRPr="00F82CDF">
              <w:t>METAPHOR</w:t>
            </w:r>
          </w:p>
        </w:tc>
        <w:tc>
          <w:tcPr>
            <w:tcW w:w="901" w:type="dxa"/>
            <w:tcBorders>
              <w:top w:val="single" w:sz="8" w:space="0" w:color="4F81BD" w:themeColor="accent1"/>
              <w:left w:val="nil"/>
              <w:bottom w:val="single" w:sz="8" w:space="0" w:color="4F81BD" w:themeColor="accent1"/>
              <w:right w:val="nil"/>
            </w:tcBorders>
            <w:shd w:val="clear" w:color="auto" w:fill="DAEEF3" w:themeFill="accent5" w:themeFillTint="33"/>
            <w:noWrap/>
            <w:vAlign w:val="bottom"/>
            <w:hideMark/>
          </w:tcPr>
          <w:p w14:paraId="7086A2F2" w14:textId="77777777" w:rsidR="003D7F3E" w:rsidRPr="00F82CDF" w:rsidRDefault="003D7F3E" w:rsidP="003D7F3E">
            <w:pPr>
              <w:pStyle w:val="TableofAuthorities"/>
            </w:pPr>
          </w:p>
        </w:tc>
        <w:tc>
          <w:tcPr>
            <w:tcW w:w="1199" w:type="dxa"/>
            <w:tcBorders>
              <w:top w:val="single" w:sz="8" w:space="0" w:color="4F81BD" w:themeColor="accent1"/>
              <w:left w:val="nil"/>
              <w:bottom w:val="single" w:sz="8" w:space="0" w:color="4F81BD" w:themeColor="accent1"/>
              <w:right w:val="nil"/>
            </w:tcBorders>
            <w:shd w:val="clear" w:color="auto" w:fill="DAEEF3" w:themeFill="accent5" w:themeFillTint="33"/>
            <w:noWrap/>
            <w:vAlign w:val="bottom"/>
            <w:hideMark/>
          </w:tcPr>
          <w:p w14:paraId="78261CEA" w14:textId="77777777" w:rsidR="003D7F3E" w:rsidRPr="00F82CDF" w:rsidRDefault="003D7F3E" w:rsidP="003D7F3E">
            <w:pPr>
              <w:pStyle w:val="TableofAuthorities"/>
            </w:pPr>
          </w:p>
        </w:tc>
        <w:tc>
          <w:tcPr>
            <w:tcW w:w="1199" w:type="dxa"/>
            <w:tcBorders>
              <w:top w:val="single" w:sz="8" w:space="0" w:color="4F81BD" w:themeColor="accent1"/>
              <w:left w:val="nil"/>
              <w:bottom w:val="single" w:sz="8" w:space="0" w:color="4F81BD" w:themeColor="accent1"/>
              <w:right w:val="nil"/>
            </w:tcBorders>
            <w:shd w:val="clear" w:color="auto" w:fill="DAEEF3" w:themeFill="accent5" w:themeFillTint="33"/>
            <w:noWrap/>
            <w:vAlign w:val="bottom"/>
            <w:hideMark/>
          </w:tcPr>
          <w:p w14:paraId="693038B6" w14:textId="77777777" w:rsidR="003D7F3E" w:rsidRPr="00F82CDF" w:rsidRDefault="003D7F3E" w:rsidP="003D7F3E">
            <w:pPr>
              <w:pStyle w:val="TableofAuthorities"/>
            </w:pPr>
          </w:p>
        </w:tc>
        <w:tc>
          <w:tcPr>
            <w:tcW w:w="1199" w:type="dxa"/>
            <w:tcBorders>
              <w:top w:val="single" w:sz="8" w:space="0" w:color="4F81BD" w:themeColor="accent1"/>
              <w:left w:val="nil"/>
              <w:bottom w:val="single" w:sz="8" w:space="0" w:color="4F81BD" w:themeColor="accent1"/>
              <w:right w:val="nil"/>
            </w:tcBorders>
            <w:shd w:val="clear" w:color="auto" w:fill="DAEEF3" w:themeFill="accent5" w:themeFillTint="33"/>
            <w:noWrap/>
            <w:vAlign w:val="bottom"/>
            <w:hideMark/>
          </w:tcPr>
          <w:p w14:paraId="79FC9A1F" w14:textId="77777777" w:rsidR="003D7F3E" w:rsidRPr="00F82CDF" w:rsidRDefault="003D7F3E" w:rsidP="003D7F3E">
            <w:pPr>
              <w:pStyle w:val="TableofAuthorities"/>
            </w:pPr>
          </w:p>
        </w:tc>
        <w:tc>
          <w:tcPr>
            <w:tcW w:w="1199" w:type="dxa"/>
            <w:tcBorders>
              <w:top w:val="single" w:sz="8" w:space="0" w:color="4F81BD" w:themeColor="accent1"/>
              <w:left w:val="nil"/>
              <w:bottom w:val="single" w:sz="8" w:space="0" w:color="4F81BD" w:themeColor="accent1"/>
              <w:right w:val="single" w:sz="8" w:space="0" w:color="4F81BD" w:themeColor="accent1"/>
            </w:tcBorders>
            <w:shd w:val="clear" w:color="auto" w:fill="DAEEF3" w:themeFill="accent5" w:themeFillTint="33"/>
            <w:vAlign w:val="bottom"/>
          </w:tcPr>
          <w:p w14:paraId="6AB188B3" w14:textId="77777777" w:rsidR="003D7F3E" w:rsidRPr="00F82CDF" w:rsidRDefault="003D7F3E" w:rsidP="003D7F3E">
            <w:pPr>
              <w:pStyle w:val="TableofAuthorities"/>
            </w:pPr>
          </w:p>
        </w:tc>
      </w:tr>
      <w:tr w:rsidR="003D7F3E" w:rsidRPr="00F82CDF" w14:paraId="35CF5BD4" w14:textId="77777777" w:rsidTr="003D7F3E">
        <w:trPr>
          <w:trHeight w:val="261"/>
        </w:trPr>
        <w:tc>
          <w:tcPr>
            <w:tcW w:w="1498" w:type="dxa"/>
            <w:tcBorders>
              <w:top w:val="single" w:sz="8" w:space="0" w:color="4F81BD" w:themeColor="accent1"/>
              <w:bottom w:val="single" w:sz="8" w:space="0" w:color="4F81BD" w:themeColor="accent1"/>
              <w:right w:val="single" w:sz="8" w:space="0" w:color="4F81BD" w:themeColor="accent1"/>
            </w:tcBorders>
            <w:shd w:val="clear" w:color="auto" w:fill="DAEEF3" w:themeFill="accent5" w:themeFillTint="33"/>
            <w:noWrap/>
            <w:hideMark/>
          </w:tcPr>
          <w:p w14:paraId="30B69797" w14:textId="77777777" w:rsidR="003D7F3E" w:rsidRPr="00F82CDF" w:rsidRDefault="003D7F3E" w:rsidP="003D7F3E">
            <w:pPr>
              <w:pStyle w:val="TableofAuthorities"/>
            </w:pPr>
            <w:bookmarkStart w:id="90" w:name="_Toc305157618"/>
            <w:r w:rsidRPr="00F82CDF">
              <w:t>Comparative</w:t>
            </w:r>
            <w:bookmarkEnd w:id="90"/>
          </w:p>
        </w:tc>
        <w:tc>
          <w:tcPr>
            <w:tcW w:w="9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noWrap/>
            <w:hideMark/>
          </w:tcPr>
          <w:p w14:paraId="67E244C2" w14:textId="77777777" w:rsidR="003D7F3E" w:rsidRPr="00F82CDF" w:rsidRDefault="003D7F3E" w:rsidP="003D7F3E">
            <w:pPr>
              <w:pStyle w:val="TableofAuthorities"/>
            </w:pPr>
            <w:bookmarkStart w:id="91" w:name="_Toc305157619"/>
            <w:r w:rsidRPr="00F82CDF">
              <w:t>Freq.</w:t>
            </w:r>
            <w:bookmarkEnd w:id="91"/>
          </w:p>
        </w:tc>
        <w:tc>
          <w:tcPr>
            <w:tcW w:w="119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noWrap/>
            <w:hideMark/>
          </w:tcPr>
          <w:p w14:paraId="6E74BC90" w14:textId="77777777" w:rsidR="003D7F3E" w:rsidRPr="00F82CDF" w:rsidRDefault="003D7F3E" w:rsidP="003D7F3E">
            <w:pPr>
              <w:pStyle w:val="TableofAuthorities"/>
            </w:pPr>
            <w:r w:rsidRPr="00F82CDF">
              <w:t>Freq. ptw</w:t>
            </w:r>
          </w:p>
        </w:tc>
        <w:tc>
          <w:tcPr>
            <w:tcW w:w="119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noWrap/>
            <w:hideMark/>
          </w:tcPr>
          <w:p w14:paraId="0F72C458" w14:textId="77777777" w:rsidR="003D7F3E" w:rsidRPr="00F82CDF" w:rsidRDefault="003D7F3E" w:rsidP="003D7F3E">
            <w:pPr>
              <w:pStyle w:val="TableofAuthorities"/>
            </w:pPr>
            <w:bookmarkStart w:id="92" w:name="_Toc305157621"/>
            <w:r w:rsidRPr="00F82CDF">
              <w:t xml:space="preserve">R1 </w:t>
            </w:r>
            <w:bookmarkEnd w:id="92"/>
            <w:r w:rsidRPr="00F82CDF">
              <w:t>freq.</w:t>
            </w:r>
          </w:p>
        </w:tc>
        <w:tc>
          <w:tcPr>
            <w:tcW w:w="1199" w:type="dxa"/>
            <w:tcBorders>
              <w:top w:val="single" w:sz="8" w:space="0" w:color="4F81BD" w:themeColor="accent1"/>
              <w:left w:val="single" w:sz="8" w:space="0" w:color="4F81BD" w:themeColor="accent1"/>
              <w:bottom w:val="single" w:sz="8" w:space="0" w:color="4F81BD" w:themeColor="accent1"/>
            </w:tcBorders>
            <w:shd w:val="clear" w:color="auto" w:fill="DAEEF3" w:themeFill="accent5" w:themeFillTint="33"/>
            <w:noWrap/>
            <w:hideMark/>
          </w:tcPr>
          <w:p w14:paraId="40E32A54" w14:textId="77777777" w:rsidR="003D7F3E" w:rsidRPr="00F82CDF" w:rsidRDefault="003D7F3E" w:rsidP="003D7F3E">
            <w:pPr>
              <w:pStyle w:val="TableofAuthorities"/>
            </w:pPr>
            <w:bookmarkStart w:id="93" w:name="_Toc305157622"/>
            <w:r w:rsidRPr="00F82CDF">
              <w:t xml:space="preserve">R3 </w:t>
            </w:r>
            <w:bookmarkEnd w:id="93"/>
            <w:r w:rsidRPr="00F82CDF">
              <w:t>freq.</w:t>
            </w:r>
          </w:p>
        </w:tc>
        <w:tc>
          <w:tcPr>
            <w:tcW w:w="1199" w:type="dxa"/>
            <w:tcBorders>
              <w:top w:val="single" w:sz="8" w:space="0" w:color="4F81BD" w:themeColor="accent1"/>
              <w:left w:val="single" w:sz="8" w:space="0" w:color="4F81BD" w:themeColor="accent1"/>
              <w:bottom w:val="single" w:sz="8" w:space="0" w:color="4F81BD" w:themeColor="accent1"/>
            </w:tcBorders>
            <w:shd w:val="clear" w:color="auto" w:fill="DAEEF3" w:themeFill="accent5" w:themeFillTint="33"/>
          </w:tcPr>
          <w:p w14:paraId="65DBA17E" w14:textId="77777777" w:rsidR="003D7F3E" w:rsidRPr="00F82CDF" w:rsidRDefault="003D7F3E" w:rsidP="003D7F3E">
            <w:pPr>
              <w:pStyle w:val="TableofAuthorities"/>
            </w:pPr>
            <w:r w:rsidRPr="00F82CDF">
              <w:t>R1 &amp; R3 (</w:t>
            </w:r>
            <w:r w:rsidRPr="00F82CDF">
              <w:rPr>
                <w:i/>
              </w:rPr>
              <w:t>X and X</w:t>
            </w:r>
            <w:r w:rsidRPr="00F82CDF">
              <w:t>)</w:t>
            </w:r>
          </w:p>
        </w:tc>
      </w:tr>
      <w:tr w:rsidR="003D7F3E" w:rsidRPr="00F82CDF" w14:paraId="7F509682" w14:textId="77777777" w:rsidTr="003D7F3E">
        <w:trPr>
          <w:trHeight w:val="261"/>
        </w:trPr>
        <w:tc>
          <w:tcPr>
            <w:tcW w:w="1498" w:type="dxa"/>
            <w:tcBorders>
              <w:top w:val="single" w:sz="8" w:space="0" w:color="4F81BD" w:themeColor="accent1"/>
              <w:left w:val="single" w:sz="8" w:space="0" w:color="4F81BD" w:themeColor="accent1"/>
              <w:bottom w:val="nil"/>
              <w:right w:val="single" w:sz="8" w:space="0" w:color="4F81BD" w:themeColor="accent1"/>
            </w:tcBorders>
            <w:shd w:val="clear" w:color="auto" w:fill="DAEEF3" w:themeFill="accent5" w:themeFillTint="33"/>
            <w:noWrap/>
            <w:hideMark/>
          </w:tcPr>
          <w:p w14:paraId="6F02B3EC" w14:textId="77777777" w:rsidR="003D7F3E" w:rsidRPr="00F82CDF" w:rsidRDefault="003D7F3E" w:rsidP="003D7F3E">
            <w:pPr>
              <w:pStyle w:val="TableofAuthorities"/>
            </w:pPr>
            <w:bookmarkStart w:id="94" w:name="_Toc305157623"/>
            <w:r w:rsidRPr="00F82CDF">
              <w:t>FAINTER</w:t>
            </w:r>
            <w:bookmarkEnd w:id="94"/>
          </w:p>
        </w:tc>
        <w:tc>
          <w:tcPr>
            <w:tcW w:w="901" w:type="dxa"/>
            <w:tcBorders>
              <w:top w:val="single" w:sz="8" w:space="0" w:color="4F81BD" w:themeColor="accent1"/>
              <w:left w:val="single" w:sz="8" w:space="0" w:color="4F81BD" w:themeColor="accent1"/>
              <w:bottom w:val="nil"/>
              <w:right w:val="nil"/>
            </w:tcBorders>
            <w:shd w:val="clear" w:color="auto" w:fill="auto"/>
            <w:noWrap/>
            <w:hideMark/>
          </w:tcPr>
          <w:p w14:paraId="55BD51C1" w14:textId="77777777" w:rsidR="003D7F3E" w:rsidRPr="00F82CDF" w:rsidRDefault="003D7F3E" w:rsidP="003D7F3E">
            <w:pPr>
              <w:pStyle w:val="TableofAuthorities"/>
            </w:pPr>
            <w:bookmarkStart w:id="95" w:name="_Toc305157624"/>
            <w:r w:rsidRPr="00F82CDF">
              <w:t>53</w:t>
            </w:r>
            <w:bookmarkEnd w:id="95"/>
          </w:p>
        </w:tc>
        <w:tc>
          <w:tcPr>
            <w:tcW w:w="1199" w:type="dxa"/>
            <w:tcBorders>
              <w:top w:val="single" w:sz="8" w:space="0" w:color="4F81BD" w:themeColor="accent1"/>
              <w:left w:val="nil"/>
              <w:bottom w:val="nil"/>
              <w:right w:val="nil"/>
            </w:tcBorders>
            <w:shd w:val="clear" w:color="auto" w:fill="auto"/>
            <w:noWrap/>
            <w:hideMark/>
          </w:tcPr>
          <w:p w14:paraId="5AF63E0A" w14:textId="77777777" w:rsidR="003D7F3E" w:rsidRPr="00F82CDF" w:rsidRDefault="003D7F3E" w:rsidP="003D7F3E">
            <w:pPr>
              <w:pStyle w:val="TableofAuthorities"/>
            </w:pPr>
            <w:r w:rsidRPr="00F82CDF">
              <w:t>1.80</w:t>
            </w:r>
          </w:p>
        </w:tc>
        <w:tc>
          <w:tcPr>
            <w:tcW w:w="1199" w:type="dxa"/>
            <w:tcBorders>
              <w:top w:val="single" w:sz="8" w:space="0" w:color="4F81BD" w:themeColor="accent1"/>
              <w:left w:val="nil"/>
              <w:bottom w:val="nil"/>
              <w:right w:val="nil"/>
            </w:tcBorders>
            <w:shd w:val="clear" w:color="auto" w:fill="auto"/>
            <w:noWrap/>
            <w:hideMark/>
          </w:tcPr>
          <w:p w14:paraId="33B6F92C" w14:textId="77777777" w:rsidR="003D7F3E" w:rsidRPr="00F82CDF" w:rsidRDefault="003D7F3E" w:rsidP="003D7F3E">
            <w:pPr>
              <w:pStyle w:val="TableofAuthorities"/>
            </w:pPr>
            <w:r w:rsidRPr="00F82CDF">
              <w:t>31</w:t>
            </w:r>
          </w:p>
        </w:tc>
        <w:tc>
          <w:tcPr>
            <w:tcW w:w="1199" w:type="dxa"/>
            <w:tcBorders>
              <w:top w:val="single" w:sz="8" w:space="0" w:color="4F81BD" w:themeColor="accent1"/>
              <w:left w:val="nil"/>
              <w:bottom w:val="nil"/>
              <w:right w:val="single" w:sz="8" w:space="0" w:color="4F81BD" w:themeColor="accent1"/>
            </w:tcBorders>
            <w:shd w:val="clear" w:color="auto" w:fill="auto"/>
            <w:noWrap/>
            <w:hideMark/>
          </w:tcPr>
          <w:p w14:paraId="0D81EA46" w14:textId="77777777" w:rsidR="003D7F3E" w:rsidRPr="00F82CDF" w:rsidRDefault="003D7F3E" w:rsidP="003D7F3E">
            <w:pPr>
              <w:pStyle w:val="TableofAuthorities"/>
            </w:pPr>
            <w:r w:rsidRPr="00F82CDF">
              <w:t>22</w:t>
            </w:r>
          </w:p>
        </w:tc>
        <w:tc>
          <w:tcPr>
            <w:tcW w:w="1199" w:type="dxa"/>
            <w:tcBorders>
              <w:top w:val="single" w:sz="8" w:space="0" w:color="4F81BD" w:themeColor="accent1"/>
              <w:left w:val="nil"/>
              <w:bottom w:val="nil"/>
              <w:right w:val="single" w:sz="8" w:space="0" w:color="4F81BD" w:themeColor="accent1"/>
            </w:tcBorders>
          </w:tcPr>
          <w:p w14:paraId="4C053860" w14:textId="77777777" w:rsidR="003D7F3E" w:rsidRPr="00F82CDF" w:rsidRDefault="003D7F3E" w:rsidP="003D7F3E">
            <w:pPr>
              <w:pStyle w:val="TableofAuthorities"/>
            </w:pPr>
            <w:r w:rsidRPr="00F82CDF">
              <w:t>22</w:t>
            </w:r>
          </w:p>
        </w:tc>
      </w:tr>
      <w:tr w:rsidR="003D7F3E" w:rsidRPr="00F82CDF" w14:paraId="6E359562"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51AAFF0C" w14:textId="77777777" w:rsidR="003D7F3E" w:rsidRPr="00F82CDF" w:rsidRDefault="003D7F3E" w:rsidP="003D7F3E">
            <w:pPr>
              <w:pStyle w:val="TableofAuthorities"/>
            </w:pPr>
            <w:bookmarkStart w:id="96" w:name="_Toc305157628"/>
            <w:r w:rsidRPr="00F82CDF">
              <w:t>LOUDER</w:t>
            </w:r>
            <w:bookmarkEnd w:id="96"/>
          </w:p>
        </w:tc>
        <w:tc>
          <w:tcPr>
            <w:tcW w:w="901" w:type="dxa"/>
            <w:tcBorders>
              <w:top w:val="nil"/>
              <w:left w:val="single" w:sz="8" w:space="0" w:color="4F81BD" w:themeColor="accent1"/>
              <w:bottom w:val="nil"/>
              <w:right w:val="nil"/>
            </w:tcBorders>
            <w:shd w:val="clear" w:color="auto" w:fill="auto"/>
            <w:noWrap/>
            <w:hideMark/>
          </w:tcPr>
          <w:p w14:paraId="28075916" w14:textId="77777777" w:rsidR="003D7F3E" w:rsidRPr="00F82CDF" w:rsidRDefault="003D7F3E" w:rsidP="003D7F3E">
            <w:pPr>
              <w:pStyle w:val="TableofAuthorities"/>
            </w:pPr>
            <w:bookmarkStart w:id="97" w:name="_Toc305157629"/>
            <w:r w:rsidRPr="00F82CDF">
              <w:t>43</w:t>
            </w:r>
            <w:bookmarkEnd w:id="97"/>
          </w:p>
        </w:tc>
        <w:tc>
          <w:tcPr>
            <w:tcW w:w="1199" w:type="dxa"/>
            <w:tcBorders>
              <w:top w:val="nil"/>
              <w:left w:val="nil"/>
              <w:bottom w:val="nil"/>
              <w:right w:val="nil"/>
            </w:tcBorders>
            <w:shd w:val="clear" w:color="auto" w:fill="auto"/>
            <w:noWrap/>
            <w:hideMark/>
          </w:tcPr>
          <w:p w14:paraId="3CF15FC8" w14:textId="77777777" w:rsidR="003D7F3E" w:rsidRPr="00F82CDF" w:rsidRDefault="003D7F3E" w:rsidP="003D7F3E">
            <w:pPr>
              <w:pStyle w:val="TableofAuthorities"/>
            </w:pPr>
            <w:r w:rsidRPr="00F82CDF">
              <w:t>1.46</w:t>
            </w:r>
          </w:p>
        </w:tc>
        <w:tc>
          <w:tcPr>
            <w:tcW w:w="1199" w:type="dxa"/>
            <w:tcBorders>
              <w:top w:val="nil"/>
              <w:left w:val="nil"/>
              <w:bottom w:val="nil"/>
              <w:right w:val="nil"/>
            </w:tcBorders>
            <w:shd w:val="clear" w:color="auto" w:fill="auto"/>
            <w:noWrap/>
            <w:hideMark/>
          </w:tcPr>
          <w:p w14:paraId="12F45DBE" w14:textId="77777777" w:rsidR="003D7F3E" w:rsidRPr="00F82CDF" w:rsidRDefault="003D7F3E" w:rsidP="003D7F3E">
            <w:pPr>
              <w:pStyle w:val="TableofAuthorities"/>
            </w:pPr>
            <w:r w:rsidRPr="00F82CDF">
              <w:t>32</w:t>
            </w:r>
          </w:p>
        </w:tc>
        <w:tc>
          <w:tcPr>
            <w:tcW w:w="1199" w:type="dxa"/>
            <w:tcBorders>
              <w:top w:val="nil"/>
              <w:left w:val="nil"/>
              <w:bottom w:val="nil"/>
              <w:right w:val="single" w:sz="8" w:space="0" w:color="4F81BD" w:themeColor="accent1"/>
            </w:tcBorders>
            <w:shd w:val="clear" w:color="auto" w:fill="auto"/>
            <w:noWrap/>
            <w:hideMark/>
          </w:tcPr>
          <w:p w14:paraId="43BCEC95" w14:textId="77777777" w:rsidR="003D7F3E" w:rsidRPr="00F82CDF" w:rsidRDefault="003D7F3E" w:rsidP="003D7F3E">
            <w:pPr>
              <w:pStyle w:val="TableofAuthorities"/>
            </w:pPr>
            <w:r w:rsidRPr="00F82CDF">
              <w:t>10</w:t>
            </w:r>
          </w:p>
        </w:tc>
        <w:tc>
          <w:tcPr>
            <w:tcW w:w="1199" w:type="dxa"/>
            <w:tcBorders>
              <w:top w:val="nil"/>
              <w:left w:val="nil"/>
              <w:bottom w:val="nil"/>
              <w:right w:val="single" w:sz="8" w:space="0" w:color="4F81BD" w:themeColor="accent1"/>
            </w:tcBorders>
          </w:tcPr>
          <w:p w14:paraId="41CCF090" w14:textId="77777777" w:rsidR="003D7F3E" w:rsidRPr="00F82CDF" w:rsidRDefault="003D7F3E" w:rsidP="003D7F3E">
            <w:pPr>
              <w:pStyle w:val="TableofAuthorities"/>
            </w:pPr>
            <w:r w:rsidRPr="00F82CDF">
              <w:t>9</w:t>
            </w:r>
          </w:p>
        </w:tc>
      </w:tr>
      <w:tr w:rsidR="003D7F3E" w:rsidRPr="00F82CDF" w14:paraId="3CE06A82"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18B0BEF9" w14:textId="77777777" w:rsidR="003D7F3E" w:rsidRPr="00F82CDF" w:rsidRDefault="003D7F3E" w:rsidP="003D7F3E">
            <w:pPr>
              <w:pStyle w:val="TableofAuthorities"/>
            </w:pPr>
            <w:bookmarkStart w:id="98" w:name="_Toc305157633"/>
            <w:r w:rsidRPr="00F82CDF">
              <w:t>STRONGER</w:t>
            </w:r>
            <w:bookmarkEnd w:id="98"/>
          </w:p>
        </w:tc>
        <w:tc>
          <w:tcPr>
            <w:tcW w:w="901" w:type="dxa"/>
            <w:tcBorders>
              <w:top w:val="nil"/>
              <w:left w:val="single" w:sz="8" w:space="0" w:color="4F81BD" w:themeColor="accent1"/>
              <w:bottom w:val="nil"/>
              <w:right w:val="nil"/>
            </w:tcBorders>
            <w:shd w:val="clear" w:color="auto" w:fill="auto"/>
            <w:noWrap/>
            <w:hideMark/>
          </w:tcPr>
          <w:p w14:paraId="4F9B1F5D" w14:textId="77777777" w:rsidR="003D7F3E" w:rsidRPr="00F82CDF" w:rsidRDefault="003D7F3E" w:rsidP="003D7F3E">
            <w:pPr>
              <w:pStyle w:val="TableofAuthorities"/>
            </w:pPr>
            <w:bookmarkStart w:id="99" w:name="_Toc305157634"/>
            <w:r w:rsidRPr="00F82CDF">
              <w:t>40</w:t>
            </w:r>
            <w:bookmarkEnd w:id="99"/>
          </w:p>
        </w:tc>
        <w:tc>
          <w:tcPr>
            <w:tcW w:w="1199" w:type="dxa"/>
            <w:tcBorders>
              <w:top w:val="nil"/>
              <w:left w:val="nil"/>
              <w:bottom w:val="nil"/>
              <w:right w:val="nil"/>
            </w:tcBorders>
            <w:shd w:val="clear" w:color="auto" w:fill="auto"/>
            <w:noWrap/>
            <w:hideMark/>
          </w:tcPr>
          <w:p w14:paraId="0D0F0283" w14:textId="77777777" w:rsidR="003D7F3E" w:rsidRPr="00F82CDF" w:rsidRDefault="003D7F3E" w:rsidP="003D7F3E">
            <w:pPr>
              <w:pStyle w:val="TableofAuthorities"/>
            </w:pPr>
            <w:r w:rsidRPr="00F82CDF">
              <w:t>1.36</w:t>
            </w:r>
          </w:p>
        </w:tc>
        <w:tc>
          <w:tcPr>
            <w:tcW w:w="1199" w:type="dxa"/>
            <w:tcBorders>
              <w:top w:val="nil"/>
              <w:left w:val="nil"/>
              <w:bottom w:val="nil"/>
              <w:right w:val="nil"/>
            </w:tcBorders>
            <w:shd w:val="clear" w:color="auto" w:fill="auto"/>
            <w:noWrap/>
            <w:hideMark/>
          </w:tcPr>
          <w:p w14:paraId="13E01942" w14:textId="77777777" w:rsidR="003D7F3E" w:rsidRPr="00F82CDF" w:rsidRDefault="003D7F3E" w:rsidP="003D7F3E">
            <w:pPr>
              <w:pStyle w:val="TableofAuthorities"/>
            </w:pPr>
            <w:r w:rsidRPr="00F82CDF">
              <w:t>25</w:t>
            </w:r>
          </w:p>
        </w:tc>
        <w:tc>
          <w:tcPr>
            <w:tcW w:w="1199" w:type="dxa"/>
            <w:tcBorders>
              <w:top w:val="nil"/>
              <w:left w:val="nil"/>
              <w:bottom w:val="nil"/>
              <w:right w:val="single" w:sz="8" w:space="0" w:color="4F81BD" w:themeColor="accent1"/>
            </w:tcBorders>
            <w:shd w:val="clear" w:color="auto" w:fill="auto"/>
            <w:noWrap/>
            <w:hideMark/>
          </w:tcPr>
          <w:p w14:paraId="1735BF43" w14:textId="77777777" w:rsidR="003D7F3E" w:rsidRPr="00F82CDF" w:rsidRDefault="003D7F3E" w:rsidP="003D7F3E">
            <w:pPr>
              <w:pStyle w:val="TableofAuthorities"/>
            </w:pPr>
            <w:r w:rsidRPr="00F82CDF">
              <w:t>8</w:t>
            </w:r>
          </w:p>
        </w:tc>
        <w:tc>
          <w:tcPr>
            <w:tcW w:w="1199" w:type="dxa"/>
            <w:tcBorders>
              <w:top w:val="nil"/>
              <w:left w:val="nil"/>
              <w:bottom w:val="nil"/>
              <w:right w:val="single" w:sz="8" w:space="0" w:color="4F81BD" w:themeColor="accent1"/>
            </w:tcBorders>
          </w:tcPr>
          <w:p w14:paraId="03F72F5B" w14:textId="77777777" w:rsidR="003D7F3E" w:rsidRPr="00F82CDF" w:rsidRDefault="003D7F3E" w:rsidP="003D7F3E">
            <w:pPr>
              <w:pStyle w:val="TableofAuthorities"/>
            </w:pPr>
            <w:r w:rsidRPr="00F82CDF">
              <w:t>6</w:t>
            </w:r>
          </w:p>
        </w:tc>
      </w:tr>
      <w:tr w:rsidR="003D7F3E" w:rsidRPr="00F82CDF" w14:paraId="1E35E4A6"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0862DCC4" w14:textId="77777777" w:rsidR="003D7F3E" w:rsidRPr="00F82CDF" w:rsidRDefault="003D7F3E" w:rsidP="003D7F3E">
            <w:pPr>
              <w:pStyle w:val="TableofAuthorities"/>
            </w:pPr>
            <w:bookmarkStart w:id="100" w:name="_Toc305157638"/>
            <w:r w:rsidRPr="00F82CDF">
              <w:t>DARKER</w:t>
            </w:r>
            <w:bookmarkEnd w:id="100"/>
          </w:p>
        </w:tc>
        <w:tc>
          <w:tcPr>
            <w:tcW w:w="901" w:type="dxa"/>
            <w:tcBorders>
              <w:top w:val="nil"/>
              <w:left w:val="single" w:sz="8" w:space="0" w:color="4F81BD" w:themeColor="accent1"/>
              <w:bottom w:val="nil"/>
              <w:right w:val="nil"/>
            </w:tcBorders>
            <w:shd w:val="clear" w:color="auto" w:fill="auto"/>
            <w:noWrap/>
            <w:hideMark/>
          </w:tcPr>
          <w:p w14:paraId="53BBEF05" w14:textId="77777777" w:rsidR="003D7F3E" w:rsidRPr="00F82CDF" w:rsidRDefault="003D7F3E" w:rsidP="003D7F3E">
            <w:pPr>
              <w:pStyle w:val="TableofAuthorities"/>
            </w:pPr>
            <w:bookmarkStart w:id="101" w:name="_Toc305157639"/>
            <w:r w:rsidRPr="00F82CDF">
              <w:t>37</w:t>
            </w:r>
            <w:bookmarkEnd w:id="101"/>
          </w:p>
        </w:tc>
        <w:tc>
          <w:tcPr>
            <w:tcW w:w="1199" w:type="dxa"/>
            <w:tcBorders>
              <w:top w:val="nil"/>
              <w:left w:val="nil"/>
              <w:bottom w:val="nil"/>
              <w:right w:val="nil"/>
            </w:tcBorders>
            <w:shd w:val="clear" w:color="auto" w:fill="auto"/>
            <w:noWrap/>
            <w:hideMark/>
          </w:tcPr>
          <w:p w14:paraId="6BCD65E9" w14:textId="77777777" w:rsidR="003D7F3E" w:rsidRPr="00F82CDF" w:rsidRDefault="003D7F3E" w:rsidP="003D7F3E">
            <w:pPr>
              <w:pStyle w:val="TableofAuthorities"/>
            </w:pPr>
            <w:r w:rsidRPr="00F82CDF">
              <w:t>1.26</w:t>
            </w:r>
          </w:p>
        </w:tc>
        <w:tc>
          <w:tcPr>
            <w:tcW w:w="1199" w:type="dxa"/>
            <w:tcBorders>
              <w:top w:val="nil"/>
              <w:left w:val="nil"/>
              <w:bottom w:val="nil"/>
              <w:right w:val="nil"/>
            </w:tcBorders>
            <w:shd w:val="clear" w:color="auto" w:fill="auto"/>
            <w:noWrap/>
            <w:hideMark/>
          </w:tcPr>
          <w:p w14:paraId="41CB8658" w14:textId="77777777" w:rsidR="003D7F3E" w:rsidRPr="00F82CDF" w:rsidRDefault="003D7F3E" w:rsidP="003D7F3E">
            <w:pPr>
              <w:pStyle w:val="TableofAuthorities"/>
            </w:pPr>
            <w:r w:rsidRPr="00F82CDF">
              <w:t>28</w:t>
            </w:r>
          </w:p>
        </w:tc>
        <w:tc>
          <w:tcPr>
            <w:tcW w:w="1199" w:type="dxa"/>
            <w:tcBorders>
              <w:top w:val="nil"/>
              <w:left w:val="nil"/>
              <w:bottom w:val="nil"/>
              <w:right w:val="single" w:sz="8" w:space="0" w:color="4F81BD" w:themeColor="accent1"/>
            </w:tcBorders>
            <w:shd w:val="clear" w:color="auto" w:fill="auto"/>
            <w:noWrap/>
            <w:hideMark/>
          </w:tcPr>
          <w:p w14:paraId="37EDAA9F" w14:textId="77777777" w:rsidR="003D7F3E" w:rsidRPr="00F82CDF" w:rsidRDefault="003D7F3E" w:rsidP="003D7F3E">
            <w:pPr>
              <w:pStyle w:val="TableofAuthorities"/>
            </w:pPr>
            <w:r w:rsidRPr="00F82CDF">
              <w:t>8</w:t>
            </w:r>
          </w:p>
        </w:tc>
        <w:tc>
          <w:tcPr>
            <w:tcW w:w="1199" w:type="dxa"/>
            <w:tcBorders>
              <w:top w:val="nil"/>
              <w:left w:val="nil"/>
              <w:bottom w:val="nil"/>
              <w:right w:val="single" w:sz="8" w:space="0" w:color="4F81BD" w:themeColor="accent1"/>
            </w:tcBorders>
          </w:tcPr>
          <w:p w14:paraId="33B768A2" w14:textId="77777777" w:rsidR="003D7F3E" w:rsidRPr="00F82CDF" w:rsidRDefault="003D7F3E" w:rsidP="003D7F3E">
            <w:pPr>
              <w:pStyle w:val="TableofAuthorities"/>
            </w:pPr>
            <w:r w:rsidRPr="00F82CDF">
              <w:t>8</w:t>
            </w:r>
          </w:p>
        </w:tc>
      </w:tr>
      <w:tr w:rsidR="003D7F3E" w:rsidRPr="00F82CDF" w14:paraId="41A2D2F8"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149166F6" w14:textId="77777777" w:rsidR="003D7F3E" w:rsidRPr="00F82CDF" w:rsidRDefault="003D7F3E" w:rsidP="003D7F3E">
            <w:pPr>
              <w:pStyle w:val="TableofAuthorities"/>
            </w:pPr>
            <w:bookmarkStart w:id="102" w:name="_Toc305157643"/>
            <w:r w:rsidRPr="00F82CDF">
              <w:t>HEAVIER</w:t>
            </w:r>
            <w:bookmarkEnd w:id="102"/>
          </w:p>
        </w:tc>
        <w:tc>
          <w:tcPr>
            <w:tcW w:w="901" w:type="dxa"/>
            <w:tcBorders>
              <w:top w:val="nil"/>
              <w:left w:val="single" w:sz="8" w:space="0" w:color="4F81BD" w:themeColor="accent1"/>
              <w:bottom w:val="nil"/>
              <w:right w:val="nil"/>
            </w:tcBorders>
            <w:shd w:val="clear" w:color="auto" w:fill="auto"/>
            <w:noWrap/>
            <w:hideMark/>
          </w:tcPr>
          <w:p w14:paraId="292796C1" w14:textId="77777777" w:rsidR="003D7F3E" w:rsidRPr="00F82CDF" w:rsidRDefault="003D7F3E" w:rsidP="003D7F3E">
            <w:pPr>
              <w:pStyle w:val="TableofAuthorities"/>
            </w:pPr>
            <w:bookmarkStart w:id="103" w:name="_Toc305157644"/>
            <w:r w:rsidRPr="00F82CDF">
              <w:t>26</w:t>
            </w:r>
            <w:bookmarkEnd w:id="103"/>
          </w:p>
        </w:tc>
        <w:tc>
          <w:tcPr>
            <w:tcW w:w="1199" w:type="dxa"/>
            <w:tcBorders>
              <w:top w:val="nil"/>
              <w:left w:val="nil"/>
              <w:bottom w:val="nil"/>
              <w:right w:val="nil"/>
            </w:tcBorders>
            <w:shd w:val="clear" w:color="auto" w:fill="auto"/>
            <w:noWrap/>
            <w:hideMark/>
          </w:tcPr>
          <w:p w14:paraId="6ECF241B" w14:textId="77777777" w:rsidR="003D7F3E" w:rsidRPr="00F82CDF" w:rsidRDefault="003D7F3E" w:rsidP="003D7F3E">
            <w:pPr>
              <w:pStyle w:val="TableofAuthorities"/>
            </w:pPr>
            <w:r w:rsidRPr="00F82CDF">
              <w:t>0.88</w:t>
            </w:r>
          </w:p>
        </w:tc>
        <w:tc>
          <w:tcPr>
            <w:tcW w:w="1199" w:type="dxa"/>
            <w:tcBorders>
              <w:top w:val="nil"/>
              <w:left w:val="nil"/>
              <w:bottom w:val="nil"/>
              <w:right w:val="nil"/>
            </w:tcBorders>
            <w:shd w:val="clear" w:color="auto" w:fill="auto"/>
            <w:noWrap/>
            <w:hideMark/>
          </w:tcPr>
          <w:p w14:paraId="1BA91047" w14:textId="77777777" w:rsidR="003D7F3E" w:rsidRPr="00F82CDF" w:rsidRDefault="003D7F3E" w:rsidP="003D7F3E">
            <w:pPr>
              <w:pStyle w:val="TableofAuthorities"/>
            </w:pPr>
            <w:r w:rsidRPr="00F82CDF">
              <w:t>15</w:t>
            </w:r>
          </w:p>
        </w:tc>
        <w:tc>
          <w:tcPr>
            <w:tcW w:w="1199" w:type="dxa"/>
            <w:tcBorders>
              <w:top w:val="nil"/>
              <w:left w:val="nil"/>
              <w:bottom w:val="nil"/>
              <w:right w:val="single" w:sz="8" w:space="0" w:color="4F81BD" w:themeColor="accent1"/>
            </w:tcBorders>
            <w:shd w:val="clear" w:color="auto" w:fill="auto"/>
            <w:noWrap/>
            <w:hideMark/>
          </w:tcPr>
          <w:p w14:paraId="3FE23FFF" w14:textId="77777777" w:rsidR="003D7F3E" w:rsidRPr="00F82CDF" w:rsidRDefault="003D7F3E" w:rsidP="003D7F3E">
            <w:pPr>
              <w:pStyle w:val="TableofAuthorities"/>
            </w:pPr>
            <w:r w:rsidRPr="00F82CDF">
              <w:t>2</w:t>
            </w:r>
          </w:p>
        </w:tc>
        <w:tc>
          <w:tcPr>
            <w:tcW w:w="1199" w:type="dxa"/>
            <w:tcBorders>
              <w:top w:val="nil"/>
              <w:left w:val="nil"/>
              <w:bottom w:val="nil"/>
              <w:right w:val="single" w:sz="8" w:space="0" w:color="4F81BD" w:themeColor="accent1"/>
            </w:tcBorders>
          </w:tcPr>
          <w:p w14:paraId="65BDE90F" w14:textId="77777777" w:rsidR="003D7F3E" w:rsidRPr="00F82CDF" w:rsidRDefault="003D7F3E" w:rsidP="003D7F3E">
            <w:pPr>
              <w:pStyle w:val="TableofAuthorities"/>
            </w:pPr>
            <w:r w:rsidRPr="00F82CDF">
              <w:t>3</w:t>
            </w:r>
          </w:p>
        </w:tc>
      </w:tr>
      <w:tr w:rsidR="003D7F3E" w:rsidRPr="00F82CDF" w14:paraId="60E90E40"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1E844ADD" w14:textId="77777777" w:rsidR="003D7F3E" w:rsidRPr="00F82CDF" w:rsidRDefault="003D7F3E" w:rsidP="003D7F3E">
            <w:pPr>
              <w:pStyle w:val="TableofAuthorities"/>
            </w:pPr>
            <w:bookmarkStart w:id="104" w:name="_Toc305157648"/>
            <w:r w:rsidRPr="00F82CDF">
              <w:t>BRIGHTER</w:t>
            </w:r>
            <w:bookmarkEnd w:id="104"/>
          </w:p>
        </w:tc>
        <w:tc>
          <w:tcPr>
            <w:tcW w:w="901" w:type="dxa"/>
            <w:tcBorders>
              <w:top w:val="nil"/>
              <w:left w:val="single" w:sz="8" w:space="0" w:color="4F81BD" w:themeColor="accent1"/>
              <w:bottom w:val="nil"/>
              <w:right w:val="nil"/>
            </w:tcBorders>
            <w:shd w:val="clear" w:color="auto" w:fill="auto"/>
            <w:noWrap/>
            <w:hideMark/>
          </w:tcPr>
          <w:p w14:paraId="5438C0CC" w14:textId="77777777" w:rsidR="003D7F3E" w:rsidRPr="00F82CDF" w:rsidRDefault="003D7F3E" w:rsidP="003D7F3E">
            <w:pPr>
              <w:pStyle w:val="TableofAuthorities"/>
            </w:pPr>
            <w:bookmarkStart w:id="105" w:name="_Toc305157649"/>
            <w:r w:rsidRPr="00F82CDF">
              <w:t>23</w:t>
            </w:r>
            <w:bookmarkEnd w:id="105"/>
          </w:p>
        </w:tc>
        <w:tc>
          <w:tcPr>
            <w:tcW w:w="1199" w:type="dxa"/>
            <w:tcBorders>
              <w:top w:val="nil"/>
              <w:left w:val="nil"/>
              <w:bottom w:val="nil"/>
              <w:right w:val="nil"/>
            </w:tcBorders>
            <w:shd w:val="clear" w:color="auto" w:fill="auto"/>
            <w:noWrap/>
            <w:hideMark/>
          </w:tcPr>
          <w:p w14:paraId="20493B03" w14:textId="77777777" w:rsidR="003D7F3E" w:rsidRPr="00F82CDF" w:rsidRDefault="003D7F3E" w:rsidP="003D7F3E">
            <w:pPr>
              <w:pStyle w:val="TableofAuthorities"/>
            </w:pPr>
            <w:r w:rsidRPr="00F82CDF">
              <w:t>0.78</w:t>
            </w:r>
          </w:p>
        </w:tc>
        <w:tc>
          <w:tcPr>
            <w:tcW w:w="1199" w:type="dxa"/>
            <w:tcBorders>
              <w:top w:val="nil"/>
              <w:left w:val="nil"/>
              <w:bottom w:val="nil"/>
              <w:right w:val="nil"/>
            </w:tcBorders>
            <w:shd w:val="clear" w:color="auto" w:fill="auto"/>
            <w:noWrap/>
            <w:hideMark/>
          </w:tcPr>
          <w:p w14:paraId="3469A0F5" w14:textId="77777777" w:rsidR="003D7F3E" w:rsidRPr="00F82CDF" w:rsidRDefault="003D7F3E" w:rsidP="003D7F3E">
            <w:pPr>
              <w:pStyle w:val="TableofAuthorities"/>
            </w:pPr>
            <w:r w:rsidRPr="00F82CDF">
              <w:t>13</w:t>
            </w:r>
          </w:p>
        </w:tc>
        <w:tc>
          <w:tcPr>
            <w:tcW w:w="1199" w:type="dxa"/>
            <w:tcBorders>
              <w:top w:val="nil"/>
              <w:left w:val="nil"/>
              <w:bottom w:val="nil"/>
              <w:right w:val="single" w:sz="8" w:space="0" w:color="4F81BD" w:themeColor="accent1"/>
            </w:tcBorders>
            <w:shd w:val="clear" w:color="auto" w:fill="auto"/>
            <w:noWrap/>
            <w:hideMark/>
          </w:tcPr>
          <w:p w14:paraId="535099B0" w14:textId="77777777" w:rsidR="003D7F3E" w:rsidRPr="00F82CDF" w:rsidRDefault="003D7F3E" w:rsidP="003D7F3E">
            <w:pPr>
              <w:pStyle w:val="TableofAuthorities"/>
            </w:pPr>
            <w:r w:rsidRPr="00F82CDF">
              <w:t>8</w:t>
            </w:r>
          </w:p>
        </w:tc>
        <w:tc>
          <w:tcPr>
            <w:tcW w:w="1199" w:type="dxa"/>
            <w:tcBorders>
              <w:top w:val="nil"/>
              <w:left w:val="nil"/>
              <w:bottom w:val="nil"/>
              <w:right w:val="single" w:sz="8" w:space="0" w:color="4F81BD" w:themeColor="accent1"/>
            </w:tcBorders>
          </w:tcPr>
          <w:p w14:paraId="5624E81A" w14:textId="77777777" w:rsidR="003D7F3E" w:rsidRPr="00F82CDF" w:rsidRDefault="003D7F3E" w:rsidP="003D7F3E">
            <w:pPr>
              <w:pStyle w:val="TableofAuthorities"/>
            </w:pPr>
            <w:r w:rsidRPr="00F82CDF">
              <w:t>5</w:t>
            </w:r>
          </w:p>
        </w:tc>
      </w:tr>
      <w:tr w:rsidR="003D7F3E" w:rsidRPr="00F82CDF" w14:paraId="507F1F3E"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67D4A129" w14:textId="77777777" w:rsidR="003D7F3E" w:rsidRPr="00F82CDF" w:rsidRDefault="003D7F3E" w:rsidP="003D7F3E">
            <w:pPr>
              <w:pStyle w:val="TableofAuthorities"/>
            </w:pPr>
            <w:bookmarkStart w:id="106" w:name="_Toc305157653"/>
            <w:r w:rsidRPr="00F82CDF">
              <w:t>PALER</w:t>
            </w:r>
            <w:bookmarkEnd w:id="106"/>
          </w:p>
        </w:tc>
        <w:tc>
          <w:tcPr>
            <w:tcW w:w="901" w:type="dxa"/>
            <w:tcBorders>
              <w:top w:val="nil"/>
              <w:left w:val="single" w:sz="8" w:space="0" w:color="4F81BD" w:themeColor="accent1"/>
              <w:bottom w:val="nil"/>
              <w:right w:val="nil"/>
            </w:tcBorders>
            <w:shd w:val="clear" w:color="auto" w:fill="auto"/>
            <w:noWrap/>
            <w:hideMark/>
          </w:tcPr>
          <w:p w14:paraId="6337A205" w14:textId="77777777" w:rsidR="003D7F3E" w:rsidRPr="00F82CDF" w:rsidRDefault="003D7F3E" w:rsidP="003D7F3E">
            <w:pPr>
              <w:pStyle w:val="TableofAuthorities"/>
            </w:pPr>
            <w:bookmarkStart w:id="107" w:name="_Toc305157654"/>
            <w:r w:rsidRPr="00F82CDF">
              <w:t>22</w:t>
            </w:r>
            <w:bookmarkEnd w:id="107"/>
          </w:p>
        </w:tc>
        <w:tc>
          <w:tcPr>
            <w:tcW w:w="1199" w:type="dxa"/>
            <w:tcBorders>
              <w:top w:val="nil"/>
              <w:left w:val="nil"/>
              <w:bottom w:val="nil"/>
              <w:right w:val="nil"/>
            </w:tcBorders>
            <w:shd w:val="clear" w:color="auto" w:fill="auto"/>
            <w:noWrap/>
            <w:hideMark/>
          </w:tcPr>
          <w:p w14:paraId="684F8AE2" w14:textId="77777777" w:rsidR="003D7F3E" w:rsidRPr="00F82CDF" w:rsidRDefault="003D7F3E" w:rsidP="003D7F3E">
            <w:pPr>
              <w:pStyle w:val="TableofAuthorities"/>
            </w:pPr>
            <w:r w:rsidRPr="00F82CDF">
              <w:t>0.75</w:t>
            </w:r>
          </w:p>
        </w:tc>
        <w:tc>
          <w:tcPr>
            <w:tcW w:w="1199" w:type="dxa"/>
            <w:tcBorders>
              <w:top w:val="nil"/>
              <w:left w:val="nil"/>
              <w:bottom w:val="nil"/>
              <w:right w:val="nil"/>
            </w:tcBorders>
            <w:shd w:val="clear" w:color="auto" w:fill="auto"/>
            <w:noWrap/>
            <w:hideMark/>
          </w:tcPr>
          <w:p w14:paraId="4E8FDD9D" w14:textId="77777777" w:rsidR="003D7F3E" w:rsidRPr="00F82CDF" w:rsidRDefault="003D7F3E" w:rsidP="003D7F3E">
            <w:pPr>
              <w:pStyle w:val="TableofAuthorities"/>
            </w:pPr>
            <w:r w:rsidRPr="00F82CDF">
              <w:t>13</w:t>
            </w:r>
          </w:p>
        </w:tc>
        <w:tc>
          <w:tcPr>
            <w:tcW w:w="1199" w:type="dxa"/>
            <w:tcBorders>
              <w:top w:val="nil"/>
              <w:left w:val="nil"/>
              <w:bottom w:val="nil"/>
              <w:right w:val="single" w:sz="8" w:space="0" w:color="4F81BD" w:themeColor="accent1"/>
            </w:tcBorders>
            <w:shd w:val="clear" w:color="auto" w:fill="auto"/>
            <w:noWrap/>
            <w:hideMark/>
          </w:tcPr>
          <w:p w14:paraId="00359DE4" w14:textId="77777777" w:rsidR="003D7F3E" w:rsidRPr="00F82CDF" w:rsidRDefault="003D7F3E" w:rsidP="003D7F3E">
            <w:pPr>
              <w:pStyle w:val="TableofAuthorities"/>
            </w:pPr>
            <w:r w:rsidRPr="00F82CDF">
              <w:t>8</w:t>
            </w:r>
          </w:p>
        </w:tc>
        <w:tc>
          <w:tcPr>
            <w:tcW w:w="1199" w:type="dxa"/>
            <w:tcBorders>
              <w:top w:val="nil"/>
              <w:left w:val="nil"/>
              <w:bottom w:val="nil"/>
              <w:right w:val="single" w:sz="8" w:space="0" w:color="4F81BD" w:themeColor="accent1"/>
            </w:tcBorders>
          </w:tcPr>
          <w:p w14:paraId="23F6DCBE" w14:textId="77777777" w:rsidR="003D7F3E" w:rsidRPr="00F82CDF" w:rsidRDefault="003D7F3E" w:rsidP="003D7F3E">
            <w:pPr>
              <w:pStyle w:val="TableofAuthorities"/>
            </w:pPr>
            <w:r w:rsidRPr="00F82CDF">
              <w:t>5</w:t>
            </w:r>
          </w:p>
        </w:tc>
      </w:tr>
      <w:tr w:rsidR="003D7F3E" w:rsidRPr="00F82CDF" w14:paraId="2698390C"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37DE7AEB" w14:textId="77777777" w:rsidR="003D7F3E" w:rsidRPr="00F82CDF" w:rsidRDefault="003D7F3E" w:rsidP="003D7F3E">
            <w:pPr>
              <w:pStyle w:val="TableofAuthorities"/>
            </w:pPr>
            <w:bookmarkStart w:id="108" w:name="_Toc305157658"/>
            <w:r w:rsidRPr="00F82CDF">
              <w:t>CALMER</w:t>
            </w:r>
            <w:bookmarkEnd w:id="108"/>
          </w:p>
        </w:tc>
        <w:tc>
          <w:tcPr>
            <w:tcW w:w="901" w:type="dxa"/>
            <w:tcBorders>
              <w:top w:val="nil"/>
              <w:left w:val="single" w:sz="8" w:space="0" w:color="4F81BD" w:themeColor="accent1"/>
              <w:bottom w:val="nil"/>
              <w:right w:val="nil"/>
            </w:tcBorders>
            <w:shd w:val="clear" w:color="auto" w:fill="auto"/>
            <w:noWrap/>
            <w:hideMark/>
          </w:tcPr>
          <w:p w14:paraId="6D1E6AB3" w14:textId="77777777" w:rsidR="003D7F3E" w:rsidRPr="00F82CDF" w:rsidRDefault="003D7F3E" w:rsidP="003D7F3E">
            <w:pPr>
              <w:pStyle w:val="TableofAuthorities"/>
            </w:pPr>
            <w:bookmarkStart w:id="109" w:name="_Toc305157659"/>
            <w:r w:rsidRPr="00F82CDF">
              <w:t>17</w:t>
            </w:r>
            <w:bookmarkEnd w:id="109"/>
          </w:p>
        </w:tc>
        <w:tc>
          <w:tcPr>
            <w:tcW w:w="1199" w:type="dxa"/>
            <w:tcBorders>
              <w:top w:val="nil"/>
              <w:left w:val="nil"/>
              <w:bottom w:val="nil"/>
              <w:right w:val="nil"/>
            </w:tcBorders>
            <w:shd w:val="clear" w:color="auto" w:fill="auto"/>
            <w:noWrap/>
            <w:hideMark/>
          </w:tcPr>
          <w:p w14:paraId="42F0535B" w14:textId="77777777" w:rsidR="003D7F3E" w:rsidRPr="00F82CDF" w:rsidRDefault="003D7F3E" w:rsidP="003D7F3E">
            <w:pPr>
              <w:pStyle w:val="TableofAuthorities"/>
            </w:pPr>
            <w:r w:rsidRPr="00F82CDF">
              <w:t>0.58</w:t>
            </w:r>
          </w:p>
        </w:tc>
        <w:tc>
          <w:tcPr>
            <w:tcW w:w="1199" w:type="dxa"/>
            <w:tcBorders>
              <w:top w:val="nil"/>
              <w:left w:val="nil"/>
              <w:bottom w:val="nil"/>
              <w:right w:val="nil"/>
            </w:tcBorders>
            <w:shd w:val="clear" w:color="auto" w:fill="auto"/>
            <w:noWrap/>
            <w:hideMark/>
          </w:tcPr>
          <w:p w14:paraId="18BAAD7E" w14:textId="77777777" w:rsidR="003D7F3E" w:rsidRPr="00F82CDF" w:rsidRDefault="003D7F3E" w:rsidP="003D7F3E">
            <w:pPr>
              <w:pStyle w:val="TableofAuthorities"/>
            </w:pPr>
            <w:r w:rsidRPr="00F82CDF">
              <w:t>16</w:t>
            </w:r>
          </w:p>
        </w:tc>
        <w:tc>
          <w:tcPr>
            <w:tcW w:w="1199" w:type="dxa"/>
            <w:tcBorders>
              <w:top w:val="nil"/>
              <w:left w:val="nil"/>
              <w:bottom w:val="nil"/>
              <w:right w:val="single" w:sz="8" w:space="0" w:color="4F81BD" w:themeColor="accent1"/>
            </w:tcBorders>
            <w:shd w:val="clear" w:color="auto" w:fill="auto"/>
            <w:noWrap/>
            <w:hideMark/>
          </w:tcPr>
          <w:p w14:paraId="4C9E6FAC" w14:textId="77777777" w:rsidR="003D7F3E" w:rsidRPr="00F82CDF" w:rsidRDefault="003D7F3E" w:rsidP="003D7F3E">
            <w:pPr>
              <w:pStyle w:val="TableofAuthorities"/>
            </w:pPr>
            <w:r w:rsidRPr="00F82CDF">
              <w:t>1</w:t>
            </w:r>
          </w:p>
        </w:tc>
        <w:tc>
          <w:tcPr>
            <w:tcW w:w="1199" w:type="dxa"/>
            <w:tcBorders>
              <w:top w:val="nil"/>
              <w:left w:val="nil"/>
              <w:bottom w:val="nil"/>
              <w:right w:val="single" w:sz="8" w:space="0" w:color="4F81BD" w:themeColor="accent1"/>
            </w:tcBorders>
          </w:tcPr>
          <w:p w14:paraId="752EFC76" w14:textId="77777777" w:rsidR="003D7F3E" w:rsidRPr="00F82CDF" w:rsidRDefault="003D7F3E" w:rsidP="003D7F3E">
            <w:pPr>
              <w:pStyle w:val="TableofAuthorities"/>
            </w:pPr>
            <w:r w:rsidRPr="00F82CDF">
              <w:t>-</w:t>
            </w:r>
          </w:p>
        </w:tc>
      </w:tr>
      <w:tr w:rsidR="003D7F3E" w:rsidRPr="00F82CDF" w14:paraId="7F00571B"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38D156B4" w14:textId="77777777" w:rsidR="003D7F3E" w:rsidRPr="00F82CDF" w:rsidRDefault="003D7F3E" w:rsidP="003D7F3E">
            <w:pPr>
              <w:pStyle w:val="TableofAuthorities"/>
            </w:pPr>
            <w:bookmarkStart w:id="110" w:name="_Toc305157663"/>
            <w:r w:rsidRPr="00F82CDF">
              <w:t>LARGER</w:t>
            </w:r>
            <w:bookmarkEnd w:id="110"/>
          </w:p>
        </w:tc>
        <w:tc>
          <w:tcPr>
            <w:tcW w:w="901" w:type="dxa"/>
            <w:tcBorders>
              <w:top w:val="nil"/>
              <w:left w:val="single" w:sz="8" w:space="0" w:color="4F81BD" w:themeColor="accent1"/>
              <w:bottom w:val="nil"/>
              <w:right w:val="nil"/>
            </w:tcBorders>
            <w:shd w:val="clear" w:color="auto" w:fill="auto"/>
            <w:noWrap/>
            <w:hideMark/>
          </w:tcPr>
          <w:p w14:paraId="51F80CF5" w14:textId="77777777" w:rsidR="003D7F3E" w:rsidRPr="00F82CDF" w:rsidRDefault="003D7F3E" w:rsidP="003D7F3E">
            <w:pPr>
              <w:pStyle w:val="TableofAuthorities"/>
            </w:pPr>
            <w:bookmarkStart w:id="111" w:name="_Toc305157664"/>
            <w:r w:rsidRPr="00F82CDF">
              <w:t>17</w:t>
            </w:r>
            <w:bookmarkEnd w:id="111"/>
          </w:p>
        </w:tc>
        <w:tc>
          <w:tcPr>
            <w:tcW w:w="1199" w:type="dxa"/>
            <w:tcBorders>
              <w:top w:val="nil"/>
              <w:left w:val="nil"/>
              <w:bottom w:val="nil"/>
              <w:right w:val="nil"/>
            </w:tcBorders>
            <w:shd w:val="clear" w:color="auto" w:fill="auto"/>
            <w:noWrap/>
            <w:hideMark/>
          </w:tcPr>
          <w:p w14:paraId="3415FD7A" w14:textId="77777777" w:rsidR="003D7F3E" w:rsidRPr="00F82CDF" w:rsidRDefault="003D7F3E" w:rsidP="003D7F3E">
            <w:pPr>
              <w:pStyle w:val="TableofAuthorities"/>
            </w:pPr>
            <w:r w:rsidRPr="00F82CDF">
              <w:t>0.58</w:t>
            </w:r>
          </w:p>
        </w:tc>
        <w:tc>
          <w:tcPr>
            <w:tcW w:w="1199" w:type="dxa"/>
            <w:tcBorders>
              <w:top w:val="nil"/>
              <w:left w:val="nil"/>
              <w:bottom w:val="nil"/>
              <w:right w:val="nil"/>
            </w:tcBorders>
            <w:shd w:val="clear" w:color="auto" w:fill="auto"/>
            <w:noWrap/>
            <w:hideMark/>
          </w:tcPr>
          <w:p w14:paraId="4AAA0F6E" w14:textId="77777777" w:rsidR="003D7F3E" w:rsidRPr="00F82CDF" w:rsidRDefault="003D7F3E" w:rsidP="003D7F3E">
            <w:pPr>
              <w:pStyle w:val="TableofAuthorities"/>
            </w:pPr>
            <w:r w:rsidRPr="00F82CDF">
              <w:t>13</w:t>
            </w:r>
          </w:p>
        </w:tc>
        <w:tc>
          <w:tcPr>
            <w:tcW w:w="1199" w:type="dxa"/>
            <w:tcBorders>
              <w:top w:val="nil"/>
              <w:left w:val="nil"/>
              <w:bottom w:val="nil"/>
              <w:right w:val="single" w:sz="8" w:space="0" w:color="4F81BD" w:themeColor="accent1"/>
            </w:tcBorders>
            <w:shd w:val="clear" w:color="auto" w:fill="auto"/>
            <w:noWrap/>
            <w:hideMark/>
          </w:tcPr>
          <w:p w14:paraId="791ECE31" w14:textId="77777777" w:rsidR="003D7F3E" w:rsidRPr="00F82CDF" w:rsidRDefault="003D7F3E" w:rsidP="003D7F3E">
            <w:pPr>
              <w:pStyle w:val="TableofAuthorities"/>
            </w:pPr>
            <w:r w:rsidRPr="00F82CDF">
              <w:t>2</w:t>
            </w:r>
          </w:p>
        </w:tc>
        <w:tc>
          <w:tcPr>
            <w:tcW w:w="1199" w:type="dxa"/>
            <w:tcBorders>
              <w:top w:val="nil"/>
              <w:left w:val="nil"/>
              <w:bottom w:val="nil"/>
              <w:right w:val="single" w:sz="8" w:space="0" w:color="4F81BD" w:themeColor="accent1"/>
            </w:tcBorders>
          </w:tcPr>
          <w:p w14:paraId="2DD928D6" w14:textId="77777777" w:rsidR="003D7F3E" w:rsidRPr="00F82CDF" w:rsidRDefault="003D7F3E" w:rsidP="003D7F3E">
            <w:pPr>
              <w:pStyle w:val="TableofAuthorities"/>
            </w:pPr>
            <w:r w:rsidRPr="00F82CDF">
              <w:t>3</w:t>
            </w:r>
          </w:p>
        </w:tc>
      </w:tr>
      <w:tr w:rsidR="003D7F3E" w:rsidRPr="00F82CDF" w14:paraId="35AC7AAA"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4B1A9DF2" w14:textId="77777777" w:rsidR="003D7F3E" w:rsidRPr="00F82CDF" w:rsidRDefault="003D7F3E" w:rsidP="003D7F3E">
            <w:pPr>
              <w:pStyle w:val="TableofAuthorities"/>
            </w:pPr>
            <w:bookmarkStart w:id="112" w:name="_Toc305157668"/>
            <w:r w:rsidRPr="00F82CDF">
              <w:t>THICKER</w:t>
            </w:r>
            <w:bookmarkEnd w:id="112"/>
          </w:p>
        </w:tc>
        <w:tc>
          <w:tcPr>
            <w:tcW w:w="901" w:type="dxa"/>
            <w:tcBorders>
              <w:top w:val="nil"/>
              <w:left w:val="single" w:sz="8" w:space="0" w:color="4F81BD" w:themeColor="accent1"/>
              <w:bottom w:val="nil"/>
              <w:right w:val="nil"/>
            </w:tcBorders>
            <w:shd w:val="clear" w:color="auto" w:fill="auto"/>
            <w:noWrap/>
            <w:hideMark/>
          </w:tcPr>
          <w:p w14:paraId="572A1F8F" w14:textId="77777777" w:rsidR="003D7F3E" w:rsidRPr="00F82CDF" w:rsidRDefault="003D7F3E" w:rsidP="003D7F3E">
            <w:pPr>
              <w:pStyle w:val="TableofAuthorities"/>
            </w:pPr>
            <w:bookmarkStart w:id="113" w:name="_Toc305157669"/>
            <w:r w:rsidRPr="00F82CDF">
              <w:t>16</w:t>
            </w:r>
            <w:bookmarkEnd w:id="113"/>
          </w:p>
        </w:tc>
        <w:tc>
          <w:tcPr>
            <w:tcW w:w="1199" w:type="dxa"/>
            <w:tcBorders>
              <w:top w:val="nil"/>
              <w:left w:val="nil"/>
              <w:bottom w:val="nil"/>
              <w:right w:val="nil"/>
            </w:tcBorders>
            <w:shd w:val="clear" w:color="auto" w:fill="auto"/>
            <w:noWrap/>
            <w:hideMark/>
          </w:tcPr>
          <w:p w14:paraId="06099834" w14:textId="77777777" w:rsidR="003D7F3E" w:rsidRPr="00F82CDF" w:rsidRDefault="003D7F3E" w:rsidP="003D7F3E">
            <w:pPr>
              <w:pStyle w:val="TableofAuthorities"/>
            </w:pPr>
            <w:r w:rsidRPr="00F82CDF">
              <w:t>0.54</w:t>
            </w:r>
          </w:p>
        </w:tc>
        <w:tc>
          <w:tcPr>
            <w:tcW w:w="1199" w:type="dxa"/>
            <w:tcBorders>
              <w:top w:val="nil"/>
              <w:left w:val="nil"/>
              <w:bottom w:val="nil"/>
              <w:right w:val="nil"/>
            </w:tcBorders>
            <w:shd w:val="clear" w:color="auto" w:fill="auto"/>
            <w:noWrap/>
            <w:hideMark/>
          </w:tcPr>
          <w:p w14:paraId="3920C1E8" w14:textId="77777777" w:rsidR="003D7F3E" w:rsidRPr="00F82CDF" w:rsidRDefault="003D7F3E" w:rsidP="003D7F3E">
            <w:pPr>
              <w:pStyle w:val="TableofAuthorities"/>
            </w:pPr>
            <w:r w:rsidRPr="00F82CDF">
              <w:t>9</w:t>
            </w:r>
          </w:p>
        </w:tc>
        <w:tc>
          <w:tcPr>
            <w:tcW w:w="1199" w:type="dxa"/>
            <w:tcBorders>
              <w:top w:val="nil"/>
              <w:left w:val="nil"/>
              <w:bottom w:val="nil"/>
              <w:right w:val="single" w:sz="8" w:space="0" w:color="4F81BD" w:themeColor="accent1"/>
            </w:tcBorders>
            <w:shd w:val="clear" w:color="auto" w:fill="auto"/>
            <w:noWrap/>
            <w:hideMark/>
          </w:tcPr>
          <w:p w14:paraId="38BBB1E8" w14:textId="77777777" w:rsidR="003D7F3E" w:rsidRPr="00F82CDF" w:rsidRDefault="003D7F3E" w:rsidP="003D7F3E">
            <w:pPr>
              <w:pStyle w:val="TableofAuthorities"/>
            </w:pPr>
            <w:r w:rsidRPr="00F82CDF">
              <w:t>5</w:t>
            </w:r>
          </w:p>
        </w:tc>
        <w:tc>
          <w:tcPr>
            <w:tcW w:w="1199" w:type="dxa"/>
            <w:tcBorders>
              <w:top w:val="nil"/>
              <w:left w:val="nil"/>
              <w:bottom w:val="nil"/>
              <w:right w:val="single" w:sz="8" w:space="0" w:color="4F81BD" w:themeColor="accent1"/>
            </w:tcBorders>
          </w:tcPr>
          <w:p w14:paraId="13A4D5D8" w14:textId="77777777" w:rsidR="003D7F3E" w:rsidRPr="00F82CDF" w:rsidRDefault="003D7F3E" w:rsidP="003D7F3E">
            <w:pPr>
              <w:pStyle w:val="TableofAuthorities"/>
            </w:pPr>
            <w:r w:rsidRPr="00F82CDF">
              <w:t>5</w:t>
            </w:r>
          </w:p>
        </w:tc>
      </w:tr>
      <w:tr w:rsidR="003D7F3E" w:rsidRPr="00F82CDF" w14:paraId="66DCDC56"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34EA9244" w14:textId="77777777" w:rsidR="003D7F3E" w:rsidRPr="00F82CDF" w:rsidRDefault="003D7F3E" w:rsidP="003D7F3E">
            <w:pPr>
              <w:pStyle w:val="TableofAuthorities"/>
            </w:pPr>
            <w:bookmarkStart w:id="114" w:name="_Toc305157673"/>
            <w:r w:rsidRPr="00F82CDF">
              <w:t>CLEARER</w:t>
            </w:r>
            <w:bookmarkEnd w:id="114"/>
          </w:p>
        </w:tc>
        <w:tc>
          <w:tcPr>
            <w:tcW w:w="901" w:type="dxa"/>
            <w:tcBorders>
              <w:top w:val="nil"/>
              <w:left w:val="single" w:sz="8" w:space="0" w:color="4F81BD" w:themeColor="accent1"/>
              <w:bottom w:val="nil"/>
              <w:right w:val="nil"/>
            </w:tcBorders>
            <w:shd w:val="clear" w:color="auto" w:fill="auto"/>
            <w:noWrap/>
            <w:hideMark/>
          </w:tcPr>
          <w:p w14:paraId="25FA119F" w14:textId="77777777" w:rsidR="003D7F3E" w:rsidRPr="00F82CDF" w:rsidRDefault="003D7F3E" w:rsidP="003D7F3E">
            <w:pPr>
              <w:pStyle w:val="TableofAuthorities"/>
            </w:pPr>
            <w:bookmarkStart w:id="115" w:name="_Toc305157674"/>
            <w:r w:rsidRPr="00F82CDF">
              <w:t>15</w:t>
            </w:r>
            <w:bookmarkEnd w:id="115"/>
          </w:p>
        </w:tc>
        <w:tc>
          <w:tcPr>
            <w:tcW w:w="1199" w:type="dxa"/>
            <w:tcBorders>
              <w:top w:val="nil"/>
              <w:left w:val="nil"/>
              <w:bottom w:val="nil"/>
              <w:right w:val="nil"/>
            </w:tcBorders>
            <w:shd w:val="clear" w:color="auto" w:fill="auto"/>
            <w:noWrap/>
            <w:hideMark/>
          </w:tcPr>
          <w:p w14:paraId="0582CF37" w14:textId="77777777" w:rsidR="003D7F3E" w:rsidRPr="00F82CDF" w:rsidRDefault="003D7F3E" w:rsidP="003D7F3E">
            <w:pPr>
              <w:pStyle w:val="TableofAuthorities"/>
            </w:pPr>
            <w:r w:rsidRPr="00F82CDF">
              <w:t>0.51</w:t>
            </w:r>
          </w:p>
        </w:tc>
        <w:tc>
          <w:tcPr>
            <w:tcW w:w="1199" w:type="dxa"/>
            <w:tcBorders>
              <w:top w:val="nil"/>
              <w:left w:val="nil"/>
              <w:bottom w:val="nil"/>
              <w:right w:val="nil"/>
            </w:tcBorders>
            <w:shd w:val="clear" w:color="auto" w:fill="auto"/>
            <w:noWrap/>
            <w:hideMark/>
          </w:tcPr>
          <w:p w14:paraId="06542B47" w14:textId="77777777" w:rsidR="003D7F3E" w:rsidRPr="00F82CDF" w:rsidRDefault="003D7F3E" w:rsidP="003D7F3E">
            <w:pPr>
              <w:pStyle w:val="TableofAuthorities"/>
            </w:pPr>
            <w:r w:rsidRPr="00F82CDF">
              <w:t>8</w:t>
            </w:r>
          </w:p>
        </w:tc>
        <w:tc>
          <w:tcPr>
            <w:tcW w:w="1199" w:type="dxa"/>
            <w:tcBorders>
              <w:top w:val="nil"/>
              <w:left w:val="nil"/>
              <w:bottom w:val="nil"/>
              <w:right w:val="single" w:sz="8" w:space="0" w:color="4F81BD" w:themeColor="accent1"/>
            </w:tcBorders>
            <w:shd w:val="clear" w:color="auto" w:fill="auto"/>
            <w:noWrap/>
            <w:hideMark/>
          </w:tcPr>
          <w:p w14:paraId="660D0268" w14:textId="77777777" w:rsidR="003D7F3E" w:rsidRPr="00F82CDF" w:rsidRDefault="003D7F3E" w:rsidP="003D7F3E">
            <w:pPr>
              <w:pStyle w:val="TableofAuthorities"/>
            </w:pPr>
            <w:r w:rsidRPr="00F82CDF">
              <w:t>5</w:t>
            </w:r>
          </w:p>
        </w:tc>
        <w:tc>
          <w:tcPr>
            <w:tcW w:w="1199" w:type="dxa"/>
            <w:tcBorders>
              <w:top w:val="nil"/>
              <w:left w:val="nil"/>
              <w:bottom w:val="nil"/>
              <w:right w:val="single" w:sz="8" w:space="0" w:color="4F81BD" w:themeColor="accent1"/>
            </w:tcBorders>
          </w:tcPr>
          <w:p w14:paraId="1C2231CA" w14:textId="77777777" w:rsidR="003D7F3E" w:rsidRPr="00F82CDF" w:rsidRDefault="003D7F3E" w:rsidP="003D7F3E">
            <w:pPr>
              <w:pStyle w:val="TableofAuthorities"/>
            </w:pPr>
            <w:r w:rsidRPr="00F82CDF">
              <w:t>2</w:t>
            </w:r>
          </w:p>
        </w:tc>
      </w:tr>
      <w:tr w:rsidR="003D7F3E" w:rsidRPr="00F82CDF" w14:paraId="0B7FB121"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41FDB3CC" w14:textId="77777777" w:rsidR="003D7F3E" w:rsidRPr="00F82CDF" w:rsidRDefault="003D7F3E" w:rsidP="003D7F3E">
            <w:pPr>
              <w:pStyle w:val="TableofAuthorities"/>
            </w:pPr>
            <w:bookmarkStart w:id="116" w:name="_Toc305157678"/>
            <w:r w:rsidRPr="00F82CDF">
              <w:t>WEAKER</w:t>
            </w:r>
            <w:bookmarkEnd w:id="116"/>
          </w:p>
        </w:tc>
        <w:tc>
          <w:tcPr>
            <w:tcW w:w="901" w:type="dxa"/>
            <w:tcBorders>
              <w:top w:val="nil"/>
              <w:left w:val="single" w:sz="8" w:space="0" w:color="4F81BD" w:themeColor="accent1"/>
              <w:bottom w:val="nil"/>
              <w:right w:val="nil"/>
            </w:tcBorders>
            <w:shd w:val="clear" w:color="auto" w:fill="auto"/>
            <w:noWrap/>
            <w:hideMark/>
          </w:tcPr>
          <w:p w14:paraId="3CE769CF" w14:textId="77777777" w:rsidR="003D7F3E" w:rsidRPr="00F82CDF" w:rsidRDefault="003D7F3E" w:rsidP="003D7F3E">
            <w:pPr>
              <w:pStyle w:val="TableofAuthorities"/>
            </w:pPr>
            <w:bookmarkStart w:id="117" w:name="_Toc305157679"/>
            <w:r w:rsidRPr="00F82CDF">
              <w:t>15</w:t>
            </w:r>
            <w:bookmarkEnd w:id="117"/>
          </w:p>
        </w:tc>
        <w:tc>
          <w:tcPr>
            <w:tcW w:w="1199" w:type="dxa"/>
            <w:tcBorders>
              <w:top w:val="nil"/>
              <w:left w:val="nil"/>
              <w:bottom w:val="nil"/>
              <w:right w:val="nil"/>
            </w:tcBorders>
            <w:shd w:val="clear" w:color="auto" w:fill="auto"/>
            <w:noWrap/>
            <w:hideMark/>
          </w:tcPr>
          <w:p w14:paraId="14D2F5BB" w14:textId="77777777" w:rsidR="003D7F3E" w:rsidRPr="00F82CDF" w:rsidRDefault="003D7F3E" w:rsidP="003D7F3E">
            <w:pPr>
              <w:pStyle w:val="TableofAuthorities"/>
            </w:pPr>
            <w:r w:rsidRPr="00F82CDF">
              <w:t>0.51</w:t>
            </w:r>
          </w:p>
        </w:tc>
        <w:tc>
          <w:tcPr>
            <w:tcW w:w="1199" w:type="dxa"/>
            <w:tcBorders>
              <w:top w:val="nil"/>
              <w:left w:val="nil"/>
              <w:bottom w:val="nil"/>
              <w:right w:val="nil"/>
            </w:tcBorders>
            <w:shd w:val="clear" w:color="auto" w:fill="auto"/>
            <w:noWrap/>
            <w:hideMark/>
          </w:tcPr>
          <w:p w14:paraId="7C29BE01" w14:textId="77777777" w:rsidR="003D7F3E" w:rsidRPr="00F82CDF" w:rsidRDefault="003D7F3E" w:rsidP="003D7F3E">
            <w:pPr>
              <w:pStyle w:val="TableofAuthorities"/>
            </w:pPr>
            <w:r w:rsidRPr="00F82CDF">
              <w:t>12</w:t>
            </w:r>
          </w:p>
        </w:tc>
        <w:tc>
          <w:tcPr>
            <w:tcW w:w="1199" w:type="dxa"/>
            <w:tcBorders>
              <w:top w:val="nil"/>
              <w:left w:val="nil"/>
              <w:bottom w:val="nil"/>
              <w:right w:val="single" w:sz="8" w:space="0" w:color="4F81BD" w:themeColor="accent1"/>
            </w:tcBorders>
            <w:shd w:val="clear" w:color="auto" w:fill="auto"/>
            <w:noWrap/>
            <w:hideMark/>
          </w:tcPr>
          <w:p w14:paraId="686B199B" w14:textId="77777777" w:rsidR="003D7F3E" w:rsidRPr="00F82CDF" w:rsidRDefault="003D7F3E" w:rsidP="003D7F3E">
            <w:pPr>
              <w:pStyle w:val="TableofAuthorities"/>
            </w:pPr>
            <w:r w:rsidRPr="00F82CDF">
              <w:t>3</w:t>
            </w:r>
          </w:p>
        </w:tc>
        <w:tc>
          <w:tcPr>
            <w:tcW w:w="1199" w:type="dxa"/>
            <w:tcBorders>
              <w:top w:val="nil"/>
              <w:left w:val="nil"/>
              <w:bottom w:val="nil"/>
              <w:right w:val="single" w:sz="8" w:space="0" w:color="4F81BD" w:themeColor="accent1"/>
            </w:tcBorders>
          </w:tcPr>
          <w:p w14:paraId="6FC24937" w14:textId="77777777" w:rsidR="003D7F3E" w:rsidRPr="00F82CDF" w:rsidRDefault="003D7F3E" w:rsidP="003D7F3E">
            <w:pPr>
              <w:pStyle w:val="TableofAuthorities"/>
            </w:pPr>
            <w:r w:rsidRPr="00F82CDF">
              <w:t>4</w:t>
            </w:r>
          </w:p>
        </w:tc>
      </w:tr>
      <w:tr w:rsidR="003D7F3E" w:rsidRPr="00F82CDF" w14:paraId="26DAB74F"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3CBAF310" w14:textId="77777777" w:rsidR="003D7F3E" w:rsidRPr="00F82CDF" w:rsidRDefault="003D7F3E" w:rsidP="003D7F3E">
            <w:pPr>
              <w:pStyle w:val="TableofAuthorities"/>
            </w:pPr>
            <w:bookmarkStart w:id="118" w:name="_Toc305157683"/>
            <w:r w:rsidRPr="00F82CDF">
              <w:t>DEEPER</w:t>
            </w:r>
            <w:bookmarkEnd w:id="118"/>
          </w:p>
        </w:tc>
        <w:tc>
          <w:tcPr>
            <w:tcW w:w="901" w:type="dxa"/>
            <w:tcBorders>
              <w:top w:val="nil"/>
              <w:left w:val="single" w:sz="8" w:space="0" w:color="4F81BD" w:themeColor="accent1"/>
              <w:bottom w:val="nil"/>
              <w:right w:val="nil"/>
            </w:tcBorders>
            <w:shd w:val="clear" w:color="auto" w:fill="auto"/>
            <w:noWrap/>
            <w:hideMark/>
          </w:tcPr>
          <w:p w14:paraId="6B0B8FDE" w14:textId="77777777" w:rsidR="003D7F3E" w:rsidRPr="00F82CDF" w:rsidRDefault="003D7F3E" w:rsidP="003D7F3E">
            <w:pPr>
              <w:pStyle w:val="TableofAuthorities"/>
            </w:pPr>
            <w:bookmarkStart w:id="119" w:name="_Toc305157684"/>
            <w:r w:rsidRPr="00F82CDF">
              <w:t>12</w:t>
            </w:r>
            <w:bookmarkEnd w:id="119"/>
          </w:p>
        </w:tc>
        <w:tc>
          <w:tcPr>
            <w:tcW w:w="1199" w:type="dxa"/>
            <w:tcBorders>
              <w:top w:val="nil"/>
              <w:left w:val="nil"/>
              <w:bottom w:val="nil"/>
              <w:right w:val="nil"/>
            </w:tcBorders>
            <w:shd w:val="clear" w:color="auto" w:fill="auto"/>
            <w:noWrap/>
            <w:hideMark/>
          </w:tcPr>
          <w:p w14:paraId="359B166F" w14:textId="77777777" w:rsidR="003D7F3E" w:rsidRPr="00F82CDF" w:rsidRDefault="003D7F3E" w:rsidP="003D7F3E">
            <w:pPr>
              <w:pStyle w:val="TableofAuthorities"/>
            </w:pPr>
            <w:r w:rsidRPr="00F82CDF">
              <w:t>0.41</w:t>
            </w:r>
          </w:p>
        </w:tc>
        <w:tc>
          <w:tcPr>
            <w:tcW w:w="1199" w:type="dxa"/>
            <w:tcBorders>
              <w:top w:val="nil"/>
              <w:left w:val="nil"/>
              <w:bottom w:val="nil"/>
              <w:right w:val="nil"/>
            </w:tcBorders>
            <w:shd w:val="clear" w:color="auto" w:fill="auto"/>
            <w:noWrap/>
            <w:hideMark/>
          </w:tcPr>
          <w:p w14:paraId="19B871A0" w14:textId="77777777" w:rsidR="003D7F3E" w:rsidRPr="00F82CDF" w:rsidRDefault="003D7F3E" w:rsidP="003D7F3E">
            <w:pPr>
              <w:pStyle w:val="TableofAuthorities"/>
            </w:pPr>
            <w:r w:rsidRPr="00F82CDF">
              <w:t>8</w:t>
            </w:r>
          </w:p>
        </w:tc>
        <w:tc>
          <w:tcPr>
            <w:tcW w:w="1199" w:type="dxa"/>
            <w:tcBorders>
              <w:top w:val="nil"/>
              <w:left w:val="nil"/>
              <w:bottom w:val="nil"/>
              <w:right w:val="single" w:sz="8" w:space="0" w:color="4F81BD" w:themeColor="accent1"/>
            </w:tcBorders>
            <w:shd w:val="clear" w:color="auto" w:fill="auto"/>
            <w:noWrap/>
            <w:hideMark/>
          </w:tcPr>
          <w:p w14:paraId="53EBBDAC" w14:textId="77777777" w:rsidR="003D7F3E" w:rsidRPr="00F82CDF" w:rsidRDefault="003D7F3E" w:rsidP="003D7F3E">
            <w:pPr>
              <w:pStyle w:val="TableofAuthorities"/>
            </w:pPr>
            <w:r w:rsidRPr="00F82CDF">
              <w:t>2</w:t>
            </w:r>
          </w:p>
        </w:tc>
        <w:tc>
          <w:tcPr>
            <w:tcW w:w="1199" w:type="dxa"/>
            <w:tcBorders>
              <w:top w:val="nil"/>
              <w:left w:val="nil"/>
              <w:bottom w:val="nil"/>
              <w:right w:val="single" w:sz="8" w:space="0" w:color="4F81BD" w:themeColor="accent1"/>
            </w:tcBorders>
          </w:tcPr>
          <w:p w14:paraId="15D85251" w14:textId="77777777" w:rsidR="003D7F3E" w:rsidRPr="00F82CDF" w:rsidRDefault="003D7F3E" w:rsidP="003D7F3E">
            <w:pPr>
              <w:pStyle w:val="TableofAuthorities"/>
            </w:pPr>
            <w:r w:rsidRPr="00F82CDF">
              <w:t>5</w:t>
            </w:r>
          </w:p>
        </w:tc>
      </w:tr>
      <w:tr w:rsidR="003D7F3E" w:rsidRPr="00F82CDF" w14:paraId="1F55A15E" w14:textId="77777777" w:rsidTr="003D7F3E">
        <w:trPr>
          <w:trHeight w:val="261"/>
        </w:trPr>
        <w:tc>
          <w:tcPr>
            <w:tcW w:w="1498" w:type="dxa"/>
            <w:tcBorders>
              <w:top w:val="nil"/>
              <w:left w:val="single" w:sz="8" w:space="0" w:color="4F81BD" w:themeColor="accent1"/>
              <w:bottom w:val="nil"/>
              <w:right w:val="single" w:sz="8" w:space="0" w:color="4F81BD" w:themeColor="accent1"/>
            </w:tcBorders>
            <w:shd w:val="clear" w:color="auto" w:fill="DAEEF3" w:themeFill="accent5" w:themeFillTint="33"/>
            <w:noWrap/>
            <w:hideMark/>
          </w:tcPr>
          <w:p w14:paraId="2FB708EC" w14:textId="77777777" w:rsidR="003D7F3E" w:rsidRPr="00F82CDF" w:rsidRDefault="003D7F3E" w:rsidP="003D7F3E">
            <w:pPr>
              <w:pStyle w:val="TableofAuthorities"/>
            </w:pPr>
            <w:bookmarkStart w:id="120" w:name="_Toc305157688"/>
            <w:r w:rsidRPr="00F82CDF">
              <w:t>WIDER</w:t>
            </w:r>
            <w:bookmarkEnd w:id="120"/>
          </w:p>
        </w:tc>
        <w:tc>
          <w:tcPr>
            <w:tcW w:w="901" w:type="dxa"/>
            <w:tcBorders>
              <w:top w:val="nil"/>
              <w:left w:val="single" w:sz="8" w:space="0" w:color="4F81BD" w:themeColor="accent1"/>
              <w:bottom w:val="nil"/>
              <w:right w:val="nil"/>
            </w:tcBorders>
            <w:shd w:val="clear" w:color="auto" w:fill="auto"/>
            <w:noWrap/>
            <w:hideMark/>
          </w:tcPr>
          <w:p w14:paraId="1BDE1A8E" w14:textId="77777777" w:rsidR="003D7F3E" w:rsidRPr="00F82CDF" w:rsidRDefault="003D7F3E" w:rsidP="003D7F3E">
            <w:pPr>
              <w:pStyle w:val="TableofAuthorities"/>
            </w:pPr>
            <w:bookmarkStart w:id="121" w:name="_Toc305157689"/>
            <w:r w:rsidRPr="00F82CDF">
              <w:t>11</w:t>
            </w:r>
            <w:bookmarkEnd w:id="121"/>
          </w:p>
        </w:tc>
        <w:tc>
          <w:tcPr>
            <w:tcW w:w="1199" w:type="dxa"/>
            <w:tcBorders>
              <w:top w:val="nil"/>
              <w:left w:val="nil"/>
              <w:bottom w:val="nil"/>
              <w:right w:val="nil"/>
            </w:tcBorders>
            <w:shd w:val="clear" w:color="auto" w:fill="auto"/>
            <w:noWrap/>
            <w:hideMark/>
          </w:tcPr>
          <w:p w14:paraId="32AD84BD" w14:textId="77777777" w:rsidR="003D7F3E" w:rsidRPr="00F82CDF" w:rsidRDefault="003D7F3E" w:rsidP="003D7F3E">
            <w:pPr>
              <w:pStyle w:val="TableofAuthorities"/>
            </w:pPr>
            <w:r w:rsidRPr="00F82CDF">
              <w:t>0.37</w:t>
            </w:r>
          </w:p>
        </w:tc>
        <w:tc>
          <w:tcPr>
            <w:tcW w:w="1199" w:type="dxa"/>
            <w:tcBorders>
              <w:top w:val="nil"/>
              <w:left w:val="nil"/>
              <w:bottom w:val="nil"/>
              <w:right w:val="nil"/>
            </w:tcBorders>
            <w:shd w:val="clear" w:color="auto" w:fill="auto"/>
            <w:noWrap/>
            <w:hideMark/>
          </w:tcPr>
          <w:p w14:paraId="45CA279E" w14:textId="77777777" w:rsidR="003D7F3E" w:rsidRPr="00F82CDF" w:rsidRDefault="003D7F3E" w:rsidP="003D7F3E">
            <w:pPr>
              <w:pStyle w:val="TableofAuthorities"/>
            </w:pPr>
            <w:r w:rsidRPr="00F82CDF">
              <w:t>8</w:t>
            </w:r>
          </w:p>
        </w:tc>
        <w:tc>
          <w:tcPr>
            <w:tcW w:w="1199" w:type="dxa"/>
            <w:tcBorders>
              <w:top w:val="nil"/>
              <w:left w:val="nil"/>
              <w:bottom w:val="nil"/>
              <w:right w:val="single" w:sz="8" w:space="0" w:color="4F81BD" w:themeColor="accent1"/>
            </w:tcBorders>
            <w:shd w:val="clear" w:color="auto" w:fill="auto"/>
            <w:noWrap/>
            <w:hideMark/>
          </w:tcPr>
          <w:p w14:paraId="775EB3E2" w14:textId="77777777" w:rsidR="003D7F3E" w:rsidRPr="00F82CDF" w:rsidRDefault="003D7F3E" w:rsidP="003D7F3E">
            <w:pPr>
              <w:pStyle w:val="TableofAuthorities"/>
            </w:pPr>
            <w:r w:rsidRPr="00F82CDF">
              <w:t>1</w:t>
            </w:r>
          </w:p>
        </w:tc>
        <w:tc>
          <w:tcPr>
            <w:tcW w:w="1199" w:type="dxa"/>
            <w:tcBorders>
              <w:top w:val="nil"/>
              <w:left w:val="nil"/>
              <w:bottom w:val="nil"/>
              <w:right w:val="single" w:sz="8" w:space="0" w:color="4F81BD" w:themeColor="accent1"/>
            </w:tcBorders>
          </w:tcPr>
          <w:p w14:paraId="0727DCFE" w14:textId="77777777" w:rsidR="003D7F3E" w:rsidRPr="00F82CDF" w:rsidRDefault="003D7F3E" w:rsidP="003D7F3E">
            <w:pPr>
              <w:pStyle w:val="TableofAuthorities"/>
            </w:pPr>
            <w:r w:rsidRPr="00F82CDF">
              <w:t>2</w:t>
            </w:r>
          </w:p>
        </w:tc>
      </w:tr>
      <w:tr w:rsidR="003D7F3E" w:rsidRPr="00F82CDF" w14:paraId="317226EC" w14:textId="77777777" w:rsidTr="003D7F3E">
        <w:trPr>
          <w:trHeight w:val="261"/>
        </w:trPr>
        <w:tc>
          <w:tcPr>
            <w:tcW w:w="1498" w:type="dxa"/>
            <w:tcBorders>
              <w:top w:val="nil"/>
              <w:left w:val="single" w:sz="8" w:space="0" w:color="4F81BD" w:themeColor="accent1"/>
              <w:bottom w:val="single" w:sz="8" w:space="0" w:color="4F81BD" w:themeColor="accent1"/>
              <w:right w:val="single" w:sz="8" w:space="0" w:color="4F81BD" w:themeColor="accent1"/>
            </w:tcBorders>
            <w:shd w:val="clear" w:color="auto" w:fill="DAEEF3" w:themeFill="accent5" w:themeFillTint="33"/>
            <w:noWrap/>
            <w:hideMark/>
          </w:tcPr>
          <w:p w14:paraId="331C4341" w14:textId="77777777" w:rsidR="003D7F3E" w:rsidRPr="00F82CDF" w:rsidRDefault="003D7F3E" w:rsidP="003D7F3E">
            <w:pPr>
              <w:pStyle w:val="TableofAuthorities"/>
            </w:pPr>
            <w:bookmarkStart w:id="122" w:name="_Toc305157693"/>
            <w:r w:rsidRPr="00F82CDF">
              <w:t>WHITER</w:t>
            </w:r>
            <w:bookmarkEnd w:id="122"/>
          </w:p>
        </w:tc>
        <w:tc>
          <w:tcPr>
            <w:tcW w:w="901" w:type="dxa"/>
            <w:tcBorders>
              <w:top w:val="nil"/>
              <w:left w:val="single" w:sz="8" w:space="0" w:color="4F81BD" w:themeColor="accent1"/>
              <w:bottom w:val="single" w:sz="8" w:space="0" w:color="4F81BD" w:themeColor="accent1"/>
              <w:right w:val="nil"/>
            </w:tcBorders>
            <w:shd w:val="clear" w:color="auto" w:fill="auto"/>
            <w:noWrap/>
            <w:hideMark/>
          </w:tcPr>
          <w:p w14:paraId="5E4CDF9D" w14:textId="77777777" w:rsidR="003D7F3E" w:rsidRPr="00F82CDF" w:rsidRDefault="003D7F3E" w:rsidP="003D7F3E">
            <w:pPr>
              <w:pStyle w:val="TableofAuthorities"/>
            </w:pPr>
            <w:bookmarkStart w:id="123" w:name="_Toc305157694"/>
            <w:r w:rsidRPr="00F82CDF">
              <w:t>10</w:t>
            </w:r>
            <w:bookmarkEnd w:id="123"/>
          </w:p>
        </w:tc>
        <w:tc>
          <w:tcPr>
            <w:tcW w:w="1199" w:type="dxa"/>
            <w:tcBorders>
              <w:top w:val="nil"/>
              <w:left w:val="nil"/>
              <w:bottom w:val="single" w:sz="8" w:space="0" w:color="4F81BD" w:themeColor="accent1"/>
              <w:right w:val="nil"/>
            </w:tcBorders>
            <w:shd w:val="clear" w:color="auto" w:fill="auto"/>
            <w:noWrap/>
            <w:hideMark/>
          </w:tcPr>
          <w:p w14:paraId="462B836B" w14:textId="77777777" w:rsidR="003D7F3E" w:rsidRPr="00F82CDF" w:rsidRDefault="003D7F3E" w:rsidP="003D7F3E">
            <w:pPr>
              <w:pStyle w:val="TableofAuthorities"/>
            </w:pPr>
            <w:r w:rsidRPr="00F82CDF">
              <w:t>0.63</w:t>
            </w:r>
          </w:p>
        </w:tc>
        <w:tc>
          <w:tcPr>
            <w:tcW w:w="1199" w:type="dxa"/>
            <w:tcBorders>
              <w:top w:val="nil"/>
              <w:left w:val="nil"/>
              <w:bottom w:val="single" w:sz="8" w:space="0" w:color="4F81BD" w:themeColor="accent1"/>
              <w:right w:val="nil"/>
            </w:tcBorders>
            <w:shd w:val="clear" w:color="auto" w:fill="auto"/>
            <w:noWrap/>
            <w:hideMark/>
          </w:tcPr>
          <w:p w14:paraId="0E5D839B" w14:textId="77777777" w:rsidR="003D7F3E" w:rsidRPr="00F82CDF" w:rsidRDefault="003D7F3E" w:rsidP="003D7F3E">
            <w:pPr>
              <w:pStyle w:val="TableofAuthorities"/>
            </w:pPr>
            <w:r w:rsidRPr="00F82CDF">
              <w:t>9</w:t>
            </w:r>
          </w:p>
        </w:tc>
        <w:tc>
          <w:tcPr>
            <w:tcW w:w="1199" w:type="dxa"/>
            <w:tcBorders>
              <w:top w:val="nil"/>
              <w:left w:val="nil"/>
              <w:bottom w:val="single" w:sz="8" w:space="0" w:color="4F81BD" w:themeColor="accent1"/>
              <w:right w:val="single" w:sz="8" w:space="0" w:color="4F81BD" w:themeColor="accent1"/>
            </w:tcBorders>
            <w:shd w:val="clear" w:color="auto" w:fill="auto"/>
            <w:noWrap/>
            <w:hideMark/>
          </w:tcPr>
          <w:p w14:paraId="348E7BB8" w14:textId="77777777" w:rsidR="003D7F3E" w:rsidRPr="00F82CDF" w:rsidRDefault="003D7F3E" w:rsidP="003D7F3E">
            <w:pPr>
              <w:pStyle w:val="TableofAuthorities"/>
            </w:pPr>
            <w:r w:rsidRPr="00F82CDF">
              <w:t>1</w:t>
            </w:r>
          </w:p>
        </w:tc>
        <w:tc>
          <w:tcPr>
            <w:tcW w:w="1199" w:type="dxa"/>
            <w:tcBorders>
              <w:top w:val="nil"/>
              <w:left w:val="nil"/>
              <w:bottom w:val="single" w:sz="8" w:space="0" w:color="4F81BD" w:themeColor="accent1"/>
              <w:right w:val="single" w:sz="8" w:space="0" w:color="4F81BD" w:themeColor="accent1"/>
            </w:tcBorders>
          </w:tcPr>
          <w:p w14:paraId="592D1457" w14:textId="77777777" w:rsidR="003D7F3E" w:rsidRPr="00F82CDF" w:rsidRDefault="003D7F3E" w:rsidP="003D7F3E">
            <w:pPr>
              <w:pStyle w:val="TableofAuthorities"/>
            </w:pPr>
            <w:r w:rsidRPr="00F82CDF">
              <w:t>-</w:t>
            </w:r>
          </w:p>
        </w:tc>
      </w:tr>
    </w:tbl>
    <w:p w14:paraId="13B5CA26" w14:textId="77777777" w:rsidR="003D7F3E" w:rsidRPr="00F82CDF" w:rsidRDefault="003D7F3E" w:rsidP="003D7F3E">
      <w:pPr>
        <w:spacing w:line="240" w:lineRule="auto"/>
      </w:pPr>
    </w:p>
    <w:p w14:paraId="4018DF69" w14:textId="77777777" w:rsidR="003D7F3E" w:rsidRDefault="003D7F3E" w:rsidP="003D7F3E">
      <w:pPr>
        <w:spacing w:line="240" w:lineRule="auto"/>
      </w:pPr>
      <w:bookmarkStart w:id="124" w:name="_Toc305157699"/>
      <w:r w:rsidRPr="00F82CDF">
        <w:t xml:space="preserve">The table shows a different set of adjectives to those used in Tables 6.2.7 and 6.2.8 Interestingly there appears to be no pragmatic association attached to the adjectives in comparison to the structure </w:t>
      </w:r>
      <w:r w:rsidRPr="00F82CDF">
        <w:rPr>
          <w:i/>
        </w:rPr>
        <w:t>more</w:t>
      </w:r>
      <w:r w:rsidRPr="00F82CDF">
        <w:t xml:space="preserve"> + adjective. This is further supported by consulting full concordance lines. Instead of referring to mood and temperament, the adjectives refer more neutrally to external, environmental changes such as those relating to sound or light (e.g. </w:t>
      </w:r>
      <w:r w:rsidRPr="00F82CDF">
        <w:rPr>
          <w:i/>
        </w:rPr>
        <w:t>grew fainter; grew louder</w:t>
      </w:r>
      <w:r w:rsidRPr="00F82CDF">
        <w:t>):</w:t>
      </w:r>
    </w:p>
    <w:p w14:paraId="04900B8D" w14:textId="77777777" w:rsidR="003D7F3E" w:rsidRPr="00F82CDF" w:rsidRDefault="003D7F3E" w:rsidP="003D7F3E">
      <w:pPr>
        <w:spacing w:line="240" w:lineRule="auto"/>
      </w:pPr>
    </w:p>
    <w:p w14:paraId="2517C0D2" w14:textId="5C5D22C7" w:rsidR="003D7F3E" w:rsidRPr="00F82CDF" w:rsidRDefault="00A606D3" w:rsidP="00A606D3">
      <w:pPr>
        <w:pStyle w:val="Caption"/>
      </w:pPr>
      <w:bookmarkStart w:id="125" w:name="_Toc311117815"/>
      <w:bookmarkEnd w:id="124"/>
      <w:r w:rsidRPr="00F82CDF">
        <w:t xml:space="preserve">Table </w:t>
      </w:r>
      <w:r>
        <w:t>6</w:t>
      </w:r>
      <w:r w:rsidRPr="00F82CDF">
        <w:t>. Frequent clusters involving comparatives in metaphoric dataset</w:t>
      </w:r>
      <w:bookmarkEnd w:id="125"/>
    </w:p>
    <w:tbl>
      <w:tblPr>
        <w:tblW w:w="5751" w:type="dxa"/>
        <w:tblInd w:w="17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647"/>
        <w:gridCol w:w="2950"/>
        <w:gridCol w:w="1020"/>
        <w:gridCol w:w="1134"/>
      </w:tblGrid>
      <w:tr w:rsidR="003D7F3E" w:rsidRPr="00F82CDF" w14:paraId="108127DA" w14:textId="77777777" w:rsidTr="003D7F3E">
        <w:trPr>
          <w:trHeight w:val="261"/>
        </w:trPr>
        <w:tc>
          <w:tcPr>
            <w:tcW w:w="3597" w:type="dxa"/>
            <w:gridSpan w:val="2"/>
            <w:tcBorders>
              <w:top w:val="single" w:sz="8" w:space="0" w:color="4F81BD" w:themeColor="accent1"/>
              <w:left w:val="single" w:sz="8" w:space="0" w:color="4F81BD" w:themeColor="accent1"/>
              <w:bottom w:val="single" w:sz="8" w:space="0" w:color="4F81BD" w:themeColor="accent1"/>
            </w:tcBorders>
            <w:shd w:val="clear" w:color="auto" w:fill="DAEEF3" w:themeFill="accent5" w:themeFillTint="33"/>
            <w:noWrap/>
            <w:hideMark/>
          </w:tcPr>
          <w:p w14:paraId="1B4CEC4B" w14:textId="77777777" w:rsidR="003D7F3E" w:rsidRPr="00F82CDF" w:rsidRDefault="003D7F3E" w:rsidP="003D7F3E">
            <w:pPr>
              <w:pStyle w:val="TableofAuthorities"/>
            </w:pPr>
            <w:r w:rsidRPr="00F82CDF">
              <w:t>METAPHOR</w:t>
            </w:r>
          </w:p>
        </w:tc>
        <w:tc>
          <w:tcPr>
            <w:tcW w:w="1020" w:type="dxa"/>
            <w:tcBorders>
              <w:top w:val="single" w:sz="8" w:space="0" w:color="4F81BD" w:themeColor="accent1"/>
              <w:bottom w:val="single" w:sz="8" w:space="0" w:color="4F81BD" w:themeColor="accent1"/>
              <w:right w:val="single" w:sz="8" w:space="0" w:color="4F81BD" w:themeColor="accent1"/>
            </w:tcBorders>
            <w:shd w:val="clear" w:color="auto" w:fill="DAEEF3" w:themeFill="accent5" w:themeFillTint="33"/>
            <w:noWrap/>
            <w:vAlign w:val="bottom"/>
            <w:hideMark/>
          </w:tcPr>
          <w:p w14:paraId="7111AEF8" w14:textId="77777777" w:rsidR="003D7F3E" w:rsidRPr="00F82CDF" w:rsidRDefault="003D7F3E" w:rsidP="003D7F3E">
            <w:pPr>
              <w:pStyle w:val="TableofAuthorities"/>
            </w:pPr>
          </w:p>
        </w:tc>
        <w:tc>
          <w:tcPr>
            <w:tcW w:w="1134" w:type="dxa"/>
            <w:tcBorders>
              <w:top w:val="single" w:sz="8" w:space="0" w:color="4F81BD" w:themeColor="accent1"/>
              <w:bottom w:val="single" w:sz="8" w:space="0" w:color="4F81BD" w:themeColor="accent1"/>
              <w:right w:val="single" w:sz="8" w:space="0" w:color="4F81BD" w:themeColor="accent1"/>
            </w:tcBorders>
            <w:shd w:val="clear" w:color="auto" w:fill="DAEEF3" w:themeFill="accent5" w:themeFillTint="33"/>
            <w:vAlign w:val="bottom"/>
          </w:tcPr>
          <w:p w14:paraId="4E724300" w14:textId="77777777" w:rsidR="003D7F3E" w:rsidRPr="00F82CDF" w:rsidRDefault="003D7F3E" w:rsidP="003D7F3E">
            <w:pPr>
              <w:pStyle w:val="TableofAuthorities"/>
            </w:pPr>
          </w:p>
        </w:tc>
      </w:tr>
      <w:tr w:rsidR="003D7F3E" w:rsidRPr="00F82CDF" w14:paraId="5E06B346" w14:textId="77777777" w:rsidTr="003D7F3E">
        <w:trPr>
          <w:trHeight w:val="261"/>
        </w:trPr>
        <w:tc>
          <w:tcPr>
            <w:tcW w:w="647" w:type="dxa"/>
            <w:tcBorders>
              <w:top w:val="single" w:sz="8" w:space="0" w:color="4F81BD" w:themeColor="accent1"/>
              <w:bottom w:val="single" w:sz="8" w:space="0" w:color="4F81BD" w:themeColor="accent1"/>
              <w:right w:val="single" w:sz="8" w:space="0" w:color="4F81BD" w:themeColor="accent1"/>
            </w:tcBorders>
            <w:shd w:val="clear" w:color="auto" w:fill="DAEEF3" w:themeFill="accent5" w:themeFillTint="33"/>
            <w:noWrap/>
            <w:hideMark/>
          </w:tcPr>
          <w:p w14:paraId="45E2894C" w14:textId="77777777" w:rsidR="003D7F3E" w:rsidRPr="00F82CDF" w:rsidRDefault="003D7F3E" w:rsidP="003D7F3E">
            <w:pPr>
              <w:pStyle w:val="TableofAuthorities"/>
            </w:pPr>
            <w:bookmarkStart w:id="126" w:name="_Toc305157700"/>
            <w:r w:rsidRPr="00F82CDF">
              <w:t>R</w:t>
            </w:r>
            <w:bookmarkEnd w:id="126"/>
          </w:p>
        </w:tc>
        <w:tc>
          <w:tcPr>
            <w:tcW w:w="29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noWrap/>
            <w:hideMark/>
          </w:tcPr>
          <w:p w14:paraId="1EB9FDCE" w14:textId="77777777" w:rsidR="003D7F3E" w:rsidRPr="00F82CDF" w:rsidRDefault="003D7F3E" w:rsidP="003D7F3E">
            <w:pPr>
              <w:pStyle w:val="TableofAuthorities"/>
            </w:pPr>
            <w:bookmarkStart w:id="127" w:name="_Toc305157701"/>
            <w:r w:rsidRPr="00F82CDF">
              <w:t>Cluster</w:t>
            </w:r>
            <w:bookmarkEnd w:id="127"/>
          </w:p>
        </w:tc>
        <w:tc>
          <w:tcPr>
            <w:tcW w:w="10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EEF3" w:themeFill="accent5" w:themeFillTint="33"/>
          </w:tcPr>
          <w:p w14:paraId="604A8F77" w14:textId="77777777" w:rsidR="003D7F3E" w:rsidRPr="00F82CDF" w:rsidRDefault="003D7F3E" w:rsidP="003D7F3E">
            <w:pPr>
              <w:pStyle w:val="TableofAuthorities"/>
            </w:pPr>
            <w:r w:rsidRPr="00F82CDF">
              <w:t>Freq.</w:t>
            </w:r>
          </w:p>
        </w:tc>
        <w:tc>
          <w:tcPr>
            <w:tcW w:w="1134" w:type="dxa"/>
            <w:tcBorders>
              <w:top w:val="single" w:sz="8" w:space="0" w:color="4F81BD" w:themeColor="accent1"/>
              <w:left w:val="single" w:sz="8" w:space="0" w:color="4F81BD" w:themeColor="accent1"/>
              <w:bottom w:val="single" w:sz="8" w:space="0" w:color="4F81BD" w:themeColor="accent1"/>
            </w:tcBorders>
            <w:shd w:val="clear" w:color="auto" w:fill="DAEEF3" w:themeFill="accent5" w:themeFillTint="33"/>
            <w:noWrap/>
            <w:hideMark/>
          </w:tcPr>
          <w:p w14:paraId="276EBAF3" w14:textId="77777777" w:rsidR="003D7F3E" w:rsidRPr="00F82CDF" w:rsidRDefault="003D7F3E" w:rsidP="003D7F3E">
            <w:pPr>
              <w:pStyle w:val="TableofAuthorities"/>
            </w:pPr>
            <w:r w:rsidRPr="00F82CDF">
              <w:t>Freq. ptw</w:t>
            </w:r>
          </w:p>
        </w:tc>
      </w:tr>
      <w:tr w:rsidR="003D7F3E" w:rsidRPr="00F82CDF" w14:paraId="1392AF49" w14:textId="77777777" w:rsidTr="003D7F3E">
        <w:trPr>
          <w:trHeight w:val="261"/>
        </w:trPr>
        <w:tc>
          <w:tcPr>
            <w:tcW w:w="647" w:type="dxa"/>
            <w:tcBorders>
              <w:top w:val="single" w:sz="8" w:space="0" w:color="4F81BD" w:themeColor="accent1"/>
            </w:tcBorders>
            <w:shd w:val="clear" w:color="auto" w:fill="DAEEF3" w:themeFill="accent5" w:themeFillTint="33"/>
            <w:noWrap/>
            <w:hideMark/>
          </w:tcPr>
          <w:p w14:paraId="42186AB5" w14:textId="77777777" w:rsidR="003D7F3E" w:rsidRPr="00F82CDF" w:rsidRDefault="003D7F3E" w:rsidP="003D7F3E">
            <w:pPr>
              <w:pStyle w:val="TableofAuthorities"/>
            </w:pPr>
            <w:bookmarkStart w:id="128" w:name="_Toc305157703"/>
            <w:r w:rsidRPr="00F82CDF">
              <w:t>1</w:t>
            </w:r>
            <w:bookmarkEnd w:id="128"/>
          </w:p>
        </w:tc>
        <w:tc>
          <w:tcPr>
            <w:tcW w:w="2950" w:type="dxa"/>
            <w:tcBorders>
              <w:top w:val="single" w:sz="8" w:space="0" w:color="4F81BD" w:themeColor="accent1"/>
            </w:tcBorders>
            <w:shd w:val="clear" w:color="auto" w:fill="auto"/>
            <w:noWrap/>
            <w:hideMark/>
          </w:tcPr>
          <w:p w14:paraId="3DC27945" w14:textId="77777777" w:rsidR="003D7F3E" w:rsidRPr="00F82CDF" w:rsidRDefault="003D7F3E" w:rsidP="003D7F3E">
            <w:pPr>
              <w:pStyle w:val="TableofAuthorities"/>
            </w:pPr>
            <w:bookmarkStart w:id="129" w:name="_Toc305157704"/>
            <w:r w:rsidRPr="00F82CDF">
              <w:t>GREW LOUDER AND</w:t>
            </w:r>
            <w:bookmarkEnd w:id="129"/>
          </w:p>
        </w:tc>
        <w:tc>
          <w:tcPr>
            <w:tcW w:w="1020" w:type="dxa"/>
            <w:tcBorders>
              <w:top w:val="single" w:sz="8" w:space="0" w:color="4F81BD" w:themeColor="accent1"/>
            </w:tcBorders>
          </w:tcPr>
          <w:p w14:paraId="68B32BE6" w14:textId="77777777" w:rsidR="003D7F3E" w:rsidRPr="00F82CDF" w:rsidRDefault="003D7F3E" w:rsidP="003D7F3E">
            <w:pPr>
              <w:pStyle w:val="TableofAuthorities"/>
            </w:pPr>
            <w:r w:rsidRPr="00F82CDF">
              <w:t>21</w:t>
            </w:r>
          </w:p>
        </w:tc>
        <w:tc>
          <w:tcPr>
            <w:tcW w:w="1134" w:type="dxa"/>
            <w:tcBorders>
              <w:top w:val="single" w:sz="8" w:space="0" w:color="4F81BD" w:themeColor="accent1"/>
            </w:tcBorders>
            <w:shd w:val="clear" w:color="auto" w:fill="auto"/>
            <w:noWrap/>
            <w:hideMark/>
          </w:tcPr>
          <w:p w14:paraId="3CA7FC9C" w14:textId="77777777" w:rsidR="003D7F3E" w:rsidRPr="00F82CDF" w:rsidRDefault="003D7F3E" w:rsidP="003D7F3E">
            <w:pPr>
              <w:pStyle w:val="TableofAuthorities"/>
            </w:pPr>
            <w:r w:rsidRPr="00F82CDF">
              <w:t>0.71</w:t>
            </w:r>
          </w:p>
        </w:tc>
      </w:tr>
      <w:tr w:rsidR="003D7F3E" w:rsidRPr="00F82CDF" w14:paraId="3881552D" w14:textId="77777777" w:rsidTr="003D7F3E">
        <w:trPr>
          <w:trHeight w:val="261"/>
        </w:trPr>
        <w:tc>
          <w:tcPr>
            <w:tcW w:w="647" w:type="dxa"/>
            <w:shd w:val="clear" w:color="auto" w:fill="DAEEF3" w:themeFill="accent5" w:themeFillTint="33"/>
            <w:noWrap/>
            <w:hideMark/>
          </w:tcPr>
          <w:p w14:paraId="7D5B4959" w14:textId="77777777" w:rsidR="003D7F3E" w:rsidRPr="00F82CDF" w:rsidRDefault="003D7F3E" w:rsidP="003D7F3E">
            <w:pPr>
              <w:pStyle w:val="TableofAuthorities"/>
            </w:pPr>
            <w:bookmarkStart w:id="130" w:name="_Toc305157706"/>
            <w:r w:rsidRPr="00F82CDF">
              <w:t>2</w:t>
            </w:r>
            <w:bookmarkEnd w:id="130"/>
          </w:p>
        </w:tc>
        <w:tc>
          <w:tcPr>
            <w:tcW w:w="2950" w:type="dxa"/>
            <w:shd w:val="clear" w:color="auto" w:fill="auto"/>
            <w:noWrap/>
            <w:hideMark/>
          </w:tcPr>
          <w:p w14:paraId="3219E6A0" w14:textId="77777777" w:rsidR="003D7F3E" w:rsidRPr="00F82CDF" w:rsidRDefault="003D7F3E" w:rsidP="003D7F3E">
            <w:pPr>
              <w:pStyle w:val="TableofAuthorities"/>
            </w:pPr>
            <w:bookmarkStart w:id="131" w:name="_Toc305157707"/>
            <w:r w:rsidRPr="00F82CDF">
              <w:t>FAINTER AND FAINTER</w:t>
            </w:r>
            <w:bookmarkEnd w:id="131"/>
          </w:p>
        </w:tc>
        <w:tc>
          <w:tcPr>
            <w:tcW w:w="1020" w:type="dxa"/>
          </w:tcPr>
          <w:p w14:paraId="26B15561" w14:textId="77777777" w:rsidR="003D7F3E" w:rsidRPr="00F82CDF" w:rsidRDefault="003D7F3E" w:rsidP="003D7F3E">
            <w:pPr>
              <w:pStyle w:val="TableofAuthorities"/>
            </w:pPr>
            <w:r w:rsidRPr="00F82CDF">
              <w:t>20</w:t>
            </w:r>
          </w:p>
        </w:tc>
        <w:tc>
          <w:tcPr>
            <w:tcW w:w="1134" w:type="dxa"/>
            <w:shd w:val="clear" w:color="auto" w:fill="auto"/>
            <w:noWrap/>
            <w:hideMark/>
          </w:tcPr>
          <w:p w14:paraId="7C252820" w14:textId="77777777" w:rsidR="003D7F3E" w:rsidRPr="00F82CDF" w:rsidRDefault="003D7F3E" w:rsidP="003D7F3E">
            <w:pPr>
              <w:pStyle w:val="TableofAuthorities"/>
            </w:pPr>
            <w:r w:rsidRPr="00F82CDF">
              <w:t>0.68</w:t>
            </w:r>
          </w:p>
        </w:tc>
      </w:tr>
      <w:tr w:rsidR="003D7F3E" w:rsidRPr="00F82CDF" w14:paraId="128FCBF5" w14:textId="77777777" w:rsidTr="003D7F3E">
        <w:trPr>
          <w:trHeight w:val="261"/>
        </w:trPr>
        <w:tc>
          <w:tcPr>
            <w:tcW w:w="647" w:type="dxa"/>
            <w:shd w:val="clear" w:color="auto" w:fill="DAEEF3" w:themeFill="accent5" w:themeFillTint="33"/>
            <w:noWrap/>
            <w:hideMark/>
          </w:tcPr>
          <w:p w14:paraId="54AD7B6F" w14:textId="77777777" w:rsidR="003D7F3E" w:rsidRPr="00F82CDF" w:rsidRDefault="003D7F3E" w:rsidP="003D7F3E">
            <w:pPr>
              <w:pStyle w:val="TableofAuthorities"/>
            </w:pPr>
            <w:r w:rsidRPr="00F82CDF">
              <w:t>2</w:t>
            </w:r>
          </w:p>
        </w:tc>
        <w:tc>
          <w:tcPr>
            <w:tcW w:w="2950" w:type="dxa"/>
            <w:shd w:val="clear" w:color="auto" w:fill="auto"/>
            <w:noWrap/>
            <w:hideMark/>
          </w:tcPr>
          <w:p w14:paraId="1E65343B" w14:textId="77777777" w:rsidR="003D7F3E" w:rsidRPr="00F82CDF" w:rsidRDefault="003D7F3E" w:rsidP="003D7F3E">
            <w:pPr>
              <w:pStyle w:val="TableofAuthorities"/>
            </w:pPr>
            <w:bookmarkStart w:id="132" w:name="_Toc305157710"/>
            <w:r w:rsidRPr="00F82CDF">
              <w:t>GREW FAINTER AND</w:t>
            </w:r>
            <w:bookmarkEnd w:id="132"/>
          </w:p>
        </w:tc>
        <w:tc>
          <w:tcPr>
            <w:tcW w:w="1020" w:type="dxa"/>
          </w:tcPr>
          <w:p w14:paraId="2B918C48" w14:textId="77777777" w:rsidR="003D7F3E" w:rsidRPr="00F82CDF" w:rsidRDefault="003D7F3E" w:rsidP="003D7F3E">
            <w:pPr>
              <w:pStyle w:val="TableofAuthorities"/>
            </w:pPr>
            <w:r w:rsidRPr="00F82CDF">
              <w:t>20</w:t>
            </w:r>
          </w:p>
        </w:tc>
        <w:tc>
          <w:tcPr>
            <w:tcW w:w="1134" w:type="dxa"/>
            <w:shd w:val="clear" w:color="auto" w:fill="auto"/>
            <w:noWrap/>
            <w:hideMark/>
          </w:tcPr>
          <w:p w14:paraId="09BF7FA0" w14:textId="77777777" w:rsidR="003D7F3E" w:rsidRPr="00F82CDF" w:rsidRDefault="003D7F3E" w:rsidP="003D7F3E">
            <w:pPr>
              <w:pStyle w:val="TableofAuthorities"/>
            </w:pPr>
            <w:r w:rsidRPr="00F82CDF">
              <w:t>0.68</w:t>
            </w:r>
          </w:p>
        </w:tc>
      </w:tr>
      <w:tr w:rsidR="003D7F3E" w:rsidRPr="00F82CDF" w14:paraId="0398F761" w14:textId="77777777" w:rsidTr="003D7F3E">
        <w:trPr>
          <w:trHeight w:val="261"/>
        </w:trPr>
        <w:tc>
          <w:tcPr>
            <w:tcW w:w="647" w:type="dxa"/>
            <w:shd w:val="clear" w:color="auto" w:fill="DAEEF3" w:themeFill="accent5" w:themeFillTint="33"/>
            <w:noWrap/>
            <w:hideMark/>
          </w:tcPr>
          <w:p w14:paraId="31903DA3" w14:textId="77777777" w:rsidR="003D7F3E" w:rsidRPr="00F82CDF" w:rsidRDefault="003D7F3E" w:rsidP="003D7F3E">
            <w:pPr>
              <w:pStyle w:val="TableofAuthorities"/>
            </w:pPr>
            <w:r w:rsidRPr="00F82CDF">
              <w:t>3</w:t>
            </w:r>
          </w:p>
        </w:tc>
        <w:tc>
          <w:tcPr>
            <w:tcW w:w="2950" w:type="dxa"/>
            <w:shd w:val="clear" w:color="auto" w:fill="auto"/>
            <w:noWrap/>
            <w:hideMark/>
          </w:tcPr>
          <w:p w14:paraId="05996292" w14:textId="77777777" w:rsidR="003D7F3E" w:rsidRPr="00F82CDF" w:rsidRDefault="003D7F3E" w:rsidP="003D7F3E">
            <w:pPr>
              <w:pStyle w:val="TableofAuthorities"/>
            </w:pPr>
            <w:bookmarkStart w:id="133" w:name="_Toc305157713"/>
            <w:r w:rsidRPr="00F82CDF">
              <w:t>GREW DARKER AND</w:t>
            </w:r>
            <w:bookmarkEnd w:id="133"/>
          </w:p>
        </w:tc>
        <w:tc>
          <w:tcPr>
            <w:tcW w:w="1020" w:type="dxa"/>
          </w:tcPr>
          <w:p w14:paraId="68673209" w14:textId="77777777" w:rsidR="003D7F3E" w:rsidRPr="00F82CDF" w:rsidRDefault="003D7F3E" w:rsidP="003D7F3E">
            <w:pPr>
              <w:pStyle w:val="TableofAuthorities"/>
            </w:pPr>
            <w:r w:rsidRPr="00F82CDF">
              <w:t>16</w:t>
            </w:r>
          </w:p>
        </w:tc>
        <w:tc>
          <w:tcPr>
            <w:tcW w:w="1134" w:type="dxa"/>
            <w:shd w:val="clear" w:color="auto" w:fill="auto"/>
            <w:noWrap/>
            <w:hideMark/>
          </w:tcPr>
          <w:p w14:paraId="59F7698C" w14:textId="77777777" w:rsidR="003D7F3E" w:rsidRPr="00F82CDF" w:rsidRDefault="003D7F3E" w:rsidP="003D7F3E">
            <w:pPr>
              <w:pStyle w:val="TableofAuthorities"/>
            </w:pPr>
            <w:r w:rsidRPr="00F82CDF">
              <w:t>0.54</w:t>
            </w:r>
          </w:p>
        </w:tc>
      </w:tr>
      <w:tr w:rsidR="003D7F3E" w:rsidRPr="00F82CDF" w14:paraId="6FA2799E" w14:textId="77777777" w:rsidTr="003D7F3E">
        <w:trPr>
          <w:trHeight w:val="261"/>
        </w:trPr>
        <w:tc>
          <w:tcPr>
            <w:tcW w:w="647" w:type="dxa"/>
            <w:shd w:val="clear" w:color="auto" w:fill="DAEEF3" w:themeFill="accent5" w:themeFillTint="33"/>
            <w:noWrap/>
            <w:hideMark/>
          </w:tcPr>
          <w:p w14:paraId="1E56FDB6" w14:textId="77777777" w:rsidR="003D7F3E" w:rsidRPr="00F82CDF" w:rsidRDefault="003D7F3E" w:rsidP="003D7F3E">
            <w:pPr>
              <w:pStyle w:val="TableofAuthorities"/>
            </w:pPr>
            <w:r w:rsidRPr="00F82CDF">
              <w:t>4</w:t>
            </w:r>
          </w:p>
        </w:tc>
        <w:tc>
          <w:tcPr>
            <w:tcW w:w="2950" w:type="dxa"/>
            <w:shd w:val="clear" w:color="auto" w:fill="auto"/>
            <w:noWrap/>
            <w:hideMark/>
          </w:tcPr>
          <w:p w14:paraId="0A4FEECF" w14:textId="77777777" w:rsidR="003D7F3E" w:rsidRPr="00F82CDF" w:rsidRDefault="003D7F3E" w:rsidP="003D7F3E">
            <w:pPr>
              <w:pStyle w:val="TableofAuthorities"/>
            </w:pPr>
            <w:bookmarkStart w:id="134" w:name="_Toc305157716"/>
            <w:r w:rsidRPr="00F82CDF">
              <w:t>GREW STRONGER AND</w:t>
            </w:r>
            <w:bookmarkEnd w:id="134"/>
          </w:p>
        </w:tc>
        <w:tc>
          <w:tcPr>
            <w:tcW w:w="1020" w:type="dxa"/>
          </w:tcPr>
          <w:p w14:paraId="37893DD0" w14:textId="77777777" w:rsidR="003D7F3E" w:rsidRPr="00F82CDF" w:rsidRDefault="003D7F3E" w:rsidP="003D7F3E">
            <w:pPr>
              <w:pStyle w:val="TableofAuthorities"/>
            </w:pPr>
            <w:r w:rsidRPr="00F82CDF">
              <w:t>15</w:t>
            </w:r>
          </w:p>
        </w:tc>
        <w:tc>
          <w:tcPr>
            <w:tcW w:w="1134" w:type="dxa"/>
            <w:shd w:val="clear" w:color="auto" w:fill="auto"/>
            <w:noWrap/>
            <w:hideMark/>
          </w:tcPr>
          <w:p w14:paraId="27151A66" w14:textId="77777777" w:rsidR="003D7F3E" w:rsidRPr="00F82CDF" w:rsidRDefault="003D7F3E" w:rsidP="003D7F3E">
            <w:pPr>
              <w:pStyle w:val="TableofAuthorities"/>
            </w:pPr>
            <w:r w:rsidRPr="00F82CDF">
              <w:t>0.51</w:t>
            </w:r>
          </w:p>
        </w:tc>
      </w:tr>
      <w:tr w:rsidR="003D7F3E" w:rsidRPr="00F82CDF" w14:paraId="0A0F7779" w14:textId="77777777" w:rsidTr="003D7F3E">
        <w:trPr>
          <w:trHeight w:val="261"/>
        </w:trPr>
        <w:tc>
          <w:tcPr>
            <w:tcW w:w="647" w:type="dxa"/>
            <w:shd w:val="clear" w:color="auto" w:fill="DAEEF3" w:themeFill="accent5" w:themeFillTint="33"/>
            <w:noWrap/>
            <w:hideMark/>
          </w:tcPr>
          <w:p w14:paraId="472095F0" w14:textId="77777777" w:rsidR="003D7F3E" w:rsidRPr="00F82CDF" w:rsidRDefault="003D7F3E" w:rsidP="003D7F3E">
            <w:pPr>
              <w:pStyle w:val="TableofAuthorities"/>
            </w:pPr>
            <w:r w:rsidRPr="00F82CDF">
              <w:t>5</w:t>
            </w:r>
          </w:p>
        </w:tc>
        <w:tc>
          <w:tcPr>
            <w:tcW w:w="2950" w:type="dxa"/>
            <w:shd w:val="clear" w:color="auto" w:fill="auto"/>
            <w:noWrap/>
            <w:hideMark/>
          </w:tcPr>
          <w:p w14:paraId="4824F59F" w14:textId="77777777" w:rsidR="003D7F3E" w:rsidRPr="00F82CDF" w:rsidRDefault="003D7F3E" w:rsidP="003D7F3E">
            <w:pPr>
              <w:pStyle w:val="TableofAuthorities"/>
            </w:pPr>
            <w:bookmarkStart w:id="135" w:name="_Toc305157719"/>
            <w:r w:rsidRPr="00F82CDF">
              <w:t>GREW BRIGHTER AND</w:t>
            </w:r>
            <w:bookmarkEnd w:id="135"/>
          </w:p>
        </w:tc>
        <w:tc>
          <w:tcPr>
            <w:tcW w:w="1020" w:type="dxa"/>
          </w:tcPr>
          <w:p w14:paraId="4CEFC202" w14:textId="77777777" w:rsidR="003D7F3E" w:rsidRPr="00F82CDF" w:rsidRDefault="003D7F3E" w:rsidP="003D7F3E">
            <w:pPr>
              <w:pStyle w:val="TableofAuthorities"/>
            </w:pPr>
            <w:r w:rsidRPr="00F82CDF">
              <w:t>8</w:t>
            </w:r>
          </w:p>
        </w:tc>
        <w:tc>
          <w:tcPr>
            <w:tcW w:w="1134" w:type="dxa"/>
            <w:shd w:val="clear" w:color="auto" w:fill="auto"/>
            <w:noWrap/>
            <w:hideMark/>
          </w:tcPr>
          <w:p w14:paraId="24F29A20" w14:textId="77777777" w:rsidR="003D7F3E" w:rsidRPr="00F82CDF" w:rsidRDefault="003D7F3E" w:rsidP="003D7F3E">
            <w:pPr>
              <w:pStyle w:val="TableofAuthorities"/>
            </w:pPr>
            <w:r w:rsidRPr="00F82CDF">
              <w:t>0.27</w:t>
            </w:r>
          </w:p>
        </w:tc>
      </w:tr>
      <w:tr w:rsidR="003D7F3E" w:rsidRPr="00F82CDF" w14:paraId="0856F920" w14:textId="77777777" w:rsidTr="003D7F3E">
        <w:trPr>
          <w:trHeight w:val="261"/>
        </w:trPr>
        <w:tc>
          <w:tcPr>
            <w:tcW w:w="647" w:type="dxa"/>
            <w:shd w:val="clear" w:color="auto" w:fill="DAEEF3" w:themeFill="accent5" w:themeFillTint="33"/>
            <w:noWrap/>
            <w:hideMark/>
          </w:tcPr>
          <w:p w14:paraId="0E671921" w14:textId="77777777" w:rsidR="003D7F3E" w:rsidRPr="00F82CDF" w:rsidRDefault="003D7F3E" w:rsidP="003D7F3E">
            <w:pPr>
              <w:pStyle w:val="TableofAuthorities"/>
            </w:pPr>
            <w:r w:rsidRPr="00F82CDF">
              <w:t>5</w:t>
            </w:r>
          </w:p>
        </w:tc>
        <w:tc>
          <w:tcPr>
            <w:tcW w:w="2950" w:type="dxa"/>
            <w:shd w:val="clear" w:color="auto" w:fill="auto"/>
            <w:noWrap/>
            <w:hideMark/>
          </w:tcPr>
          <w:p w14:paraId="243BB4FF" w14:textId="77777777" w:rsidR="003D7F3E" w:rsidRPr="00F82CDF" w:rsidRDefault="003D7F3E" w:rsidP="003D7F3E">
            <w:pPr>
              <w:pStyle w:val="TableofAuthorities"/>
            </w:pPr>
            <w:bookmarkStart w:id="136" w:name="_Toc305157722"/>
            <w:r w:rsidRPr="00F82CDF">
              <w:t>LOUDER AND LOUDER</w:t>
            </w:r>
            <w:bookmarkEnd w:id="136"/>
          </w:p>
        </w:tc>
        <w:tc>
          <w:tcPr>
            <w:tcW w:w="1020" w:type="dxa"/>
          </w:tcPr>
          <w:p w14:paraId="219B6258" w14:textId="77777777" w:rsidR="003D7F3E" w:rsidRPr="00F82CDF" w:rsidRDefault="003D7F3E" w:rsidP="003D7F3E">
            <w:pPr>
              <w:pStyle w:val="TableofAuthorities"/>
            </w:pPr>
            <w:r w:rsidRPr="00F82CDF">
              <w:t>8</w:t>
            </w:r>
          </w:p>
        </w:tc>
        <w:tc>
          <w:tcPr>
            <w:tcW w:w="1134" w:type="dxa"/>
            <w:shd w:val="clear" w:color="auto" w:fill="auto"/>
            <w:noWrap/>
            <w:hideMark/>
          </w:tcPr>
          <w:p w14:paraId="61189D4A" w14:textId="77777777" w:rsidR="003D7F3E" w:rsidRPr="00F82CDF" w:rsidRDefault="003D7F3E" w:rsidP="003D7F3E">
            <w:pPr>
              <w:pStyle w:val="TableofAuthorities"/>
            </w:pPr>
            <w:r w:rsidRPr="00F82CDF">
              <w:t>0.27</w:t>
            </w:r>
          </w:p>
        </w:tc>
      </w:tr>
      <w:tr w:rsidR="003D7F3E" w:rsidRPr="00F82CDF" w14:paraId="66D0EA05" w14:textId="77777777" w:rsidTr="003D7F3E">
        <w:trPr>
          <w:trHeight w:val="261"/>
        </w:trPr>
        <w:tc>
          <w:tcPr>
            <w:tcW w:w="647" w:type="dxa"/>
            <w:shd w:val="clear" w:color="auto" w:fill="DAEEF3" w:themeFill="accent5" w:themeFillTint="33"/>
            <w:noWrap/>
            <w:hideMark/>
          </w:tcPr>
          <w:p w14:paraId="0BA000EB" w14:textId="77777777" w:rsidR="003D7F3E" w:rsidRPr="00F82CDF" w:rsidRDefault="003D7F3E" w:rsidP="003D7F3E">
            <w:pPr>
              <w:pStyle w:val="TableofAuthorities"/>
            </w:pPr>
            <w:r w:rsidRPr="00F82CDF">
              <w:t>6</w:t>
            </w:r>
          </w:p>
        </w:tc>
        <w:tc>
          <w:tcPr>
            <w:tcW w:w="2950" w:type="dxa"/>
            <w:shd w:val="clear" w:color="auto" w:fill="auto"/>
            <w:noWrap/>
            <w:hideMark/>
          </w:tcPr>
          <w:p w14:paraId="144FE501" w14:textId="77777777" w:rsidR="003D7F3E" w:rsidRPr="00F82CDF" w:rsidRDefault="003D7F3E" w:rsidP="003D7F3E">
            <w:pPr>
              <w:pStyle w:val="TableofAuthorities"/>
            </w:pPr>
            <w:bookmarkStart w:id="137" w:name="_Toc305157725"/>
            <w:r w:rsidRPr="00F82CDF">
              <w:t>DARKER AND DARKER</w:t>
            </w:r>
            <w:bookmarkEnd w:id="137"/>
          </w:p>
        </w:tc>
        <w:tc>
          <w:tcPr>
            <w:tcW w:w="1020" w:type="dxa"/>
          </w:tcPr>
          <w:p w14:paraId="58112297" w14:textId="77777777" w:rsidR="003D7F3E" w:rsidRPr="00F82CDF" w:rsidRDefault="003D7F3E" w:rsidP="003D7F3E">
            <w:pPr>
              <w:pStyle w:val="TableofAuthorities"/>
            </w:pPr>
            <w:r w:rsidRPr="00F82CDF">
              <w:t>7</w:t>
            </w:r>
          </w:p>
        </w:tc>
        <w:tc>
          <w:tcPr>
            <w:tcW w:w="1134" w:type="dxa"/>
            <w:shd w:val="clear" w:color="auto" w:fill="auto"/>
            <w:noWrap/>
            <w:hideMark/>
          </w:tcPr>
          <w:p w14:paraId="2468E2C8" w14:textId="77777777" w:rsidR="003D7F3E" w:rsidRPr="00F82CDF" w:rsidRDefault="003D7F3E" w:rsidP="003D7F3E">
            <w:pPr>
              <w:pStyle w:val="TableofAuthorities"/>
            </w:pPr>
            <w:r w:rsidRPr="00F82CDF">
              <w:t>0.24</w:t>
            </w:r>
          </w:p>
        </w:tc>
      </w:tr>
      <w:tr w:rsidR="003D7F3E" w:rsidRPr="00F82CDF" w14:paraId="22978AAB" w14:textId="77777777" w:rsidTr="003D7F3E">
        <w:trPr>
          <w:trHeight w:val="261"/>
        </w:trPr>
        <w:tc>
          <w:tcPr>
            <w:tcW w:w="647" w:type="dxa"/>
            <w:shd w:val="clear" w:color="auto" w:fill="DAEEF3" w:themeFill="accent5" w:themeFillTint="33"/>
            <w:noWrap/>
            <w:hideMark/>
          </w:tcPr>
          <w:p w14:paraId="77AEBA13" w14:textId="77777777" w:rsidR="003D7F3E" w:rsidRPr="00F82CDF" w:rsidRDefault="003D7F3E" w:rsidP="003D7F3E">
            <w:pPr>
              <w:pStyle w:val="TableofAuthorities"/>
            </w:pPr>
            <w:r w:rsidRPr="00F82CDF">
              <w:t>7</w:t>
            </w:r>
          </w:p>
        </w:tc>
        <w:tc>
          <w:tcPr>
            <w:tcW w:w="2950" w:type="dxa"/>
            <w:shd w:val="clear" w:color="auto" w:fill="auto"/>
            <w:noWrap/>
            <w:hideMark/>
          </w:tcPr>
          <w:p w14:paraId="05255933" w14:textId="77777777" w:rsidR="003D7F3E" w:rsidRPr="00F82CDF" w:rsidRDefault="003D7F3E" w:rsidP="003D7F3E">
            <w:pPr>
              <w:pStyle w:val="TableofAuthorities"/>
            </w:pPr>
            <w:bookmarkStart w:id="138" w:name="_Toc305157728"/>
            <w:r w:rsidRPr="00F82CDF">
              <w:t>STRONGER AND STRONGER</w:t>
            </w:r>
            <w:bookmarkEnd w:id="138"/>
          </w:p>
        </w:tc>
        <w:tc>
          <w:tcPr>
            <w:tcW w:w="1020" w:type="dxa"/>
          </w:tcPr>
          <w:p w14:paraId="04DBBB65" w14:textId="77777777" w:rsidR="003D7F3E" w:rsidRPr="00F82CDF" w:rsidRDefault="003D7F3E" w:rsidP="003D7F3E">
            <w:pPr>
              <w:pStyle w:val="TableofAuthorities"/>
            </w:pPr>
            <w:r w:rsidRPr="00F82CDF">
              <w:t>6</w:t>
            </w:r>
          </w:p>
        </w:tc>
        <w:tc>
          <w:tcPr>
            <w:tcW w:w="1134" w:type="dxa"/>
            <w:shd w:val="clear" w:color="auto" w:fill="auto"/>
            <w:noWrap/>
            <w:hideMark/>
          </w:tcPr>
          <w:p w14:paraId="7CB0B834" w14:textId="77777777" w:rsidR="003D7F3E" w:rsidRPr="00F82CDF" w:rsidRDefault="003D7F3E" w:rsidP="003D7F3E">
            <w:pPr>
              <w:pStyle w:val="TableofAuthorities"/>
            </w:pPr>
            <w:r w:rsidRPr="00F82CDF">
              <w:t>0.20</w:t>
            </w:r>
          </w:p>
        </w:tc>
      </w:tr>
      <w:tr w:rsidR="003D7F3E" w:rsidRPr="00F82CDF" w14:paraId="063B3619" w14:textId="77777777" w:rsidTr="003D7F3E">
        <w:trPr>
          <w:trHeight w:val="261"/>
        </w:trPr>
        <w:tc>
          <w:tcPr>
            <w:tcW w:w="647" w:type="dxa"/>
            <w:shd w:val="clear" w:color="auto" w:fill="DAEEF3" w:themeFill="accent5" w:themeFillTint="33"/>
            <w:noWrap/>
            <w:hideMark/>
          </w:tcPr>
          <w:p w14:paraId="2AAF8BA1" w14:textId="77777777" w:rsidR="003D7F3E" w:rsidRPr="00F82CDF" w:rsidRDefault="003D7F3E" w:rsidP="003D7F3E">
            <w:pPr>
              <w:pStyle w:val="TableofAuthorities"/>
            </w:pPr>
            <w:r w:rsidRPr="00F82CDF">
              <w:t>7</w:t>
            </w:r>
          </w:p>
        </w:tc>
        <w:tc>
          <w:tcPr>
            <w:tcW w:w="2950" w:type="dxa"/>
            <w:shd w:val="clear" w:color="auto" w:fill="auto"/>
            <w:noWrap/>
            <w:hideMark/>
          </w:tcPr>
          <w:p w14:paraId="2B8C5A3C" w14:textId="77777777" w:rsidR="003D7F3E" w:rsidRPr="00F82CDF" w:rsidRDefault="003D7F3E" w:rsidP="003D7F3E">
            <w:pPr>
              <w:pStyle w:val="TableofAuthorities"/>
            </w:pPr>
            <w:bookmarkStart w:id="139" w:name="_Toc305157731"/>
            <w:r w:rsidRPr="00F82CDF">
              <w:t>GREW WHITER AND</w:t>
            </w:r>
            <w:bookmarkEnd w:id="139"/>
          </w:p>
        </w:tc>
        <w:tc>
          <w:tcPr>
            <w:tcW w:w="1020" w:type="dxa"/>
          </w:tcPr>
          <w:p w14:paraId="426E72DC" w14:textId="77777777" w:rsidR="003D7F3E" w:rsidRPr="00F82CDF" w:rsidRDefault="003D7F3E" w:rsidP="003D7F3E">
            <w:pPr>
              <w:pStyle w:val="TableofAuthorities"/>
            </w:pPr>
            <w:r w:rsidRPr="00F82CDF">
              <w:t>6</w:t>
            </w:r>
          </w:p>
        </w:tc>
        <w:tc>
          <w:tcPr>
            <w:tcW w:w="1134" w:type="dxa"/>
            <w:shd w:val="clear" w:color="auto" w:fill="auto"/>
            <w:noWrap/>
            <w:hideMark/>
          </w:tcPr>
          <w:p w14:paraId="22392B34" w14:textId="77777777" w:rsidR="003D7F3E" w:rsidRPr="00F82CDF" w:rsidRDefault="003D7F3E" w:rsidP="003D7F3E">
            <w:pPr>
              <w:pStyle w:val="TableofAuthorities"/>
            </w:pPr>
            <w:r w:rsidRPr="00F82CDF">
              <w:t>0.20</w:t>
            </w:r>
          </w:p>
        </w:tc>
      </w:tr>
      <w:tr w:rsidR="003D7F3E" w:rsidRPr="00F82CDF" w14:paraId="335D6C28" w14:textId="77777777" w:rsidTr="003D7F3E">
        <w:trPr>
          <w:trHeight w:val="261"/>
        </w:trPr>
        <w:tc>
          <w:tcPr>
            <w:tcW w:w="647" w:type="dxa"/>
            <w:shd w:val="clear" w:color="auto" w:fill="DAEEF3" w:themeFill="accent5" w:themeFillTint="33"/>
            <w:noWrap/>
            <w:hideMark/>
          </w:tcPr>
          <w:p w14:paraId="28970625" w14:textId="77777777" w:rsidR="003D7F3E" w:rsidRPr="00F82CDF" w:rsidRDefault="003D7F3E" w:rsidP="003D7F3E">
            <w:pPr>
              <w:pStyle w:val="TableofAuthorities"/>
            </w:pPr>
            <w:r w:rsidRPr="00F82CDF">
              <w:t>7</w:t>
            </w:r>
          </w:p>
        </w:tc>
        <w:tc>
          <w:tcPr>
            <w:tcW w:w="2950" w:type="dxa"/>
            <w:shd w:val="clear" w:color="auto" w:fill="auto"/>
            <w:noWrap/>
            <w:hideMark/>
          </w:tcPr>
          <w:p w14:paraId="44D38199" w14:textId="77777777" w:rsidR="003D7F3E" w:rsidRPr="00F82CDF" w:rsidRDefault="003D7F3E" w:rsidP="003D7F3E">
            <w:pPr>
              <w:pStyle w:val="TableofAuthorities"/>
            </w:pPr>
            <w:bookmarkStart w:id="140" w:name="_Toc305157734"/>
            <w:r w:rsidRPr="00F82CDF">
              <w:t>HEART GREW HEAVIER</w:t>
            </w:r>
            <w:bookmarkEnd w:id="140"/>
          </w:p>
        </w:tc>
        <w:tc>
          <w:tcPr>
            <w:tcW w:w="1020" w:type="dxa"/>
          </w:tcPr>
          <w:p w14:paraId="011FA15A" w14:textId="77777777" w:rsidR="003D7F3E" w:rsidRPr="00F82CDF" w:rsidRDefault="003D7F3E" w:rsidP="003D7F3E">
            <w:pPr>
              <w:pStyle w:val="TableofAuthorities"/>
            </w:pPr>
            <w:r w:rsidRPr="00F82CDF">
              <w:t>6</w:t>
            </w:r>
          </w:p>
        </w:tc>
        <w:tc>
          <w:tcPr>
            <w:tcW w:w="1134" w:type="dxa"/>
            <w:shd w:val="clear" w:color="auto" w:fill="auto"/>
            <w:noWrap/>
            <w:hideMark/>
          </w:tcPr>
          <w:p w14:paraId="357DBA36" w14:textId="77777777" w:rsidR="003D7F3E" w:rsidRPr="00F82CDF" w:rsidRDefault="003D7F3E" w:rsidP="003D7F3E">
            <w:pPr>
              <w:pStyle w:val="TableofAuthorities"/>
            </w:pPr>
            <w:r w:rsidRPr="00F82CDF">
              <w:t>0.20</w:t>
            </w:r>
          </w:p>
        </w:tc>
      </w:tr>
      <w:tr w:rsidR="003D7F3E" w:rsidRPr="00F82CDF" w14:paraId="27E403E0" w14:textId="77777777" w:rsidTr="003D7F3E">
        <w:trPr>
          <w:trHeight w:val="261"/>
        </w:trPr>
        <w:tc>
          <w:tcPr>
            <w:tcW w:w="647" w:type="dxa"/>
            <w:shd w:val="clear" w:color="auto" w:fill="DAEEF3" w:themeFill="accent5" w:themeFillTint="33"/>
            <w:noWrap/>
            <w:hideMark/>
          </w:tcPr>
          <w:p w14:paraId="220B04DD" w14:textId="77777777" w:rsidR="003D7F3E" w:rsidRPr="00F82CDF" w:rsidRDefault="003D7F3E" w:rsidP="003D7F3E">
            <w:pPr>
              <w:pStyle w:val="TableofAuthorities"/>
            </w:pPr>
            <w:r w:rsidRPr="00F82CDF">
              <w:t>7</w:t>
            </w:r>
          </w:p>
        </w:tc>
        <w:tc>
          <w:tcPr>
            <w:tcW w:w="2950" w:type="dxa"/>
            <w:shd w:val="clear" w:color="auto" w:fill="auto"/>
            <w:noWrap/>
            <w:hideMark/>
          </w:tcPr>
          <w:p w14:paraId="1BC64CF5" w14:textId="77777777" w:rsidR="003D7F3E" w:rsidRPr="00F82CDF" w:rsidRDefault="003D7F3E" w:rsidP="003D7F3E">
            <w:pPr>
              <w:pStyle w:val="TableofAuthorities"/>
            </w:pPr>
            <w:bookmarkStart w:id="141" w:name="_Toc305157737"/>
            <w:r w:rsidRPr="00F82CDF">
              <w:t>HE GREW CALMER</w:t>
            </w:r>
            <w:bookmarkEnd w:id="141"/>
          </w:p>
        </w:tc>
        <w:tc>
          <w:tcPr>
            <w:tcW w:w="1020" w:type="dxa"/>
          </w:tcPr>
          <w:p w14:paraId="21830F19" w14:textId="77777777" w:rsidR="003D7F3E" w:rsidRPr="00F82CDF" w:rsidRDefault="003D7F3E" w:rsidP="003D7F3E">
            <w:pPr>
              <w:pStyle w:val="TableofAuthorities"/>
            </w:pPr>
            <w:r w:rsidRPr="00F82CDF">
              <w:t>6</w:t>
            </w:r>
          </w:p>
        </w:tc>
        <w:tc>
          <w:tcPr>
            <w:tcW w:w="1134" w:type="dxa"/>
            <w:shd w:val="clear" w:color="auto" w:fill="auto"/>
            <w:noWrap/>
            <w:hideMark/>
          </w:tcPr>
          <w:p w14:paraId="3BE6FF7C" w14:textId="77777777" w:rsidR="003D7F3E" w:rsidRPr="00F82CDF" w:rsidRDefault="003D7F3E" w:rsidP="003D7F3E">
            <w:pPr>
              <w:pStyle w:val="TableofAuthorities"/>
            </w:pPr>
            <w:r w:rsidRPr="00F82CDF">
              <w:t>0.20</w:t>
            </w:r>
          </w:p>
        </w:tc>
      </w:tr>
      <w:tr w:rsidR="003D7F3E" w:rsidRPr="00F82CDF" w14:paraId="0DC72C70" w14:textId="77777777" w:rsidTr="003D7F3E">
        <w:trPr>
          <w:trHeight w:val="261"/>
        </w:trPr>
        <w:tc>
          <w:tcPr>
            <w:tcW w:w="647" w:type="dxa"/>
            <w:shd w:val="clear" w:color="auto" w:fill="DAEEF3" w:themeFill="accent5" w:themeFillTint="33"/>
            <w:noWrap/>
            <w:hideMark/>
          </w:tcPr>
          <w:p w14:paraId="71757B51" w14:textId="77777777" w:rsidR="003D7F3E" w:rsidRPr="00F82CDF" w:rsidRDefault="003D7F3E" w:rsidP="003D7F3E">
            <w:pPr>
              <w:pStyle w:val="TableofAuthorities"/>
            </w:pPr>
            <w:r w:rsidRPr="00F82CDF">
              <w:t>7</w:t>
            </w:r>
          </w:p>
        </w:tc>
        <w:tc>
          <w:tcPr>
            <w:tcW w:w="2950" w:type="dxa"/>
            <w:shd w:val="clear" w:color="auto" w:fill="auto"/>
            <w:noWrap/>
            <w:hideMark/>
          </w:tcPr>
          <w:p w14:paraId="4308D58D" w14:textId="77777777" w:rsidR="003D7F3E" w:rsidRPr="00F82CDF" w:rsidRDefault="003D7F3E" w:rsidP="003D7F3E">
            <w:pPr>
              <w:pStyle w:val="TableofAuthorities"/>
            </w:pPr>
            <w:bookmarkStart w:id="142" w:name="_Toc305157740"/>
            <w:r w:rsidRPr="00F82CDF">
              <w:t>GREW PALER AND</w:t>
            </w:r>
            <w:bookmarkEnd w:id="142"/>
          </w:p>
        </w:tc>
        <w:tc>
          <w:tcPr>
            <w:tcW w:w="1020" w:type="dxa"/>
          </w:tcPr>
          <w:p w14:paraId="44F55744" w14:textId="77777777" w:rsidR="003D7F3E" w:rsidRPr="00F82CDF" w:rsidRDefault="003D7F3E" w:rsidP="003D7F3E">
            <w:pPr>
              <w:pStyle w:val="TableofAuthorities"/>
            </w:pPr>
            <w:r w:rsidRPr="00F82CDF">
              <w:t>6</w:t>
            </w:r>
          </w:p>
        </w:tc>
        <w:tc>
          <w:tcPr>
            <w:tcW w:w="1134" w:type="dxa"/>
            <w:shd w:val="clear" w:color="auto" w:fill="auto"/>
            <w:noWrap/>
            <w:hideMark/>
          </w:tcPr>
          <w:p w14:paraId="1321ABC4" w14:textId="77777777" w:rsidR="003D7F3E" w:rsidRPr="00F82CDF" w:rsidRDefault="003D7F3E" w:rsidP="003D7F3E">
            <w:pPr>
              <w:pStyle w:val="TableofAuthorities"/>
            </w:pPr>
            <w:r w:rsidRPr="00F82CDF">
              <w:t>0.20</w:t>
            </w:r>
          </w:p>
        </w:tc>
      </w:tr>
      <w:tr w:rsidR="003D7F3E" w:rsidRPr="00F82CDF" w14:paraId="0D8E6FB8" w14:textId="77777777" w:rsidTr="003D7F3E">
        <w:trPr>
          <w:trHeight w:val="261"/>
        </w:trPr>
        <w:tc>
          <w:tcPr>
            <w:tcW w:w="647" w:type="dxa"/>
            <w:shd w:val="clear" w:color="auto" w:fill="DAEEF3" w:themeFill="accent5" w:themeFillTint="33"/>
            <w:noWrap/>
            <w:hideMark/>
          </w:tcPr>
          <w:p w14:paraId="2D007AF0" w14:textId="77777777" w:rsidR="003D7F3E" w:rsidRPr="00F82CDF" w:rsidRDefault="003D7F3E" w:rsidP="003D7F3E">
            <w:pPr>
              <w:pStyle w:val="TableofAuthorities"/>
            </w:pPr>
            <w:r w:rsidRPr="00F82CDF">
              <w:t>7</w:t>
            </w:r>
          </w:p>
        </w:tc>
        <w:tc>
          <w:tcPr>
            <w:tcW w:w="2950" w:type="dxa"/>
            <w:shd w:val="clear" w:color="auto" w:fill="auto"/>
            <w:noWrap/>
            <w:hideMark/>
          </w:tcPr>
          <w:p w14:paraId="06791026" w14:textId="77777777" w:rsidR="003D7F3E" w:rsidRPr="00F82CDF" w:rsidRDefault="003D7F3E" w:rsidP="003D7F3E">
            <w:pPr>
              <w:pStyle w:val="TableofAuthorities"/>
            </w:pPr>
            <w:bookmarkStart w:id="143" w:name="_Toc305157743"/>
            <w:r w:rsidRPr="00F82CDF">
              <w:t>AND THICKER AND</w:t>
            </w:r>
            <w:bookmarkEnd w:id="143"/>
          </w:p>
        </w:tc>
        <w:tc>
          <w:tcPr>
            <w:tcW w:w="1020" w:type="dxa"/>
          </w:tcPr>
          <w:p w14:paraId="6D6D35CD" w14:textId="77777777" w:rsidR="003D7F3E" w:rsidRPr="00F82CDF" w:rsidRDefault="003D7F3E" w:rsidP="003D7F3E">
            <w:pPr>
              <w:pStyle w:val="TableofAuthorities"/>
            </w:pPr>
            <w:r w:rsidRPr="00F82CDF">
              <w:t>6</w:t>
            </w:r>
          </w:p>
        </w:tc>
        <w:tc>
          <w:tcPr>
            <w:tcW w:w="1134" w:type="dxa"/>
            <w:shd w:val="clear" w:color="auto" w:fill="auto"/>
            <w:noWrap/>
            <w:hideMark/>
          </w:tcPr>
          <w:p w14:paraId="11B5FBED" w14:textId="77777777" w:rsidR="003D7F3E" w:rsidRPr="00F82CDF" w:rsidRDefault="003D7F3E" w:rsidP="003D7F3E">
            <w:pPr>
              <w:pStyle w:val="TableofAuthorities"/>
            </w:pPr>
            <w:r w:rsidRPr="00F82CDF">
              <w:t>0.20</w:t>
            </w:r>
          </w:p>
        </w:tc>
      </w:tr>
      <w:tr w:rsidR="003D7F3E" w:rsidRPr="00F82CDF" w14:paraId="092AC1AF" w14:textId="77777777" w:rsidTr="003D7F3E">
        <w:trPr>
          <w:trHeight w:val="261"/>
        </w:trPr>
        <w:tc>
          <w:tcPr>
            <w:tcW w:w="647" w:type="dxa"/>
            <w:shd w:val="clear" w:color="auto" w:fill="DAEEF3" w:themeFill="accent5" w:themeFillTint="33"/>
            <w:noWrap/>
            <w:hideMark/>
          </w:tcPr>
          <w:p w14:paraId="2C60974C" w14:textId="77777777" w:rsidR="003D7F3E" w:rsidRPr="00F82CDF" w:rsidRDefault="003D7F3E" w:rsidP="003D7F3E">
            <w:pPr>
              <w:pStyle w:val="TableofAuthorities"/>
            </w:pPr>
            <w:r w:rsidRPr="00F82CDF">
              <w:t>8</w:t>
            </w:r>
          </w:p>
        </w:tc>
        <w:tc>
          <w:tcPr>
            <w:tcW w:w="2950" w:type="dxa"/>
            <w:shd w:val="clear" w:color="auto" w:fill="auto"/>
            <w:noWrap/>
            <w:hideMark/>
          </w:tcPr>
          <w:p w14:paraId="109913F5" w14:textId="77777777" w:rsidR="003D7F3E" w:rsidRPr="00F82CDF" w:rsidRDefault="003D7F3E" w:rsidP="003D7F3E">
            <w:pPr>
              <w:pStyle w:val="TableofAuthorities"/>
            </w:pPr>
            <w:bookmarkStart w:id="144" w:name="_Toc305157746"/>
            <w:r w:rsidRPr="00F82CDF">
              <w:t>IT GREW DARKER</w:t>
            </w:r>
            <w:bookmarkEnd w:id="144"/>
          </w:p>
        </w:tc>
        <w:tc>
          <w:tcPr>
            <w:tcW w:w="1020" w:type="dxa"/>
          </w:tcPr>
          <w:p w14:paraId="5B9F4D35" w14:textId="77777777" w:rsidR="003D7F3E" w:rsidRPr="00F82CDF" w:rsidRDefault="003D7F3E" w:rsidP="003D7F3E">
            <w:pPr>
              <w:pStyle w:val="TableofAuthorities"/>
            </w:pPr>
            <w:r w:rsidRPr="00F82CDF">
              <w:t>5</w:t>
            </w:r>
          </w:p>
        </w:tc>
        <w:tc>
          <w:tcPr>
            <w:tcW w:w="1134" w:type="dxa"/>
            <w:shd w:val="clear" w:color="auto" w:fill="auto"/>
            <w:noWrap/>
            <w:hideMark/>
          </w:tcPr>
          <w:p w14:paraId="0961D4BB" w14:textId="77777777" w:rsidR="003D7F3E" w:rsidRPr="00F82CDF" w:rsidRDefault="003D7F3E" w:rsidP="003D7F3E">
            <w:pPr>
              <w:pStyle w:val="TableofAuthorities"/>
            </w:pPr>
            <w:r w:rsidRPr="00F82CDF">
              <w:t>0.17</w:t>
            </w:r>
          </w:p>
        </w:tc>
      </w:tr>
      <w:tr w:rsidR="003D7F3E" w:rsidRPr="00F82CDF" w14:paraId="422967E2" w14:textId="77777777" w:rsidTr="003D7F3E">
        <w:trPr>
          <w:trHeight w:val="261"/>
        </w:trPr>
        <w:tc>
          <w:tcPr>
            <w:tcW w:w="647" w:type="dxa"/>
            <w:shd w:val="clear" w:color="auto" w:fill="DAEEF3" w:themeFill="accent5" w:themeFillTint="33"/>
            <w:noWrap/>
            <w:hideMark/>
          </w:tcPr>
          <w:p w14:paraId="48550F72" w14:textId="77777777" w:rsidR="003D7F3E" w:rsidRPr="00F82CDF" w:rsidRDefault="003D7F3E" w:rsidP="003D7F3E">
            <w:pPr>
              <w:pStyle w:val="TableofAuthorities"/>
            </w:pPr>
            <w:r w:rsidRPr="00F82CDF">
              <w:t>8</w:t>
            </w:r>
          </w:p>
        </w:tc>
        <w:tc>
          <w:tcPr>
            <w:tcW w:w="2950" w:type="dxa"/>
            <w:shd w:val="clear" w:color="auto" w:fill="auto"/>
            <w:noWrap/>
            <w:hideMark/>
          </w:tcPr>
          <w:p w14:paraId="023E5D16" w14:textId="77777777" w:rsidR="003D7F3E" w:rsidRPr="00F82CDF" w:rsidRDefault="003D7F3E" w:rsidP="003D7F3E">
            <w:pPr>
              <w:pStyle w:val="TableofAuthorities"/>
            </w:pPr>
            <w:bookmarkStart w:id="145" w:name="_Toc305157749"/>
            <w:r w:rsidRPr="00F82CDF">
              <w:t>THICKER AND THICKER</w:t>
            </w:r>
            <w:bookmarkEnd w:id="145"/>
          </w:p>
        </w:tc>
        <w:tc>
          <w:tcPr>
            <w:tcW w:w="1020" w:type="dxa"/>
          </w:tcPr>
          <w:p w14:paraId="2D85D236" w14:textId="77777777" w:rsidR="003D7F3E" w:rsidRPr="00F82CDF" w:rsidRDefault="003D7F3E" w:rsidP="003D7F3E">
            <w:pPr>
              <w:pStyle w:val="TableofAuthorities"/>
            </w:pPr>
            <w:r w:rsidRPr="00F82CDF">
              <w:t>5</w:t>
            </w:r>
          </w:p>
        </w:tc>
        <w:tc>
          <w:tcPr>
            <w:tcW w:w="1134" w:type="dxa"/>
            <w:shd w:val="clear" w:color="auto" w:fill="auto"/>
            <w:noWrap/>
            <w:hideMark/>
          </w:tcPr>
          <w:p w14:paraId="01DE2476" w14:textId="77777777" w:rsidR="003D7F3E" w:rsidRPr="00F82CDF" w:rsidRDefault="003D7F3E" w:rsidP="003D7F3E">
            <w:pPr>
              <w:pStyle w:val="TableofAuthorities"/>
            </w:pPr>
            <w:r w:rsidRPr="00F82CDF">
              <w:t>0.17</w:t>
            </w:r>
          </w:p>
        </w:tc>
      </w:tr>
      <w:tr w:rsidR="003D7F3E" w:rsidRPr="00F82CDF" w14:paraId="37E2E1C8" w14:textId="77777777" w:rsidTr="003D7F3E">
        <w:trPr>
          <w:trHeight w:val="261"/>
        </w:trPr>
        <w:tc>
          <w:tcPr>
            <w:tcW w:w="647" w:type="dxa"/>
            <w:shd w:val="clear" w:color="auto" w:fill="DAEEF3" w:themeFill="accent5" w:themeFillTint="33"/>
            <w:noWrap/>
            <w:hideMark/>
          </w:tcPr>
          <w:p w14:paraId="4983189A" w14:textId="77777777" w:rsidR="003D7F3E" w:rsidRPr="00F82CDF" w:rsidRDefault="003D7F3E" w:rsidP="003D7F3E">
            <w:pPr>
              <w:pStyle w:val="TableofAuthorities"/>
            </w:pPr>
            <w:r w:rsidRPr="00F82CDF">
              <w:t>8</w:t>
            </w:r>
          </w:p>
        </w:tc>
        <w:tc>
          <w:tcPr>
            <w:tcW w:w="2950" w:type="dxa"/>
            <w:shd w:val="clear" w:color="auto" w:fill="auto"/>
            <w:noWrap/>
            <w:hideMark/>
          </w:tcPr>
          <w:p w14:paraId="4553B213" w14:textId="77777777" w:rsidR="003D7F3E" w:rsidRPr="00F82CDF" w:rsidRDefault="003D7F3E" w:rsidP="003D7F3E">
            <w:pPr>
              <w:pStyle w:val="TableofAuthorities"/>
            </w:pPr>
            <w:bookmarkStart w:id="146" w:name="_Toc305157752"/>
            <w:r w:rsidRPr="00F82CDF">
              <w:t>BRIGHTER AND BRIGHTER</w:t>
            </w:r>
            <w:bookmarkEnd w:id="146"/>
          </w:p>
        </w:tc>
        <w:tc>
          <w:tcPr>
            <w:tcW w:w="1020" w:type="dxa"/>
          </w:tcPr>
          <w:p w14:paraId="36E34C7C" w14:textId="77777777" w:rsidR="003D7F3E" w:rsidRPr="00F82CDF" w:rsidRDefault="003D7F3E" w:rsidP="003D7F3E">
            <w:pPr>
              <w:pStyle w:val="TableofAuthorities"/>
            </w:pPr>
            <w:r w:rsidRPr="00F82CDF">
              <w:t>5</w:t>
            </w:r>
          </w:p>
        </w:tc>
        <w:tc>
          <w:tcPr>
            <w:tcW w:w="1134" w:type="dxa"/>
            <w:shd w:val="clear" w:color="auto" w:fill="auto"/>
            <w:noWrap/>
            <w:hideMark/>
          </w:tcPr>
          <w:p w14:paraId="48F9F2C2" w14:textId="77777777" w:rsidR="003D7F3E" w:rsidRPr="00F82CDF" w:rsidRDefault="003D7F3E" w:rsidP="003D7F3E">
            <w:pPr>
              <w:pStyle w:val="TableofAuthorities"/>
            </w:pPr>
            <w:r w:rsidRPr="00F82CDF">
              <w:t>0.17</w:t>
            </w:r>
          </w:p>
        </w:tc>
      </w:tr>
      <w:tr w:rsidR="003D7F3E" w:rsidRPr="00F82CDF" w14:paraId="30EBD6AE" w14:textId="77777777" w:rsidTr="003D7F3E">
        <w:trPr>
          <w:trHeight w:val="261"/>
        </w:trPr>
        <w:tc>
          <w:tcPr>
            <w:tcW w:w="647" w:type="dxa"/>
            <w:shd w:val="clear" w:color="auto" w:fill="DAEEF3" w:themeFill="accent5" w:themeFillTint="33"/>
            <w:noWrap/>
            <w:hideMark/>
          </w:tcPr>
          <w:p w14:paraId="15FC7F50" w14:textId="77777777" w:rsidR="003D7F3E" w:rsidRPr="00F82CDF" w:rsidRDefault="003D7F3E" w:rsidP="003D7F3E">
            <w:pPr>
              <w:pStyle w:val="TableofAuthorities"/>
            </w:pPr>
            <w:r w:rsidRPr="00F82CDF">
              <w:t>8</w:t>
            </w:r>
          </w:p>
        </w:tc>
        <w:tc>
          <w:tcPr>
            <w:tcW w:w="2950" w:type="dxa"/>
            <w:shd w:val="clear" w:color="auto" w:fill="auto"/>
            <w:noWrap/>
            <w:hideMark/>
          </w:tcPr>
          <w:p w14:paraId="12ACE8BF" w14:textId="77777777" w:rsidR="003D7F3E" w:rsidRPr="00F82CDF" w:rsidRDefault="003D7F3E" w:rsidP="003D7F3E">
            <w:pPr>
              <w:pStyle w:val="TableofAuthorities"/>
            </w:pPr>
            <w:bookmarkStart w:id="147" w:name="_Toc305157755"/>
            <w:r w:rsidRPr="00F82CDF">
              <w:t>GREW WEAKER AND</w:t>
            </w:r>
            <w:bookmarkEnd w:id="147"/>
          </w:p>
        </w:tc>
        <w:tc>
          <w:tcPr>
            <w:tcW w:w="1020" w:type="dxa"/>
          </w:tcPr>
          <w:p w14:paraId="0E69A235" w14:textId="77777777" w:rsidR="003D7F3E" w:rsidRPr="00F82CDF" w:rsidRDefault="003D7F3E" w:rsidP="003D7F3E">
            <w:pPr>
              <w:pStyle w:val="TableofAuthorities"/>
            </w:pPr>
            <w:r w:rsidRPr="00F82CDF">
              <w:t>5</w:t>
            </w:r>
          </w:p>
        </w:tc>
        <w:tc>
          <w:tcPr>
            <w:tcW w:w="1134" w:type="dxa"/>
            <w:shd w:val="clear" w:color="auto" w:fill="auto"/>
            <w:noWrap/>
            <w:hideMark/>
          </w:tcPr>
          <w:p w14:paraId="05809549" w14:textId="77777777" w:rsidR="003D7F3E" w:rsidRPr="00F82CDF" w:rsidRDefault="003D7F3E" w:rsidP="003D7F3E">
            <w:pPr>
              <w:pStyle w:val="TableofAuthorities"/>
            </w:pPr>
            <w:r w:rsidRPr="00F82CDF">
              <w:t>0.17</w:t>
            </w:r>
          </w:p>
        </w:tc>
      </w:tr>
      <w:tr w:rsidR="003D7F3E" w:rsidRPr="00F82CDF" w14:paraId="2EE44700" w14:textId="77777777" w:rsidTr="003D7F3E">
        <w:trPr>
          <w:trHeight w:val="261"/>
        </w:trPr>
        <w:tc>
          <w:tcPr>
            <w:tcW w:w="647" w:type="dxa"/>
            <w:shd w:val="clear" w:color="auto" w:fill="DAEEF3" w:themeFill="accent5" w:themeFillTint="33"/>
            <w:noWrap/>
            <w:hideMark/>
          </w:tcPr>
          <w:p w14:paraId="62979DC9" w14:textId="77777777" w:rsidR="003D7F3E" w:rsidRPr="00F82CDF" w:rsidRDefault="003D7F3E" w:rsidP="003D7F3E">
            <w:pPr>
              <w:pStyle w:val="TableofAuthorities"/>
            </w:pPr>
            <w:r w:rsidRPr="00F82CDF">
              <w:t>8</w:t>
            </w:r>
          </w:p>
        </w:tc>
        <w:tc>
          <w:tcPr>
            <w:tcW w:w="2950" w:type="dxa"/>
            <w:shd w:val="clear" w:color="auto" w:fill="auto"/>
            <w:noWrap/>
            <w:hideMark/>
          </w:tcPr>
          <w:p w14:paraId="6D8D1A48" w14:textId="77777777" w:rsidR="003D7F3E" w:rsidRPr="00F82CDF" w:rsidRDefault="003D7F3E" w:rsidP="003D7F3E">
            <w:pPr>
              <w:pStyle w:val="TableofAuthorities"/>
            </w:pPr>
            <w:bookmarkStart w:id="148" w:name="_Toc305157758"/>
            <w:r w:rsidRPr="00F82CDF">
              <w:t>GREW THICKER AND</w:t>
            </w:r>
            <w:bookmarkEnd w:id="148"/>
          </w:p>
        </w:tc>
        <w:tc>
          <w:tcPr>
            <w:tcW w:w="1020" w:type="dxa"/>
          </w:tcPr>
          <w:p w14:paraId="59363C6F" w14:textId="77777777" w:rsidR="003D7F3E" w:rsidRPr="00F82CDF" w:rsidRDefault="003D7F3E" w:rsidP="003D7F3E">
            <w:pPr>
              <w:pStyle w:val="TableofAuthorities"/>
            </w:pPr>
            <w:r w:rsidRPr="00F82CDF">
              <w:t>5</w:t>
            </w:r>
          </w:p>
        </w:tc>
        <w:tc>
          <w:tcPr>
            <w:tcW w:w="1134" w:type="dxa"/>
            <w:shd w:val="clear" w:color="auto" w:fill="auto"/>
            <w:noWrap/>
            <w:hideMark/>
          </w:tcPr>
          <w:p w14:paraId="10B946F8" w14:textId="77777777" w:rsidR="003D7F3E" w:rsidRPr="00F82CDF" w:rsidRDefault="003D7F3E" w:rsidP="003D7F3E">
            <w:pPr>
              <w:pStyle w:val="TableofAuthorities"/>
            </w:pPr>
            <w:r w:rsidRPr="00F82CDF">
              <w:t>0.17</w:t>
            </w:r>
          </w:p>
        </w:tc>
      </w:tr>
      <w:tr w:rsidR="003D7F3E" w:rsidRPr="00F82CDF" w14:paraId="1D133207" w14:textId="77777777" w:rsidTr="003D7F3E">
        <w:trPr>
          <w:trHeight w:val="261"/>
        </w:trPr>
        <w:tc>
          <w:tcPr>
            <w:tcW w:w="647" w:type="dxa"/>
            <w:shd w:val="clear" w:color="auto" w:fill="DAEEF3" w:themeFill="accent5" w:themeFillTint="33"/>
            <w:noWrap/>
            <w:hideMark/>
          </w:tcPr>
          <w:p w14:paraId="0684999B" w14:textId="77777777" w:rsidR="003D7F3E" w:rsidRPr="00F82CDF" w:rsidRDefault="003D7F3E" w:rsidP="003D7F3E">
            <w:pPr>
              <w:pStyle w:val="TableofAuthorities"/>
            </w:pPr>
            <w:r w:rsidRPr="00F82CDF">
              <w:t>8</w:t>
            </w:r>
          </w:p>
        </w:tc>
        <w:tc>
          <w:tcPr>
            <w:tcW w:w="2950" w:type="dxa"/>
            <w:shd w:val="clear" w:color="auto" w:fill="auto"/>
            <w:noWrap/>
            <w:hideMark/>
          </w:tcPr>
          <w:p w14:paraId="2805712E" w14:textId="77777777" w:rsidR="003D7F3E" w:rsidRPr="00F82CDF" w:rsidRDefault="003D7F3E" w:rsidP="003D7F3E">
            <w:pPr>
              <w:pStyle w:val="TableofAuthorities"/>
            </w:pPr>
            <w:bookmarkStart w:id="149" w:name="_Toc305157761"/>
            <w:r w:rsidRPr="00F82CDF">
              <w:t>DARKER AND THE</w:t>
            </w:r>
            <w:bookmarkEnd w:id="149"/>
          </w:p>
        </w:tc>
        <w:tc>
          <w:tcPr>
            <w:tcW w:w="1020" w:type="dxa"/>
          </w:tcPr>
          <w:p w14:paraId="73D3A915" w14:textId="77777777" w:rsidR="003D7F3E" w:rsidRPr="00F82CDF" w:rsidRDefault="003D7F3E" w:rsidP="003D7F3E">
            <w:pPr>
              <w:pStyle w:val="TableofAuthorities"/>
            </w:pPr>
            <w:r w:rsidRPr="00F82CDF">
              <w:t>5</w:t>
            </w:r>
          </w:p>
        </w:tc>
        <w:tc>
          <w:tcPr>
            <w:tcW w:w="1134" w:type="dxa"/>
            <w:shd w:val="clear" w:color="auto" w:fill="auto"/>
            <w:noWrap/>
            <w:hideMark/>
          </w:tcPr>
          <w:p w14:paraId="1A0A6D63" w14:textId="77777777" w:rsidR="003D7F3E" w:rsidRPr="00F82CDF" w:rsidRDefault="003D7F3E" w:rsidP="003D7F3E">
            <w:pPr>
              <w:pStyle w:val="TableofAuthorities"/>
            </w:pPr>
            <w:r w:rsidRPr="00F82CDF">
              <w:t>0.17</w:t>
            </w:r>
          </w:p>
        </w:tc>
      </w:tr>
      <w:tr w:rsidR="003D7F3E" w:rsidRPr="00F82CDF" w14:paraId="42423028" w14:textId="77777777" w:rsidTr="003D7F3E">
        <w:trPr>
          <w:trHeight w:val="261"/>
        </w:trPr>
        <w:tc>
          <w:tcPr>
            <w:tcW w:w="647" w:type="dxa"/>
            <w:shd w:val="clear" w:color="auto" w:fill="DAEEF3" w:themeFill="accent5" w:themeFillTint="33"/>
            <w:noWrap/>
            <w:hideMark/>
          </w:tcPr>
          <w:p w14:paraId="0472FFD4" w14:textId="77777777" w:rsidR="003D7F3E" w:rsidRPr="00F82CDF" w:rsidRDefault="003D7F3E" w:rsidP="003D7F3E">
            <w:pPr>
              <w:pStyle w:val="TableofAuthorities"/>
            </w:pPr>
            <w:r w:rsidRPr="00F82CDF">
              <w:t>8</w:t>
            </w:r>
          </w:p>
        </w:tc>
        <w:tc>
          <w:tcPr>
            <w:tcW w:w="2950" w:type="dxa"/>
            <w:shd w:val="clear" w:color="auto" w:fill="auto"/>
            <w:noWrap/>
            <w:hideMark/>
          </w:tcPr>
          <w:p w14:paraId="4ACD0DDB" w14:textId="77777777" w:rsidR="003D7F3E" w:rsidRPr="00F82CDF" w:rsidRDefault="003D7F3E" w:rsidP="003D7F3E">
            <w:pPr>
              <w:pStyle w:val="TableofAuthorities"/>
            </w:pPr>
            <w:bookmarkStart w:id="150" w:name="_Toc305157764"/>
            <w:r w:rsidRPr="00F82CDF">
              <w:t>GREW HEAVIER AND</w:t>
            </w:r>
            <w:bookmarkEnd w:id="150"/>
          </w:p>
        </w:tc>
        <w:tc>
          <w:tcPr>
            <w:tcW w:w="1020" w:type="dxa"/>
          </w:tcPr>
          <w:p w14:paraId="379959FC" w14:textId="77777777" w:rsidR="003D7F3E" w:rsidRPr="00F82CDF" w:rsidRDefault="003D7F3E" w:rsidP="003D7F3E">
            <w:pPr>
              <w:pStyle w:val="TableofAuthorities"/>
            </w:pPr>
            <w:r w:rsidRPr="00F82CDF">
              <w:t>5</w:t>
            </w:r>
          </w:p>
        </w:tc>
        <w:tc>
          <w:tcPr>
            <w:tcW w:w="1134" w:type="dxa"/>
            <w:shd w:val="clear" w:color="auto" w:fill="auto"/>
            <w:noWrap/>
            <w:hideMark/>
          </w:tcPr>
          <w:p w14:paraId="111DE0B5" w14:textId="77777777" w:rsidR="003D7F3E" w:rsidRPr="00F82CDF" w:rsidRDefault="003D7F3E" w:rsidP="003D7F3E">
            <w:pPr>
              <w:pStyle w:val="TableofAuthorities"/>
            </w:pPr>
            <w:r w:rsidRPr="00F82CDF">
              <w:t>0.17</w:t>
            </w:r>
          </w:p>
        </w:tc>
      </w:tr>
    </w:tbl>
    <w:p w14:paraId="725F5FAE" w14:textId="77777777" w:rsidR="003D7F3E" w:rsidRPr="00F82CDF" w:rsidRDefault="003D7F3E" w:rsidP="003D7F3E">
      <w:pPr>
        <w:spacing w:line="240" w:lineRule="auto"/>
      </w:pPr>
      <w:bookmarkStart w:id="151" w:name="_Toc305157767"/>
    </w:p>
    <w:p w14:paraId="7C0C0CDF" w14:textId="77777777" w:rsidR="00A606D3" w:rsidRDefault="00A606D3" w:rsidP="003D7F3E">
      <w:pPr>
        <w:spacing w:line="240" w:lineRule="auto"/>
      </w:pPr>
    </w:p>
    <w:p w14:paraId="4FE67B71" w14:textId="77777777" w:rsidR="003D7F3E" w:rsidRPr="00F82CDF" w:rsidRDefault="003D7F3E" w:rsidP="003D7F3E">
      <w:pPr>
        <w:spacing w:line="240" w:lineRule="auto"/>
      </w:pPr>
      <w:r w:rsidRPr="00F82CDF">
        <w:t xml:space="preserve">Of particular interest is the colligation adj.(er) </w:t>
      </w:r>
      <w:r w:rsidRPr="00F82CDF">
        <w:rPr>
          <w:i/>
        </w:rPr>
        <w:t>and</w:t>
      </w:r>
      <w:r w:rsidRPr="00F82CDF">
        <w:t xml:space="preserve"> adj.(er). The most prevalent of these are </w:t>
      </w:r>
      <w:r w:rsidRPr="00F82CDF">
        <w:rPr>
          <w:i/>
        </w:rPr>
        <w:t xml:space="preserve">louder and louder, fainter and fainter, darker and darker, stronger and stronger, thicker and thicker, </w:t>
      </w:r>
      <w:r w:rsidRPr="00F82CDF">
        <w:t xml:space="preserve">and </w:t>
      </w:r>
      <w:r w:rsidRPr="00F82CDF">
        <w:rPr>
          <w:i/>
        </w:rPr>
        <w:t>brighter and brighter.</w:t>
      </w:r>
      <w:r w:rsidRPr="00F82CDF">
        <w:t xml:space="preserve"> </w:t>
      </w:r>
      <w:r w:rsidRPr="00F82CDF">
        <w:rPr>
          <w:i/>
        </w:rPr>
        <w:t>Grew</w:t>
      </w:r>
      <w:r w:rsidRPr="00F82CDF">
        <w:t xml:space="preserve"> </w:t>
      </w:r>
      <w:r w:rsidRPr="00F82CDF">
        <w:rPr>
          <w:i/>
        </w:rPr>
        <w:t xml:space="preserve">fainter and fainter </w:t>
      </w:r>
      <w:r w:rsidRPr="00F82CDF">
        <w:t xml:space="preserve">is the most frequent, making up the majority of all occurrences of </w:t>
      </w:r>
      <w:r w:rsidRPr="00F82CDF">
        <w:rPr>
          <w:i/>
        </w:rPr>
        <w:t>fainter</w:t>
      </w:r>
      <w:r w:rsidRPr="00F82CDF">
        <w:t xml:space="preserve">. With the exception of </w:t>
      </w:r>
      <w:r w:rsidRPr="00F82CDF">
        <w:rPr>
          <w:i/>
        </w:rPr>
        <w:t>faint</w:t>
      </w:r>
      <w:r w:rsidRPr="00F82CDF">
        <w:t xml:space="preserve"> and </w:t>
      </w:r>
      <w:r w:rsidRPr="00F82CDF">
        <w:rPr>
          <w:i/>
        </w:rPr>
        <w:t>dark</w:t>
      </w:r>
      <w:r w:rsidRPr="00F82CDF">
        <w:t xml:space="preserve">, the comparatives depict an increase in intensity, which is similar to the physical, non-metaphoric sense of growing outward or upward. Other, less frequent comparatives found in the colligation </w:t>
      </w:r>
      <w:r w:rsidRPr="00F82CDF">
        <w:rPr>
          <w:i/>
        </w:rPr>
        <w:t>grew</w:t>
      </w:r>
      <w:r w:rsidRPr="00F82CDF">
        <w:t xml:space="preserve"> + adj.(er) </w:t>
      </w:r>
      <w:r w:rsidRPr="00F82CDF">
        <w:rPr>
          <w:i/>
        </w:rPr>
        <w:t>and</w:t>
      </w:r>
      <w:r w:rsidRPr="00F82CDF">
        <w:t xml:space="preserve"> adj.(er) include </w:t>
      </w:r>
      <w:r w:rsidRPr="00F82CDF">
        <w:rPr>
          <w:i/>
        </w:rPr>
        <w:t xml:space="preserve">angrier and angrier, bleaker and wilder, closer and heavier, feeble and fainter, colder and colder, denser and denser </w:t>
      </w:r>
      <w:r w:rsidRPr="00F82CDF">
        <w:t>and</w:t>
      </w:r>
      <w:r w:rsidRPr="00F82CDF">
        <w:rPr>
          <w:i/>
        </w:rPr>
        <w:t xml:space="preserve"> stupider and clumsier </w:t>
      </w:r>
      <w:r w:rsidRPr="00F82CDF">
        <w:t>and</w:t>
      </w:r>
      <w:r w:rsidRPr="00F82CDF">
        <w:rPr>
          <w:i/>
        </w:rPr>
        <w:t xml:space="preserve"> wider and wider. </w:t>
      </w:r>
      <w:r w:rsidRPr="00F82CDF">
        <w:t xml:space="preserve">As with the colligation </w:t>
      </w:r>
      <w:r w:rsidRPr="00F82CDF">
        <w:rPr>
          <w:i/>
        </w:rPr>
        <w:t>grew</w:t>
      </w:r>
      <w:r w:rsidRPr="00F82CDF">
        <w:t xml:space="preserve"> </w:t>
      </w:r>
      <w:r w:rsidRPr="00F82CDF">
        <w:rPr>
          <w:i/>
        </w:rPr>
        <w:t xml:space="preserve">more and more </w:t>
      </w:r>
      <w:r w:rsidRPr="00F82CDF">
        <w:t xml:space="preserve">(+ adj.), the colligation </w:t>
      </w:r>
      <w:r w:rsidRPr="00F82CDF">
        <w:rPr>
          <w:i/>
        </w:rPr>
        <w:t>grew</w:t>
      </w:r>
      <w:r w:rsidRPr="00F82CDF">
        <w:t xml:space="preserve"> + adj.(er) </w:t>
      </w:r>
      <w:r w:rsidRPr="00F82CDF">
        <w:rPr>
          <w:i/>
        </w:rPr>
        <w:t>and</w:t>
      </w:r>
      <w:r w:rsidRPr="00F82CDF">
        <w:t xml:space="preserve"> adj.(er), depict a preference for comparatives to be used emphatically, signalling a slow or gradual growth or development, rather than an immediate change. There is a difference, however, between the use of </w:t>
      </w:r>
      <w:r w:rsidRPr="00F82CDF">
        <w:rPr>
          <w:i/>
        </w:rPr>
        <w:t>grew</w:t>
      </w:r>
      <w:r w:rsidRPr="00F82CDF">
        <w:t xml:space="preserve"> </w:t>
      </w:r>
      <w:r w:rsidRPr="00F82CDF">
        <w:rPr>
          <w:i/>
        </w:rPr>
        <w:t>more and more</w:t>
      </w:r>
      <w:r w:rsidRPr="00F82CDF">
        <w:t xml:space="preserve"> (+ adj.) and </w:t>
      </w:r>
      <w:r w:rsidRPr="00F82CDF">
        <w:rPr>
          <w:i/>
        </w:rPr>
        <w:t>grew</w:t>
      </w:r>
      <w:r w:rsidRPr="00F82CDF">
        <w:t xml:space="preserve"> + adj.(er) </w:t>
      </w:r>
      <w:r w:rsidRPr="00F82CDF">
        <w:rPr>
          <w:i/>
        </w:rPr>
        <w:t>and</w:t>
      </w:r>
      <w:r w:rsidRPr="00F82CDF">
        <w:t xml:space="preserve"> adj.(er), not simply in the structure but also in the semantic nature of the adjective being used in each structure. The majority of </w:t>
      </w:r>
      <w:r w:rsidRPr="00F82CDF">
        <w:rPr>
          <w:i/>
        </w:rPr>
        <w:t>grew</w:t>
      </w:r>
      <w:r w:rsidRPr="00F82CDF">
        <w:t xml:space="preserve"> + adj.(er) </w:t>
      </w:r>
      <w:r w:rsidRPr="00F82CDF">
        <w:rPr>
          <w:i/>
        </w:rPr>
        <w:t>and</w:t>
      </w:r>
      <w:r w:rsidRPr="00F82CDF">
        <w:t xml:space="preserve"> adj.(er) similarly depict something negative, often creating a sense of something impending of threatening, but the pragmatic association is much more prominent than for the structure </w:t>
      </w:r>
      <w:r w:rsidRPr="00F82CDF">
        <w:rPr>
          <w:i/>
        </w:rPr>
        <w:t>grew more and more</w:t>
      </w:r>
      <w:r w:rsidRPr="00F82CDF">
        <w:t xml:space="preserve"> (+ adj.). In total there is negativity associated with 137 out of 171 (80.12%) instances of </w:t>
      </w:r>
      <w:r w:rsidRPr="00F82CDF">
        <w:rPr>
          <w:i/>
        </w:rPr>
        <w:t>grew</w:t>
      </w:r>
      <w:r w:rsidRPr="00F82CDF">
        <w:t xml:space="preserve"> + adj.(er) + adj.(er), compared to only 37.76% of instances in the structure </w:t>
      </w:r>
      <w:r w:rsidRPr="00F82CDF">
        <w:rPr>
          <w:i/>
        </w:rPr>
        <w:t>grew more and more</w:t>
      </w:r>
      <w:r w:rsidRPr="00F82CDF">
        <w:t xml:space="preserve"> (+ adj.) as was shown earlier in the section. </w:t>
      </w:r>
    </w:p>
    <w:p w14:paraId="581A6F32" w14:textId="77777777" w:rsidR="003D7F3E" w:rsidRPr="00F82CDF" w:rsidRDefault="003D7F3E" w:rsidP="003D7F3E">
      <w:pPr>
        <w:spacing w:line="240" w:lineRule="auto"/>
      </w:pPr>
      <w:r w:rsidRPr="00F82CDF">
        <w:tab/>
        <w:t>This finding can be compared with uses of both colligations (</w:t>
      </w:r>
      <w:r w:rsidRPr="00F82CDF">
        <w:rPr>
          <w:i/>
        </w:rPr>
        <w:t>more and more</w:t>
      </w:r>
      <w:r w:rsidRPr="00F82CDF">
        <w:t xml:space="preserve"> + adj. and adj.(er) + adj.(er))</w:t>
      </w:r>
      <w:r w:rsidRPr="00F82CDF">
        <w:rPr>
          <w:rFonts w:cs="Arial Unicode MS"/>
        </w:rPr>
        <w:t xml:space="preserve"> </w:t>
      </w:r>
      <w:r w:rsidRPr="00F82CDF">
        <w:t xml:space="preserve">more generally, without </w:t>
      </w:r>
      <w:r w:rsidRPr="00F82CDF">
        <w:rPr>
          <w:i/>
        </w:rPr>
        <w:t>grew</w:t>
      </w:r>
      <w:r w:rsidRPr="00F82CDF">
        <w:t>, to determine if this is a more general finding of the language, rather than specific to the datasets.</w:t>
      </w:r>
      <w:bookmarkEnd w:id="151"/>
      <w:r w:rsidRPr="00F82CDF">
        <w:t xml:space="preserve"> </w:t>
      </w:r>
      <w:bookmarkStart w:id="152" w:name="_Toc305157768"/>
      <w:r w:rsidRPr="00F82CDF">
        <w:t>A small search of roughly 4 million tokens (taken from 3 random texts from the main nineteenth c</w:t>
      </w:r>
      <w:r>
        <w:t>entury corpus) yielded 21</w:t>
      </w:r>
      <w:r w:rsidRPr="00F82CDF">
        <w:t xml:space="preserve"> instances of </w:t>
      </w:r>
      <w:r w:rsidRPr="00F82CDF">
        <w:rPr>
          <w:i/>
        </w:rPr>
        <w:t xml:space="preserve">more and more </w:t>
      </w:r>
      <w:r w:rsidRPr="00F82CDF">
        <w:t>+ adjective</w:t>
      </w:r>
      <w:r>
        <w:t xml:space="preserve"> and 100+</w:t>
      </w:r>
      <w:r w:rsidRPr="00F82CDF">
        <w:t xml:space="preserve"> instances of verb + adjective (er) + adjective (er). With regard to the first structure, 13/20 are clearly negative in their pragmatic association (adjectives include </w:t>
      </w:r>
      <w:r>
        <w:rPr>
          <w:i/>
        </w:rPr>
        <w:t xml:space="preserve">incensed, astonished, silent, fretful </w:t>
      </w:r>
      <w:r>
        <w:t xml:space="preserve">and </w:t>
      </w:r>
      <w:r>
        <w:rPr>
          <w:i/>
        </w:rPr>
        <w:t>anxious</w:t>
      </w:r>
      <w:r w:rsidRPr="00F82CDF">
        <w:rPr>
          <w:i/>
        </w:rPr>
        <w:t xml:space="preserve">). </w:t>
      </w:r>
      <w:r w:rsidRPr="00F82CDF">
        <w:t>Another two instances reveal a degree of negativity when more context is provided. In summ</w:t>
      </w:r>
      <w:r>
        <w:t>ary, within the small sample (21</w:t>
      </w:r>
      <w:r w:rsidRPr="00F82CDF">
        <w:t xml:space="preserve"> instances), three quarters of these display negative pragmatic association, which as a consequence, appears to be a salient feature of the structure </w:t>
      </w:r>
      <w:r w:rsidRPr="00F82CDF">
        <w:rPr>
          <w:i/>
        </w:rPr>
        <w:t xml:space="preserve">more and more </w:t>
      </w:r>
      <w:r w:rsidRPr="00F82CDF">
        <w:t>in general. In comparison, the adjectives in the second structure show no sign of characterised pragmatic association (some instances are negative, some are positive, and some are neutral). Similarly, they refer more often to external observations often related to speed (</w:t>
      </w:r>
      <w:r w:rsidRPr="00F82CDF">
        <w:rPr>
          <w:i/>
        </w:rPr>
        <w:t>faster and faster</w:t>
      </w:r>
      <w:r w:rsidRPr="00F82CDF">
        <w:t>), spatial description (</w:t>
      </w:r>
      <w:r w:rsidRPr="00F82CDF">
        <w:rPr>
          <w:i/>
        </w:rPr>
        <w:t>nearer and nearer; lower and lower; hither and thither</w:t>
      </w:r>
      <w:r w:rsidRPr="00F82CDF">
        <w:t>), or light (</w:t>
      </w:r>
      <w:r w:rsidRPr="00F82CDF">
        <w:rPr>
          <w:i/>
        </w:rPr>
        <w:t>darker and slighter; blacker and thicker</w:t>
      </w:r>
      <w:r w:rsidRPr="00F82CDF">
        <w:t xml:space="preserve">). There is also repetition of </w:t>
      </w:r>
      <w:r w:rsidRPr="00F82CDF">
        <w:rPr>
          <w:i/>
        </w:rPr>
        <w:t>over and over</w:t>
      </w:r>
      <w:r w:rsidRPr="00F82CDF">
        <w:t xml:space="preserve"> and other degrees of intensity (</w:t>
      </w:r>
      <w:r w:rsidRPr="00F82CDF">
        <w:rPr>
          <w:i/>
        </w:rPr>
        <w:t>harder and better; graver and steadier</w:t>
      </w:r>
      <w:r w:rsidRPr="00F82CDF">
        <w:t>). With the exception of three instances, all show an increase in intensity, again similar to the non-metaphoric meaning of growth. Within the sample there is a mixture of metaphoric and non-metaphoric language.</w:t>
      </w:r>
      <w:bookmarkEnd w:id="152"/>
      <w:r w:rsidRPr="00F82CDF">
        <w:t xml:space="preserve"> Thus, to conclude, interestingly, the colligation adj.(er) + adj.(er) is specifically negative in its pragmatic association when used alongside </w:t>
      </w:r>
      <w:r w:rsidRPr="00F82CDF">
        <w:rPr>
          <w:i/>
        </w:rPr>
        <w:t xml:space="preserve">grew </w:t>
      </w:r>
      <w:r w:rsidRPr="00F82CDF">
        <w:t xml:space="preserve">in a metaphoric sense. This finding alone confirms that metaphoric instances of the item </w:t>
      </w:r>
      <w:r w:rsidRPr="00F82CDF">
        <w:rPr>
          <w:i/>
        </w:rPr>
        <w:t xml:space="preserve">grew </w:t>
      </w:r>
      <w:r w:rsidRPr="00F82CDF">
        <w:t xml:space="preserve">differ in their lexical characteristics to both non-metaphoric uses of the same item, and other more general uses of the same colligation – in this case adj.(er) + adj.(er). </w:t>
      </w:r>
    </w:p>
    <w:p w14:paraId="0928C681" w14:textId="77777777" w:rsidR="003D7F3E" w:rsidRPr="00F82CDF" w:rsidRDefault="003D7F3E" w:rsidP="003D7F3E">
      <w:pPr>
        <w:pStyle w:val="Body1"/>
      </w:pPr>
      <w:r w:rsidRPr="00F82CDF">
        <w:tab/>
      </w:r>
      <w:bookmarkStart w:id="153" w:name="_Toc305157769"/>
      <w:r w:rsidRPr="00F82CDF">
        <w:t xml:space="preserve">Turning now to the non-metaphoric dataset for </w:t>
      </w:r>
      <w:r w:rsidRPr="00F82CDF">
        <w:rPr>
          <w:i/>
        </w:rPr>
        <w:t>grew</w:t>
      </w:r>
      <w:r w:rsidRPr="00F82CDF">
        <w:t xml:space="preserve">, </w:t>
      </w:r>
      <w:r w:rsidRPr="00F82CDF">
        <w:rPr>
          <w:i/>
        </w:rPr>
        <w:t>more</w:t>
      </w:r>
      <w:r w:rsidRPr="00F82CDF">
        <w:t xml:space="preserve"> collocates with </w:t>
      </w:r>
      <w:r w:rsidRPr="00F82CDF">
        <w:rPr>
          <w:i/>
        </w:rPr>
        <w:t>grew</w:t>
      </w:r>
      <w:r w:rsidRPr="00F82CDF">
        <w:t xml:space="preserve"> only 29 times in all of the data, making up only 1.84</w:t>
      </w:r>
      <w:r w:rsidRPr="00F82CDF">
        <w:rPr>
          <w:rFonts w:cs="Helvetica"/>
          <w:color w:val="1C1C1C"/>
          <w:szCs w:val="22"/>
        </w:rPr>
        <w:t>‰ of the data</w:t>
      </w:r>
      <w:r w:rsidRPr="00F82CDF">
        <w:t xml:space="preserve">. Whilst 72.41% of these instances occur on the right of </w:t>
      </w:r>
      <w:r w:rsidRPr="00F82CDF">
        <w:rPr>
          <w:i/>
        </w:rPr>
        <w:t>grew</w:t>
      </w:r>
      <w:r w:rsidRPr="00F82CDF">
        <w:t xml:space="preserve">, only 31.03% occur in R1 position, suggesting that there is much less fixedness as well as frequency in its association with </w:t>
      </w:r>
      <w:r w:rsidRPr="00F82CDF">
        <w:rPr>
          <w:i/>
        </w:rPr>
        <w:t>grew</w:t>
      </w:r>
      <w:r w:rsidRPr="00F82CDF">
        <w:t xml:space="preserve"> non-metaphorically. Similarly, there are fewer comparatives following </w:t>
      </w:r>
      <w:r w:rsidRPr="00F82CDF">
        <w:rPr>
          <w:i/>
        </w:rPr>
        <w:t>grew</w:t>
      </w:r>
      <w:r w:rsidRPr="00F82CDF">
        <w:t xml:space="preserve"> (41 tokens in total). The lexical fields, not surprisingly, relate to age and stature, in keeping with two salient non-metaphoric uses  (</w:t>
      </w:r>
      <w:r w:rsidRPr="00F82CDF">
        <w:rPr>
          <w:i/>
        </w:rPr>
        <w:t xml:space="preserve">older x8, bigger x5, thinner x4, larger x3 </w:t>
      </w:r>
      <w:r w:rsidRPr="00F82CDF">
        <w:t xml:space="preserve">and </w:t>
      </w:r>
      <w:r w:rsidRPr="00F82CDF">
        <w:rPr>
          <w:i/>
        </w:rPr>
        <w:t>thicker x2)</w:t>
      </w:r>
      <w:r w:rsidRPr="00F82CDF">
        <w:t xml:space="preserve">. Thus it can be concluded that both </w:t>
      </w:r>
      <w:r w:rsidRPr="00F82CDF">
        <w:rPr>
          <w:i/>
        </w:rPr>
        <w:t>grew</w:t>
      </w:r>
      <w:r w:rsidRPr="00F82CDF">
        <w:t xml:space="preserve"> </w:t>
      </w:r>
      <w:r w:rsidRPr="00F82CDF">
        <w:rPr>
          <w:i/>
        </w:rPr>
        <w:t xml:space="preserve">more and more </w:t>
      </w:r>
      <w:r w:rsidRPr="00F82CDF">
        <w:t xml:space="preserve">and </w:t>
      </w:r>
      <w:r w:rsidRPr="00F82CDF">
        <w:rPr>
          <w:i/>
        </w:rPr>
        <w:t>grew</w:t>
      </w:r>
      <w:r w:rsidRPr="00F82CDF">
        <w:t xml:space="preserve"> + comparative (+ comparative) are structures more characteristic of the metaphors. Moreover, </w:t>
      </w:r>
      <w:r w:rsidRPr="00F82CDF">
        <w:rPr>
          <w:i/>
        </w:rPr>
        <w:t xml:space="preserve">more and more </w:t>
      </w:r>
      <w:r w:rsidRPr="00F82CDF">
        <w:t xml:space="preserve">retains its negative pragmatic association when used in conjunction with </w:t>
      </w:r>
      <w:r w:rsidRPr="00F82CDF">
        <w:rPr>
          <w:i/>
        </w:rPr>
        <w:t>grew</w:t>
      </w:r>
      <w:r w:rsidRPr="00F82CDF">
        <w:t xml:space="preserve"> metaphors, and more specifically, relates to negative emotions or changes in a character’s temperament. In contrast, the comparatives used alongside non-metaphoric </w:t>
      </w:r>
      <w:r w:rsidRPr="00F82CDF">
        <w:rPr>
          <w:i/>
        </w:rPr>
        <w:t>grew</w:t>
      </w:r>
      <w:r w:rsidRPr="00F82CDF">
        <w:t xml:space="preserve"> are characteristic of more physical yet external aspects of change (i.e. less animate). They usually refer to intensity in light, colour or sound. Other comparatives (including </w:t>
      </w:r>
      <w:r w:rsidRPr="00F82CDF">
        <w:rPr>
          <w:i/>
        </w:rPr>
        <w:t>less</w:t>
      </w:r>
      <w:r w:rsidRPr="00F82CDF">
        <w:t>) will be discussed in more detail in the individual collocate analysis.</w:t>
      </w:r>
      <w:bookmarkEnd w:id="153"/>
    </w:p>
    <w:p w14:paraId="7C540792" w14:textId="77777777" w:rsidR="003D7F3E" w:rsidRDefault="003D7F3E" w:rsidP="003D7F3E">
      <w:pPr>
        <w:pStyle w:val="Body1"/>
      </w:pPr>
      <w:r w:rsidRPr="00F82CDF">
        <w:tab/>
      </w:r>
      <w:bookmarkStart w:id="154" w:name="_Toc305157771"/>
      <w:r w:rsidRPr="00F82CDF">
        <w:t xml:space="preserve">The final items of interest left in the non-metaphoric data are the eighth and ninth most frequent collocates </w:t>
      </w:r>
      <w:r w:rsidRPr="00F82CDF">
        <w:rPr>
          <w:i/>
        </w:rPr>
        <w:t>which</w:t>
      </w:r>
      <w:r w:rsidRPr="00F82CDF">
        <w:t xml:space="preserve"> (8.75</w:t>
      </w:r>
      <w:r w:rsidRPr="00F82CDF">
        <w:rPr>
          <w:rFonts w:cs="Helvetica"/>
          <w:color w:val="1C1C1C"/>
          <w:szCs w:val="22"/>
        </w:rPr>
        <w:t>‰</w:t>
      </w:r>
      <w:r w:rsidRPr="00F82CDF">
        <w:t xml:space="preserve">) and </w:t>
      </w:r>
      <w:r w:rsidRPr="00F82CDF">
        <w:rPr>
          <w:i/>
        </w:rPr>
        <w:t>that</w:t>
      </w:r>
      <w:r w:rsidRPr="00F82CDF">
        <w:t xml:space="preserve"> (8.62 </w:t>
      </w:r>
      <w:r w:rsidRPr="00F82CDF">
        <w:rPr>
          <w:rFonts w:cs="Helvetica"/>
          <w:color w:val="1C1C1C"/>
          <w:szCs w:val="22"/>
        </w:rPr>
        <w:t>‰</w:t>
      </w:r>
      <w:r w:rsidRPr="00F82CDF">
        <w:t xml:space="preserve">). The presence of </w:t>
      </w:r>
      <w:r w:rsidRPr="00F82CDF">
        <w:rPr>
          <w:i/>
        </w:rPr>
        <w:t>which</w:t>
      </w:r>
      <w:r w:rsidRPr="00F82CDF">
        <w:t xml:space="preserve"> and </w:t>
      </w:r>
      <w:r w:rsidRPr="00F82CDF">
        <w:rPr>
          <w:i/>
        </w:rPr>
        <w:t>that</w:t>
      </w:r>
      <w:r w:rsidRPr="00F82CDF">
        <w:t xml:space="preserve"> suggest </w:t>
      </w:r>
      <w:r w:rsidRPr="00F82CDF">
        <w:rPr>
          <w:i/>
        </w:rPr>
        <w:t>grew</w:t>
      </w:r>
      <w:r w:rsidRPr="00F82CDF">
        <w:t xml:space="preserve"> is often used in sentences that contain subordinate or relative clauses. This is not always the case with </w:t>
      </w:r>
      <w:r w:rsidRPr="00F82CDF">
        <w:rPr>
          <w:i/>
        </w:rPr>
        <w:t>which</w:t>
      </w:r>
      <w:r w:rsidRPr="00F82CDF">
        <w:t xml:space="preserve"> or </w:t>
      </w:r>
      <w:r w:rsidRPr="00F82CDF">
        <w:rPr>
          <w:i/>
        </w:rPr>
        <w:t>that</w:t>
      </w:r>
      <w:r w:rsidRPr="00F82CDF">
        <w:t xml:space="preserve"> but it is one characteristic use.</w:t>
      </w:r>
      <w:r w:rsidRPr="00F82CDF">
        <w:rPr>
          <w:b/>
          <w:bCs/>
        </w:rPr>
        <w:t xml:space="preserve"> </w:t>
      </w:r>
      <w:r w:rsidRPr="00F82CDF">
        <w:t xml:space="preserve">A large majority of both items (92.03% and 83.09% respectively) precede </w:t>
      </w:r>
      <w:r w:rsidRPr="00F82CDF">
        <w:rPr>
          <w:i/>
        </w:rPr>
        <w:t>grew</w:t>
      </w:r>
      <w:r w:rsidRPr="00F82CDF">
        <w:t xml:space="preserve"> in the concordance line. A closer look at the data shows that 60.87% of </w:t>
      </w:r>
      <w:r w:rsidRPr="00F82CDF">
        <w:rPr>
          <w:i/>
        </w:rPr>
        <w:t>which</w:t>
      </w:r>
      <w:r w:rsidRPr="00F82CDF">
        <w:t xml:space="preserve"> and 52.21% of </w:t>
      </w:r>
      <w:r w:rsidRPr="00F82CDF">
        <w:rPr>
          <w:i/>
        </w:rPr>
        <w:t>that</w:t>
      </w:r>
      <w:r w:rsidRPr="00F82CDF">
        <w:t xml:space="preserve"> do appear in L1 position and 87.50% and 68.62% of these figures respectively, do signal a relative clause. This depicts the action of the subject (the growing) as a secondary event. Examples are shown below:</w:t>
      </w:r>
      <w:bookmarkEnd w:id="154"/>
    </w:p>
    <w:p w14:paraId="760E1C96" w14:textId="77777777" w:rsidR="00A606D3" w:rsidRPr="00F82CDF" w:rsidRDefault="00A606D3" w:rsidP="003D7F3E">
      <w:pPr>
        <w:pStyle w:val="Body1"/>
      </w:pPr>
    </w:p>
    <w:p w14:paraId="3EB35B88" w14:textId="166B958A" w:rsidR="003D7F3E" w:rsidRPr="00F82CDF" w:rsidRDefault="00A606D3" w:rsidP="00A606D3">
      <w:pPr>
        <w:pStyle w:val="Caption"/>
      </w:pPr>
      <w:bookmarkStart w:id="155" w:name="_Toc311118983"/>
      <w:r w:rsidRPr="00F82CDF">
        <w:t xml:space="preserve">Concordance </w:t>
      </w:r>
      <w:r>
        <w:t>7</w:t>
      </w:r>
      <w:r w:rsidRPr="00F82CDF">
        <w:t xml:space="preserve">. Selection of </w:t>
      </w:r>
      <w:r w:rsidRPr="00F82CDF">
        <w:rPr>
          <w:i/>
        </w:rPr>
        <w:t>which grew</w:t>
      </w:r>
      <w:r w:rsidRPr="00F82CDF">
        <w:t xml:space="preserve"> occurrences in non-metaphoric dataset</w:t>
      </w:r>
      <w:bookmarkEnd w:id="155"/>
    </w:p>
    <w:p w14:paraId="01CB550A" w14:textId="77777777" w:rsidR="003D7F3E" w:rsidRPr="00F82CDF" w:rsidRDefault="003D7F3E" w:rsidP="003D7F3E">
      <w:pPr>
        <w:pStyle w:val="Caption"/>
      </w:pPr>
      <w:r w:rsidRPr="00F82CDF">
        <w:rPr>
          <w:noProof/>
        </w:rPr>
        <w:drawing>
          <wp:inline distT="0" distB="0" distL="0" distR="0" wp14:anchorId="38E04FFA" wp14:editId="1D5B7F09">
            <wp:extent cx="3175000" cy="2632189"/>
            <wp:effectExtent l="25400" t="25400" r="25400" b="349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5.47.33.png"/>
                    <pic:cNvPicPr/>
                  </pic:nvPicPr>
                  <pic:blipFill>
                    <a:blip r:embed="rId15">
                      <a:extLst>
                        <a:ext uri="{28A0092B-C50C-407E-A947-70E740481C1C}">
                          <a14:useLocalDpi xmlns:a14="http://schemas.microsoft.com/office/drawing/2010/main" val="0"/>
                        </a:ext>
                      </a:extLst>
                    </a:blip>
                    <a:stretch>
                      <a:fillRect/>
                    </a:stretch>
                  </pic:blipFill>
                  <pic:spPr>
                    <a:xfrm>
                      <a:off x="0" y="0"/>
                      <a:ext cx="3176044" cy="2633055"/>
                    </a:xfrm>
                    <a:prstGeom prst="rect">
                      <a:avLst/>
                    </a:prstGeom>
                    <a:ln w="12700" cmpd="sng">
                      <a:solidFill>
                        <a:schemeClr val="accent1"/>
                      </a:solidFill>
                    </a:ln>
                  </pic:spPr>
                </pic:pic>
              </a:graphicData>
            </a:graphic>
          </wp:inline>
        </w:drawing>
      </w:r>
    </w:p>
    <w:p w14:paraId="3EE17429" w14:textId="77777777" w:rsidR="003D7F3E" w:rsidRPr="00F82CDF" w:rsidRDefault="003D7F3E" w:rsidP="003D7F3E">
      <w:pPr>
        <w:spacing w:line="240" w:lineRule="auto"/>
      </w:pPr>
    </w:p>
    <w:p w14:paraId="6A3226ED" w14:textId="65D988D8" w:rsidR="003D7F3E" w:rsidRDefault="00E40B5F" w:rsidP="003D7F3E">
      <w:pPr>
        <w:spacing w:line="240" w:lineRule="auto"/>
      </w:pPr>
      <w:bookmarkStart w:id="156" w:name="_Toc305157774"/>
      <w:r>
        <w:t>The screenshot</w:t>
      </w:r>
      <w:r w:rsidR="003D7F3E" w:rsidRPr="00F82CDF">
        <w:t xml:space="preserve"> show</w:t>
      </w:r>
      <w:r>
        <w:t>s</w:t>
      </w:r>
      <w:r w:rsidR="003D7F3E" w:rsidRPr="00F82CDF">
        <w:t xml:space="preserve"> a strong colligation associated with </w:t>
      </w:r>
      <w:r w:rsidR="003D7F3E" w:rsidRPr="00F82CDF">
        <w:rPr>
          <w:i/>
        </w:rPr>
        <w:t>grew</w:t>
      </w:r>
      <w:r w:rsidR="003D7F3E" w:rsidRPr="00F82CDF">
        <w:t xml:space="preserve"> when used non-metaphorically: it is often used in a subordinate or dependent clause as predicted, particularly in the case of </w:t>
      </w:r>
      <w:r w:rsidR="003D7F3E" w:rsidRPr="00F82CDF">
        <w:rPr>
          <w:i/>
        </w:rPr>
        <w:t>which</w:t>
      </w:r>
      <w:r w:rsidR="003D7F3E" w:rsidRPr="00F82CDF">
        <w:t xml:space="preserve">. Moreover, the item in R1 position of </w:t>
      </w:r>
      <w:r w:rsidR="003D7F3E" w:rsidRPr="00F82CDF">
        <w:rPr>
          <w:i/>
        </w:rPr>
        <w:t>grew</w:t>
      </w:r>
      <w:r w:rsidR="003D7F3E" w:rsidRPr="00F82CDF">
        <w:t xml:space="preserve">, directly following the cluster </w:t>
      </w:r>
      <w:r w:rsidR="003D7F3E" w:rsidRPr="00F82CDF">
        <w:rPr>
          <w:i/>
        </w:rPr>
        <w:t>that</w:t>
      </w:r>
      <w:r w:rsidR="003D7F3E" w:rsidRPr="00F82CDF">
        <w:t xml:space="preserve"> </w:t>
      </w:r>
      <w:r w:rsidR="003D7F3E" w:rsidRPr="00F82CDF">
        <w:rPr>
          <w:i/>
        </w:rPr>
        <w:t>grew</w:t>
      </w:r>
      <w:r w:rsidR="003D7F3E" w:rsidRPr="00F82CDF">
        <w:t>/</w:t>
      </w:r>
      <w:r w:rsidR="003D7F3E" w:rsidRPr="00F82CDF">
        <w:rPr>
          <w:i/>
        </w:rPr>
        <w:t>which</w:t>
      </w:r>
      <w:r w:rsidR="003D7F3E" w:rsidRPr="00F82CDF">
        <w:t xml:space="preserve"> </w:t>
      </w:r>
      <w:r w:rsidR="003D7F3E" w:rsidRPr="00F82CDF">
        <w:rPr>
          <w:i/>
        </w:rPr>
        <w:t>grew</w:t>
      </w:r>
      <w:r w:rsidR="003D7F3E" w:rsidRPr="00F82CDF">
        <w:t xml:space="preserve">, is most often a preposition with a locative function: describing extra information related to the place or the manner of the growing (e.g. </w:t>
      </w:r>
      <w:r w:rsidR="003D7F3E" w:rsidRPr="00F82CDF">
        <w:rPr>
          <w:i/>
        </w:rPr>
        <w:t>at, in, on, round, upon</w:t>
      </w:r>
      <w:r w:rsidR="003D7F3E" w:rsidRPr="00F82CDF">
        <w:t xml:space="preserve">). In this structure, the growing is not the most important element of the sentence, but the object itself (i.e. </w:t>
      </w:r>
      <w:r w:rsidR="003D7F3E" w:rsidRPr="00F82CDF">
        <w:rPr>
          <w:i/>
        </w:rPr>
        <w:t xml:space="preserve">the large trees; a few ripe pears; a little red flower </w:t>
      </w:r>
      <w:r w:rsidR="003D7F3E" w:rsidRPr="00F82CDF">
        <w:t xml:space="preserve">etc.). This is a colligation specific to the non-metaphoric set. In contrast the metaphoric instances of </w:t>
      </w:r>
      <w:r w:rsidR="003D7F3E" w:rsidRPr="00F82CDF">
        <w:rPr>
          <w:i/>
        </w:rPr>
        <w:t>grew</w:t>
      </w:r>
      <w:r w:rsidR="003D7F3E" w:rsidRPr="00F82CDF">
        <w:t xml:space="preserve"> would be presumed to be a more important part of the sentence in which they appear, for the specific reason that they are metaphors and thus (often) used for a particular effect by the author (of course, this is not the case with all metaphors, as the research has often discussed). An author may use a metaphor to describe, elaborate on, or emphasise a particular characteristic or action; in such a case it would be expected that the metaphor would have priority in the sentence, so as to carry out its intended effect upon the reader. A closer look at the metaphoric data shows that </w:t>
      </w:r>
      <w:r w:rsidR="003D7F3E" w:rsidRPr="00F82CDF">
        <w:rPr>
          <w:i/>
        </w:rPr>
        <w:t>which</w:t>
      </w:r>
      <w:r w:rsidR="003D7F3E" w:rsidRPr="00F82CDF">
        <w:t xml:space="preserve"> also occurs on the collocate list generated by WordSmith but is a much weaker collocate than its non-metaphoric counterpart. It is ranked 30</w:t>
      </w:r>
      <w:r w:rsidR="003D7F3E" w:rsidRPr="00F82CDF">
        <w:rPr>
          <w:vertAlign w:val="superscript"/>
        </w:rPr>
        <w:t>th</w:t>
      </w:r>
      <w:r w:rsidR="003D7F3E" w:rsidRPr="00F82CDF">
        <w:t xml:space="preserve"> out of all collocates (again, based on WordSmith’s Collocate function) and occurs 140 times, making up 4.89% of the data (in comparison to 17.10% of the non-metaphoric data). It is also less fixed; the most frequent position (also L1) only makes up 34.29% of all instances of </w:t>
      </w:r>
      <w:r w:rsidR="003D7F3E" w:rsidRPr="00F82CDF">
        <w:rPr>
          <w:i/>
        </w:rPr>
        <w:t>which</w:t>
      </w:r>
      <w:r w:rsidR="003D7F3E" w:rsidRPr="00F82CDF">
        <w:t>. Some of these examples are shown below:</w:t>
      </w:r>
      <w:bookmarkEnd w:id="156"/>
    </w:p>
    <w:p w14:paraId="0681A26E" w14:textId="77777777" w:rsidR="00A606D3" w:rsidRPr="00F82CDF" w:rsidRDefault="00A606D3" w:rsidP="003D7F3E">
      <w:pPr>
        <w:spacing w:line="240" w:lineRule="auto"/>
      </w:pPr>
    </w:p>
    <w:p w14:paraId="210C50BB" w14:textId="3640FCED" w:rsidR="003D7F3E" w:rsidRPr="00F82CDF" w:rsidRDefault="00A606D3" w:rsidP="00A606D3">
      <w:pPr>
        <w:pStyle w:val="Caption"/>
      </w:pPr>
      <w:bookmarkStart w:id="157" w:name="_Toc311118985"/>
      <w:r w:rsidRPr="00F82CDF">
        <w:t xml:space="preserve">Concordance </w:t>
      </w:r>
      <w:r>
        <w:t>8</w:t>
      </w:r>
      <w:r w:rsidRPr="00F82CDF">
        <w:t xml:space="preserve">. Selection of </w:t>
      </w:r>
      <w:r w:rsidRPr="00F82CDF">
        <w:rPr>
          <w:i/>
        </w:rPr>
        <w:t>which grew</w:t>
      </w:r>
      <w:r w:rsidRPr="00F82CDF">
        <w:t xml:space="preserve"> occurrences in metaphoric dataset</w:t>
      </w:r>
      <w:bookmarkStart w:id="158" w:name="_GoBack"/>
      <w:bookmarkEnd w:id="157"/>
      <w:bookmarkEnd w:id="158"/>
    </w:p>
    <w:p w14:paraId="7081C85C" w14:textId="77777777" w:rsidR="003D7F3E" w:rsidRPr="00F82CDF" w:rsidRDefault="003D7F3E" w:rsidP="003D7F3E">
      <w:pPr>
        <w:pStyle w:val="Caption"/>
      </w:pPr>
      <w:r w:rsidRPr="00F82CDF">
        <w:rPr>
          <w:noProof/>
        </w:rPr>
        <w:drawing>
          <wp:inline distT="0" distB="0" distL="0" distR="0" wp14:anchorId="0A6A7CC3" wp14:editId="245DC736">
            <wp:extent cx="3860800" cy="2084367"/>
            <wp:effectExtent l="25400" t="25400" r="25400" b="2413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5.50.15.png"/>
                    <pic:cNvPicPr/>
                  </pic:nvPicPr>
                  <pic:blipFill>
                    <a:blip r:embed="rId16">
                      <a:extLst>
                        <a:ext uri="{28A0092B-C50C-407E-A947-70E740481C1C}">
                          <a14:useLocalDpi xmlns:a14="http://schemas.microsoft.com/office/drawing/2010/main" val="0"/>
                        </a:ext>
                      </a:extLst>
                    </a:blip>
                    <a:stretch>
                      <a:fillRect/>
                    </a:stretch>
                  </pic:blipFill>
                  <pic:spPr>
                    <a:xfrm>
                      <a:off x="0" y="0"/>
                      <a:ext cx="3860931" cy="2084438"/>
                    </a:xfrm>
                    <a:prstGeom prst="rect">
                      <a:avLst/>
                    </a:prstGeom>
                    <a:ln w="12700" cmpd="sng">
                      <a:solidFill>
                        <a:schemeClr val="accent1"/>
                      </a:solidFill>
                    </a:ln>
                  </pic:spPr>
                </pic:pic>
              </a:graphicData>
            </a:graphic>
          </wp:inline>
        </w:drawing>
      </w:r>
    </w:p>
    <w:p w14:paraId="47EB6AD9" w14:textId="77777777" w:rsidR="003D7F3E" w:rsidRPr="00F82CDF" w:rsidRDefault="003D7F3E" w:rsidP="003D7F3E">
      <w:pPr>
        <w:spacing w:line="240" w:lineRule="auto"/>
      </w:pPr>
      <w:bookmarkStart w:id="159" w:name="_Toc305157776"/>
    </w:p>
    <w:p w14:paraId="2D6ECFD0" w14:textId="77777777" w:rsidR="003D7F3E" w:rsidRPr="00F82CDF" w:rsidRDefault="003D7F3E" w:rsidP="003D7F3E">
      <w:pPr>
        <w:spacing w:line="240" w:lineRule="auto"/>
      </w:pPr>
      <w:r w:rsidRPr="00F82CDF">
        <w:t xml:space="preserve">Although prepositions are found in R1 position of the collocation, similar to the metaphoric instances these are less frequent. They also often form part of phrasal verbs, which will be discussed shortly. More prevalent are complements where </w:t>
      </w:r>
      <w:r w:rsidRPr="00F82CDF">
        <w:rPr>
          <w:i/>
        </w:rPr>
        <w:t>grew</w:t>
      </w:r>
      <w:r w:rsidRPr="00F82CDF">
        <w:t xml:space="preserve"> is used intransitively: </w:t>
      </w:r>
      <w:r w:rsidRPr="00F82CDF">
        <w:rPr>
          <w:i/>
        </w:rPr>
        <w:t>bright, broad, paler, plainly, rapidly</w:t>
      </w:r>
      <w:r w:rsidRPr="00F82CDF">
        <w:t xml:space="preserve">. There are also repeated trigrams such as </w:t>
      </w:r>
      <w:r w:rsidRPr="00F82CDF">
        <w:rPr>
          <w:i/>
        </w:rPr>
        <w:t>more and more,</w:t>
      </w:r>
      <w:r w:rsidRPr="00F82CDF">
        <w:t xml:space="preserve"> </w:t>
      </w:r>
      <w:r w:rsidRPr="00F82CDF">
        <w:rPr>
          <w:i/>
        </w:rPr>
        <w:t>louder and louder,</w:t>
      </w:r>
      <w:r w:rsidRPr="00F82CDF">
        <w:t xml:space="preserve"> and</w:t>
      </w:r>
      <w:r w:rsidRPr="00F82CDF">
        <w:rPr>
          <w:i/>
        </w:rPr>
        <w:t xml:space="preserve"> quieter and quieter. </w:t>
      </w:r>
      <w:r w:rsidRPr="00F82CDF">
        <w:t xml:space="preserve">A survey of all 48 </w:t>
      </w:r>
      <w:r w:rsidRPr="00F82CDF">
        <w:rPr>
          <w:i/>
        </w:rPr>
        <w:t>which grew</w:t>
      </w:r>
      <w:r w:rsidRPr="00F82CDF">
        <w:t xml:space="preserve"> collocations in the metaphoric dataset reveals that 25 instances (52.08%) are followed by a complement, 11 instances (22.92%) are followed by an object and 11 (22.92%) are followed by a prepositional phrase. Moreover, the instances followed by an object or a prepositional phrase most often are lexical items (</w:t>
      </w:r>
      <w:r w:rsidRPr="00F82CDF">
        <w:rPr>
          <w:i/>
        </w:rPr>
        <w:t>grew</w:t>
      </w:r>
      <w:r w:rsidRPr="00F82CDF">
        <w:t xml:space="preserve"> </w:t>
      </w:r>
      <w:r w:rsidRPr="00F82CDF">
        <w:rPr>
          <w:i/>
        </w:rPr>
        <w:t>up</w:t>
      </w:r>
      <w:r w:rsidRPr="00F82CDF">
        <w:t xml:space="preserve">, </w:t>
      </w:r>
      <w:r w:rsidRPr="00F82CDF">
        <w:rPr>
          <w:i/>
        </w:rPr>
        <w:t>grew</w:t>
      </w:r>
      <w:r w:rsidRPr="00F82CDF">
        <w:t xml:space="preserve"> </w:t>
      </w:r>
      <w:r w:rsidRPr="00F82CDF">
        <w:rPr>
          <w:i/>
        </w:rPr>
        <w:t>out of</w:t>
      </w:r>
      <w:r w:rsidRPr="00F82CDF">
        <w:t xml:space="preserve">, </w:t>
      </w:r>
      <w:r w:rsidRPr="00F82CDF">
        <w:rPr>
          <w:i/>
        </w:rPr>
        <w:t>grew</w:t>
      </w:r>
      <w:r w:rsidRPr="00F82CDF">
        <w:t xml:space="preserve"> </w:t>
      </w:r>
      <w:r w:rsidRPr="00F82CDF">
        <w:rPr>
          <w:i/>
        </w:rPr>
        <w:t>into</w:t>
      </w:r>
      <w:r w:rsidRPr="00F82CDF">
        <w:t xml:space="preserve">, </w:t>
      </w:r>
      <w:r w:rsidRPr="00F82CDF">
        <w:rPr>
          <w:i/>
        </w:rPr>
        <w:t>grew</w:t>
      </w:r>
      <w:r w:rsidRPr="00F82CDF">
        <w:t xml:space="preserve"> </w:t>
      </w:r>
      <w:r w:rsidRPr="00F82CDF">
        <w:rPr>
          <w:i/>
        </w:rPr>
        <w:t>upon</w:t>
      </w:r>
      <w:r w:rsidRPr="00F82CDF">
        <w:t xml:space="preserve">, </w:t>
      </w:r>
      <w:r w:rsidRPr="00F82CDF">
        <w:rPr>
          <w:i/>
        </w:rPr>
        <w:t>grew</w:t>
      </w:r>
      <w:r w:rsidRPr="00F82CDF">
        <w:t xml:space="preserve"> </w:t>
      </w:r>
      <w:r w:rsidRPr="00F82CDF">
        <w:rPr>
          <w:i/>
        </w:rPr>
        <w:t>from</w:t>
      </w:r>
      <w:r w:rsidRPr="00F82CDF">
        <w:t xml:space="preserve">). Each of these instances within their context displays a different meaning from </w:t>
      </w:r>
      <w:r w:rsidRPr="00F82CDF">
        <w:rPr>
          <w:i/>
        </w:rPr>
        <w:t>grew</w:t>
      </w:r>
      <w:r w:rsidRPr="00F82CDF">
        <w:t xml:space="preserve"> + preposition. The most common meaning is to evolve or develop. Removing the lexical items then, and returning to </w:t>
      </w:r>
      <w:r w:rsidRPr="00F82CDF">
        <w:rPr>
          <w:i/>
        </w:rPr>
        <w:t>grew</w:t>
      </w:r>
      <w:r w:rsidRPr="00F82CDF">
        <w:t xml:space="preserve"> and its meaning in isolation, there are only six instances that do not have a complement.</w:t>
      </w:r>
      <w:bookmarkEnd w:id="159"/>
      <w:r w:rsidRPr="00F82CDF">
        <w:t xml:space="preserve"> </w:t>
      </w:r>
    </w:p>
    <w:p w14:paraId="0F273542" w14:textId="77777777" w:rsidR="003D7F3E" w:rsidRPr="00F82CDF" w:rsidRDefault="003D7F3E" w:rsidP="003D7F3E">
      <w:pPr>
        <w:pStyle w:val="Body1"/>
      </w:pPr>
      <w:r w:rsidRPr="00F82CDF">
        <w:rPr>
          <w:b/>
          <w:color w:val="4F81BD" w:themeColor="accent1"/>
        </w:rPr>
        <w:tab/>
      </w:r>
      <w:bookmarkStart w:id="160" w:name="_Toc305157777"/>
      <w:r w:rsidRPr="00F82CDF">
        <w:t xml:space="preserve">Without a complement, we would be left with a meaning closer to the non-metaphoric sense of </w:t>
      </w:r>
      <w:r w:rsidRPr="00F82CDF">
        <w:rPr>
          <w:i/>
        </w:rPr>
        <w:t>grew</w:t>
      </w:r>
      <w:r w:rsidRPr="00F82CDF">
        <w:t xml:space="preserve"> e.g. </w:t>
      </w:r>
      <w:r w:rsidRPr="00F82CDF">
        <w:rPr>
          <w:i/>
        </w:rPr>
        <w:t xml:space="preserve">his daily work was a burden which grew; </w:t>
      </w:r>
      <w:r w:rsidRPr="00F82CDF">
        <w:t xml:space="preserve">rather than </w:t>
      </w:r>
      <w:r w:rsidRPr="00F82CDF">
        <w:rPr>
          <w:i/>
        </w:rPr>
        <w:t>his daily work was a burden which grew more and more oppressive</w:t>
      </w:r>
      <w:r w:rsidRPr="00F82CDF">
        <w:t xml:space="preserve">. The first example suggests the burden to be growing in the physical sense of upward or outward (albeit metaphorical), but the second example portrays the burden as becoming </w:t>
      </w:r>
      <w:r w:rsidRPr="00F82CDF">
        <w:rPr>
          <w:i/>
        </w:rPr>
        <w:t>more</w:t>
      </w:r>
      <w:r w:rsidRPr="00F82CDF">
        <w:t xml:space="preserve"> </w:t>
      </w:r>
      <w:r w:rsidRPr="00F82CDF">
        <w:rPr>
          <w:i/>
        </w:rPr>
        <w:t>oppressive</w:t>
      </w:r>
      <w:r w:rsidRPr="00F82CDF">
        <w:t xml:space="preserve">. </w:t>
      </w:r>
      <w:r w:rsidRPr="00F82CDF">
        <w:rPr>
          <w:i/>
        </w:rPr>
        <w:t>Oppressive</w:t>
      </w:r>
      <w:r w:rsidRPr="00F82CDF">
        <w:t xml:space="preserve"> here is the signal of a more abstract sense of development. Used alongside </w:t>
      </w:r>
      <w:r w:rsidRPr="00F82CDF">
        <w:rPr>
          <w:i/>
        </w:rPr>
        <w:t>more and more</w:t>
      </w:r>
      <w:r w:rsidRPr="00F82CDF">
        <w:t xml:space="preserve">, which was discussed earlier, the effect is one of gradual development towards a negative state. To summarise the collocation </w:t>
      </w:r>
      <w:r w:rsidRPr="00F82CDF">
        <w:rPr>
          <w:i/>
        </w:rPr>
        <w:t>which</w:t>
      </w:r>
      <w:r w:rsidRPr="00F82CDF">
        <w:t xml:space="preserve"> </w:t>
      </w:r>
      <w:r w:rsidRPr="00F82CDF">
        <w:rPr>
          <w:i/>
        </w:rPr>
        <w:t>grew</w:t>
      </w:r>
      <w:r w:rsidRPr="00F82CDF">
        <w:t xml:space="preserve"> then: whilst its behaviour in the non-metaphoric examples often demonstrates a sense of extra meaning (often locative) used alongside a prepositional phrase to display the place or manner of the object growing (</w:t>
      </w:r>
      <w:r w:rsidRPr="00F82CDF">
        <w:rPr>
          <w:i/>
        </w:rPr>
        <w:t>it grew around the tree</w:t>
      </w:r>
      <w:r w:rsidRPr="00F82CDF">
        <w:t>), in a metaphoric context, the collocation has a non-locative characteristic and is much less prevalent. The collocation is most frequently followed by a complement (</w:t>
      </w:r>
      <w:r w:rsidRPr="00F82CDF">
        <w:rPr>
          <w:i/>
        </w:rPr>
        <w:t>more and more, louder and louder, paler and paler</w:t>
      </w:r>
      <w:r w:rsidRPr="00F82CDF">
        <w:t>), and more often than not signifies a development from one state to another. This is either in relation to a character’s temperament (</w:t>
      </w:r>
      <w:r w:rsidRPr="00F82CDF">
        <w:rPr>
          <w:i/>
        </w:rPr>
        <w:t>Meanwhile, Arthur Beaufort’s own complaints, which grew serious…</w:t>
      </w:r>
      <w:r w:rsidRPr="00F82CDF">
        <w:t>), or a change in an external state (…</w:t>
      </w:r>
      <w:r w:rsidRPr="00F82CDF">
        <w:rPr>
          <w:i/>
        </w:rPr>
        <w:t>the glen, which grew narrow as I advanced</w:t>
      </w:r>
      <w:r w:rsidRPr="00F82CDF">
        <w:t xml:space="preserve">). In this sense however, it is of importance to note that the use of </w:t>
      </w:r>
      <w:r w:rsidRPr="00F82CDF">
        <w:rPr>
          <w:i/>
        </w:rPr>
        <w:t>grew</w:t>
      </w:r>
      <w:r w:rsidRPr="00F82CDF">
        <w:t xml:space="preserve"> mostly stands for a change in a character’s perception of the external world, rather than a physical/concrete transformation. Perception such as this has been discussed in relation to </w:t>
      </w:r>
      <w:r w:rsidRPr="00F82CDF">
        <w:rPr>
          <w:i/>
        </w:rPr>
        <w:t>grew</w:t>
      </w:r>
      <w:r w:rsidRPr="00F82CDF">
        <w:t xml:space="preserve"> in the middle group analysis. </w:t>
      </w:r>
      <w:bookmarkStart w:id="161" w:name="_Toc305157778"/>
      <w:bookmarkEnd w:id="160"/>
      <w:r w:rsidRPr="00F82CDF">
        <w:t xml:space="preserve">Also of note is that most of the above instances suggest </w:t>
      </w:r>
      <w:r w:rsidRPr="00F82CDF">
        <w:rPr>
          <w:i/>
        </w:rPr>
        <w:t>grew</w:t>
      </w:r>
      <w:r w:rsidRPr="00F82CDF">
        <w:t xml:space="preserve"> being used to describe a noise or a light. Again, the contexts depict a slow or gradual development in either sound or light/darkness. </w:t>
      </w:r>
    </w:p>
    <w:bookmarkEnd w:id="161"/>
    <w:p w14:paraId="308F8157" w14:textId="382869EC" w:rsidR="003D7F3E" w:rsidRPr="00F82CDF" w:rsidRDefault="003D7F3E" w:rsidP="003D7F3E">
      <w:pPr>
        <w:pStyle w:val="Body1"/>
      </w:pPr>
      <w:r w:rsidRPr="00F82CDF">
        <w:tab/>
      </w:r>
      <w:bookmarkStart w:id="162" w:name="_Toc305157779"/>
      <w:r w:rsidR="00E70184">
        <w:t>To conclude</w:t>
      </w:r>
      <w:r w:rsidRPr="00F82CDF">
        <w:t xml:space="preserve">, the top ten collocates show differences in the most frequent items collocating with </w:t>
      </w:r>
      <w:r w:rsidRPr="00F82CDF">
        <w:rPr>
          <w:i/>
        </w:rPr>
        <w:t>grew</w:t>
      </w:r>
      <w:r w:rsidRPr="00F82CDF">
        <w:t xml:space="preserve">. Although the majority of items are grammatical rather than lexical, differences have also been found in relation to semantic associations and, more notably, pragmatic associations. The high frequency of the fixed phrase </w:t>
      </w:r>
      <w:r w:rsidRPr="00F82CDF">
        <w:rPr>
          <w:i/>
        </w:rPr>
        <w:t xml:space="preserve">more and more </w:t>
      </w:r>
      <w:r w:rsidRPr="00F82CDF">
        <w:t xml:space="preserve">alongside </w:t>
      </w:r>
      <w:r w:rsidRPr="00F82CDF">
        <w:rPr>
          <w:i/>
        </w:rPr>
        <w:t>grew</w:t>
      </w:r>
      <w:r w:rsidRPr="00F82CDF">
        <w:t xml:space="preserve"> in a metaphoric context showed strong negative pragmatic association as well as revealing a stark difference. Another finding of interest is the use of </w:t>
      </w:r>
      <w:r w:rsidRPr="00F82CDF">
        <w:rPr>
          <w:i/>
        </w:rPr>
        <w:t>which</w:t>
      </w:r>
      <w:r w:rsidRPr="00F82CDF">
        <w:t xml:space="preserve"> and </w:t>
      </w:r>
      <w:r w:rsidRPr="00F82CDF">
        <w:rPr>
          <w:i/>
        </w:rPr>
        <w:t>that</w:t>
      </w:r>
      <w:r w:rsidRPr="00F82CDF">
        <w:t xml:space="preserve"> amongst non-metaphoric instances. In total, 33.95% of all </w:t>
      </w:r>
      <w:r w:rsidRPr="00F82CDF">
        <w:rPr>
          <w:i/>
        </w:rPr>
        <w:t>grew</w:t>
      </w:r>
      <w:r w:rsidRPr="00F82CDF">
        <w:t xml:space="preserve"> instances in the non-metaphoric dataset collocate with either </w:t>
      </w:r>
      <w:r w:rsidRPr="00F82CDF">
        <w:rPr>
          <w:i/>
        </w:rPr>
        <w:t>which</w:t>
      </w:r>
      <w:r w:rsidRPr="00F82CDF">
        <w:t xml:space="preserve"> or </w:t>
      </w:r>
      <w:r w:rsidRPr="00F82CDF">
        <w:rPr>
          <w:i/>
        </w:rPr>
        <w:t>that</w:t>
      </w:r>
      <w:r w:rsidRPr="00F82CDF">
        <w:t xml:space="preserve">. This pointed to heavy use of subordinate or relative clauses and a high degree of fixedness more generally. Subsequently, the frequent use of preposition or particle in R1 position to </w:t>
      </w:r>
      <w:r w:rsidRPr="00F82CDF">
        <w:rPr>
          <w:i/>
        </w:rPr>
        <w:t>grew</w:t>
      </w:r>
      <w:r w:rsidRPr="00F82CDF">
        <w:t xml:space="preserve"> substantiated this claim. </w:t>
      </w:r>
      <w:bookmarkEnd w:id="162"/>
    </w:p>
    <w:bookmarkEnd w:id="8"/>
    <w:bookmarkEnd w:id="9"/>
    <w:bookmarkEnd w:id="10"/>
    <w:bookmarkEnd w:id="11"/>
    <w:bookmarkEnd w:id="12"/>
    <w:p w14:paraId="04B5E7E1" w14:textId="3CE8A259" w:rsidR="003D7F3E" w:rsidRDefault="002C6304" w:rsidP="003D7F3E">
      <w:pPr>
        <w:pStyle w:val="Body1"/>
      </w:pPr>
      <w:r>
        <w:rPr>
          <w:rFonts w:eastAsiaTheme="majorEastAsia" w:cstheme="majorBidi"/>
          <w:b/>
          <w:bCs/>
          <w:color w:val="4F81BD" w:themeColor="accent1"/>
          <w:szCs w:val="24"/>
          <w:lang w:val="en-US" w:eastAsia="en-US"/>
        </w:rPr>
        <w:tab/>
      </w:r>
      <w:r w:rsidR="003D7F3E" w:rsidRPr="00F82CDF">
        <w:t xml:space="preserve">Metaphoric and non-metaphoric uses of </w:t>
      </w:r>
      <w:r w:rsidR="003D7F3E" w:rsidRPr="00F82CDF">
        <w:rPr>
          <w:i/>
        </w:rPr>
        <w:t>grew</w:t>
      </w:r>
      <w:r w:rsidR="003D7F3E" w:rsidRPr="00F82CDF">
        <w:t xml:space="preserve"> are signalled differently in the structures and groups of items in which they form a part of. Despite the fact that the full analysis has shown more types of uses of </w:t>
      </w:r>
      <w:r w:rsidR="003D7F3E" w:rsidRPr="00F82CDF">
        <w:rPr>
          <w:i/>
        </w:rPr>
        <w:t>grew</w:t>
      </w:r>
      <w:r w:rsidR="003D7F3E" w:rsidRPr="00F82CDF">
        <w:t xml:space="preserve"> metaphorically (i.e. specific meanings pragmatically or semantically, such as </w:t>
      </w:r>
      <w:r w:rsidR="003D7F3E" w:rsidRPr="00F82CDF">
        <w:rPr>
          <w:i/>
        </w:rPr>
        <w:t>grew into,</w:t>
      </w:r>
      <w:r w:rsidR="003D7F3E" w:rsidRPr="00F82CDF">
        <w:t xml:space="preserve"> </w:t>
      </w:r>
      <w:r w:rsidR="003D7F3E" w:rsidRPr="00F82CDF">
        <w:rPr>
          <w:i/>
        </w:rPr>
        <w:t>grew</w:t>
      </w:r>
      <w:r w:rsidR="003D7F3E" w:rsidRPr="00F82CDF">
        <w:t xml:space="preserve"> signalling an abstract change, </w:t>
      </w:r>
      <w:r w:rsidR="003D7F3E" w:rsidRPr="00F82CDF">
        <w:rPr>
          <w:i/>
        </w:rPr>
        <w:t>grew</w:t>
      </w:r>
      <w:r w:rsidR="003D7F3E" w:rsidRPr="00F82CDF">
        <w:t xml:space="preserve"> signalling a change in perception, </w:t>
      </w:r>
      <w:r w:rsidR="003D7F3E" w:rsidRPr="00F82CDF">
        <w:rPr>
          <w:i/>
        </w:rPr>
        <w:t>grew more and more</w:t>
      </w:r>
      <w:r w:rsidR="003D7F3E" w:rsidRPr="00F82CDF">
        <w:t xml:space="preserve"> etc.), there are more varied structures (and thus more high frequency clusters) in the non-metaphoric data. Findings from the analysis show this to mean that </w:t>
      </w:r>
      <w:r w:rsidR="003D7F3E" w:rsidRPr="00F82CDF">
        <w:rPr>
          <w:i/>
        </w:rPr>
        <w:t>grew</w:t>
      </w:r>
      <w:r w:rsidR="003D7F3E" w:rsidRPr="00F82CDF">
        <w:t xml:space="preserve"> as a non-metaphor is more flexible and less fixed semantically, pragmatically and grammatically. </w:t>
      </w:r>
      <w:bookmarkStart w:id="163" w:name="_Toc305150223"/>
    </w:p>
    <w:p w14:paraId="05C48AD2" w14:textId="77777777" w:rsidR="00A353F1" w:rsidRDefault="00A353F1" w:rsidP="003D7F3E">
      <w:pPr>
        <w:pStyle w:val="Body1"/>
      </w:pPr>
    </w:p>
    <w:p w14:paraId="17CDCE25" w14:textId="5A839A55" w:rsidR="00A353F1" w:rsidRDefault="00A353F1" w:rsidP="003D7F3E">
      <w:pPr>
        <w:pStyle w:val="Body1"/>
      </w:pPr>
      <w:r>
        <w:rPr>
          <w:b/>
        </w:rPr>
        <w:t>5. Conclusions and implications for future research</w:t>
      </w:r>
    </w:p>
    <w:p w14:paraId="1B02EE7B" w14:textId="77777777" w:rsidR="00A353F1" w:rsidRDefault="00A353F1" w:rsidP="003D7F3E">
      <w:pPr>
        <w:pStyle w:val="Body1"/>
      </w:pPr>
    </w:p>
    <w:p w14:paraId="70A3F120" w14:textId="77777777" w:rsidR="0032287B" w:rsidRDefault="003D7F3E" w:rsidP="003D7F3E">
      <w:pPr>
        <w:pStyle w:val="Body1"/>
      </w:pPr>
      <w:r w:rsidRPr="00F82CDF">
        <w:t xml:space="preserve">The data analysis has shown a number of differences in the behaviour of </w:t>
      </w:r>
      <w:r w:rsidRPr="00F82CDF">
        <w:rPr>
          <w:i/>
        </w:rPr>
        <w:t>grew</w:t>
      </w:r>
      <w:r w:rsidRPr="00F82CDF">
        <w:t xml:space="preserve"> when used in a metaphoric or non-metaphoric context. In general, there is a wider variety of collocates, both token and type, associated with the metaphoric instances. Despite this, there are a lower number of frequent clusters in the metaphoric data suggesting that there is a larger range of fixed structures being used overall in the metaphoric data. Pragmatic association featured prominently in the above analysis. Instances are found most apparent in connection with metaphoric structures of </w:t>
      </w:r>
      <w:r w:rsidRPr="00F82CDF">
        <w:rPr>
          <w:i/>
        </w:rPr>
        <w:t>grew</w:t>
      </w:r>
      <w:r w:rsidRPr="00F82CDF">
        <w:t xml:space="preserve">. This includes the phrase </w:t>
      </w:r>
      <w:r w:rsidRPr="00F82CDF">
        <w:rPr>
          <w:i/>
        </w:rPr>
        <w:t>grew more and more</w:t>
      </w:r>
      <w:r w:rsidRPr="00F82CDF">
        <w:t xml:space="preserve">, which often conveys a sense of despair, anger, or weakness in a character’s temperament. Interestingly this is not the case with </w:t>
      </w:r>
      <w:r w:rsidRPr="00F82CDF">
        <w:rPr>
          <w:i/>
        </w:rPr>
        <w:t>grew</w:t>
      </w:r>
      <w:r w:rsidRPr="00F82CDF">
        <w:t xml:space="preserve"> </w:t>
      </w:r>
      <w:r w:rsidRPr="00F82CDF">
        <w:rPr>
          <w:i/>
        </w:rPr>
        <w:t>less and less</w:t>
      </w:r>
      <w:r w:rsidRPr="00F82CDF">
        <w:t>, another frequent metaphoric cluster. Of more interest is the colligation adj.(</w:t>
      </w:r>
      <w:r w:rsidRPr="00F82CDF">
        <w:rPr>
          <w:i/>
        </w:rPr>
        <w:t>er</w:t>
      </w:r>
      <w:r w:rsidRPr="00F82CDF">
        <w:t>) + adj.(</w:t>
      </w:r>
      <w:r w:rsidRPr="00F82CDF">
        <w:rPr>
          <w:i/>
        </w:rPr>
        <w:t>er</w:t>
      </w:r>
      <w:r w:rsidRPr="00F82CDF">
        <w:t xml:space="preserve">), which had a much stronger negative pragmatic association that </w:t>
      </w:r>
      <w:r w:rsidRPr="00F82CDF">
        <w:rPr>
          <w:i/>
        </w:rPr>
        <w:t xml:space="preserve">grew more and more </w:t>
      </w:r>
      <w:r w:rsidRPr="00F82CDF">
        <w:t xml:space="preserve">+ adj.  Moreover, the structure was shown to be specific to the verb </w:t>
      </w:r>
      <w:r w:rsidRPr="00F82CDF">
        <w:rPr>
          <w:i/>
        </w:rPr>
        <w:t xml:space="preserve">grew – </w:t>
      </w:r>
      <w:r w:rsidRPr="00F82CDF">
        <w:t>there was no pragmatic association found associated with the more general colligation</w:t>
      </w:r>
      <w:r w:rsidRPr="00F82CDF">
        <w:rPr>
          <w:i/>
        </w:rPr>
        <w:t xml:space="preserve"> </w:t>
      </w:r>
      <w:r w:rsidRPr="00F82CDF">
        <w:t>adj.(er) + adj.(er)</w:t>
      </w:r>
      <w:r w:rsidRPr="00F82CDF">
        <w:rPr>
          <w:i/>
        </w:rPr>
        <w:t xml:space="preserve"> </w:t>
      </w:r>
      <w:r w:rsidRPr="00F82CDF">
        <w:t>in the BNC.</w:t>
      </w:r>
      <w:r w:rsidRPr="00F82CDF">
        <w:rPr>
          <w:i/>
        </w:rPr>
        <w:t xml:space="preserve"> </w:t>
      </w:r>
      <w:r w:rsidRPr="00F82CDF">
        <w:t>The adjectives displaying the highest degree of fixedness in R1 position also display a negative pragmatic association (</w:t>
      </w:r>
      <w:r w:rsidRPr="00F82CDF">
        <w:rPr>
          <w:i/>
        </w:rPr>
        <w:t>grew pale, worse, tired, weary, hot</w:t>
      </w:r>
      <w:r w:rsidRPr="00F82CDF">
        <w:t xml:space="preserve">). There is no such association shown in the non-metaphoric adjectives, or indeed in any collocate analysis with the non-metaphoric dataset. Interestingly Louw (1993) claims that metaphor is often enlisted “both to prepare us for the advent of a semantic prosody and to maintain its intensity once it has appeared” (Louw, 1993: 172). The findings here do indeed show a prevalence for pragmatic association amongst metaphoric instances of items in comparison to the non-metaphoric uses. Thus it could be suggested that pragmatic association and metaphor form a creative relationship. </w:t>
      </w:r>
    </w:p>
    <w:p w14:paraId="2496BC3A" w14:textId="2D2D0A8E" w:rsidR="003D7F3E" w:rsidRPr="00F82CDF" w:rsidRDefault="0032287B" w:rsidP="003D7F3E">
      <w:pPr>
        <w:pStyle w:val="Body1"/>
      </w:pPr>
      <w:r>
        <w:tab/>
      </w:r>
      <w:r w:rsidRPr="00F82CDF">
        <w:t>Hoey (2008) states that more work needs to be done in relation to creativity and lexical priming. Metaphor by its very nature is creative.</w:t>
      </w:r>
    </w:p>
    <w:bookmarkEnd w:id="163"/>
    <w:p w14:paraId="366C8347" w14:textId="77777777" w:rsidR="003018BA" w:rsidRPr="003018BA" w:rsidRDefault="003018BA" w:rsidP="003D7F3E">
      <w:pPr>
        <w:spacing w:line="240" w:lineRule="auto"/>
        <w:rPr>
          <w:b/>
        </w:rPr>
      </w:pPr>
    </w:p>
    <w:p w14:paraId="7BF4FFCC" w14:textId="77777777" w:rsidR="003018BA" w:rsidRDefault="003018BA" w:rsidP="003D7F3E">
      <w:pPr>
        <w:spacing w:line="240" w:lineRule="auto"/>
      </w:pPr>
    </w:p>
    <w:p w14:paraId="617DEEA7" w14:textId="77777777" w:rsidR="00B44777" w:rsidRDefault="00B44777" w:rsidP="003D7F3E">
      <w:pPr>
        <w:spacing w:line="240" w:lineRule="auto"/>
      </w:pPr>
    </w:p>
    <w:p w14:paraId="373954C9" w14:textId="77777777" w:rsidR="00B44777" w:rsidRDefault="00B44777" w:rsidP="003D7F3E">
      <w:pPr>
        <w:spacing w:line="240" w:lineRule="auto"/>
      </w:pPr>
    </w:p>
    <w:p w14:paraId="0106407B" w14:textId="7054C6FD" w:rsidR="003018BA" w:rsidRDefault="00856E13" w:rsidP="00856E13">
      <w:pPr>
        <w:pStyle w:val="Heading2"/>
      </w:pPr>
      <w:r>
        <w:t>References</w:t>
      </w:r>
    </w:p>
    <w:p w14:paraId="3C790463" w14:textId="77777777" w:rsidR="00B44777" w:rsidRPr="00F82CDF" w:rsidRDefault="00B44777" w:rsidP="00B44777">
      <w:pPr>
        <w:spacing w:before="100" w:beforeAutospacing="1" w:after="100" w:afterAutospacing="1" w:line="360" w:lineRule="auto"/>
        <w:ind w:left="720" w:hanging="720"/>
        <w:contextualSpacing/>
        <w:rPr>
          <w:noProof/>
          <w:szCs w:val="22"/>
          <w:lang w:bidi="en-US"/>
        </w:rPr>
      </w:pPr>
      <w:r w:rsidRPr="00F82CDF">
        <w:rPr>
          <w:noProof/>
          <w:szCs w:val="22"/>
          <w:lang w:bidi="en-US"/>
        </w:rPr>
        <w:t xml:space="preserve">Cruse, D. 1986. </w:t>
      </w:r>
      <w:r w:rsidRPr="00F82CDF">
        <w:rPr>
          <w:i/>
          <w:noProof/>
          <w:szCs w:val="22"/>
          <w:lang w:bidi="en-US"/>
        </w:rPr>
        <w:t>Lexical Semantics.</w:t>
      </w:r>
      <w:r w:rsidRPr="00F82CDF">
        <w:rPr>
          <w:noProof/>
          <w:szCs w:val="22"/>
          <w:lang w:bidi="en-US"/>
        </w:rPr>
        <w:t xml:space="preserve"> Cambridge: Cambridge University Press</w:t>
      </w:r>
    </w:p>
    <w:p w14:paraId="061DB36D" w14:textId="4BE4D4C7" w:rsidR="00B44777" w:rsidRPr="0032287B" w:rsidRDefault="00B44777" w:rsidP="00B44777">
      <w:pPr>
        <w:spacing w:before="100" w:beforeAutospacing="1" w:after="100" w:afterAutospacing="1" w:line="360" w:lineRule="auto"/>
        <w:ind w:left="720" w:hanging="720"/>
        <w:contextualSpacing/>
        <w:rPr>
          <w:noProof/>
          <w:szCs w:val="22"/>
        </w:rPr>
      </w:pPr>
      <w:r w:rsidRPr="00F82CDF">
        <w:rPr>
          <w:noProof/>
          <w:szCs w:val="22"/>
        </w:rPr>
        <w:t xml:space="preserve">Deignan, A. 2005. </w:t>
      </w:r>
      <w:r w:rsidRPr="00F82CDF">
        <w:rPr>
          <w:i/>
          <w:noProof/>
          <w:szCs w:val="22"/>
        </w:rPr>
        <w:t>Metaphor and Corpus Linguistics.</w:t>
      </w:r>
      <w:r w:rsidR="0032287B">
        <w:rPr>
          <w:noProof/>
          <w:szCs w:val="22"/>
        </w:rPr>
        <w:t xml:space="preserve"> Amsterdam: John Benjamins.</w:t>
      </w:r>
    </w:p>
    <w:p w14:paraId="66248082" w14:textId="2FC5C5C7" w:rsidR="00B44777" w:rsidRPr="0032287B" w:rsidRDefault="00B44777" w:rsidP="0032287B">
      <w:pPr>
        <w:spacing w:before="100" w:beforeAutospacing="1" w:after="100" w:afterAutospacing="1" w:line="360" w:lineRule="auto"/>
        <w:ind w:left="720" w:hanging="720"/>
        <w:contextualSpacing/>
        <w:rPr>
          <w:noProof/>
          <w:szCs w:val="22"/>
        </w:rPr>
      </w:pPr>
      <w:r w:rsidRPr="00F82CDF">
        <w:rPr>
          <w:rFonts w:cs="Arial"/>
          <w:szCs w:val="22"/>
        </w:rPr>
        <w:t xml:space="preserve">Deignan, A. and </w:t>
      </w:r>
      <w:hyperlink r:id="rId17" w:history="1">
        <w:r w:rsidRPr="00F82CDF">
          <w:rPr>
            <w:rFonts w:cs="Arial"/>
            <w:szCs w:val="22"/>
          </w:rPr>
          <w:t>Semino, E.</w:t>
        </w:r>
      </w:hyperlink>
      <w:r w:rsidRPr="00F82CDF">
        <w:rPr>
          <w:rFonts w:cs="Arial"/>
          <w:szCs w:val="22"/>
        </w:rPr>
        <w:t xml:space="preserve"> 2010. ‘Corpus techniques for metaphor’</w:t>
      </w:r>
      <w:r w:rsidRPr="00F82CDF">
        <w:rPr>
          <w:rFonts w:cs="Arial"/>
          <w:i/>
          <w:iCs/>
          <w:szCs w:val="22"/>
        </w:rPr>
        <w:t>.</w:t>
      </w:r>
      <w:r w:rsidRPr="00F82CDF">
        <w:rPr>
          <w:rFonts w:cs="Arial"/>
          <w:szCs w:val="22"/>
        </w:rPr>
        <w:t xml:space="preserve"> In: Cameron, L. and Maslen, R. (eds.), </w:t>
      </w:r>
      <w:r w:rsidRPr="00F82CDF">
        <w:rPr>
          <w:rFonts w:cs="Arial"/>
          <w:i/>
          <w:iCs/>
          <w:szCs w:val="22"/>
        </w:rPr>
        <w:t>Metaphor Analysis: Research Practice in Applied Linguistics, Social Sciences and the Humanities.</w:t>
      </w:r>
      <w:r w:rsidRPr="00F82CDF">
        <w:rPr>
          <w:rFonts w:cs="Arial"/>
          <w:szCs w:val="22"/>
        </w:rPr>
        <w:t xml:space="preserve"> London: Equinox, pp. 161-179.</w:t>
      </w:r>
    </w:p>
    <w:p w14:paraId="3361EF76" w14:textId="45B0EECB" w:rsidR="00B44777" w:rsidRPr="0032287B" w:rsidRDefault="00B44777" w:rsidP="00322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60" w:lineRule="auto"/>
        <w:ind w:left="720" w:hanging="720"/>
        <w:contextualSpacing/>
        <w:rPr>
          <w:rFonts w:cs="Times-Roman"/>
          <w:noProof/>
          <w:szCs w:val="22"/>
          <w:lang w:bidi="en-US"/>
        </w:rPr>
      </w:pPr>
      <w:r w:rsidRPr="00F82CDF">
        <w:rPr>
          <w:rFonts w:cs="Times-Roman"/>
          <w:noProof/>
          <w:szCs w:val="22"/>
          <w:lang w:bidi="en-US"/>
        </w:rPr>
        <w:t>Firth, J.</w:t>
      </w:r>
      <w:r>
        <w:rPr>
          <w:rFonts w:cs="Times-Roman"/>
          <w:noProof/>
          <w:szCs w:val="22"/>
          <w:lang w:bidi="en-US"/>
        </w:rPr>
        <w:t>,</w:t>
      </w:r>
      <w:r w:rsidRPr="00F82CDF">
        <w:rPr>
          <w:rFonts w:cs="Times-Roman"/>
          <w:noProof/>
          <w:szCs w:val="22"/>
          <w:lang w:bidi="en-US"/>
        </w:rPr>
        <w:t xml:space="preserve"> R. 1957. ‘A Synopsis of Linguistic Theory 1930-1955’. </w:t>
      </w:r>
      <w:r w:rsidRPr="00F82CDF">
        <w:rPr>
          <w:rFonts w:cs="Times-Roman"/>
          <w:i/>
          <w:iCs/>
          <w:noProof/>
          <w:szCs w:val="22"/>
          <w:lang w:bidi="en-US"/>
        </w:rPr>
        <w:t>Studies in Linguistic Analysis</w:t>
      </w:r>
      <w:r w:rsidRPr="00F82CDF">
        <w:rPr>
          <w:rFonts w:cs="Times-Roman"/>
          <w:noProof/>
          <w:szCs w:val="22"/>
          <w:lang w:bidi="en-US"/>
        </w:rPr>
        <w:t xml:space="preserve">, Oxford, Philological Society. Reprinted in Palmer, F. R. (ed.), </w:t>
      </w:r>
      <w:r w:rsidRPr="00F82CDF">
        <w:rPr>
          <w:rFonts w:cs="Times-Roman"/>
          <w:i/>
          <w:iCs/>
          <w:noProof/>
          <w:szCs w:val="22"/>
          <w:lang w:bidi="en-US"/>
        </w:rPr>
        <w:t>Selected Papers of J. R. Firth</w:t>
      </w:r>
      <w:r w:rsidRPr="00F82CDF">
        <w:rPr>
          <w:rFonts w:cs="Times-Roman"/>
          <w:noProof/>
          <w:szCs w:val="22"/>
          <w:lang w:bidi="en-US"/>
        </w:rPr>
        <w:t xml:space="preserve">, Harlow, Longman, 1968. </w:t>
      </w:r>
    </w:p>
    <w:p w14:paraId="14176B59" w14:textId="77777777" w:rsidR="00B44777" w:rsidRDefault="00B44777" w:rsidP="00B44777">
      <w:pPr>
        <w:spacing w:before="100" w:beforeAutospacing="1" w:after="100" w:afterAutospacing="1" w:line="360" w:lineRule="auto"/>
        <w:ind w:left="720" w:hanging="720"/>
        <w:contextualSpacing/>
        <w:rPr>
          <w:rFonts w:cs="Helvetica"/>
          <w:noProof/>
          <w:szCs w:val="22"/>
        </w:rPr>
      </w:pPr>
      <w:r w:rsidRPr="00F82CDF">
        <w:rPr>
          <w:rFonts w:cs="Helvetica"/>
          <w:noProof/>
          <w:szCs w:val="22"/>
        </w:rPr>
        <w:t xml:space="preserve">Gadamer, H. 2004. </w:t>
      </w:r>
      <w:r w:rsidRPr="00F82CDF">
        <w:rPr>
          <w:rFonts w:cs="Helvetica"/>
          <w:i/>
          <w:noProof/>
          <w:szCs w:val="22"/>
        </w:rPr>
        <w:t>Truth and Method</w:t>
      </w:r>
      <w:r w:rsidRPr="00F82CDF">
        <w:rPr>
          <w:rFonts w:cs="Helvetica"/>
          <w:noProof/>
          <w:szCs w:val="22"/>
        </w:rPr>
        <w:t>, trans. Joel Weinsheimer and Donald G. Marshall. London and New York: Continuum.</w:t>
      </w:r>
    </w:p>
    <w:p w14:paraId="5BBD9C06" w14:textId="22B6463A" w:rsidR="00B44777" w:rsidRDefault="0032287B" w:rsidP="00B44777">
      <w:pPr>
        <w:spacing w:before="100" w:beforeAutospacing="1" w:after="100" w:afterAutospacing="1" w:line="360" w:lineRule="auto"/>
        <w:ind w:left="720" w:hanging="720"/>
        <w:contextualSpacing/>
        <w:rPr>
          <w:noProof/>
          <w:szCs w:val="22"/>
        </w:rPr>
      </w:pPr>
      <w:r w:rsidRPr="00F82CDF">
        <w:rPr>
          <w:noProof/>
          <w:szCs w:val="22"/>
        </w:rPr>
        <w:t>Gibbs Jr., R.</w:t>
      </w:r>
      <w:r>
        <w:rPr>
          <w:noProof/>
          <w:szCs w:val="22"/>
        </w:rPr>
        <w:t>,</w:t>
      </w:r>
      <w:r w:rsidRPr="00F82CDF">
        <w:rPr>
          <w:noProof/>
          <w:szCs w:val="22"/>
        </w:rPr>
        <w:t xml:space="preserve"> W. 1994. </w:t>
      </w:r>
      <w:r w:rsidRPr="00F82CDF">
        <w:rPr>
          <w:i/>
          <w:noProof/>
          <w:szCs w:val="22"/>
        </w:rPr>
        <w:t>The Poetics of Mind</w:t>
      </w:r>
      <w:r w:rsidRPr="00F82CDF">
        <w:rPr>
          <w:noProof/>
          <w:szCs w:val="22"/>
        </w:rPr>
        <w:t>. Cambridge: Cambridge University Press.</w:t>
      </w:r>
    </w:p>
    <w:p w14:paraId="575CE4C9" w14:textId="62694388" w:rsidR="00B44777" w:rsidRDefault="00B44777" w:rsidP="00B44777">
      <w:pPr>
        <w:spacing w:before="100" w:beforeAutospacing="1" w:after="100" w:afterAutospacing="1" w:line="360" w:lineRule="auto"/>
        <w:ind w:left="720" w:hanging="720"/>
        <w:contextualSpacing/>
        <w:rPr>
          <w:noProof/>
          <w:szCs w:val="22"/>
        </w:rPr>
      </w:pPr>
      <w:r w:rsidRPr="00F82CDF">
        <w:rPr>
          <w:noProof/>
          <w:szCs w:val="22"/>
        </w:rPr>
        <w:t>H</w:t>
      </w:r>
      <w:r>
        <w:rPr>
          <w:noProof/>
          <w:szCs w:val="22"/>
        </w:rPr>
        <w:t>abermas, J. 1990. ‘A review of G</w:t>
      </w:r>
      <w:r w:rsidRPr="00F82CDF">
        <w:rPr>
          <w:noProof/>
          <w:szCs w:val="22"/>
        </w:rPr>
        <w:t xml:space="preserve">adamer’s </w:t>
      </w:r>
      <w:r w:rsidRPr="00F82CDF">
        <w:rPr>
          <w:i/>
          <w:noProof/>
          <w:szCs w:val="22"/>
        </w:rPr>
        <w:t>Truth and Method’</w:t>
      </w:r>
      <w:r w:rsidRPr="00F82CDF">
        <w:rPr>
          <w:noProof/>
          <w:szCs w:val="22"/>
        </w:rPr>
        <w:t xml:space="preserve">, trans. Fred. R. Dallmayr and Thomas McCarthy. In: Ormiston and Schrift (eds.), </w:t>
      </w:r>
      <w:r w:rsidRPr="00F82CDF">
        <w:rPr>
          <w:i/>
          <w:noProof/>
          <w:szCs w:val="22"/>
        </w:rPr>
        <w:t>The Hermeneutic Tradition: From Ast to Ricoeur.</w:t>
      </w:r>
      <w:r w:rsidRPr="00F82CDF">
        <w:rPr>
          <w:noProof/>
          <w:szCs w:val="22"/>
        </w:rPr>
        <w:t xml:space="preserve"> Albany: Suny Press, pp. 213-244. </w:t>
      </w:r>
    </w:p>
    <w:p w14:paraId="602BABD7" w14:textId="77777777" w:rsidR="00B44777" w:rsidRPr="00F82CDF" w:rsidRDefault="00B44777" w:rsidP="00B44777">
      <w:pPr>
        <w:spacing w:before="100" w:beforeAutospacing="1" w:after="100" w:afterAutospacing="1" w:line="360" w:lineRule="auto"/>
        <w:ind w:left="720" w:hanging="720"/>
        <w:contextualSpacing/>
        <w:rPr>
          <w:noProof/>
          <w:szCs w:val="22"/>
        </w:rPr>
      </w:pPr>
      <w:r w:rsidRPr="00F82CDF">
        <w:rPr>
          <w:noProof/>
          <w:szCs w:val="22"/>
        </w:rPr>
        <w:t xml:space="preserve">Hoey, M. 2005. </w:t>
      </w:r>
      <w:r w:rsidRPr="00F82CDF">
        <w:rPr>
          <w:i/>
          <w:noProof/>
          <w:szCs w:val="22"/>
        </w:rPr>
        <w:t xml:space="preserve">Lexical </w:t>
      </w:r>
      <w:r w:rsidRPr="00576113">
        <w:rPr>
          <w:i/>
          <w:noProof/>
          <w:szCs w:val="22"/>
        </w:rPr>
        <w:t>Priming: A New Theory of Words and Language.</w:t>
      </w:r>
      <w:r w:rsidRPr="00F82CDF">
        <w:rPr>
          <w:noProof/>
          <w:szCs w:val="22"/>
        </w:rPr>
        <w:t xml:space="preserve"> London: Routledge.</w:t>
      </w:r>
    </w:p>
    <w:p w14:paraId="066C4DCC" w14:textId="6176B979" w:rsidR="00B44777" w:rsidRPr="00F82CDF" w:rsidRDefault="0032287B" w:rsidP="00B44777">
      <w:pPr>
        <w:spacing w:before="100" w:beforeAutospacing="1" w:after="100" w:afterAutospacing="1" w:line="360" w:lineRule="auto"/>
        <w:ind w:left="720" w:hanging="720"/>
        <w:contextualSpacing/>
        <w:rPr>
          <w:noProof/>
          <w:szCs w:val="22"/>
        </w:rPr>
      </w:pPr>
      <w:r>
        <w:rPr>
          <w:noProof/>
          <w:szCs w:val="22"/>
        </w:rPr>
        <w:t>Hoey, M. 2008</w:t>
      </w:r>
      <w:r w:rsidR="00B44777" w:rsidRPr="00F82CDF">
        <w:rPr>
          <w:noProof/>
          <w:szCs w:val="22"/>
        </w:rPr>
        <w:t xml:space="preserve">. ‘Lexical priming and literary creativity’. In: M. Hoey, M. Mahlberg, M. Stubbs and W. Teubert (eds.), </w:t>
      </w:r>
      <w:r w:rsidR="00B44777" w:rsidRPr="00F82CDF">
        <w:rPr>
          <w:i/>
          <w:noProof/>
          <w:szCs w:val="22"/>
        </w:rPr>
        <w:t>Text, Discourse and Corpora</w:t>
      </w:r>
      <w:r w:rsidR="00B44777" w:rsidRPr="00F82CDF">
        <w:rPr>
          <w:noProof/>
          <w:szCs w:val="22"/>
        </w:rPr>
        <w:t>. London: Continuum, pp. 7-30.</w:t>
      </w:r>
    </w:p>
    <w:p w14:paraId="2EB7E728" w14:textId="14D249E3" w:rsidR="00B44777" w:rsidRPr="0032287B" w:rsidRDefault="0032287B" w:rsidP="00B44777">
      <w:pPr>
        <w:spacing w:before="100" w:beforeAutospacing="1" w:after="100" w:afterAutospacing="1" w:line="360" w:lineRule="auto"/>
        <w:ind w:left="720" w:hanging="720"/>
        <w:contextualSpacing/>
        <w:rPr>
          <w:noProof/>
          <w:szCs w:val="22"/>
        </w:rPr>
      </w:pPr>
      <w:r w:rsidRPr="00F82CDF">
        <w:rPr>
          <w:noProof/>
          <w:szCs w:val="22"/>
        </w:rPr>
        <w:t xml:space="preserve">Koller, V. 2006. ‘Of critical importance: Using corpora to study metaphor in business media discourse’. In: A. Stefanowitsch, and S. T. Gries (eds.), </w:t>
      </w:r>
      <w:r w:rsidRPr="00F82CDF">
        <w:rPr>
          <w:i/>
          <w:noProof/>
          <w:szCs w:val="22"/>
        </w:rPr>
        <w:t>Corpus-Based Approaches to Metaphor and Metonymy.</w:t>
      </w:r>
      <w:r w:rsidRPr="00F82CDF">
        <w:rPr>
          <w:noProof/>
          <w:szCs w:val="22"/>
        </w:rPr>
        <w:t xml:space="preserve"> Berlin and New York: de Gruyter, pp. 229-257. </w:t>
      </w:r>
    </w:p>
    <w:p w14:paraId="2E3DE948" w14:textId="77777777" w:rsidR="00B44777" w:rsidRDefault="00B44777" w:rsidP="00B44777">
      <w:pPr>
        <w:spacing w:before="100" w:beforeAutospacing="1" w:after="100" w:afterAutospacing="1" w:line="360" w:lineRule="auto"/>
        <w:ind w:left="720" w:hanging="720"/>
        <w:contextualSpacing/>
        <w:rPr>
          <w:noProof/>
          <w:szCs w:val="22"/>
        </w:rPr>
      </w:pPr>
      <w:r w:rsidRPr="00F82CDF">
        <w:rPr>
          <w:rFonts w:cs="Times"/>
          <w:noProof/>
          <w:szCs w:val="22"/>
        </w:rPr>
        <w:t>Lindquist, H.</w:t>
      </w:r>
      <w:r>
        <w:rPr>
          <w:rFonts w:cs="Times"/>
          <w:noProof/>
          <w:szCs w:val="22"/>
        </w:rPr>
        <w:t xml:space="preserve"> and Levin, M. 2008. ‘Foot and m</w:t>
      </w:r>
      <w:r w:rsidRPr="00F82CDF">
        <w:rPr>
          <w:rFonts w:cs="Times"/>
          <w:noProof/>
          <w:szCs w:val="22"/>
        </w:rPr>
        <w:t xml:space="preserve">outh: The phrasal </w:t>
      </w:r>
      <w:r>
        <w:rPr>
          <w:rFonts w:cs="Times"/>
          <w:noProof/>
          <w:szCs w:val="22"/>
        </w:rPr>
        <w:t>patterns of two frequent nouns.’</w:t>
      </w:r>
      <w:r w:rsidRPr="00F82CDF">
        <w:rPr>
          <w:rFonts w:cs="Times"/>
          <w:noProof/>
          <w:szCs w:val="22"/>
        </w:rPr>
        <w:t xml:space="preserve"> In: </w:t>
      </w:r>
      <w:r w:rsidRPr="00F82CDF">
        <w:rPr>
          <w:noProof/>
          <w:szCs w:val="22"/>
        </w:rPr>
        <w:t xml:space="preserve">S. Granger and F. Meunier (eds.), </w:t>
      </w:r>
      <w:r w:rsidRPr="00F82CDF">
        <w:rPr>
          <w:i/>
          <w:noProof/>
          <w:szCs w:val="22"/>
        </w:rPr>
        <w:t>Phr</w:t>
      </w:r>
      <w:r>
        <w:rPr>
          <w:i/>
          <w:noProof/>
          <w:szCs w:val="22"/>
        </w:rPr>
        <w:t>aseology: An Interdisciplinary P</w:t>
      </w:r>
      <w:r w:rsidRPr="00F82CDF">
        <w:rPr>
          <w:i/>
          <w:noProof/>
          <w:szCs w:val="22"/>
        </w:rPr>
        <w:t xml:space="preserve">erspective. </w:t>
      </w:r>
      <w:r w:rsidRPr="00F82CDF">
        <w:rPr>
          <w:noProof/>
          <w:szCs w:val="22"/>
        </w:rPr>
        <w:t>Amsterdam: John Benjamins, pp. 143-158.</w:t>
      </w:r>
    </w:p>
    <w:p w14:paraId="02960A02" w14:textId="77777777" w:rsidR="0032287B" w:rsidRPr="00F82CDF" w:rsidRDefault="0032287B" w:rsidP="00B44777">
      <w:pPr>
        <w:spacing w:before="100" w:beforeAutospacing="1" w:after="100" w:afterAutospacing="1" w:line="360" w:lineRule="auto"/>
        <w:ind w:left="720" w:hanging="720"/>
        <w:contextualSpacing/>
        <w:rPr>
          <w:rFonts w:cs="Times"/>
          <w:noProof/>
          <w:szCs w:val="22"/>
        </w:rPr>
      </w:pPr>
    </w:p>
    <w:p w14:paraId="35229B37" w14:textId="7275307E" w:rsidR="00B44777" w:rsidRPr="0032287B" w:rsidRDefault="0032287B" w:rsidP="00B44777">
      <w:pPr>
        <w:spacing w:before="100" w:beforeAutospacing="1" w:after="100" w:afterAutospacing="1" w:line="360" w:lineRule="auto"/>
        <w:ind w:left="720" w:hanging="720"/>
        <w:contextualSpacing/>
        <w:rPr>
          <w:noProof/>
          <w:szCs w:val="22"/>
        </w:rPr>
      </w:pPr>
      <w:r>
        <w:rPr>
          <w:noProof/>
          <w:szCs w:val="22"/>
        </w:rPr>
        <w:t>Louw, B. 1993. ‘Irony in the text or insincerity in the writer? The diagnostic potential of semantic p</w:t>
      </w:r>
      <w:r w:rsidRPr="00F82CDF">
        <w:rPr>
          <w:noProof/>
          <w:szCs w:val="22"/>
        </w:rPr>
        <w:t>rosodies</w:t>
      </w:r>
      <w:r>
        <w:rPr>
          <w:noProof/>
          <w:szCs w:val="22"/>
        </w:rPr>
        <w:t>.’</w:t>
      </w:r>
      <w:r w:rsidRPr="00F82CDF">
        <w:rPr>
          <w:noProof/>
          <w:szCs w:val="22"/>
        </w:rPr>
        <w:t xml:space="preserve"> </w:t>
      </w:r>
      <w:r w:rsidRPr="00F82CDF">
        <w:rPr>
          <w:i/>
          <w:iCs/>
          <w:noProof/>
          <w:szCs w:val="22"/>
        </w:rPr>
        <w:t>Text and Technology: In Honour of John Sinclair</w:t>
      </w:r>
      <w:r w:rsidRPr="00F82CDF">
        <w:rPr>
          <w:noProof/>
          <w:szCs w:val="22"/>
        </w:rPr>
        <w:t xml:space="preserve">. Amsterdam: John Benjamins, pp. 157-176.  </w:t>
      </w:r>
    </w:p>
    <w:p w14:paraId="1CD69D1D" w14:textId="77777777" w:rsidR="00B44777" w:rsidRDefault="00B44777" w:rsidP="00B44777">
      <w:pPr>
        <w:spacing w:before="100" w:beforeAutospacing="1" w:after="100" w:afterAutospacing="1" w:line="360" w:lineRule="auto"/>
        <w:ind w:left="720" w:hanging="720"/>
        <w:contextualSpacing/>
        <w:rPr>
          <w:rFonts w:cs="Times New Roman"/>
          <w:szCs w:val="22"/>
        </w:rPr>
      </w:pPr>
      <w:r w:rsidRPr="00F82CDF">
        <w:rPr>
          <w:rFonts w:cs="Times New Roman"/>
          <w:szCs w:val="22"/>
        </w:rPr>
        <w:t xml:space="preserve">Ortony, A. 1979. Metaphor: A multidimensional problem. In A. Ortony (Ed.), </w:t>
      </w:r>
      <w:r>
        <w:rPr>
          <w:rFonts w:cs="Times New Roman"/>
          <w:i/>
          <w:szCs w:val="22"/>
        </w:rPr>
        <w:t>Metaphor and T</w:t>
      </w:r>
      <w:r w:rsidRPr="00F82CDF">
        <w:rPr>
          <w:rFonts w:cs="Times New Roman"/>
          <w:i/>
          <w:szCs w:val="22"/>
        </w:rPr>
        <w:t>hought</w:t>
      </w:r>
      <w:r w:rsidRPr="00F82CDF">
        <w:rPr>
          <w:rFonts w:cs="Times New Roman"/>
          <w:szCs w:val="22"/>
        </w:rPr>
        <w:t>, pp. 1-16. Cambridge, England: Cambridge University</w:t>
      </w:r>
      <w:r>
        <w:rPr>
          <w:rFonts w:cs="Times New Roman"/>
          <w:szCs w:val="22"/>
        </w:rPr>
        <w:t xml:space="preserve"> </w:t>
      </w:r>
      <w:r w:rsidRPr="00F82CDF">
        <w:rPr>
          <w:rFonts w:cs="Times New Roman"/>
          <w:szCs w:val="22"/>
        </w:rPr>
        <w:t xml:space="preserve">Press. </w:t>
      </w:r>
    </w:p>
    <w:p w14:paraId="7B2541B5" w14:textId="77777777" w:rsidR="0032287B" w:rsidRPr="00F82CDF" w:rsidRDefault="0032287B" w:rsidP="0032287B">
      <w:pPr>
        <w:spacing w:before="100" w:beforeAutospacing="1" w:after="100" w:afterAutospacing="1" w:line="360" w:lineRule="auto"/>
        <w:ind w:left="720" w:hanging="720"/>
        <w:contextualSpacing/>
        <w:rPr>
          <w:noProof/>
          <w:szCs w:val="22"/>
        </w:rPr>
      </w:pPr>
      <w:r w:rsidRPr="00F82CDF">
        <w:rPr>
          <w:noProof/>
          <w:szCs w:val="22"/>
        </w:rPr>
        <w:t xml:space="preserve">Partington, A. 2006. ‘Metaphors, motifs and similes </w:t>
      </w:r>
      <w:r>
        <w:rPr>
          <w:noProof/>
          <w:szCs w:val="22"/>
        </w:rPr>
        <w:t>across discourse types: Corpus-assisted discourse s</w:t>
      </w:r>
      <w:r w:rsidRPr="00F82CDF">
        <w:rPr>
          <w:noProof/>
          <w:szCs w:val="22"/>
        </w:rPr>
        <w:t xml:space="preserve">tudies (CADS) at work’. In: A. Stefanowitsch &amp; S. Gries (eds.) </w:t>
      </w:r>
      <w:r w:rsidRPr="00F82CDF">
        <w:rPr>
          <w:i/>
          <w:noProof/>
          <w:szCs w:val="22"/>
        </w:rPr>
        <w:t>Corpus-Based Approaches to Metaphor and Metonymy</w:t>
      </w:r>
      <w:r w:rsidRPr="00F82CDF">
        <w:rPr>
          <w:noProof/>
          <w:szCs w:val="22"/>
        </w:rPr>
        <w:t>. Berlin: Mouton de Gruyter, pp. 267-304.</w:t>
      </w:r>
    </w:p>
    <w:p w14:paraId="510AA80C" w14:textId="7E7BE7B6" w:rsidR="0032287B" w:rsidRPr="00F82CDF" w:rsidRDefault="00B44777" w:rsidP="00B44777">
      <w:pPr>
        <w:spacing w:before="100" w:beforeAutospacing="1" w:after="100" w:afterAutospacing="1" w:line="360" w:lineRule="auto"/>
        <w:ind w:left="720" w:hanging="720"/>
        <w:contextualSpacing/>
        <w:rPr>
          <w:rFonts w:cs="Arial"/>
          <w:noProof/>
          <w:szCs w:val="22"/>
        </w:rPr>
      </w:pPr>
      <w:r w:rsidRPr="00F82CDF">
        <w:rPr>
          <w:noProof/>
          <w:szCs w:val="22"/>
        </w:rPr>
        <w:t>Patterson, K.</w:t>
      </w:r>
      <w:r>
        <w:rPr>
          <w:noProof/>
          <w:szCs w:val="22"/>
        </w:rPr>
        <w:t>,</w:t>
      </w:r>
      <w:r w:rsidRPr="00F82CDF">
        <w:rPr>
          <w:noProof/>
          <w:szCs w:val="22"/>
        </w:rPr>
        <w:t xml:space="preserve"> J. 2014. ‘</w:t>
      </w:r>
      <w:r w:rsidRPr="00F82CDF">
        <w:rPr>
          <w:rFonts w:cs="Arial"/>
          <w:noProof/>
          <w:szCs w:val="22"/>
        </w:rPr>
        <w:t xml:space="preserve">The analysis of metaphor: To what extent can the theory of lexical priming help our understanding of metaphor usage and comprehension?’ </w:t>
      </w:r>
      <w:r w:rsidRPr="00F82CDF">
        <w:rPr>
          <w:rFonts w:cs="Arial"/>
          <w:i/>
          <w:iCs/>
          <w:noProof/>
          <w:szCs w:val="22"/>
        </w:rPr>
        <w:t>Journal of Psycholinguistic Research</w:t>
      </w:r>
      <w:r w:rsidRPr="00F82CDF">
        <w:rPr>
          <w:rFonts w:cs="Arial"/>
          <w:noProof/>
          <w:szCs w:val="22"/>
        </w:rPr>
        <w:t>. (online) DOI 10.1007/s10936-014-9343-1.</w:t>
      </w:r>
    </w:p>
    <w:p w14:paraId="0BBD4924" w14:textId="5030E2DC" w:rsidR="00B44777" w:rsidRDefault="00B44777" w:rsidP="00B44777">
      <w:pPr>
        <w:spacing w:before="100" w:beforeAutospacing="1" w:after="100" w:afterAutospacing="1" w:line="360" w:lineRule="auto"/>
        <w:ind w:left="720" w:hanging="720"/>
        <w:contextualSpacing/>
        <w:rPr>
          <w:noProof/>
          <w:szCs w:val="22"/>
        </w:rPr>
      </w:pPr>
      <w:r w:rsidRPr="00F82CDF">
        <w:rPr>
          <w:rFonts w:cs="Arial"/>
          <w:noProof/>
          <w:szCs w:val="22"/>
        </w:rPr>
        <w:t>Patterson, K.</w:t>
      </w:r>
      <w:r>
        <w:rPr>
          <w:rFonts w:cs="Arial"/>
          <w:noProof/>
          <w:szCs w:val="22"/>
        </w:rPr>
        <w:t>,</w:t>
      </w:r>
      <w:r w:rsidRPr="00F82CDF">
        <w:rPr>
          <w:rFonts w:cs="Arial"/>
          <w:noProof/>
          <w:szCs w:val="22"/>
        </w:rPr>
        <w:t xml:space="preserve"> J. 2015. </w:t>
      </w:r>
      <w:r w:rsidRPr="00F82CDF">
        <w:rPr>
          <w:rFonts w:cs="Helvetica"/>
          <w:noProof/>
          <w:szCs w:val="22"/>
        </w:rPr>
        <w:t>'The confinements of 'metaphor</w:t>
      </w:r>
      <w:r>
        <w:rPr>
          <w:rFonts w:cs="Helvetica"/>
          <w:noProof/>
          <w:szCs w:val="22"/>
        </w:rPr>
        <w:t>’</w:t>
      </w:r>
      <w:r w:rsidRPr="00F82CDF">
        <w:rPr>
          <w:rFonts w:cs="Helvetica"/>
          <w:noProof/>
          <w:szCs w:val="22"/>
        </w:rPr>
        <w:t xml:space="preserve"> - Putting functionality and meaning before definition in the case of metaphor'. </w:t>
      </w:r>
      <w:r w:rsidRPr="00F82CDF">
        <w:rPr>
          <w:rFonts w:cs="Helvetica"/>
          <w:i/>
          <w:iCs/>
          <w:noProof/>
          <w:szCs w:val="22"/>
        </w:rPr>
        <w:t>Globe: A Journal of Language, Culture and Communication</w:t>
      </w:r>
      <w:r w:rsidRPr="00F82CDF">
        <w:rPr>
          <w:rFonts w:cs="Helvetica"/>
          <w:noProof/>
          <w:szCs w:val="22"/>
        </w:rPr>
        <w:t>, 2, pp. 1-22</w:t>
      </w:r>
    </w:p>
    <w:p w14:paraId="41EF7536" w14:textId="11ADB622" w:rsidR="00B44777" w:rsidRPr="0032287B" w:rsidRDefault="0032287B" w:rsidP="0032287B">
      <w:pPr>
        <w:widowControl w:val="0"/>
        <w:autoSpaceDE w:val="0"/>
        <w:autoSpaceDN w:val="0"/>
        <w:adjustRightInd w:val="0"/>
        <w:spacing w:before="100" w:beforeAutospacing="1" w:after="100" w:afterAutospacing="1" w:line="360" w:lineRule="auto"/>
        <w:ind w:left="720" w:hanging="720"/>
        <w:contextualSpacing/>
        <w:rPr>
          <w:rFonts w:cs="Arial"/>
          <w:noProof/>
          <w:szCs w:val="22"/>
          <w:u w:val="single"/>
        </w:rPr>
      </w:pPr>
      <w:r w:rsidRPr="00F82CDF">
        <w:rPr>
          <w:rFonts w:cs="Times-Roman"/>
          <w:noProof/>
          <w:szCs w:val="22"/>
          <w:lang w:bidi="en-US"/>
        </w:rPr>
        <w:t>Philip, G. 2010. ‘</w:t>
      </w:r>
      <w:r w:rsidRPr="00F82CDF">
        <w:rPr>
          <w:rFonts w:cs="TimesNewRomanPSMT"/>
          <w:bCs/>
          <w:noProof/>
          <w:szCs w:val="22"/>
          <w:lang w:bidi="en-US"/>
        </w:rPr>
        <w:t>Why prosodies aren’t always present</w:t>
      </w:r>
      <w:r>
        <w:rPr>
          <w:rFonts w:cs="TimesNewRomanPSMT"/>
          <w:bCs/>
          <w:noProof/>
          <w:szCs w:val="22"/>
          <w:lang w:bidi="en-US"/>
        </w:rPr>
        <w:t>: I</w:t>
      </w:r>
      <w:r w:rsidRPr="00F82CDF">
        <w:rPr>
          <w:rFonts w:cs="TimesNewRomanPSMT"/>
          <w:bCs/>
          <w:noProof/>
          <w:szCs w:val="22"/>
          <w:lang w:bidi="en-US"/>
        </w:rPr>
        <w:t>nsights into the idiom principle’</w:t>
      </w:r>
      <w:r w:rsidRPr="00F82CDF">
        <w:rPr>
          <w:rFonts w:cs="Arial"/>
          <w:bCs/>
          <w:noProof/>
          <w:szCs w:val="22"/>
        </w:rPr>
        <w:t xml:space="preserve">. </w:t>
      </w:r>
      <w:r w:rsidRPr="00F82CDF">
        <w:rPr>
          <w:rFonts w:cs="Arial"/>
          <w:noProof/>
          <w:szCs w:val="22"/>
        </w:rPr>
        <w:t xml:space="preserve">In: M. Mahlberg, V. González-Díaz, and C. Smith (eds.), </w:t>
      </w:r>
      <w:r w:rsidRPr="00F82CDF">
        <w:rPr>
          <w:rFonts w:cs="Arial"/>
          <w:i/>
          <w:iCs/>
          <w:noProof/>
          <w:szCs w:val="22"/>
        </w:rPr>
        <w:t xml:space="preserve">Proceedings of the Corpus Linguistics Conference CL2009. </w:t>
      </w:r>
      <w:r w:rsidRPr="00F82CDF">
        <w:rPr>
          <w:rFonts w:cs="Arial"/>
          <w:noProof/>
          <w:szCs w:val="22"/>
        </w:rPr>
        <w:t>Liverpool: University of Liverpool. Disponible sur&lt;</w:t>
      </w:r>
      <w:r w:rsidRPr="00F82CDF">
        <w:rPr>
          <w:rFonts w:cs="Arial"/>
          <w:noProof/>
          <w:szCs w:val="22"/>
          <w:u w:val="single"/>
        </w:rPr>
        <w:t xml:space="preserve"> </w:t>
      </w:r>
      <w:hyperlink r:id="rId18" w:history="1">
        <w:r w:rsidRPr="00F82CDF">
          <w:rPr>
            <w:rFonts w:cs="Arial"/>
            <w:noProof/>
            <w:szCs w:val="22"/>
            <w:u w:val="single" w:color="0A5199"/>
          </w:rPr>
          <w:t>http://ucrel.lancs.ac.uk/publications/CL2009/317FullPaper.rtf</w:t>
        </w:r>
      </w:hyperlink>
      <w:r w:rsidRPr="00F82CDF">
        <w:rPr>
          <w:rFonts w:cs="Arial"/>
          <w:noProof/>
          <w:szCs w:val="22"/>
          <w:u w:val="single"/>
        </w:rPr>
        <w:t>&gt;</w:t>
      </w:r>
    </w:p>
    <w:p w14:paraId="0344B645" w14:textId="33C7C3C2" w:rsidR="00B44777" w:rsidRDefault="00B44777" w:rsidP="00B44777">
      <w:pPr>
        <w:spacing w:before="100" w:beforeAutospacing="1" w:after="100" w:afterAutospacing="1" w:line="360" w:lineRule="auto"/>
        <w:ind w:left="720" w:hanging="720"/>
        <w:contextualSpacing/>
        <w:rPr>
          <w:noProof/>
          <w:szCs w:val="22"/>
        </w:rPr>
      </w:pPr>
      <w:r>
        <w:rPr>
          <w:noProof/>
          <w:szCs w:val="22"/>
        </w:rPr>
        <w:t>Philip,</w:t>
      </w:r>
      <w:r w:rsidRPr="00F82CDF">
        <w:rPr>
          <w:noProof/>
          <w:szCs w:val="22"/>
        </w:rPr>
        <w:t xml:space="preserve"> G. 2011. </w:t>
      </w:r>
      <w:r w:rsidRPr="00F82CDF">
        <w:rPr>
          <w:i/>
          <w:noProof/>
          <w:szCs w:val="22"/>
        </w:rPr>
        <w:t xml:space="preserve">Colouring Meaning: Collocation and Connotation in Figurative Language. </w:t>
      </w:r>
      <w:r w:rsidRPr="00F82CDF">
        <w:rPr>
          <w:noProof/>
          <w:szCs w:val="22"/>
        </w:rPr>
        <w:t>Amsterdam: John Benjamins.</w:t>
      </w:r>
    </w:p>
    <w:p w14:paraId="551C9F8F" w14:textId="46221E45" w:rsidR="00B44777" w:rsidRDefault="00B44777" w:rsidP="00B44777">
      <w:pPr>
        <w:spacing w:before="100" w:beforeAutospacing="1" w:after="100" w:afterAutospacing="1" w:line="360" w:lineRule="auto"/>
        <w:ind w:left="720" w:hanging="720"/>
        <w:contextualSpacing/>
        <w:rPr>
          <w:rFonts w:cs="Arial"/>
          <w:szCs w:val="22"/>
        </w:rPr>
      </w:pPr>
      <w:r w:rsidRPr="00F82CDF">
        <w:rPr>
          <w:noProof/>
          <w:szCs w:val="22"/>
        </w:rPr>
        <w:t>Scott, M. 200</w:t>
      </w:r>
      <w:r w:rsidRPr="00F82CDF">
        <w:rPr>
          <w:rFonts w:cs="Arial"/>
          <w:szCs w:val="22"/>
        </w:rPr>
        <w:t xml:space="preserve">8, </w:t>
      </w:r>
      <w:r w:rsidRPr="00F82CDF">
        <w:rPr>
          <w:rFonts w:cs="Arial"/>
          <w:i/>
          <w:szCs w:val="22"/>
        </w:rPr>
        <w:t>WordSmith Tools, Version 5</w:t>
      </w:r>
      <w:r w:rsidRPr="00F82CDF">
        <w:rPr>
          <w:rFonts w:cs="Arial"/>
          <w:szCs w:val="22"/>
        </w:rPr>
        <w:t>. Liverpool: Lexical Analysis Software.</w:t>
      </w:r>
    </w:p>
    <w:p w14:paraId="0D110DFB" w14:textId="77777777" w:rsidR="0032287B" w:rsidRPr="00F82CDF" w:rsidRDefault="0032287B" w:rsidP="0032287B">
      <w:pPr>
        <w:spacing w:before="100" w:beforeAutospacing="1" w:after="100" w:afterAutospacing="1" w:line="360" w:lineRule="auto"/>
        <w:ind w:left="720" w:hanging="720"/>
        <w:contextualSpacing/>
        <w:rPr>
          <w:rFonts w:cs="Times New Roman"/>
          <w:szCs w:val="22"/>
        </w:rPr>
      </w:pPr>
      <w:r w:rsidRPr="00F82CDF">
        <w:rPr>
          <w:rFonts w:cs="Times New Roman"/>
          <w:szCs w:val="22"/>
        </w:rPr>
        <w:t>Searle, J.</w:t>
      </w:r>
      <w:r>
        <w:rPr>
          <w:rFonts w:cs="Times New Roman"/>
          <w:szCs w:val="22"/>
        </w:rPr>
        <w:t xml:space="preserve">, </w:t>
      </w:r>
      <w:r w:rsidRPr="00F82CDF">
        <w:rPr>
          <w:rFonts w:cs="Times New Roman"/>
          <w:szCs w:val="22"/>
        </w:rPr>
        <w:t xml:space="preserve">R. 1979. </w:t>
      </w:r>
      <w:r>
        <w:rPr>
          <w:rFonts w:cs="Times New Roman"/>
          <w:i/>
          <w:iCs/>
          <w:szCs w:val="22"/>
        </w:rPr>
        <w:t>Expression and M</w:t>
      </w:r>
      <w:r w:rsidRPr="00F82CDF">
        <w:rPr>
          <w:rFonts w:cs="Times New Roman"/>
          <w:i/>
          <w:iCs/>
          <w:szCs w:val="22"/>
        </w:rPr>
        <w:t xml:space="preserve">eaning. </w:t>
      </w:r>
      <w:r>
        <w:rPr>
          <w:rFonts w:cs="Times New Roman"/>
          <w:szCs w:val="22"/>
        </w:rPr>
        <w:t>Cambridge University Press:</w:t>
      </w:r>
      <w:r w:rsidRPr="00F82CDF">
        <w:rPr>
          <w:rFonts w:cs="Times New Roman"/>
          <w:szCs w:val="22"/>
        </w:rPr>
        <w:t xml:space="preserve"> Cambridge. </w:t>
      </w:r>
    </w:p>
    <w:p w14:paraId="5FA9EEBA" w14:textId="3AE167AE" w:rsidR="0032287B" w:rsidRPr="00992DDD" w:rsidRDefault="0032287B" w:rsidP="00B44777">
      <w:pPr>
        <w:spacing w:before="100" w:beforeAutospacing="1" w:after="100" w:afterAutospacing="1" w:line="360" w:lineRule="auto"/>
        <w:ind w:left="720" w:hanging="720"/>
        <w:contextualSpacing/>
        <w:rPr>
          <w:rFonts w:cs="Arial"/>
          <w:noProof/>
          <w:szCs w:val="22"/>
        </w:rPr>
      </w:pPr>
      <w:r>
        <w:rPr>
          <w:noProof/>
          <w:szCs w:val="22"/>
        </w:rPr>
        <w:t>Semino, E. 2006</w:t>
      </w:r>
      <w:r w:rsidRPr="00F82CDF">
        <w:rPr>
          <w:noProof/>
          <w:szCs w:val="22"/>
        </w:rPr>
        <w:t>.</w:t>
      </w:r>
      <w:r w:rsidRPr="00F82CDF">
        <w:rPr>
          <w:rFonts w:cs="Arial"/>
          <w:noProof/>
          <w:szCs w:val="22"/>
        </w:rPr>
        <w:t xml:space="preserve"> </w:t>
      </w:r>
      <w:r w:rsidRPr="00F82CDF">
        <w:rPr>
          <w:rFonts w:cs="Arial"/>
          <w:i/>
          <w:noProof/>
          <w:szCs w:val="22"/>
        </w:rPr>
        <w:t>‘</w:t>
      </w:r>
      <w:r>
        <w:rPr>
          <w:rFonts w:cs="Arial"/>
          <w:iCs/>
          <w:noProof/>
          <w:szCs w:val="22"/>
        </w:rPr>
        <w:t>Corpora in c</w:t>
      </w:r>
      <w:r w:rsidRPr="007B1B0B">
        <w:rPr>
          <w:rFonts w:cs="Arial"/>
          <w:iCs/>
          <w:noProof/>
          <w:szCs w:val="22"/>
        </w:rPr>
        <w:t>ognitiv</w:t>
      </w:r>
      <w:r>
        <w:rPr>
          <w:rFonts w:cs="Arial"/>
          <w:iCs/>
          <w:noProof/>
          <w:szCs w:val="22"/>
        </w:rPr>
        <w:t>e linguistics: Conceptual m</w:t>
      </w:r>
      <w:r w:rsidRPr="007B1B0B">
        <w:rPr>
          <w:rFonts w:cs="Arial"/>
          <w:iCs/>
          <w:noProof/>
          <w:szCs w:val="22"/>
        </w:rPr>
        <w:t>etaphors’</w:t>
      </w:r>
      <w:r w:rsidRPr="00F82CDF">
        <w:rPr>
          <w:rFonts w:cs="Arial"/>
          <w:i/>
          <w:iCs/>
          <w:noProof/>
          <w:szCs w:val="22"/>
        </w:rPr>
        <w:t>.</w:t>
      </w:r>
      <w:r w:rsidRPr="00F82CDF">
        <w:rPr>
          <w:rFonts w:cs="Arial"/>
          <w:noProof/>
          <w:szCs w:val="22"/>
        </w:rPr>
        <w:t xml:space="preserve"> In: A. Stefanowitsch and S. Gries (eds.).</w:t>
      </w:r>
      <w:r w:rsidRPr="00F82CDF">
        <w:rPr>
          <w:i/>
          <w:noProof/>
          <w:szCs w:val="22"/>
        </w:rPr>
        <w:t xml:space="preserve"> Corpus-Based Approaches to Metaphor and Metonymy</w:t>
      </w:r>
      <w:r w:rsidRPr="00F82CDF">
        <w:rPr>
          <w:noProof/>
          <w:szCs w:val="22"/>
        </w:rPr>
        <w:t>.</w:t>
      </w:r>
      <w:r w:rsidRPr="00F82CDF">
        <w:rPr>
          <w:rFonts w:cs="Arial"/>
          <w:noProof/>
          <w:szCs w:val="22"/>
        </w:rPr>
        <w:t xml:space="preserve"> Amsterdam: John Benjamins, pp. 35-60.</w:t>
      </w:r>
    </w:p>
    <w:p w14:paraId="65E2782C" w14:textId="5F56AE1E" w:rsidR="00B44777" w:rsidRDefault="00B44777" w:rsidP="00B44777">
      <w:pPr>
        <w:spacing w:before="100" w:beforeAutospacing="1" w:after="100" w:afterAutospacing="1" w:line="360" w:lineRule="auto"/>
        <w:ind w:left="720" w:hanging="720"/>
        <w:contextualSpacing/>
        <w:rPr>
          <w:noProof/>
          <w:szCs w:val="22"/>
        </w:rPr>
      </w:pPr>
      <w:r w:rsidRPr="00F82CDF">
        <w:rPr>
          <w:noProof/>
          <w:szCs w:val="22"/>
        </w:rPr>
        <w:t xml:space="preserve">Sinclair, J. 1991. </w:t>
      </w:r>
      <w:r w:rsidRPr="00F82CDF">
        <w:rPr>
          <w:i/>
          <w:noProof/>
          <w:szCs w:val="22"/>
        </w:rPr>
        <w:t>Corpus, Concordance, Collocation</w:t>
      </w:r>
      <w:r w:rsidRPr="00F82CDF">
        <w:rPr>
          <w:noProof/>
          <w:szCs w:val="22"/>
        </w:rPr>
        <w:t>. Oxford: Oxford University Press.</w:t>
      </w:r>
    </w:p>
    <w:p w14:paraId="00FC7658" w14:textId="50265B8B" w:rsidR="00856E13" w:rsidRDefault="00B44777" w:rsidP="0032287B">
      <w:pPr>
        <w:spacing w:before="100" w:beforeAutospacing="1" w:after="100" w:afterAutospacing="1" w:line="360" w:lineRule="auto"/>
        <w:ind w:left="720" w:hanging="720"/>
        <w:contextualSpacing/>
        <w:rPr>
          <w:noProof/>
          <w:szCs w:val="22"/>
        </w:rPr>
      </w:pPr>
      <w:r w:rsidRPr="00F82CDF">
        <w:rPr>
          <w:noProof/>
          <w:szCs w:val="22"/>
        </w:rPr>
        <w:t>Ts</w:t>
      </w:r>
      <w:r>
        <w:rPr>
          <w:noProof/>
          <w:szCs w:val="22"/>
        </w:rPr>
        <w:t>iamita, F. 2009. ‘Polysemy and lexical p</w:t>
      </w:r>
      <w:r w:rsidRPr="00F82CDF">
        <w:rPr>
          <w:noProof/>
          <w:szCs w:val="22"/>
        </w:rPr>
        <w:t xml:space="preserve">riming: the case of </w:t>
      </w:r>
      <w:r w:rsidRPr="00F82CDF">
        <w:rPr>
          <w:i/>
          <w:noProof/>
          <w:szCs w:val="22"/>
        </w:rPr>
        <w:t xml:space="preserve">drive’. </w:t>
      </w:r>
      <w:r w:rsidRPr="00F82CDF">
        <w:rPr>
          <w:noProof/>
          <w:szCs w:val="22"/>
        </w:rPr>
        <w:t xml:space="preserve">In: U. Romer and R. Schulze (eds.), </w:t>
      </w:r>
      <w:r w:rsidRPr="00F82CDF">
        <w:rPr>
          <w:i/>
          <w:noProof/>
          <w:szCs w:val="22"/>
        </w:rPr>
        <w:t>Exploring the Lexis-Grammar Interface.</w:t>
      </w:r>
      <w:r w:rsidRPr="00F82CDF">
        <w:rPr>
          <w:noProof/>
          <w:szCs w:val="22"/>
        </w:rPr>
        <w:t xml:space="preserve"> Amsterdam: John Benjamins, pp. 247-264.</w:t>
      </w:r>
    </w:p>
    <w:p w14:paraId="7D055772" w14:textId="77777777" w:rsidR="0032287B" w:rsidRPr="00F82CDF" w:rsidRDefault="0032287B" w:rsidP="0032287B">
      <w:pPr>
        <w:spacing w:before="100" w:beforeAutospacing="1" w:after="100" w:afterAutospacing="1" w:line="360" w:lineRule="auto"/>
        <w:ind w:left="720" w:hanging="720"/>
        <w:contextualSpacing/>
        <w:rPr>
          <w:noProof/>
          <w:kern w:val="2"/>
          <w:szCs w:val="22"/>
          <w:lang w:eastAsia="hi-IN"/>
        </w:rPr>
      </w:pPr>
      <w:r w:rsidRPr="00F82CDF">
        <w:rPr>
          <w:noProof/>
          <w:kern w:val="2"/>
          <w:szCs w:val="22"/>
          <w:lang w:eastAsia="hi-IN"/>
        </w:rPr>
        <w:t xml:space="preserve">Wittgenstein, Ludwig. [1922]. 1981. </w:t>
      </w:r>
      <w:r w:rsidRPr="00F82CDF">
        <w:rPr>
          <w:i/>
          <w:noProof/>
          <w:kern w:val="2"/>
          <w:szCs w:val="22"/>
          <w:lang w:eastAsia="hi-IN"/>
        </w:rPr>
        <w:t>Tractatus Logico-Philosophicus,</w:t>
      </w:r>
      <w:r w:rsidRPr="00F82CDF">
        <w:rPr>
          <w:noProof/>
          <w:kern w:val="2"/>
          <w:szCs w:val="22"/>
          <w:lang w:eastAsia="hi-IN"/>
        </w:rPr>
        <w:t xml:space="preserve"> trans. C. K. Ogden. London: Routledge.</w:t>
      </w:r>
    </w:p>
    <w:p w14:paraId="6A92C427" w14:textId="77777777" w:rsidR="0032287B" w:rsidRPr="0032287B" w:rsidRDefault="0032287B" w:rsidP="0032287B">
      <w:pPr>
        <w:spacing w:before="100" w:beforeAutospacing="1" w:after="100" w:afterAutospacing="1" w:line="360" w:lineRule="auto"/>
        <w:ind w:left="720" w:hanging="720"/>
        <w:contextualSpacing/>
        <w:rPr>
          <w:noProof/>
          <w:szCs w:val="22"/>
        </w:rPr>
      </w:pPr>
    </w:p>
    <w:sectPr w:rsidR="0032287B" w:rsidRPr="0032287B" w:rsidSect="00F14EE1">
      <w:footerReference w:type="even" r:id="rId19"/>
      <w:footerReference w:type="defaul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29E2D" w14:textId="77777777" w:rsidR="00B44777" w:rsidRDefault="00B44777" w:rsidP="003B5EFE">
      <w:pPr>
        <w:spacing w:line="240" w:lineRule="auto"/>
      </w:pPr>
      <w:r>
        <w:separator/>
      </w:r>
    </w:p>
  </w:endnote>
  <w:endnote w:type="continuationSeparator" w:id="0">
    <w:p w14:paraId="1C96A033" w14:textId="77777777" w:rsidR="00B44777" w:rsidRDefault="00B44777" w:rsidP="003B5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SimSun">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Roman">
    <w:charset w:val="00"/>
    <w:family w:val="auto"/>
    <w:pitch w:val="variable"/>
    <w:sig w:usb0="00000003" w:usb1="00000000" w:usb2="00000000" w:usb3="00000000" w:csb0="00000001" w:csb1="00000000"/>
  </w:font>
  <w:font w:name="TimesNewRomanPSMT">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5600" w14:textId="77777777" w:rsidR="00B44777" w:rsidRDefault="00B44777" w:rsidP="00B44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E249D" w14:textId="77777777" w:rsidR="00B44777" w:rsidRDefault="00B44777" w:rsidP="00856E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E302D" w14:textId="77777777" w:rsidR="00B44777" w:rsidRDefault="00B44777" w:rsidP="00B44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6D3">
      <w:rPr>
        <w:rStyle w:val="PageNumber"/>
        <w:noProof/>
      </w:rPr>
      <w:t>1</w:t>
    </w:r>
    <w:r>
      <w:rPr>
        <w:rStyle w:val="PageNumber"/>
      </w:rPr>
      <w:fldChar w:fldCharType="end"/>
    </w:r>
  </w:p>
  <w:p w14:paraId="07EE45F3" w14:textId="77777777" w:rsidR="00B44777" w:rsidRDefault="00B44777" w:rsidP="00856E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CF7B6" w14:textId="77777777" w:rsidR="00B44777" w:rsidRDefault="00B44777" w:rsidP="003B5EFE">
      <w:pPr>
        <w:spacing w:line="240" w:lineRule="auto"/>
      </w:pPr>
      <w:r>
        <w:separator/>
      </w:r>
    </w:p>
  </w:footnote>
  <w:footnote w:type="continuationSeparator" w:id="0">
    <w:p w14:paraId="272F33DE" w14:textId="77777777" w:rsidR="00B44777" w:rsidRDefault="00B44777" w:rsidP="003B5EFE">
      <w:pPr>
        <w:spacing w:line="240" w:lineRule="auto"/>
      </w:pPr>
      <w:r>
        <w:continuationSeparator/>
      </w:r>
    </w:p>
  </w:footnote>
  <w:footnote w:id="1">
    <w:p w14:paraId="5E91A984" w14:textId="77777777" w:rsidR="00B44777" w:rsidRPr="00196544" w:rsidRDefault="00B44777" w:rsidP="003B5EFE">
      <w:pPr>
        <w:pStyle w:val="FootnoteText"/>
      </w:pPr>
      <w:r w:rsidRPr="00196544">
        <w:rPr>
          <w:rStyle w:val="FootnoteReference"/>
        </w:rPr>
        <w:footnoteRef/>
      </w:r>
      <w:r w:rsidRPr="00196544">
        <w:t xml:space="preserve"> The </w:t>
      </w:r>
      <w:r w:rsidRPr="000D2748">
        <w:t xml:space="preserve">name Drinking Problem Hypothesis comes from a scene in the 1980 film </w:t>
      </w:r>
      <w:r w:rsidRPr="000D2748">
        <w:rPr>
          <w:i/>
        </w:rPr>
        <w:t>Airplane</w:t>
      </w:r>
      <w:r>
        <w:t xml:space="preserve">! </w:t>
      </w:r>
      <w:r w:rsidRPr="000D2748">
        <w:t xml:space="preserve">outlined in Hoey (2005), </w:t>
      </w:r>
      <w:r w:rsidRPr="000D2748">
        <w:rPr>
          <w:u w:color="000000"/>
          <w:lang w:val="en-US"/>
        </w:rPr>
        <w:t>in which the phrase 'drinking problem' is used humorously to refer to the difficulty a man has in getting liquid to his mouth.</w:t>
      </w:r>
    </w:p>
  </w:footnote>
  <w:footnote w:id="2">
    <w:p w14:paraId="152118ED" w14:textId="77777777" w:rsidR="00B44777" w:rsidRPr="00906043" w:rsidRDefault="00B44777" w:rsidP="003B5EFE">
      <w:pPr>
        <w:pStyle w:val="FootnoteText"/>
        <w:rPr>
          <w:lang w:val="en-US"/>
        </w:rPr>
      </w:pPr>
      <w:r w:rsidRPr="00906043">
        <w:rPr>
          <w:rStyle w:val="FootnoteReference"/>
        </w:rPr>
        <w:footnoteRef/>
      </w:r>
      <w:r w:rsidRPr="00906043">
        <w:t xml:space="preserve"> </w:t>
      </w:r>
      <w:r>
        <w:rPr>
          <w:lang w:val="en-US"/>
        </w:rPr>
        <w:t>Hoey notes that lexical priming is a property of the person, not the word</w:t>
      </w:r>
      <w:r w:rsidRPr="00906043">
        <w:rPr>
          <w:lang w:val="en-US"/>
        </w:rPr>
        <w:t>. When talking of word</w:t>
      </w:r>
      <w:r>
        <w:rPr>
          <w:lang w:val="en-US"/>
        </w:rPr>
        <w:t>s being primed to collocate, this is short hand for saying that most speakers are primed</w:t>
      </w:r>
      <w:r w:rsidRPr="00906043">
        <w:rPr>
          <w:lang w:val="en-US"/>
        </w:rPr>
        <w:t xml:space="preserve"> </w:t>
      </w:r>
      <w:r>
        <w:rPr>
          <w:lang w:val="en-US"/>
        </w:rPr>
        <w:t>for the words to collocate.</w:t>
      </w:r>
    </w:p>
  </w:footnote>
  <w:footnote w:id="3">
    <w:p w14:paraId="2848F53B" w14:textId="77777777" w:rsidR="00B44777" w:rsidRPr="00DB39A0" w:rsidRDefault="00B44777" w:rsidP="00A55A76">
      <w:pPr>
        <w:pStyle w:val="FootnoteText"/>
        <w:rPr>
          <w:lang w:val="en-US"/>
        </w:rPr>
      </w:pPr>
      <w:r>
        <w:rPr>
          <w:rStyle w:val="FootnoteReference"/>
        </w:rPr>
        <w:footnoteRef/>
      </w:r>
      <w:r>
        <w:t xml:space="preserve"> </w:t>
      </w:r>
      <w:hyperlink r:id="rId1" w:history="1">
        <w:r w:rsidRPr="00217F64">
          <w:rPr>
            <w:rStyle w:val="Hyperlink"/>
            <w:lang w:val="en-US"/>
          </w:rPr>
          <w:t>www.lexically.net/downloads/version5/HTML/index.html?keywords_info.htm</w:t>
        </w:r>
      </w:hyperlink>
      <w:r>
        <w:rPr>
          <w:lang w:val="en-US"/>
        </w:rPr>
        <w:t xml:space="preserve"> </w:t>
      </w:r>
    </w:p>
  </w:footnote>
  <w:footnote w:id="4">
    <w:p w14:paraId="4FC30E13" w14:textId="25AB24FB" w:rsidR="00B44777" w:rsidRPr="0005702D" w:rsidRDefault="00B44777" w:rsidP="00A55A76">
      <w:pPr>
        <w:pStyle w:val="FootnoteText"/>
        <w:rPr>
          <w:lang w:val="en-US"/>
        </w:rPr>
      </w:pPr>
      <w:r>
        <w:rPr>
          <w:rStyle w:val="FootnoteReference"/>
        </w:rPr>
        <w:footnoteRef/>
      </w:r>
      <w:r>
        <w:t xml:space="preserve"> </w:t>
      </w:r>
      <w:r>
        <w:rPr>
          <w:lang w:val="en-US"/>
        </w:rPr>
        <w:t>A fun</w:t>
      </w:r>
      <w:r w:rsidR="0032287B">
        <w:rPr>
          <w:lang w:val="en-US"/>
        </w:rPr>
        <w:t>ction of Wordsmith5 (Scott, 2008</w:t>
      </w:r>
      <w:r>
        <w:rPr>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F03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5909D8C"/>
    <w:lvl w:ilvl="0">
      <w:start w:val="1"/>
      <w:numFmt w:val="decimal"/>
      <w:lvlText w:val="%1."/>
      <w:lvlJc w:val="left"/>
      <w:pPr>
        <w:tabs>
          <w:tab w:val="num" w:pos="1492"/>
        </w:tabs>
        <w:ind w:left="1492" w:hanging="360"/>
      </w:pPr>
    </w:lvl>
  </w:abstractNum>
  <w:abstractNum w:abstractNumId="2">
    <w:nsid w:val="FFFFFF7D"/>
    <w:multiLevelType w:val="singleLevel"/>
    <w:tmpl w:val="5D8AE334"/>
    <w:lvl w:ilvl="0">
      <w:start w:val="1"/>
      <w:numFmt w:val="decimal"/>
      <w:lvlText w:val="%1."/>
      <w:lvlJc w:val="left"/>
      <w:pPr>
        <w:tabs>
          <w:tab w:val="num" w:pos="1209"/>
        </w:tabs>
        <w:ind w:left="1209" w:hanging="360"/>
      </w:pPr>
    </w:lvl>
  </w:abstractNum>
  <w:abstractNum w:abstractNumId="3">
    <w:nsid w:val="FFFFFF7E"/>
    <w:multiLevelType w:val="singleLevel"/>
    <w:tmpl w:val="DFD80244"/>
    <w:lvl w:ilvl="0">
      <w:start w:val="1"/>
      <w:numFmt w:val="decimal"/>
      <w:lvlText w:val="%1."/>
      <w:lvlJc w:val="left"/>
      <w:pPr>
        <w:tabs>
          <w:tab w:val="num" w:pos="926"/>
        </w:tabs>
        <w:ind w:left="926" w:hanging="360"/>
      </w:pPr>
    </w:lvl>
  </w:abstractNum>
  <w:abstractNum w:abstractNumId="4">
    <w:nsid w:val="FFFFFF7F"/>
    <w:multiLevelType w:val="singleLevel"/>
    <w:tmpl w:val="F8AC83E8"/>
    <w:lvl w:ilvl="0">
      <w:start w:val="1"/>
      <w:numFmt w:val="decimal"/>
      <w:lvlText w:val="%1."/>
      <w:lvlJc w:val="left"/>
      <w:pPr>
        <w:tabs>
          <w:tab w:val="num" w:pos="643"/>
        </w:tabs>
        <w:ind w:left="643" w:hanging="360"/>
      </w:pPr>
    </w:lvl>
  </w:abstractNum>
  <w:abstractNum w:abstractNumId="5">
    <w:nsid w:val="FFFFFF80"/>
    <w:multiLevelType w:val="singleLevel"/>
    <w:tmpl w:val="DF6CE3F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C7844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37A9FC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D3288E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5083C26"/>
    <w:lvl w:ilvl="0">
      <w:start w:val="1"/>
      <w:numFmt w:val="decimal"/>
      <w:lvlText w:val="%1."/>
      <w:lvlJc w:val="left"/>
      <w:pPr>
        <w:tabs>
          <w:tab w:val="num" w:pos="360"/>
        </w:tabs>
        <w:ind w:left="360" w:hanging="360"/>
      </w:pPr>
    </w:lvl>
  </w:abstractNum>
  <w:abstractNum w:abstractNumId="10">
    <w:nsid w:val="FFFFFF89"/>
    <w:multiLevelType w:val="singleLevel"/>
    <w:tmpl w:val="0498933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894EE873"/>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04"/>
    <w:multiLevelType w:val="multilevel"/>
    <w:tmpl w:val="894EE876"/>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400"/>
        </w:tabs>
        <w:ind w:left="400" w:firstLine="720"/>
      </w:pPr>
      <w:rPr>
        <w:rFonts w:hint="default"/>
        <w:position w:val="0"/>
      </w:rPr>
    </w:lvl>
    <w:lvl w:ilvl="2">
      <w:start w:val="1"/>
      <w:numFmt w:val="decimal"/>
      <w:lvlText w:val="%3."/>
      <w:lvlJc w:val="left"/>
      <w:pPr>
        <w:tabs>
          <w:tab w:val="num" w:pos="720"/>
        </w:tabs>
        <w:ind w:left="720" w:firstLine="1080"/>
      </w:pPr>
      <w:rPr>
        <w:rFonts w:hint="default"/>
        <w:position w:val="0"/>
      </w:rPr>
    </w:lvl>
    <w:lvl w:ilvl="3">
      <w:start w:val="1"/>
      <w:numFmt w:val="decimal"/>
      <w:lvlText w:val="%4."/>
      <w:lvlJc w:val="left"/>
      <w:pPr>
        <w:tabs>
          <w:tab w:val="num" w:pos="1080"/>
        </w:tabs>
        <w:ind w:left="1080" w:firstLine="1440"/>
      </w:pPr>
      <w:rPr>
        <w:rFonts w:hint="default"/>
        <w:position w:val="0"/>
      </w:rPr>
    </w:lvl>
    <w:lvl w:ilvl="4">
      <w:start w:val="1"/>
      <w:numFmt w:val="decimal"/>
      <w:lvlText w:val="%5."/>
      <w:lvlJc w:val="left"/>
      <w:pPr>
        <w:tabs>
          <w:tab w:val="num" w:pos="1080"/>
        </w:tabs>
        <w:ind w:left="1080" w:firstLine="1800"/>
      </w:pPr>
      <w:rPr>
        <w:rFonts w:hint="default"/>
        <w:position w:val="0"/>
      </w:rPr>
    </w:lvl>
    <w:lvl w:ilvl="5">
      <w:start w:val="1"/>
      <w:numFmt w:val="decimal"/>
      <w:lvlText w:val="%6."/>
      <w:lvlJc w:val="left"/>
      <w:pPr>
        <w:tabs>
          <w:tab w:val="num" w:pos="1440"/>
        </w:tabs>
        <w:ind w:left="1440" w:firstLine="2160"/>
      </w:pPr>
      <w:rPr>
        <w:rFonts w:hint="default"/>
        <w:position w:val="0"/>
      </w:rPr>
    </w:lvl>
    <w:lvl w:ilvl="6">
      <w:start w:val="1"/>
      <w:numFmt w:val="decimal"/>
      <w:lvlText w:val="%7."/>
      <w:lvlJc w:val="left"/>
      <w:pPr>
        <w:tabs>
          <w:tab w:val="num" w:pos="1440"/>
        </w:tabs>
        <w:ind w:left="1440" w:firstLine="2520"/>
      </w:pPr>
      <w:rPr>
        <w:rFonts w:hint="default"/>
        <w:position w:val="0"/>
      </w:rPr>
    </w:lvl>
    <w:lvl w:ilvl="7">
      <w:start w:val="1"/>
      <w:numFmt w:val="decimal"/>
      <w:lvlText w:val="%8."/>
      <w:lvlJc w:val="left"/>
      <w:pPr>
        <w:tabs>
          <w:tab w:val="num" w:pos="1800"/>
        </w:tabs>
        <w:ind w:left="1800" w:firstLine="2880"/>
      </w:pPr>
      <w:rPr>
        <w:rFonts w:hint="default"/>
        <w:position w:val="0"/>
      </w:rPr>
    </w:lvl>
    <w:lvl w:ilvl="8">
      <w:start w:val="1"/>
      <w:numFmt w:val="decimal"/>
      <w:lvlText w:val="%9."/>
      <w:lvlJc w:val="left"/>
      <w:pPr>
        <w:tabs>
          <w:tab w:val="num" w:pos="1800"/>
        </w:tabs>
        <w:ind w:left="1800" w:firstLine="3240"/>
      </w:pPr>
      <w:rPr>
        <w:rFonts w:hint="default"/>
        <w:position w:val="0"/>
      </w:rPr>
    </w:lvl>
  </w:abstractNum>
  <w:abstractNum w:abstractNumId="15">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A11D5E"/>
    <w:multiLevelType w:val="hybridMultilevel"/>
    <w:tmpl w:val="73D64E5C"/>
    <w:lvl w:ilvl="0" w:tplc="7DC8C2E6">
      <w:start w:val="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0F43D8"/>
    <w:multiLevelType w:val="hybridMultilevel"/>
    <w:tmpl w:val="C7D2804C"/>
    <w:lvl w:ilvl="0" w:tplc="70C6FF88">
      <w:start w:val="6"/>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38B53B6D"/>
    <w:multiLevelType w:val="multilevel"/>
    <w:tmpl w:val="1CAEC2E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0930B3"/>
    <w:multiLevelType w:val="hybridMultilevel"/>
    <w:tmpl w:val="027837E6"/>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407A3BBF"/>
    <w:multiLevelType w:val="hybridMultilevel"/>
    <w:tmpl w:val="C11858F4"/>
    <w:lvl w:ilvl="0" w:tplc="5B184070">
      <w:start w:val="25"/>
      <w:numFmt w:val="decimal"/>
      <w:lvlText w:val="(%1.)"/>
      <w:lvlJc w:val="left"/>
      <w:pPr>
        <w:ind w:left="1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0490E"/>
    <w:multiLevelType w:val="multilevel"/>
    <w:tmpl w:val="C1BA8C7E"/>
    <w:lvl w:ilvl="0">
      <w:start w:val="2"/>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0760" w:hanging="1800"/>
      </w:pPr>
      <w:rPr>
        <w:rFonts w:hint="default"/>
      </w:rPr>
    </w:lvl>
  </w:abstractNum>
  <w:abstractNum w:abstractNumId="22">
    <w:nsid w:val="424B050B"/>
    <w:multiLevelType w:val="multilevel"/>
    <w:tmpl w:val="894EE874"/>
    <w:lvl w:ilvl="0">
      <w:start w:val="1"/>
      <w:numFmt w:val="decimal"/>
      <w:lvlText w:val="%1."/>
      <w:lvlJc w:val="left"/>
      <w:pPr>
        <w:tabs>
          <w:tab w:val="num" w:pos="360"/>
        </w:tabs>
        <w:ind w:left="360" w:firstLine="360"/>
      </w:pPr>
      <w:rPr>
        <w:rFonts w:hint="default"/>
        <w:position w:val="0"/>
      </w:rPr>
    </w:lvl>
    <w:lvl w:ilvl="1">
      <w:start w:val="1"/>
      <w:numFmt w:val="decimal"/>
      <w:lvlText w:val="%2."/>
      <w:lvlJc w:val="left"/>
      <w:pPr>
        <w:tabs>
          <w:tab w:val="num" w:pos="400"/>
        </w:tabs>
        <w:ind w:left="400" w:firstLine="720"/>
      </w:pPr>
      <w:rPr>
        <w:rFonts w:hint="default"/>
        <w:position w:val="0"/>
      </w:rPr>
    </w:lvl>
    <w:lvl w:ilvl="2">
      <w:start w:val="1"/>
      <w:numFmt w:val="decimal"/>
      <w:lvlText w:val="%3."/>
      <w:lvlJc w:val="left"/>
      <w:pPr>
        <w:tabs>
          <w:tab w:val="num" w:pos="720"/>
        </w:tabs>
        <w:ind w:left="720" w:firstLine="1080"/>
      </w:pPr>
      <w:rPr>
        <w:rFonts w:hint="default"/>
        <w:position w:val="0"/>
      </w:rPr>
    </w:lvl>
    <w:lvl w:ilvl="3">
      <w:start w:val="1"/>
      <w:numFmt w:val="decimal"/>
      <w:lvlText w:val="%4."/>
      <w:lvlJc w:val="left"/>
      <w:pPr>
        <w:tabs>
          <w:tab w:val="num" w:pos="1080"/>
        </w:tabs>
        <w:ind w:left="1080" w:firstLine="1440"/>
      </w:pPr>
      <w:rPr>
        <w:rFonts w:hint="default"/>
        <w:position w:val="0"/>
      </w:rPr>
    </w:lvl>
    <w:lvl w:ilvl="4">
      <w:start w:val="1"/>
      <w:numFmt w:val="decimal"/>
      <w:lvlText w:val="%5."/>
      <w:lvlJc w:val="left"/>
      <w:pPr>
        <w:tabs>
          <w:tab w:val="num" w:pos="1080"/>
        </w:tabs>
        <w:ind w:left="1080" w:firstLine="1800"/>
      </w:pPr>
      <w:rPr>
        <w:rFonts w:hint="default"/>
        <w:position w:val="0"/>
      </w:rPr>
    </w:lvl>
    <w:lvl w:ilvl="5">
      <w:start w:val="1"/>
      <w:numFmt w:val="decimal"/>
      <w:lvlText w:val="%6."/>
      <w:lvlJc w:val="left"/>
      <w:pPr>
        <w:tabs>
          <w:tab w:val="num" w:pos="1440"/>
        </w:tabs>
        <w:ind w:left="1440" w:firstLine="2160"/>
      </w:pPr>
      <w:rPr>
        <w:rFonts w:hint="default"/>
        <w:position w:val="0"/>
      </w:rPr>
    </w:lvl>
    <w:lvl w:ilvl="6">
      <w:start w:val="1"/>
      <w:numFmt w:val="decimal"/>
      <w:lvlText w:val="%7."/>
      <w:lvlJc w:val="left"/>
      <w:pPr>
        <w:tabs>
          <w:tab w:val="num" w:pos="1440"/>
        </w:tabs>
        <w:ind w:left="1440" w:firstLine="2520"/>
      </w:pPr>
      <w:rPr>
        <w:rFonts w:hint="default"/>
        <w:position w:val="0"/>
      </w:rPr>
    </w:lvl>
    <w:lvl w:ilvl="7">
      <w:start w:val="1"/>
      <w:numFmt w:val="decimal"/>
      <w:lvlText w:val="%8."/>
      <w:lvlJc w:val="left"/>
      <w:pPr>
        <w:tabs>
          <w:tab w:val="num" w:pos="1800"/>
        </w:tabs>
        <w:ind w:left="1800" w:firstLine="2880"/>
      </w:pPr>
      <w:rPr>
        <w:rFonts w:hint="default"/>
        <w:position w:val="0"/>
      </w:rPr>
    </w:lvl>
    <w:lvl w:ilvl="8">
      <w:start w:val="1"/>
      <w:numFmt w:val="decimal"/>
      <w:lvlText w:val="%9."/>
      <w:lvlJc w:val="left"/>
      <w:pPr>
        <w:tabs>
          <w:tab w:val="num" w:pos="1800"/>
        </w:tabs>
        <w:ind w:left="1800" w:firstLine="3240"/>
      </w:pPr>
      <w:rPr>
        <w:rFonts w:hint="default"/>
        <w:position w:val="0"/>
      </w:rPr>
    </w:lvl>
  </w:abstractNum>
  <w:abstractNum w:abstractNumId="23">
    <w:nsid w:val="427669A7"/>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215359A"/>
    <w:multiLevelType w:val="multilevel"/>
    <w:tmpl w:val="3246F2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B2C4F14"/>
    <w:multiLevelType w:val="hybridMultilevel"/>
    <w:tmpl w:val="FAFC43D8"/>
    <w:lvl w:ilvl="0" w:tplc="5B184070">
      <w:start w:val="25"/>
      <w:numFmt w:val="decimal"/>
      <w:lvlText w:val="(%1.)"/>
      <w:lvlJc w:val="left"/>
      <w:pPr>
        <w:ind w:left="16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6">
    <w:nsid w:val="72655EED"/>
    <w:multiLevelType w:val="multilevel"/>
    <w:tmpl w:val="D79ACE08"/>
    <w:lvl w:ilvl="0">
      <w:start w:val="2"/>
      <w:numFmt w:val="decimal"/>
      <w:pStyle w:val="List0"/>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9A637D5"/>
    <w:multiLevelType w:val="multilevel"/>
    <w:tmpl w:val="32126D7A"/>
    <w:lvl w:ilvl="0">
      <w:start w:val="4"/>
      <w:numFmt w:val="none"/>
      <w:suff w:val="space"/>
      <w:lvlText w:val="Chapter %14"/>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6"/>
  </w:num>
  <w:num w:numId="2">
    <w:abstractNumId w:val="18"/>
  </w:num>
  <w:num w:numId="3">
    <w:abstractNumId w:val="24"/>
  </w:num>
  <w:num w:numId="4">
    <w:abstractNumId w:val="17"/>
  </w:num>
  <w:num w:numId="5">
    <w:abstractNumId w:val="23"/>
  </w:num>
  <w:num w:numId="6">
    <w:abstractNumId w:val="27"/>
  </w:num>
  <w:num w:numId="7">
    <w:abstractNumId w:val="16"/>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1"/>
  </w:num>
  <w:num w:numId="20">
    <w:abstractNumId w:val="13"/>
  </w:num>
  <w:num w:numId="21">
    <w:abstractNumId w:val="20"/>
  </w:num>
  <w:num w:numId="22">
    <w:abstractNumId w:val="25"/>
  </w:num>
  <w:num w:numId="23">
    <w:abstractNumId w:val="12"/>
  </w:num>
  <w:num w:numId="24">
    <w:abstractNumId w:val="14"/>
  </w:num>
  <w:num w:numId="25">
    <w:abstractNumId w:val="15"/>
  </w:num>
  <w:num w:numId="26">
    <w:abstractNumId w:val="2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BA"/>
    <w:rsid w:val="00033A41"/>
    <w:rsid w:val="00136CF0"/>
    <w:rsid w:val="00153B05"/>
    <w:rsid w:val="0016119E"/>
    <w:rsid w:val="00207E33"/>
    <w:rsid w:val="00287B36"/>
    <w:rsid w:val="002C3AF3"/>
    <w:rsid w:val="002C6304"/>
    <w:rsid w:val="003018BA"/>
    <w:rsid w:val="0032287B"/>
    <w:rsid w:val="003B5EFE"/>
    <w:rsid w:val="003D7F3E"/>
    <w:rsid w:val="004957B1"/>
    <w:rsid w:val="004A34EC"/>
    <w:rsid w:val="004A3931"/>
    <w:rsid w:val="004F1A8B"/>
    <w:rsid w:val="00526762"/>
    <w:rsid w:val="006A4D57"/>
    <w:rsid w:val="006C4C9A"/>
    <w:rsid w:val="007445DE"/>
    <w:rsid w:val="00747EDE"/>
    <w:rsid w:val="007542D9"/>
    <w:rsid w:val="00824F4F"/>
    <w:rsid w:val="00856E13"/>
    <w:rsid w:val="00875C44"/>
    <w:rsid w:val="008B74A7"/>
    <w:rsid w:val="008F0ACA"/>
    <w:rsid w:val="008F283B"/>
    <w:rsid w:val="009052C8"/>
    <w:rsid w:val="009530D3"/>
    <w:rsid w:val="00992DDD"/>
    <w:rsid w:val="009B6EC4"/>
    <w:rsid w:val="00A227EA"/>
    <w:rsid w:val="00A353F1"/>
    <w:rsid w:val="00A40994"/>
    <w:rsid w:val="00A55A76"/>
    <w:rsid w:val="00A606D3"/>
    <w:rsid w:val="00A6260E"/>
    <w:rsid w:val="00A77B27"/>
    <w:rsid w:val="00AB225A"/>
    <w:rsid w:val="00AE17CC"/>
    <w:rsid w:val="00B1583F"/>
    <w:rsid w:val="00B26287"/>
    <w:rsid w:val="00B41473"/>
    <w:rsid w:val="00B44777"/>
    <w:rsid w:val="00BD0541"/>
    <w:rsid w:val="00BE5D7B"/>
    <w:rsid w:val="00C169BC"/>
    <w:rsid w:val="00C64EE7"/>
    <w:rsid w:val="00C8590D"/>
    <w:rsid w:val="00CC5A5E"/>
    <w:rsid w:val="00D52AD9"/>
    <w:rsid w:val="00E036B1"/>
    <w:rsid w:val="00E26C39"/>
    <w:rsid w:val="00E40B5F"/>
    <w:rsid w:val="00E614A9"/>
    <w:rsid w:val="00E70184"/>
    <w:rsid w:val="00E703A9"/>
    <w:rsid w:val="00EE2212"/>
    <w:rsid w:val="00F14EE1"/>
    <w:rsid w:val="00F50F1B"/>
    <w:rsid w:val="00F52976"/>
    <w:rsid w:val="00FA1BE4"/>
    <w:rsid w:val="00FA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BC1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E7"/>
    <w:pPr>
      <w:spacing w:line="480" w:lineRule="auto"/>
      <w:jc w:val="both"/>
    </w:pPr>
    <w:rPr>
      <w:rFonts w:asciiTheme="majorHAnsi" w:hAnsiTheme="majorHAnsi"/>
      <w:sz w:val="22"/>
    </w:rPr>
  </w:style>
  <w:style w:type="paragraph" w:styleId="Heading1">
    <w:name w:val="heading 1"/>
    <w:aliases w:val="CHAPTER,4"/>
    <w:basedOn w:val="Normal"/>
    <w:next w:val="Normal"/>
    <w:link w:val="Heading1Char"/>
    <w:uiPriority w:val="9"/>
    <w:qFormat/>
    <w:rsid w:val="003D7F3E"/>
    <w:pPr>
      <w:keepNext/>
      <w:keepLines/>
      <w:spacing w:before="480"/>
      <w:outlineLvl w:val="0"/>
    </w:pPr>
    <w:rPr>
      <w:rFonts w:eastAsiaTheme="majorEastAsia"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A55A76"/>
    <w:pPr>
      <w:keepNext/>
      <w:keepLines/>
      <w:spacing w:before="200"/>
      <w:outlineLvl w:val="1"/>
    </w:pPr>
    <w:rPr>
      <w:rFonts w:eastAsiaTheme="majorEastAsia" w:cstheme="majorBidi"/>
      <w:b/>
      <w:bCs/>
      <w:sz w:val="26"/>
      <w:szCs w:val="26"/>
      <w:lang w:val="en-GB"/>
    </w:rPr>
  </w:style>
  <w:style w:type="paragraph" w:styleId="Heading3">
    <w:name w:val="heading 3"/>
    <w:basedOn w:val="Normal"/>
    <w:next w:val="Normal"/>
    <w:link w:val="Heading3Char"/>
    <w:uiPriority w:val="9"/>
    <w:unhideWhenUsed/>
    <w:qFormat/>
    <w:rsid w:val="003D7F3E"/>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AB225A"/>
    <w:pPr>
      <w:keepNext/>
      <w:keepLines/>
      <w:spacing w:before="20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3D7F3E"/>
    <w:pPr>
      <w:keepNext/>
      <w:keepLines/>
      <w:spacing w:before="200" w:line="240" w:lineRule="auto"/>
      <w:jc w:val="left"/>
      <w:outlineLvl w:val="4"/>
    </w:pPr>
    <w:rPr>
      <w:rFonts w:eastAsiaTheme="majorEastAsia" w:cstheme="majorBidi"/>
      <w:i/>
      <w:color w:val="243F60" w:themeColor="accent1" w:themeShade="7F"/>
      <w:szCs w:val="22"/>
      <w:lang w:val="en-GB"/>
    </w:rPr>
  </w:style>
  <w:style w:type="paragraph" w:styleId="Heading6">
    <w:name w:val="heading 6"/>
    <w:basedOn w:val="Normal"/>
    <w:next w:val="Normal"/>
    <w:link w:val="Heading6Char"/>
    <w:semiHidden/>
    <w:unhideWhenUsed/>
    <w:qFormat/>
    <w:rsid w:val="003D7F3E"/>
    <w:pPr>
      <w:keepNext/>
      <w:keepLines/>
      <w:spacing w:before="200"/>
      <w:jc w:val="left"/>
      <w:outlineLvl w:val="5"/>
    </w:pPr>
    <w:rPr>
      <w:rFonts w:eastAsiaTheme="majorEastAsia" w:cstheme="majorBidi"/>
      <w:i/>
      <w:iCs/>
      <w:color w:val="243F60" w:themeColor="accent1" w:themeShade="7F"/>
      <w:szCs w:val="22"/>
      <w:lang w:val="en-GB"/>
    </w:rPr>
  </w:style>
  <w:style w:type="paragraph" w:styleId="Heading7">
    <w:name w:val="heading 7"/>
    <w:basedOn w:val="Normal"/>
    <w:next w:val="Normal"/>
    <w:link w:val="Heading7Char"/>
    <w:semiHidden/>
    <w:unhideWhenUsed/>
    <w:qFormat/>
    <w:rsid w:val="003D7F3E"/>
    <w:pPr>
      <w:keepNext/>
      <w:keepLines/>
      <w:spacing w:before="200"/>
      <w:jc w:val="left"/>
      <w:outlineLvl w:val="6"/>
    </w:pPr>
    <w:rPr>
      <w:rFonts w:eastAsiaTheme="majorEastAsia" w:cstheme="majorBidi"/>
      <w:i/>
      <w:iCs/>
      <w:color w:val="404040" w:themeColor="text1" w:themeTint="BF"/>
      <w:szCs w:val="22"/>
      <w:lang w:val="en-GB"/>
    </w:rPr>
  </w:style>
  <w:style w:type="paragraph" w:styleId="Heading8">
    <w:name w:val="heading 8"/>
    <w:basedOn w:val="Normal"/>
    <w:next w:val="Normal"/>
    <w:link w:val="Heading8Char"/>
    <w:semiHidden/>
    <w:unhideWhenUsed/>
    <w:qFormat/>
    <w:rsid w:val="003D7F3E"/>
    <w:pPr>
      <w:keepNext/>
      <w:keepLines/>
      <w:spacing w:before="200"/>
      <w:jc w:val="left"/>
      <w:outlineLvl w:val="7"/>
    </w:pPr>
    <w:rPr>
      <w:rFonts w:eastAsiaTheme="majorEastAsia"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D7F3E"/>
    <w:pPr>
      <w:keepNext/>
      <w:keepLines/>
      <w:spacing w:before="200"/>
      <w:jc w:val="left"/>
      <w:outlineLvl w:val="8"/>
    </w:pPr>
    <w:rPr>
      <w:rFonts w:eastAsiaTheme="majorEastAsia"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64EE7"/>
    <w:pPr>
      <w:spacing w:before="120"/>
    </w:pPr>
    <w:rPr>
      <w:b/>
      <w:szCs w:val="22"/>
    </w:rPr>
  </w:style>
  <w:style w:type="paragraph" w:customStyle="1" w:styleId="Body1">
    <w:name w:val="Body 1"/>
    <w:autoRedefine/>
    <w:rsid w:val="00747EDE"/>
    <w:pPr>
      <w:jc w:val="both"/>
      <w:outlineLvl w:val="0"/>
    </w:pPr>
    <w:rPr>
      <w:rFonts w:asciiTheme="majorHAnsi" w:eastAsia="Arial Unicode MS" w:hAnsiTheme="majorHAnsi" w:cs="Times New Roman"/>
      <w:color w:val="000000"/>
      <w:sz w:val="22"/>
      <w:szCs w:val="20"/>
      <w:u w:color="000000"/>
      <w:lang w:val="en-GB" w:eastAsia="en-GB"/>
    </w:rPr>
  </w:style>
  <w:style w:type="paragraph" w:styleId="TOC4">
    <w:name w:val="toc 4"/>
    <w:basedOn w:val="Normal"/>
    <w:next w:val="Normal"/>
    <w:autoRedefine/>
    <w:uiPriority w:val="39"/>
    <w:unhideWhenUsed/>
    <w:qFormat/>
    <w:rsid w:val="00AB225A"/>
    <w:pPr>
      <w:ind w:left="660"/>
      <w:jc w:val="left"/>
    </w:pPr>
    <w:rPr>
      <w:i/>
      <w:color w:val="000000" w:themeColor="text1"/>
      <w:szCs w:val="20"/>
    </w:rPr>
  </w:style>
  <w:style w:type="character" w:customStyle="1" w:styleId="Heading4Char">
    <w:name w:val="Heading 4 Char"/>
    <w:basedOn w:val="DefaultParagraphFont"/>
    <w:link w:val="Heading4"/>
    <w:uiPriority w:val="9"/>
    <w:rsid w:val="00AB225A"/>
    <w:rPr>
      <w:rFonts w:asciiTheme="majorHAnsi" w:eastAsiaTheme="majorEastAsia" w:hAnsiTheme="majorHAnsi" w:cstheme="majorBidi"/>
      <w:bCs/>
      <w:i/>
      <w:iCs/>
      <w:sz w:val="22"/>
    </w:rPr>
  </w:style>
  <w:style w:type="table" w:customStyle="1" w:styleId="Style1">
    <w:name w:val="Style1"/>
    <w:basedOn w:val="LightList-Accent1"/>
    <w:uiPriority w:val="99"/>
    <w:rsid w:val="00CC5A5E"/>
    <w:rPr>
      <w:rFonts w:asciiTheme="majorHAnsi" w:hAnsiTheme="majorHAnsi"/>
      <w:sz w:val="22"/>
      <w:szCs w:val="20"/>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C5A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ofAuthorities">
    <w:name w:val="table of authorities"/>
    <w:aliases w:val="Table of Authoriti"/>
    <w:basedOn w:val="Normal"/>
    <w:next w:val="Normal"/>
    <w:autoRedefine/>
    <w:uiPriority w:val="99"/>
    <w:unhideWhenUsed/>
    <w:qFormat/>
    <w:rsid w:val="008F0ACA"/>
    <w:pPr>
      <w:spacing w:line="240" w:lineRule="auto"/>
      <w:ind w:left="220" w:hanging="220"/>
      <w:jc w:val="left"/>
    </w:pPr>
  </w:style>
  <w:style w:type="table" w:customStyle="1" w:styleId="Style2">
    <w:name w:val="Style2"/>
    <w:basedOn w:val="LightList-Accent1"/>
    <w:uiPriority w:val="99"/>
    <w:rsid w:val="00CC5A5E"/>
    <w:rPr>
      <w:rFonts w:eastAsiaTheme="minorHAns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CC5A5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S">
    <w:name w:val="TABLES!"/>
    <w:basedOn w:val="LightList-Accent1"/>
    <w:uiPriority w:val="99"/>
    <w:rsid w:val="00CC5A5E"/>
    <w:rPr>
      <w:rFonts w:asciiTheme="majorHAnsi" w:hAnsiTheme="maj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autoRedefine/>
    <w:uiPriority w:val="35"/>
    <w:unhideWhenUsed/>
    <w:qFormat/>
    <w:rsid w:val="00526762"/>
    <w:pPr>
      <w:spacing w:after="200" w:line="240" w:lineRule="auto"/>
    </w:pPr>
    <w:rPr>
      <w:bCs/>
      <w:color w:val="4F81BD" w:themeColor="accent1"/>
      <w:sz w:val="20"/>
      <w:szCs w:val="18"/>
    </w:rPr>
  </w:style>
  <w:style w:type="paragraph" w:styleId="BodyText">
    <w:name w:val="Body Text"/>
    <w:basedOn w:val="Normal"/>
    <w:link w:val="BodyTextChar"/>
    <w:uiPriority w:val="99"/>
    <w:unhideWhenUsed/>
    <w:rsid w:val="00E614A9"/>
    <w:pPr>
      <w:spacing w:after="120"/>
    </w:pPr>
    <w:rPr>
      <w:lang w:val="en-GB"/>
    </w:rPr>
  </w:style>
  <w:style w:type="character" w:customStyle="1" w:styleId="BodyTextChar">
    <w:name w:val="Body Text Char"/>
    <w:basedOn w:val="DefaultParagraphFont"/>
    <w:link w:val="BodyText"/>
    <w:uiPriority w:val="99"/>
    <w:rsid w:val="00E614A9"/>
    <w:rPr>
      <w:rFonts w:asciiTheme="majorHAnsi" w:hAnsiTheme="majorHAnsi"/>
      <w:sz w:val="22"/>
      <w:lang w:val="en-GB"/>
    </w:rPr>
  </w:style>
  <w:style w:type="paragraph" w:customStyle="1" w:styleId="List0">
    <w:name w:val="List 0"/>
    <w:basedOn w:val="Normal"/>
    <w:semiHidden/>
    <w:rsid w:val="00E614A9"/>
    <w:pPr>
      <w:numPr>
        <w:numId w:val="1"/>
      </w:numPr>
      <w:spacing w:line="240" w:lineRule="auto"/>
      <w:jc w:val="left"/>
    </w:pPr>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qFormat/>
    <w:rsid w:val="003B5EFE"/>
    <w:pPr>
      <w:spacing w:line="240" w:lineRule="auto"/>
    </w:pPr>
    <w:rPr>
      <w:rFonts w:eastAsia="SimSun" w:cs="Times New Roman"/>
      <w:sz w:val="20"/>
      <w:szCs w:val="20"/>
      <w:lang w:val="en-GB"/>
    </w:rPr>
  </w:style>
  <w:style w:type="character" w:customStyle="1" w:styleId="FootnoteTextChar">
    <w:name w:val="Footnote Text Char"/>
    <w:basedOn w:val="DefaultParagraphFont"/>
    <w:link w:val="FootnoteText"/>
    <w:uiPriority w:val="99"/>
    <w:rsid w:val="003B5EFE"/>
    <w:rPr>
      <w:rFonts w:asciiTheme="majorHAnsi" w:eastAsia="SimSun" w:hAnsiTheme="majorHAnsi" w:cs="Times New Roman"/>
      <w:sz w:val="20"/>
      <w:szCs w:val="20"/>
      <w:lang w:val="en-GB"/>
    </w:rPr>
  </w:style>
  <w:style w:type="character" w:styleId="FootnoteReference">
    <w:name w:val="footnote reference"/>
    <w:basedOn w:val="DefaultParagraphFont"/>
    <w:uiPriority w:val="99"/>
    <w:rsid w:val="003B5EFE"/>
    <w:rPr>
      <w:rFonts w:asciiTheme="majorHAnsi" w:hAnsiTheme="majorHAnsi" w:cs="Times New Roman"/>
      <w:sz w:val="20"/>
      <w:vertAlign w:val="superscript"/>
    </w:rPr>
  </w:style>
  <w:style w:type="paragraph" w:styleId="ListParagraph">
    <w:name w:val="List Paragraph"/>
    <w:basedOn w:val="Normal"/>
    <w:uiPriority w:val="34"/>
    <w:qFormat/>
    <w:rsid w:val="003B5EFE"/>
    <w:pPr>
      <w:ind w:left="720"/>
      <w:contextualSpacing/>
    </w:pPr>
  </w:style>
  <w:style w:type="paragraph" w:styleId="BalloonText">
    <w:name w:val="Balloon Text"/>
    <w:basedOn w:val="Normal"/>
    <w:link w:val="BalloonTextChar"/>
    <w:unhideWhenUsed/>
    <w:rsid w:val="003B5EF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3B5EFE"/>
    <w:rPr>
      <w:rFonts w:ascii="Lucida Grande" w:hAnsi="Lucida Grande" w:cs="Lucida Grande"/>
      <w:sz w:val="18"/>
      <w:szCs w:val="18"/>
    </w:rPr>
  </w:style>
  <w:style w:type="character" w:styleId="Hyperlink">
    <w:name w:val="Hyperlink"/>
    <w:basedOn w:val="DefaultParagraphFont"/>
    <w:uiPriority w:val="99"/>
    <w:rsid w:val="00A55A76"/>
    <w:rPr>
      <w:rFonts w:cs="Times New Roman"/>
      <w:color w:val="0000FF"/>
      <w:u w:val="single"/>
    </w:rPr>
  </w:style>
  <w:style w:type="table" w:styleId="MediumList2-Accent1">
    <w:name w:val="Medium List 2 Accent 1"/>
    <w:basedOn w:val="TableNormal"/>
    <w:uiPriority w:val="66"/>
    <w:rsid w:val="00A55A7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2Char">
    <w:name w:val="Heading 2 Char"/>
    <w:basedOn w:val="DefaultParagraphFont"/>
    <w:link w:val="Heading2"/>
    <w:uiPriority w:val="9"/>
    <w:rsid w:val="00A55A76"/>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3D7F3E"/>
    <w:rPr>
      <w:rFonts w:asciiTheme="majorHAnsi" w:eastAsiaTheme="majorEastAsia" w:hAnsiTheme="majorHAnsi" w:cstheme="majorBidi"/>
      <w:b/>
      <w:bCs/>
      <w:color w:val="4F81BD" w:themeColor="accent1"/>
      <w:sz w:val="22"/>
    </w:rPr>
  </w:style>
  <w:style w:type="character" w:customStyle="1" w:styleId="Heading1Char">
    <w:name w:val="Heading 1 Char"/>
    <w:aliases w:val="CHAPTER Char,4 Char"/>
    <w:basedOn w:val="DefaultParagraphFont"/>
    <w:link w:val="Heading1"/>
    <w:uiPriority w:val="9"/>
    <w:rsid w:val="003D7F3E"/>
    <w:rPr>
      <w:rFonts w:asciiTheme="majorHAnsi" w:eastAsiaTheme="majorEastAsia" w:hAnsiTheme="majorHAnsi" w:cstheme="majorBidi"/>
      <w:b/>
      <w:bCs/>
      <w:color w:val="345A8A" w:themeColor="accent1" w:themeShade="B5"/>
      <w:sz w:val="32"/>
      <w:szCs w:val="32"/>
      <w:lang w:val="en-GB"/>
    </w:rPr>
  </w:style>
  <w:style w:type="character" w:customStyle="1" w:styleId="Heading5Char">
    <w:name w:val="Heading 5 Char"/>
    <w:basedOn w:val="DefaultParagraphFont"/>
    <w:link w:val="Heading5"/>
    <w:uiPriority w:val="9"/>
    <w:rsid w:val="003D7F3E"/>
    <w:rPr>
      <w:rFonts w:asciiTheme="majorHAnsi" w:eastAsiaTheme="majorEastAsia" w:hAnsiTheme="majorHAnsi" w:cstheme="majorBidi"/>
      <w:i/>
      <w:color w:val="243F60" w:themeColor="accent1" w:themeShade="7F"/>
      <w:sz w:val="22"/>
      <w:szCs w:val="22"/>
      <w:lang w:val="en-GB"/>
    </w:rPr>
  </w:style>
  <w:style w:type="character" w:customStyle="1" w:styleId="Heading6Char">
    <w:name w:val="Heading 6 Char"/>
    <w:basedOn w:val="DefaultParagraphFont"/>
    <w:link w:val="Heading6"/>
    <w:semiHidden/>
    <w:rsid w:val="003D7F3E"/>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semiHidden/>
    <w:rsid w:val="003D7F3E"/>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semiHidden/>
    <w:rsid w:val="003D7F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3D7F3E"/>
    <w:rPr>
      <w:rFonts w:asciiTheme="majorHAnsi" w:eastAsiaTheme="majorEastAsia" w:hAnsiTheme="majorHAnsi" w:cstheme="majorBidi"/>
      <w:i/>
      <w:iCs/>
      <w:color w:val="404040" w:themeColor="text1" w:themeTint="BF"/>
      <w:sz w:val="20"/>
      <w:szCs w:val="20"/>
      <w:lang w:val="en-GB"/>
    </w:rPr>
  </w:style>
  <w:style w:type="paragraph" w:styleId="TOCHeading">
    <w:name w:val="TOC Heading"/>
    <w:basedOn w:val="Heading1"/>
    <w:next w:val="Normal"/>
    <w:uiPriority w:val="39"/>
    <w:unhideWhenUsed/>
    <w:qFormat/>
    <w:rsid w:val="003D7F3E"/>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3D7F3E"/>
    <w:pPr>
      <w:spacing w:line="240" w:lineRule="auto"/>
      <w:ind w:left="220"/>
      <w:jc w:val="left"/>
    </w:pPr>
    <w:rPr>
      <w:b/>
      <w:szCs w:val="22"/>
      <w:lang w:val="en-GB"/>
    </w:rPr>
  </w:style>
  <w:style w:type="paragraph" w:styleId="TOC3">
    <w:name w:val="toc 3"/>
    <w:basedOn w:val="Normal"/>
    <w:next w:val="Normal"/>
    <w:autoRedefine/>
    <w:uiPriority w:val="39"/>
    <w:unhideWhenUsed/>
    <w:rsid w:val="003D7F3E"/>
    <w:pPr>
      <w:spacing w:line="240" w:lineRule="auto"/>
      <w:ind w:left="440"/>
      <w:jc w:val="left"/>
    </w:pPr>
    <w:rPr>
      <w:szCs w:val="22"/>
      <w:lang w:val="en-GB"/>
    </w:rPr>
  </w:style>
  <w:style w:type="paragraph" w:styleId="Footer">
    <w:name w:val="footer"/>
    <w:basedOn w:val="Normal"/>
    <w:link w:val="FooterChar"/>
    <w:uiPriority w:val="99"/>
    <w:unhideWhenUsed/>
    <w:rsid w:val="003D7F3E"/>
    <w:pPr>
      <w:tabs>
        <w:tab w:val="center" w:pos="4320"/>
        <w:tab w:val="right" w:pos="8640"/>
      </w:tabs>
    </w:pPr>
    <w:rPr>
      <w:lang w:val="en-GB"/>
    </w:rPr>
  </w:style>
  <w:style w:type="character" w:customStyle="1" w:styleId="FooterChar">
    <w:name w:val="Footer Char"/>
    <w:basedOn w:val="DefaultParagraphFont"/>
    <w:link w:val="Footer"/>
    <w:uiPriority w:val="99"/>
    <w:rsid w:val="003D7F3E"/>
    <w:rPr>
      <w:rFonts w:asciiTheme="majorHAnsi" w:hAnsiTheme="majorHAnsi"/>
      <w:sz w:val="22"/>
      <w:lang w:val="en-GB"/>
    </w:rPr>
  </w:style>
  <w:style w:type="character" w:styleId="PageNumber">
    <w:name w:val="page number"/>
    <w:basedOn w:val="DefaultParagraphFont"/>
    <w:unhideWhenUsed/>
    <w:rsid w:val="003D7F3E"/>
  </w:style>
  <w:style w:type="paragraph" w:styleId="Header">
    <w:name w:val="header"/>
    <w:basedOn w:val="Normal"/>
    <w:link w:val="HeaderChar"/>
    <w:unhideWhenUsed/>
    <w:rsid w:val="003D7F3E"/>
    <w:pPr>
      <w:tabs>
        <w:tab w:val="center" w:pos="4513"/>
        <w:tab w:val="right" w:pos="9026"/>
      </w:tabs>
    </w:pPr>
  </w:style>
  <w:style w:type="character" w:customStyle="1" w:styleId="HeaderChar">
    <w:name w:val="Header Char"/>
    <w:basedOn w:val="DefaultParagraphFont"/>
    <w:link w:val="Header"/>
    <w:rsid w:val="003D7F3E"/>
    <w:rPr>
      <w:rFonts w:asciiTheme="majorHAnsi" w:hAnsiTheme="majorHAnsi"/>
      <w:sz w:val="22"/>
    </w:rPr>
  </w:style>
  <w:style w:type="paragraph" w:styleId="TOC5">
    <w:name w:val="toc 5"/>
    <w:basedOn w:val="Normal"/>
    <w:next w:val="Normal"/>
    <w:autoRedefine/>
    <w:uiPriority w:val="39"/>
    <w:unhideWhenUsed/>
    <w:rsid w:val="003D7F3E"/>
    <w:pPr>
      <w:spacing w:line="240" w:lineRule="auto"/>
      <w:ind w:left="880"/>
      <w:jc w:val="left"/>
    </w:pPr>
    <w:rPr>
      <w:i/>
      <w:szCs w:val="20"/>
      <w:lang w:val="en-GB"/>
    </w:rPr>
  </w:style>
  <w:style w:type="paragraph" w:styleId="TOC6">
    <w:name w:val="toc 6"/>
    <w:basedOn w:val="Normal"/>
    <w:next w:val="Normal"/>
    <w:autoRedefine/>
    <w:uiPriority w:val="39"/>
    <w:unhideWhenUsed/>
    <w:rsid w:val="003D7F3E"/>
    <w:pPr>
      <w:ind w:left="1100"/>
      <w:jc w:val="left"/>
    </w:pPr>
    <w:rPr>
      <w:rFonts w:asciiTheme="minorHAnsi" w:hAnsiTheme="minorHAnsi"/>
      <w:sz w:val="20"/>
      <w:szCs w:val="20"/>
      <w:lang w:val="en-GB"/>
    </w:rPr>
  </w:style>
  <w:style w:type="paragraph" w:styleId="TOC7">
    <w:name w:val="toc 7"/>
    <w:basedOn w:val="Normal"/>
    <w:next w:val="Normal"/>
    <w:autoRedefine/>
    <w:uiPriority w:val="39"/>
    <w:unhideWhenUsed/>
    <w:rsid w:val="003D7F3E"/>
    <w:pPr>
      <w:ind w:left="1320"/>
      <w:jc w:val="left"/>
    </w:pPr>
    <w:rPr>
      <w:rFonts w:asciiTheme="minorHAnsi" w:hAnsiTheme="minorHAnsi"/>
      <w:sz w:val="20"/>
      <w:szCs w:val="20"/>
      <w:lang w:val="en-GB"/>
    </w:rPr>
  </w:style>
  <w:style w:type="paragraph" w:styleId="TOC8">
    <w:name w:val="toc 8"/>
    <w:basedOn w:val="Normal"/>
    <w:next w:val="Normal"/>
    <w:autoRedefine/>
    <w:uiPriority w:val="39"/>
    <w:unhideWhenUsed/>
    <w:rsid w:val="003D7F3E"/>
    <w:pPr>
      <w:ind w:left="1540"/>
      <w:jc w:val="left"/>
    </w:pPr>
    <w:rPr>
      <w:rFonts w:asciiTheme="minorHAnsi" w:hAnsiTheme="minorHAnsi"/>
      <w:sz w:val="20"/>
      <w:szCs w:val="20"/>
      <w:lang w:val="en-GB"/>
    </w:rPr>
  </w:style>
  <w:style w:type="paragraph" w:styleId="TOC9">
    <w:name w:val="toc 9"/>
    <w:basedOn w:val="Normal"/>
    <w:next w:val="Normal"/>
    <w:autoRedefine/>
    <w:uiPriority w:val="39"/>
    <w:unhideWhenUsed/>
    <w:rsid w:val="003D7F3E"/>
    <w:pPr>
      <w:ind w:left="1760"/>
      <w:jc w:val="left"/>
    </w:pPr>
    <w:rPr>
      <w:rFonts w:asciiTheme="minorHAnsi" w:hAnsiTheme="minorHAnsi"/>
      <w:sz w:val="20"/>
      <w:szCs w:val="20"/>
      <w:lang w:val="en-GB"/>
    </w:rPr>
  </w:style>
  <w:style w:type="paragraph" w:styleId="NormalWeb">
    <w:name w:val="Normal (Web)"/>
    <w:basedOn w:val="Normal"/>
    <w:uiPriority w:val="99"/>
    <w:unhideWhenUsed/>
    <w:rsid w:val="003D7F3E"/>
    <w:pPr>
      <w:spacing w:before="100" w:beforeAutospacing="1" w:after="100" w:afterAutospacing="1"/>
    </w:pPr>
    <w:rPr>
      <w:rFonts w:ascii="Times" w:hAnsi="Times" w:cs="Times New Roman"/>
      <w:sz w:val="20"/>
      <w:szCs w:val="20"/>
      <w:lang w:val="en-GB"/>
    </w:rPr>
  </w:style>
  <w:style w:type="paragraph" w:styleId="Quote">
    <w:name w:val="Quote"/>
    <w:basedOn w:val="Normal"/>
    <w:next w:val="Normal"/>
    <w:link w:val="QuoteChar"/>
    <w:uiPriority w:val="29"/>
    <w:qFormat/>
    <w:rsid w:val="003D7F3E"/>
    <w:pPr>
      <w:ind w:left="454" w:right="454"/>
    </w:pPr>
    <w:rPr>
      <w:iCs/>
      <w:color w:val="000000" w:themeColor="text1"/>
    </w:rPr>
  </w:style>
  <w:style w:type="character" w:customStyle="1" w:styleId="QuoteChar">
    <w:name w:val="Quote Char"/>
    <w:basedOn w:val="DefaultParagraphFont"/>
    <w:link w:val="Quote"/>
    <w:uiPriority w:val="29"/>
    <w:rsid w:val="003D7F3E"/>
    <w:rPr>
      <w:rFonts w:asciiTheme="majorHAnsi" w:hAnsiTheme="majorHAnsi"/>
      <w:iCs/>
      <w:color w:val="000000" w:themeColor="text1"/>
      <w:sz w:val="22"/>
    </w:rPr>
  </w:style>
  <w:style w:type="paragraph" w:styleId="CommentText">
    <w:name w:val="annotation text"/>
    <w:basedOn w:val="Normal"/>
    <w:link w:val="CommentTextChar"/>
    <w:uiPriority w:val="99"/>
    <w:semiHidden/>
    <w:unhideWhenUsed/>
    <w:rsid w:val="003D7F3E"/>
  </w:style>
  <w:style w:type="character" w:customStyle="1" w:styleId="CommentTextChar">
    <w:name w:val="Comment Text Char"/>
    <w:basedOn w:val="DefaultParagraphFont"/>
    <w:link w:val="CommentText"/>
    <w:uiPriority w:val="99"/>
    <w:semiHidden/>
    <w:rsid w:val="003D7F3E"/>
    <w:rPr>
      <w:rFonts w:asciiTheme="majorHAnsi" w:hAnsiTheme="majorHAnsi"/>
      <w:sz w:val="22"/>
    </w:rPr>
  </w:style>
  <w:style w:type="character" w:styleId="FollowedHyperlink">
    <w:name w:val="FollowedHyperlink"/>
    <w:basedOn w:val="DefaultParagraphFont"/>
    <w:uiPriority w:val="99"/>
    <w:semiHidden/>
    <w:unhideWhenUsed/>
    <w:rsid w:val="003D7F3E"/>
    <w:rPr>
      <w:color w:val="800080" w:themeColor="followedHyperlink"/>
      <w:u w:val="single"/>
    </w:rPr>
  </w:style>
  <w:style w:type="table" w:customStyle="1" w:styleId="TABLE">
    <w:name w:val="TABLE"/>
    <w:basedOn w:val="TableNormal"/>
    <w:uiPriority w:val="99"/>
    <w:rsid w:val="003D7F3E"/>
    <w:rPr>
      <w:rFonts w:eastAsiaTheme="minorHAnsi"/>
      <w:sz w:val="22"/>
      <w:szCs w:val="22"/>
      <w:lang w:val="en-GB"/>
    </w:rPr>
    <w:tblPr>
      <w:tblInd w:w="0" w:type="dxa"/>
      <w:tblCellMar>
        <w:top w:w="0" w:type="dxa"/>
        <w:left w:w="108" w:type="dxa"/>
        <w:bottom w:w="0" w:type="dxa"/>
        <w:right w:w="108" w:type="dxa"/>
      </w:tblCellMar>
    </w:tblPr>
  </w:style>
  <w:style w:type="table" w:customStyle="1" w:styleId="TABLE1">
    <w:name w:val="TABLE1"/>
    <w:basedOn w:val="TableNormal"/>
    <w:uiPriority w:val="99"/>
    <w:rsid w:val="003D7F3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TableofFigures">
    <w:name w:val="table of figures"/>
    <w:basedOn w:val="Normal"/>
    <w:next w:val="Normal"/>
    <w:autoRedefine/>
    <w:uiPriority w:val="99"/>
    <w:unhideWhenUsed/>
    <w:rsid w:val="003D7F3E"/>
    <w:pPr>
      <w:tabs>
        <w:tab w:val="right" w:leader="dot" w:pos="8290"/>
      </w:tabs>
      <w:spacing w:line="240" w:lineRule="auto"/>
      <w:ind w:left="440" w:hanging="440"/>
      <w:jc w:val="left"/>
    </w:pPr>
    <w:rPr>
      <w:rFonts w:eastAsiaTheme="minorHAnsi"/>
      <w:b/>
      <w:sz w:val="24"/>
      <w:lang w:val="en-GB"/>
    </w:rPr>
  </w:style>
  <w:style w:type="numbering" w:styleId="111111">
    <w:name w:val="Outline List 2"/>
    <w:aliases w:val="Chapter 4"/>
    <w:basedOn w:val="NoList"/>
    <w:uiPriority w:val="99"/>
    <w:semiHidden/>
    <w:unhideWhenUsed/>
    <w:rsid w:val="003D7F3E"/>
    <w:pPr>
      <w:numPr>
        <w:numId w:val="5"/>
      </w:numPr>
    </w:pPr>
  </w:style>
  <w:style w:type="paragraph" w:styleId="Title">
    <w:name w:val="Title"/>
    <w:basedOn w:val="Normal"/>
    <w:next w:val="Normal"/>
    <w:link w:val="TitleChar"/>
    <w:uiPriority w:val="10"/>
    <w:qFormat/>
    <w:rsid w:val="003D7F3E"/>
    <w:pPr>
      <w:pBdr>
        <w:bottom w:val="single" w:sz="8" w:space="4" w:color="4F81BD" w:themeColor="accent1"/>
      </w:pBdr>
      <w:spacing w:after="300" w:line="240" w:lineRule="auto"/>
      <w:contextualSpacing/>
      <w:jc w:val="left"/>
    </w:pPr>
    <w:rPr>
      <w:rFonts w:asciiTheme="minorHAnsi" w:eastAsiaTheme="majorEastAsia" w:hAnsiTheme="minorHAnsi" w:cstheme="majorBidi"/>
      <w:color w:val="17365D" w:themeColor="text2" w:themeShade="BF"/>
      <w:spacing w:val="5"/>
      <w:kern w:val="28"/>
      <w:sz w:val="24"/>
      <w:szCs w:val="52"/>
      <w:lang w:val="en-GB"/>
    </w:rPr>
  </w:style>
  <w:style w:type="character" w:customStyle="1" w:styleId="TitleChar">
    <w:name w:val="Title Char"/>
    <w:basedOn w:val="DefaultParagraphFont"/>
    <w:link w:val="Title"/>
    <w:uiPriority w:val="10"/>
    <w:rsid w:val="003D7F3E"/>
    <w:rPr>
      <w:rFonts w:eastAsiaTheme="majorEastAsia" w:cstheme="majorBidi"/>
      <w:color w:val="17365D" w:themeColor="text2" w:themeShade="BF"/>
      <w:spacing w:val="5"/>
      <w:kern w:val="28"/>
      <w:szCs w:val="52"/>
      <w:lang w:val="en-GB"/>
    </w:rPr>
  </w:style>
  <w:style w:type="paragraph" w:styleId="Subtitle">
    <w:name w:val="Subtitle"/>
    <w:aliases w:val="heading 5"/>
    <w:basedOn w:val="Normal"/>
    <w:next w:val="Normal"/>
    <w:link w:val="SubtitleChar"/>
    <w:uiPriority w:val="11"/>
    <w:qFormat/>
    <w:rsid w:val="003D7F3E"/>
    <w:pPr>
      <w:numPr>
        <w:ilvl w:val="1"/>
      </w:numPr>
      <w:spacing w:after="200"/>
      <w:jc w:val="left"/>
    </w:pPr>
    <w:rPr>
      <w:rFonts w:asciiTheme="minorHAnsi" w:eastAsiaTheme="majorEastAsia" w:hAnsiTheme="minorHAnsi" w:cstheme="majorBidi"/>
      <w:i/>
      <w:iCs/>
      <w:spacing w:val="15"/>
      <w:lang w:val="en-GB"/>
    </w:rPr>
  </w:style>
  <w:style w:type="character" w:customStyle="1" w:styleId="SubtitleChar">
    <w:name w:val="Subtitle Char"/>
    <w:aliases w:val="heading 5 Char"/>
    <w:basedOn w:val="DefaultParagraphFont"/>
    <w:link w:val="Subtitle"/>
    <w:uiPriority w:val="11"/>
    <w:rsid w:val="003D7F3E"/>
    <w:rPr>
      <w:rFonts w:eastAsiaTheme="majorEastAsia" w:cstheme="majorBidi"/>
      <w:i/>
      <w:iCs/>
      <w:spacing w:val="15"/>
      <w:sz w:val="22"/>
      <w:lang w:val="en-GB"/>
    </w:rPr>
  </w:style>
  <w:style w:type="character" w:styleId="SubtleEmphasis">
    <w:name w:val="Subtle Emphasis"/>
    <w:basedOn w:val="DefaultParagraphFont"/>
    <w:uiPriority w:val="19"/>
    <w:qFormat/>
    <w:rsid w:val="003D7F3E"/>
    <w:rPr>
      <w:i/>
      <w:iCs/>
      <w:color w:val="808080" w:themeColor="text1" w:themeTint="7F"/>
    </w:rPr>
  </w:style>
  <w:style w:type="paragraph" w:styleId="NoSpacing">
    <w:name w:val="No Spacing"/>
    <w:uiPriority w:val="1"/>
    <w:qFormat/>
    <w:rsid w:val="003D7F3E"/>
    <w:rPr>
      <w:rFonts w:eastAsiaTheme="minorHAnsi"/>
      <w:sz w:val="22"/>
      <w:szCs w:val="22"/>
      <w:lang w:val="en-GB"/>
    </w:rPr>
  </w:style>
  <w:style w:type="table" w:styleId="LightShading-Accent1">
    <w:name w:val="Light Shading Accent 1"/>
    <w:basedOn w:val="TableNormal"/>
    <w:uiPriority w:val="60"/>
    <w:rsid w:val="003D7F3E"/>
    <w:rPr>
      <w:rFonts w:eastAsiaTheme="minorHAnsi"/>
      <w:color w:val="365F91" w:themeColor="accent1" w:themeShade="BF"/>
      <w:sz w:val="22"/>
      <w:szCs w:val="22"/>
      <w:lang w:val="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D7F3E"/>
    <w:rPr>
      <w:rFonts w:eastAsiaTheme="minorHAnsi"/>
      <w:sz w:val="22"/>
      <w:szCs w:val="22"/>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3D7F3E"/>
    <w:rPr>
      <w:rFonts w:eastAsiaTheme="minorHAnsi"/>
      <w:color w:val="31849B" w:themeColor="accent5" w:themeShade="BF"/>
      <w:sz w:val="22"/>
      <w:szCs w:val="22"/>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3D7F3E"/>
    <w:rPr>
      <w:rFonts w:eastAsiaTheme="minorHAnsi"/>
      <w:color w:val="76923C" w:themeColor="accent3" w:themeShade="BF"/>
      <w:sz w:val="22"/>
      <w:szCs w:val="22"/>
      <w:lang w:val="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5">
    <w:name w:val="Medium Grid 3 Accent 5"/>
    <w:basedOn w:val="TableNormal"/>
    <w:uiPriority w:val="69"/>
    <w:rsid w:val="003D7F3E"/>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1-Accent5">
    <w:name w:val="Medium List 1 Accent 5"/>
    <w:basedOn w:val="TableNormal"/>
    <w:uiPriority w:val="65"/>
    <w:rsid w:val="003D7F3E"/>
    <w:rPr>
      <w:rFonts w:eastAsiaTheme="minorHAnsi"/>
      <w:color w:val="000000" w:themeColor="text1"/>
      <w:sz w:val="22"/>
      <w:szCs w:val="22"/>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leGrid">
    <w:name w:val="Table Grid"/>
    <w:basedOn w:val="TableNormal"/>
    <w:uiPriority w:val="59"/>
    <w:rsid w:val="003D7F3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3D7F3E"/>
    <w:rPr>
      <w:rFonts w:eastAsiaTheme="minorHAnsi"/>
      <w:sz w:val="22"/>
      <w:szCs w:val="22"/>
      <w:lang w:val="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tyle3">
    <w:name w:val="Style3"/>
    <w:basedOn w:val="TableofAuthorities"/>
    <w:qFormat/>
    <w:rsid w:val="003D7F3E"/>
    <w:rPr>
      <w:rFonts w:asciiTheme="minorHAnsi" w:eastAsiaTheme="minorHAnsi" w:hAnsiTheme="minorHAnsi"/>
      <w:bCs/>
      <w:szCs w:val="22"/>
      <w:lang w:val="en-GB"/>
    </w:rPr>
  </w:style>
  <w:style w:type="paragraph" w:styleId="TOAHeading">
    <w:name w:val="toa heading"/>
    <w:basedOn w:val="Normal"/>
    <w:next w:val="Normal"/>
    <w:uiPriority w:val="99"/>
    <w:unhideWhenUsed/>
    <w:rsid w:val="003D7F3E"/>
    <w:pPr>
      <w:spacing w:before="120"/>
    </w:pPr>
    <w:rPr>
      <w:rFonts w:ascii="Arial" w:hAnsi="Arial" w:cs="Arial"/>
      <w:b/>
      <w:sz w:val="24"/>
      <w:lang w:val="en-GB"/>
    </w:rPr>
  </w:style>
  <w:style w:type="paragraph" w:styleId="BlockText">
    <w:name w:val="Block Text"/>
    <w:basedOn w:val="Normal"/>
    <w:rsid w:val="003D7F3E"/>
    <w:pPr>
      <w:spacing w:after="120" w:line="240" w:lineRule="auto"/>
      <w:ind w:left="1440" w:right="1440"/>
      <w:jc w:val="left"/>
    </w:pPr>
    <w:rPr>
      <w:rFonts w:ascii="Times New Roman" w:eastAsia="Times New Roman" w:hAnsi="Times New Roman" w:cs="Times New Roman"/>
      <w:sz w:val="24"/>
    </w:rPr>
  </w:style>
  <w:style w:type="paragraph" w:styleId="Revision">
    <w:name w:val="Revision"/>
    <w:hidden/>
    <w:uiPriority w:val="71"/>
    <w:rsid w:val="003D7F3E"/>
    <w:rPr>
      <w:rFonts w:ascii="Times New Roman" w:eastAsia="Times New Roman" w:hAnsi="Times New Roman" w:cs="Times New Roman"/>
    </w:rPr>
  </w:style>
  <w:style w:type="paragraph" w:styleId="DocumentMap">
    <w:name w:val="Document Map"/>
    <w:basedOn w:val="Normal"/>
    <w:link w:val="DocumentMapChar"/>
    <w:uiPriority w:val="99"/>
    <w:rsid w:val="003D7F3E"/>
    <w:pPr>
      <w:spacing w:line="240" w:lineRule="auto"/>
      <w:jc w:val="left"/>
    </w:pPr>
    <w:rPr>
      <w:rFonts w:ascii="Lucida Grande" w:eastAsia="Times New Roman" w:hAnsi="Lucida Grande" w:cs="Lucida Grande"/>
      <w:sz w:val="24"/>
    </w:rPr>
  </w:style>
  <w:style w:type="character" w:customStyle="1" w:styleId="DocumentMapChar">
    <w:name w:val="Document Map Char"/>
    <w:basedOn w:val="DefaultParagraphFont"/>
    <w:link w:val="DocumentMap"/>
    <w:uiPriority w:val="99"/>
    <w:rsid w:val="003D7F3E"/>
    <w:rPr>
      <w:rFonts w:ascii="Lucida Grande" w:eastAsia="Times New Roman"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E7"/>
    <w:pPr>
      <w:spacing w:line="480" w:lineRule="auto"/>
      <w:jc w:val="both"/>
    </w:pPr>
    <w:rPr>
      <w:rFonts w:asciiTheme="majorHAnsi" w:hAnsiTheme="majorHAnsi"/>
      <w:sz w:val="22"/>
    </w:rPr>
  </w:style>
  <w:style w:type="paragraph" w:styleId="Heading1">
    <w:name w:val="heading 1"/>
    <w:aliases w:val="CHAPTER,4"/>
    <w:basedOn w:val="Normal"/>
    <w:next w:val="Normal"/>
    <w:link w:val="Heading1Char"/>
    <w:uiPriority w:val="9"/>
    <w:qFormat/>
    <w:rsid w:val="003D7F3E"/>
    <w:pPr>
      <w:keepNext/>
      <w:keepLines/>
      <w:spacing w:before="480"/>
      <w:outlineLvl w:val="0"/>
    </w:pPr>
    <w:rPr>
      <w:rFonts w:eastAsiaTheme="majorEastAsia"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A55A76"/>
    <w:pPr>
      <w:keepNext/>
      <w:keepLines/>
      <w:spacing w:before="200"/>
      <w:outlineLvl w:val="1"/>
    </w:pPr>
    <w:rPr>
      <w:rFonts w:eastAsiaTheme="majorEastAsia" w:cstheme="majorBidi"/>
      <w:b/>
      <w:bCs/>
      <w:sz w:val="26"/>
      <w:szCs w:val="26"/>
      <w:lang w:val="en-GB"/>
    </w:rPr>
  </w:style>
  <w:style w:type="paragraph" w:styleId="Heading3">
    <w:name w:val="heading 3"/>
    <w:basedOn w:val="Normal"/>
    <w:next w:val="Normal"/>
    <w:link w:val="Heading3Char"/>
    <w:uiPriority w:val="9"/>
    <w:unhideWhenUsed/>
    <w:qFormat/>
    <w:rsid w:val="003D7F3E"/>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AB225A"/>
    <w:pPr>
      <w:keepNext/>
      <w:keepLines/>
      <w:spacing w:before="20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3D7F3E"/>
    <w:pPr>
      <w:keepNext/>
      <w:keepLines/>
      <w:spacing w:before="200" w:line="240" w:lineRule="auto"/>
      <w:jc w:val="left"/>
      <w:outlineLvl w:val="4"/>
    </w:pPr>
    <w:rPr>
      <w:rFonts w:eastAsiaTheme="majorEastAsia" w:cstheme="majorBidi"/>
      <w:i/>
      <w:color w:val="243F60" w:themeColor="accent1" w:themeShade="7F"/>
      <w:szCs w:val="22"/>
      <w:lang w:val="en-GB"/>
    </w:rPr>
  </w:style>
  <w:style w:type="paragraph" w:styleId="Heading6">
    <w:name w:val="heading 6"/>
    <w:basedOn w:val="Normal"/>
    <w:next w:val="Normal"/>
    <w:link w:val="Heading6Char"/>
    <w:semiHidden/>
    <w:unhideWhenUsed/>
    <w:qFormat/>
    <w:rsid w:val="003D7F3E"/>
    <w:pPr>
      <w:keepNext/>
      <w:keepLines/>
      <w:spacing w:before="200"/>
      <w:jc w:val="left"/>
      <w:outlineLvl w:val="5"/>
    </w:pPr>
    <w:rPr>
      <w:rFonts w:eastAsiaTheme="majorEastAsia" w:cstheme="majorBidi"/>
      <w:i/>
      <w:iCs/>
      <w:color w:val="243F60" w:themeColor="accent1" w:themeShade="7F"/>
      <w:szCs w:val="22"/>
      <w:lang w:val="en-GB"/>
    </w:rPr>
  </w:style>
  <w:style w:type="paragraph" w:styleId="Heading7">
    <w:name w:val="heading 7"/>
    <w:basedOn w:val="Normal"/>
    <w:next w:val="Normal"/>
    <w:link w:val="Heading7Char"/>
    <w:semiHidden/>
    <w:unhideWhenUsed/>
    <w:qFormat/>
    <w:rsid w:val="003D7F3E"/>
    <w:pPr>
      <w:keepNext/>
      <w:keepLines/>
      <w:spacing w:before="200"/>
      <w:jc w:val="left"/>
      <w:outlineLvl w:val="6"/>
    </w:pPr>
    <w:rPr>
      <w:rFonts w:eastAsiaTheme="majorEastAsia" w:cstheme="majorBidi"/>
      <w:i/>
      <w:iCs/>
      <w:color w:val="404040" w:themeColor="text1" w:themeTint="BF"/>
      <w:szCs w:val="22"/>
      <w:lang w:val="en-GB"/>
    </w:rPr>
  </w:style>
  <w:style w:type="paragraph" w:styleId="Heading8">
    <w:name w:val="heading 8"/>
    <w:basedOn w:val="Normal"/>
    <w:next w:val="Normal"/>
    <w:link w:val="Heading8Char"/>
    <w:semiHidden/>
    <w:unhideWhenUsed/>
    <w:qFormat/>
    <w:rsid w:val="003D7F3E"/>
    <w:pPr>
      <w:keepNext/>
      <w:keepLines/>
      <w:spacing w:before="200"/>
      <w:jc w:val="left"/>
      <w:outlineLvl w:val="7"/>
    </w:pPr>
    <w:rPr>
      <w:rFonts w:eastAsiaTheme="majorEastAsia"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D7F3E"/>
    <w:pPr>
      <w:keepNext/>
      <w:keepLines/>
      <w:spacing w:before="200"/>
      <w:jc w:val="left"/>
      <w:outlineLvl w:val="8"/>
    </w:pPr>
    <w:rPr>
      <w:rFonts w:eastAsiaTheme="majorEastAsia"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64EE7"/>
    <w:pPr>
      <w:spacing w:before="120"/>
    </w:pPr>
    <w:rPr>
      <w:b/>
      <w:szCs w:val="22"/>
    </w:rPr>
  </w:style>
  <w:style w:type="paragraph" w:customStyle="1" w:styleId="Body1">
    <w:name w:val="Body 1"/>
    <w:autoRedefine/>
    <w:rsid w:val="00747EDE"/>
    <w:pPr>
      <w:jc w:val="both"/>
      <w:outlineLvl w:val="0"/>
    </w:pPr>
    <w:rPr>
      <w:rFonts w:asciiTheme="majorHAnsi" w:eastAsia="Arial Unicode MS" w:hAnsiTheme="majorHAnsi" w:cs="Times New Roman"/>
      <w:color w:val="000000"/>
      <w:sz w:val="22"/>
      <w:szCs w:val="20"/>
      <w:u w:color="000000"/>
      <w:lang w:val="en-GB" w:eastAsia="en-GB"/>
    </w:rPr>
  </w:style>
  <w:style w:type="paragraph" w:styleId="TOC4">
    <w:name w:val="toc 4"/>
    <w:basedOn w:val="Normal"/>
    <w:next w:val="Normal"/>
    <w:autoRedefine/>
    <w:uiPriority w:val="39"/>
    <w:unhideWhenUsed/>
    <w:qFormat/>
    <w:rsid w:val="00AB225A"/>
    <w:pPr>
      <w:ind w:left="660"/>
      <w:jc w:val="left"/>
    </w:pPr>
    <w:rPr>
      <w:i/>
      <w:color w:val="000000" w:themeColor="text1"/>
      <w:szCs w:val="20"/>
    </w:rPr>
  </w:style>
  <w:style w:type="character" w:customStyle="1" w:styleId="Heading4Char">
    <w:name w:val="Heading 4 Char"/>
    <w:basedOn w:val="DefaultParagraphFont"/>
    <w:link w:val="Heading4"/>
    <w:uiPriority w:val="9"/>
    <w:rsid w:val="00AB225A"/>
    <w:rPr>
      <w:rFonts w:asciiTheme="majorHAnsi" w:eastAsiaTheme="majorEastAsia" w:hAnsiTheme="majorHAnsi" w:cstheme="majorBidi"/>
      <w:bCs/>
      <w:i/>
      <w:iCs/>
      <w:sz w:val="22"/>
    </w:rPr>
  </w:style>
  <w:style w:type="table" w:customStyle="1" w:styleId="Style1">
    <w:name w:val="Style1"/>
    <w:basedOn w:val="LightList-Accent1"/>
    <w:uiPriority w:val="99"/>
    <w:rsid w:val="00CC5A5E"/>
    <w:rPr>
      <w:rFonts w:asciiTheme="majorHAnsi" w:hAnsiTheme="majorHAnsi"/>
      <w:sz w:val="22"/>
      <w:szCs w:val="20"/>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C5A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ofAuthorities">
    <w:name w:val="table of authorities"/>
    <w:aliases w:val="Table of Authoriti"/>
    <w:basedOn w:val="Normal"/>
    <w:next w:val="Normal"/>
    <w:autoRedefine/>
    <w:uiPriority w:val="99"/>
    <w:unhideWhenUsed/>
    <w:qFormat/>
    <w:rsid w:val="008F0ACA"/>
    <w:pPr>
      <w:spacing w:line="240" w:lineRule="auto"/>
      <w:ind w:left="220" w:hanging="220"/>
      <w:jc w:val="left"/>
    </w:pPr>
  </w:style>
  <w:style w:type="table" w:customStyle="1" w:styleId="Style2">
    <w:name w:val="Style2"/>
    <w:basedOn w:val="LightList-Accent1"/>
    <w:uiPriority w:val="99"/>
    <w:rsid w:val="00CC5A5E"/>
    <w:rPr>
      <w:rFonts w:eastAsiaTheme="minorHAns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CC5A5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S">
    <w:name w:val="TABLES!"/>
    <w:basedOn w:val="LightList-Accent1"/>
    <w:uiPriority w:val="99"/>
    <w:rsid w:val="00CC5A5E"/>
    <w:rPr>
      <w:rFonts w:asciiTheme="majorHAnsi" w:hAnsiTheme="maj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autoRedefine/>
    <w:uiPriority w:val="35"/>
    <w:unhideWhenUsed/>
    <w:qFormat/>
    <w:rsid w:val="00526762"/>
    <w:pPr>
      <w:spacing w:after="200" w:line="240" w:lineRule="auto"/>
    </w:pPr>
    <w:rPr>
      <w:bCs/>
      <w:color w:val="4F81BD" w:themeColor="accent1"/>
      <w:sz w:val="20"/>
      <w:szCs w:val="18"/>
    </w:rPr>
  </w:style>
  <w:style w:type="paragraph" w:styleId="BodyText">
    <w:name w:val="Body Text"/>
    <w:basedOn w:val="Normal"/>
    <w:link w:val="BodyTextChar"/>
    <w:uiPriority w:val="99"/>
    <w:unhideWhenUsed/>
    <w:rsid w:val="00E614A9"/>
    <w:pPr>
      <w:spacing w:after="120"/>
    </w:pPr>
    <w:rPr>
      <w:lang w:val="en-GB"/>
    </w:rPr>
  </w:style>
  <w:style w:type="character" w:customStyle="1" w:styleId="BodyTextChar">
    <w:name w:val="Body Text Char"/>
    <w:basedOn w:val="DefaultParagraphFont"/>
    <w:link w:val="BodyText"/>
    <w:uiPriority w:val="99"/>
    <w:rsid w:val="00E614A9"/>
    <w:rPr>
      <w:rFonts w:asciiTheme="majorHAnsi" w:hAnsiTheme="majorHAnsi"/>
      <w:sz w:val="22"/>
      <w:lang w:val="en-GB"/>
    </w:rPr>
  </w:style>
  <w:style w:type="paragraph" w:customStyle="1" w:styleId="List0">
    <w:name w:val="List 0"/>
    <w:basedOn w:val="Normal"/>
    <w:semiHidden/>
    <w:rsid w:val="00E614A9"/>
    <w:pPr>
      <w:numPr>
        <w:numId w:val="1"/>
      </w:numPr>
      <w:spacing w:line="240" w:lineRule="auto"/>
      <w:jc w:val="left"/>
    </w:pPr>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qFormat/>
    <w:rsid w:val="003B5EFE"/>
    <w:pPr>
      <w:spacing w:line="240" w:lineRule="auto"/>
    </w:pPr>
    <w:rPr>
      <w:rFonts w:eastAsia="SimSun" w:cs="Times New Roman"/>
      <w:sz w:val="20"/>
      <w:szCs w:val="20"/>
      <w:lang w:val="en-GB"/>
    </w:rPr>
  </w:style>
  <w:style w:type="character" w:customStyle="1" w:styleId="FootnoteTextChar">
    <w:name w:val="Footnote Text Char"/>
    <w:basedOn w:val="DefaultParagraphFont"/>
    <w:link w:val="FootnoteText"/>
    <w:uiPriority w:val="99"/>
    <w:rsid w:val="003B5EFE"/>
    <w:rPr>
      <w:rFonts w:asciiTheme="majorHAnsi" w:eastAsia="SimSun" w:hAnsiTheme="majorHAnsi" w:cs="Times New Roman"/>
      <w:sz w:val="20"/>
      <w:szCs w:val="20"/>
      <w:lang w:val="en-GB"/>
    </w:rPr>
  </w:style>
  <w:style w:type="character" w:styleId="FootnoteReference">
    <w:name w:val="footnote reference"/>
    <w:basedOn w:val="DefaultParagraphFont"/>
    <w:uiPriority w:val="99"/>
    <w:rsid w:val="003B5EFE"/>
    <w:rPr>
      <w:rFonts w:asciiTheme="majorHAnsi" w:hAnsiTheme="majorHAnsi" w:cs="Times New Roman"/>
      <w:sz w:val="20"/>
      <w:vertAlign w:val="superscript"/>
    </w:rPr>
  </w:style>
  <w:style w:type="paragraph" w:styleId="ListParagraph">
    <w:name w:val="List Paragraph"/>
    <w:basedOn w:val="Normal"/>
    <w:uiPriority w:val="34"/>
    <w:qFormat/>
    <w:rsid w:val="003B5EFE"/>
    <w:pPr>
      <w:ind w:left="720"/>
      <w:contextualSpacing/>
    </w:pPr>
  </w:style>
  <w:style w:type="paragraph" w:styleId="BalloonText">
    <w:name w:val="Balloon Text"/>
    <w:basedOn w:val="Normal"/>
    <w:link w:val="BalloonTextChar"/>
    <w:unhideWhenUsed/>
    <w:rsid w:val="003B5EF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3B5EFE"/>
    <w:rPr>
      <w:rFonts w:ascii="Lucida Grande" w:hAnsi="Lucida Grande" w:cs="Lucida Grande"/>
      <w:sz w:val="18"/>
      <w:szCs w:val="18"/>
    </w:rPr>
  </w:style>
  <w:style w:type="character" w:styleId="Hyperlink">
    <w:name w:val="Hyperlink"/>
    <w:basedOn w:val="DefaultParagraphFont"/>
    <w:uiPriority w:val="99"/>
    <w:rsid w:val="00A55A76"/>
    <w:rPr>
      <w:rFonts w:cs="Times New Roman"/>
      <w:color w:val="0000FF"/>
      <w:u w:val="single"/>
    </w:rPr>
  </w:style>
  <w:style w:type="table" w:styleId="MediumList2-Accent1">
    <w:name w:val="Medium List 2 Accent 1"/>
    <w:basedOn w:val="TableNormal"/>
    <w:uiPriority w:val="66"/>
    <w:rsid w:val="00A55A7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2Char">
    <w:name w:val="Heading 2 Char"/>
    <w:basedOn w:val="DefaultParagraphFont"/>
    <w:link w:val="Heading2"/>
    <w:uiPriority w:val="9"/>
    <w:rsid w:val="00A55A76"/>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3D7F3E"/>
    <w:rPr>
      <w:rFonts w:asciiTheme="majorHAnsi" w:eastAsiaTheme="majorEastAsia" w:hAnsiTheme="majorHAnsi" w:cstheme="majorBidi"/>
      <w:b/>
      <w:bCs/>
      <w:color w:val="4F81BD" w:themeColor="accent1"/>
      <w:sz w:val="22"/>
    </w:rPr>
  </w:style>
  <w:style w:type="character" w:customStyle="1" w:styleId="Heading1Char">
    <w:name w:val="Heading 1 Char"/>
    <w:aliases w:val="CHAPTER Char,4 Char"/>
    <w:basedOn w:val="DefaultParagraphFont"/>
    <w:link w:val="Heading1"/>
    <w:uiPriority w:val="9"/>
    <w:rsid w:val="003D7F3E"/>
    <w:rPr>
      <w:rFonts w:asciiTheme="majorHAnsi" w:eastAsiaTheme="majorEastAsia" w:hAnsiTheme="majorHAnsi" w:cstheme="majorBidi"/>
      <w:b/>
      <w:bCs/>
      <w:color w:val="345A8A" w:themeColor="accent1" w:themeShade="B5"/>
      <w:sz w:val="32"/>
      <w:szCs w:val="32"/>
      <w:lang w:val="en-GB"/>
    </w:rPr>
  </w:style>
  <w:style w:type="character" w:customStyle="1" w:styleId="Heading5Char">
    <w:name w:val="Heading 5 Char"/>
    <w:basedOn w:val="DefaultParagraphFont"/>
    <w:link w:val="Heading5"/>
    <w:uiPriority w:val="9"/>
    <w:rsid w:val="003D7F3E"/>
    <w:rPr>
      <w:rFonts w:asciiTheme="majorHAnsi" w:eastAsiaTheme="majorEastAsia" w:hAnsiTheme="majorHAnsi" w:cstheme="majorBidi"/>
      <w:i/>
      <w:color w:val="243F60" w:themeColor="accent1" w:themeShade="7F"/>
      <w:sz w:val="22"/>
      <w:szCs w:val="22"/>
      <w:lang w:val="en-GB"/>
    </w:rPr>
  </w:style>
  <w:style w:type="character" w:customStyle="1" w:styleId="Heading6Char">
    <w:name w:val="Heading 6 Char"/>
    <w:basedOn w:val="DefaultParagraphFont"/>
    <w:link w:val="Heading6"/>
    <w:semiHidden/>
    <w:rsid w:val="003D7F3E"/>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semiHidden/>
    <w:rsid w:val="003D7F3E"/>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semiHidden/>
    <w:rsid w:val="003D7F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3D7F3E"/>
    <w:rPr>
      <w:rFonts w:asciiTheme="majorHAnsi" w:eastAsiaTheme="majorEastAsia" w:hAnsiTheme="majorHAnsi" w:cstheme="majorBidi"/>
      <w:i/>
      <w:iCs/>
      <w:color w:val="404040" w:themeColor="text1" w:themeTint="BF"/>
      <w:sz w:val="20"/>
      <w:szCs w:val="20"/>
      <w:lang w:val="en-GB"/>
    </w:rPr>
  </w:style>
  <w:style w:type="paragraph" w:styleId="TOCHeading">
    <w:name w:val="TOC Heading"/>
    <w:basedOn w:val="Heading1"/>
    <w:next w:val="Normal"/>
    <w:uiPriority w:val="39"/>
    <w:unhideWhenUsed/>
    <w:qFormat/>
    <w:rsid w:val="003D7F3E"/>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3D7F3E"/>
    <w:pPr>
      <w:spacing w:line="240" w:lineRule="auto"/>
      <w:ind w:left="220"/>
      <w:jc w:val="left"/>
    </w:pPr>
    <w:rPr>
      <w:b/>
      <w:szCs w:val="22"/>
      <w:lang w:val="en-GB"/>
    </w:rPr>
  </w:style>
  <w:style w:type="paragraph" w:styleId="TOC3">
    <w:name w:val="toc 3"/>
    <w:basedOn w:val="Normal"/>
    <w:next w:val="Normal"/>
    <w:autoRedefine/>
    <w:uiPriority w:val="39"/>
    <w:unhideWhenUsed/>
    <w:rsid w:val="003D7F3E"/>
    <w:pPr>
      <w:spacing w:line="240" w:lineRule="auto"/>
      <w:ind w:left="440"/>
      <w:jc w:val="left"/>
    </w:pPr>
    <w:rPr>
      <w:szCs w:val="22"/>
      <w:lang w:val="en-GB"/>
    </w:rPr>
  </w:style>
  <w:style w:type="paragraph" w:styleId="Footer">
    <w:name w:val="footer"/>
    <w:basedOn w:val="Normal"/>
    <w:link w:val="FooterChar"/>
    <w:uiPriority w:val="99"/>
    <w:unhideWhenUsed/>
    <w:rsid w:val="003D7F3E"/>
    <w:pPr>
      <w:tabs>
        <w:tab w:val="center" w:pos="4320"/>
        <w:tab w:val="right" w:pos="8640"/>
      </w:tabs>
    </w:pPr>
    <w:rPr>
      <w:lang w:val="en-GB"/>
    </w:rPr>
  </w:style>
  <w:style w:type="character" w:customStyle="1" w:styleId="FooterChar">
    <w:name w:val="Footer Char"/>
    <w:basedOn w:val="DefaultParagraphFont"/>
    <w:link w:val="Footer"/>
    <w:uiPriority w:val="99"/>
    <w:rsid w:val="003D7F3E"/>
    <w:rPr>
      <w:rFonts w:asciiTheme="majorHAnsi" w:hAnsiTheme="majorHAnsi"/>
      <w:sz w:val="22"/>
      <w:lang w:val="en-GB"/>
    </w:rPr>
  </w:style>
  <w:style w:type="character" w:styleId="PageNumber">
    <w:name w:val="page number"/>
    <w:basedOn w:val="DefaultParagraphFont"/>
    <w:unhideWhenUsed/>
    <w:rsid w:val="003D7F3E"/>
  </w:style>
  <w:style w:type="paragraph" w:styleId="Header">
    <w:name w:val="header"/>
    <w:basedOn w:val="Normal"/>
    <w:link w:val="HeaderChar"/>
    <w:unhideWhenUsed/>
    <w:rsid w:val="003D7F3E"/>
    <w:pPr>
      <w:tabs>
        <w:tab w:val="center" w:pos="4513"/>
        <w:tab w:val="right" w:pos="9026"/>
      </w:tabs>
    </w:pPr>
  </w:style>
  <w:style w:type="character" w:customStyle="1" w:styleId="HeaderChar">
    <w:name w:val="Header Char"/>
    <w:basedOn w:val="DefaultParagraphFont"/>
    <w:link w:val="Header"/>
    <w:rsid w:val="003D7F3E"/>
    <w:rPr>
      <w:rFonts w:asciiTheme="majorHAnsi" w:hAnsiTheme="majorHAnsi"/>
      <w:sz w:val="22"/>
    </w:rPr>
  </w:style>
  <w:style w:type="paragraph" w:styleId="TOC5">
    <w:name w:val="toc 5"/>
    <w:basedOn w:val="Normal"/>
    <w:next w:val="Normal"/>
    <w:autoRedefine/>
    <w:uiPriority w:val="39"/>
    <w:unhideWhenUsed/>
    <w:rsid w:val="003D7F3E"/>
    <w:pPr>
      <w:spacing w:line="240" w:lineRule="auto"/>
      <w:ind w:left="880"/>
      <w:jc w:val="left"/>
    </w:pPr>
    <w:rPr>
      <w:i/>
      <w:szCs w:val="20"/>
      <w:lang w:val="en-GB"/>
    </w:rPr>
  </w:style>
  <w:style w:type="paragraph" w:styleId="TOC6">
    <w:name w:val="toc 6"/>
    <w:basedOn w:val="Normal"/>
    <w:next w:val="Normal"/>
    <w:autoRedefine/>
    <w:uiPriority w:val="39"/>
    <w:unhideWhenUsed/>
    <w:rsid w:val="003D7F3E"/>
    <w:pPr>
      <w:ind w:left="1100"/>
      <w:jc w:val="left"/>
    </w:pPr>
    <w:rPr>
      <w:rFonts w:asciiTheme="minorHAnsi" w:hAnsiTheme="minorHAnsi"/>
      <w:sz w:val="20"/>
      <w:szCs w:val="20"/>
      <w:lang w:val="en-GB"/>
    </w:rPr>
  </w:style>
  <w:style w:type="paragraph" w:styleId="TOC7">
    <w:name w:val="toc 7"/>
    <w:basedOn w:val="Normal"/>
    <w:next w:val="Normal"/>
    <w:autoRedefine/>
    <w:uiPriority w:val="39"/>
    <w:unhideWhenUsed/>
    <w:rsid w:val="003D7F3E"/>
    <w:pPr>
      <w:ind w:left="1320"/>
      <w:jc w:val="left"/>
    </w:pPr>
    <w:rPr>
      <w:rFonts w:asciiTheme="minorHAnsi" w:hAnsiTheme="minorHAnsi"/>
      <w:sz w:val="20"/>
      <w:szCs w:val="20"/>
      <w:lang w:val="en-GB"/>
    </w:rPr>
  </w:style>
  <w:style w:type="paragraph" w:styleId="TOC8">
    <w:name w:val="toc 8"/>
    <w:basedOn w:val="Normal"/>
    <w:next w:val="Normal"/>
    <w:autoRedefine/>
    <w:uiPriority w:val="39"/>
    <w:unhideWhenUsed/>
    <w:rsid w:val="003D7F3E"/>
    <w:pPr>
      <w:ind w:left="1540"/>
      <w:jc w:val="left"/>
    </w:pPr>
    <w:rPr>
      <w:rFonts w:asciiTheme="minorHAnsi" w:hAnsiTheme="minorHAnsi"/>
      <w:sz w:val="20"/>
      <w:szCs w:val="20"/>
      <w:lang w:val="en-GB"/>
    </w:rPr>
  </w:style>
  <w:style w:type="paragraph" w:styleId="TOC9">
    <w:name w:val="toc 9"/>
    <w:basedOn w:val="Normal"/>
    <w:next w:val="Normal"/>
    <w:autoRedefine/>
    <w:uiPriority w:val="39"/>
    <w:unhideWhenUsed/>
    <w:rsid w:val="003D7F3E"/>
    <w:pPr>
      <w:ind w:left="1760"/>
      <w:jc w:val="left"/>
    </w:pPr>
    <w:rPr>
      <w:rFonts w:asciiTheme="minorHAnsi" w:hAnsiTheme="minorHAnsi"/>
      <w:sz w:val="20"/>
      <w:szCs w:val="20"/>
      <w:lang w:val="en-GB"/>
    </w:rPr>
  </w:style>
  <w:style w:type="paragraph" w:styleId="NormalWeb">
    <w:name w:val="Normal (Web)"/>
    <w:basedOn w:val="Normal"/>
    <w:uiPriority w:val="99"/>
    <w:unhideWhenUsed/>
    <w:rsid w:val="003D7F3E"/>
    <w:pPr>
      <w:spacing w:before="100" w:beforeAutospacing="1" w:after="100" w:afterAutospacing="1"/>
    </w:pPr>
    <w:rPr>
      <w:rFonts w:ascii="Times" w:hAnsi="Times" w:cs="Times New Roman"/>
      <w:sz w:val="20"/>
      <w:szCs w:val="20"/>
      <w:lang w:val="en-GB"/>
    </w:rPr>
  </w:style>
  <w:style w:type="paragraph" w:styleId="Quote">
    <w:name w:val="Quote"/>
    <w:basedOn w:val="Normal"/>
    <w:next w:val="Normal"/>
    <w:link w:val="QuoteChar"/>
    <w:uiPriority w:val="29"/>
    <w:qFormat/>
    <w:rsid w:val="003D7F3E"/>
    <w:pPr>
      <w:ind w:left="454" w:right="454"/>
    </w:pPr>
    <w:rPr>
      <w:iCs/>
      <w:color w:val="000000" w:themeColor="text1"/>
    </w:rPr>
  </w:style>
  <w:style w:type="character" w:customStyle="1" w:styleId="QuoteChar">
    <w:name w:val="Quote Char"/>
    <w:basedOn w:val="DefaultParagraphFont"/>
    <w:link w:val="Quote"/>
    <w:uiPriority w:val="29"/>
    <w:rsid w:val="003D7F3E"/>
    <w:rPr>
      <w:rFonts w:asciiTheme="majorHAnsi" w:hAnsiTheme="majorHAnsi"/>
      <w:iCs/>
      <w:color w:val="000000" w:themeColor="text1"/>
      <w:sz w:val="22"/>
    </w:rPr>
  </w:style>
  <w:style w:type="paragraph" w:styleId="CommentText">
    <w:name w:val="annotation text"/>
    <w:basedOn w:val="Normal"/>
    <w:link w:val="CommentTextChar"/>
    <w:uiPriority w:val="99"/>
    <w:semiHidden/>
    <w:unhideWhenUsed/>
    <w:rsid w:val="003D7F3E"/>
  </w:style>
  <w:style w:type="character" w:customStyle="1" w:styleId="CommentTextChar">
    <w:name w:val="Comment Text Char"/>
    <w:basedOn w:val="DefaultParagraphFont"/>
    <w:link w:val="CommentText"/>
    <w:uiPriority w:val="99"/>
    <w:semiHidden/>
    <w:rsid w:val="003D7F3E"/>
    <w:rPr>
      <w:rFonts w:asciiTheme="majorHAnsi" w:hAnsiTheme="majorHAnsi"/>
      <w:sz w:val="22"/>
    </w:rPr>
  </w:style>
  <w:style w:type="character" w:styleId="FollowedHyperlink">
    <w:name w:val="FollowedHyperlink"/>
    <w:basedOn w:val="DefaultParagraphFont"/>
    <w:uiPriority w:val="99"/>
    <w:semiHidden/>
    <w:unhideWhenUsed/>
    <w:rsid w:val="003D7F3E"/>
    <w:rPr>
      <w:color w:val="800080" w:themeColor="followedHyperlink"/>
      <w:u w:val="single"/>
    </w:rPr>
  </w:style>
  <w:style w:type="table" w:customStyle="1" w:styleId="TABLE">
    <w:name w:val="TABLE"/>
    <w:basedOn w:val="TableNormal"/>
    <w:uiPriority w:val="99"/>
    <w:rsid w:val="003D7F3E"/>
    <w:rPr>
      <w:rFonts w:eastAsiaTheme="minorHAnsi"/>
      <w:sz w:val="22"/>
      <w:szCs w:val="22"/>
      <w:lang w:val="en-GB"/>
    </w:rPr>
    <w:tblPr>
      <w:tblInd w:w="0" w:type="dxa"/>
      <w:tblCellMar>
        <w:top w:w="0" w:type="dxa"/>
        <w:left w:w="108" w:type="dxa"/>
        <w:bottom w:w="0" w:type="dxa"/>
        <w:right w:w="108" w:type="dxa"/>
      </w:tblCellMar>
    </w:tblPr>
  </w:style>
  <w:style w:type="table" w:customStyle="1" w:styleId="TABLE1">
    <w:name w:val="TABLE1"/>
    <w:basedOn w:val="TableNormal"/>
    <w:uiPriority w:val="99"/>
    <w:rsid w:val="003D7F3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TableofFigures">
    <w:name w:val="table of figures"/>
    <w:basedOn w:val="Normal"/>
    <w:next w:val="Normal"/>
    <w:autoRedefine/>
    <w:uiPriority w:val="99"/>
    <w:unhideWhenUsed/>
    <w:rsid w:val="003D7F3E"/>
    <w:pPr>
      <w:tabs>
        <w:tab w:val="right" w:leader="dot" w:pos="8290"/>
      </w:tabs>
      <w:spacing w:line="240" w:lineRule="auto"/>
      <w:ind w:left="440" w:hanging="440"/>
      <w:jc w:val="left"/>
    </w:pPr>
    <w:rPr>
      <w:rFonts w:eastAsiaTheme="minorHAnsi"/>
      <w:b/>
      <w:sz w:val="24"/>
      <w:lang w:val="en-GB"/>
    </w:rPr>
  </w:style>
  <w:style w:type="numbering" w:styleId="111111">
    <w:name w:val="Outline List 2"/>
    <w:aliases w:val="Chapter 4"/>
    <w:basedOn w:val="NoList"/>
    <w:uiPriority w:val="99"/>
    <w:semiHidden/>
    <w:unhideWhenUsed/>
    <w:rsid w:val="003D7F3E"/>
    <w:pPr>
      <w:numPr>
        <w:numId w:val="5"/>
      </w:numPr>
    </w:pPr>
  </w:style>
  <w:style w:type="paragraph" w:styleId="Title">
    <w:name w:val="Title"/>
    <w:basedOn w:val="Normal"/>
    <w:next w:val="Normal"/>
    <w:link w:val="TitleChar"/>
    <w:uiPriority w:val="10"/>
    <w:qFormat/>
    <w:rsid w:val="003D7F3E"/>
    <w:pPr>
      <w:pBdr>
        <w:bottom w:val="single" w:sz="8" w:space="4" w:color="4F81BD" w:themeColor="accent1"/>
      </w:pBdr>
      <w:spacing w:after="300" w:line="240" w:lineRule="auto"/>
      <w:contextualSpacing/>
      <w:jc w:val="left"/>
    </w:pPr>
    <w:rPr>
      <w:rFonts w:asciiTheme="minorHAnsi" w:eastAsiaTheme="majorEastAsia" w:hAnsiTheme="minorHAnsi" w:cstheme="majorBidi"/>
      <w:color w:val="17365D" w:themeColor="text2" w:themeShade="BF"/>
      <w:spacing w:val="5"/>
      <w:kern w:val="28"/>
      <w:sz w:val="24"/>
      <w:szCs w:val="52"/>
      <w:lang w:val="en-GB"/>
    </w:rPr>
  </w:style>
  <w:style w:type="character" w:customStyle="1" w:styleId="TitleChar">
    <w:name w:val="Title Char"/>
    <w:basedOn w:val="DefaultParagraphFont"/>
    <w:link w:val="Title"/>
    <w:uiPriority w:val="10"/>
    <w:rsid w:val="003D7F3E"/>
    <w:rPr>
      <w:rFonts w:eastAsiaTheme="majorEastAsia" w:cstheme="majorBidi"/>
      <w:color w:val="17365D" w:themeColor="text2" w:themeShade="BF"/>
      <w:spacing w:val="5"/>
      <w:kern w:val="28"/>
      <w:szCs w:val="52"/>
      <w:lang w:val="en-GB"/>
    </w:rPr>
  </w:style>
  <w:style w:type="paragraph" w:styleId="Subtitle">
    <w:name w:val="Subtitle"/>
    <w:aliases w:val="heading 5"/>
    <w:basedOn w:val="Normal"/>
    <w:next w:val="Normal"/>
    <w:link w:val="SubtitleChar"/>
    <w:uiPriority w:val="11"/>
    <w:qFormat/>
    <w:rsid w:val="003D7F3E"/>
    <w:pPr>
      <w:numPr>
        <w:ilvl w:val="1"/>
      </w:numPr>
      <w:spacing w:after="200"/>
      <w:jc w:val="left"/>
    </w:pPr>
    <w:rPr>
      <w:rFonts w:asciiTheme="minorHAnsi" w:eastAsiaTheme="majorEastAsia" w:hAnsiTheme="minorHAnsi" w:cstheme="majorBidi"/>
      <w:i/>
      <w:iCs/>
      <w:spacing w:val="15"/>
      <w:lang w:val="en-GB"/>
    </w:rPr>
  </w:style>
  <w:style w:type="character" w:customStyle="1" w:styleId="SubtitleChar">
    <w:name w:val="Subtitle Char"/>
    <w:aliases w:val="heading 5 Char"/>
    <w:basedOn w:val="DefaultParagraphFont"/>
    <w:link w:val="Subtitle"/>
    <w:uiPriority w:val="11"/>
    <w:rsid w:val="003D7F3E"/>
    <w:rPr>
      <w:rFonts w:eastAsiaTheme="majorEastAsia" w:cstheme="majorBidi"/>
      <w:i/>
      <w:iCs/>
      <w:spacing w:val="15"/>
      <w:sz w:val="22"/>
      <w:lang w:val="en-GB"/>
    </w:rPr>
  </w:style>
  <w:style w:type="character" w:styleId="SubtleEmphasis">
    <w:name w:val="Subtle Emphasis"/>
    <w:basedOn w:val="DefaultParagraphFont"/>
    <w:uiPriority w:val="19"/>
    <w:qFormat/>
    <w:rsid w:val="003D7F3E"/>
    <w:rPr>
      <w:i/>
      <w:iCs/>
      <w:color w:val="808080" w:themeColor="text1" w:themeTint="7F"/>
    </w:rPr>
  </w:style>
  <w:style w:type="paragraph" w:styleId="NoSpacing">
    <w:name w:val="No Spacing"/>
    <w:uiPriority w:val="1"/>
    <w:qFormat/>
    <w:rsid w:val="003D7F3E"/>
    <w:rPr>
      <w:rFonts w:eastAsiaTheme="minorHAnsi"/>
      <w:sz w:val="22"/>
      <w:szCs w:val="22"/>
      <w:lang w:val="en-GB"/>
    </w:rPr>
  </w:style>
  <w:style w:type="table" w:styleId="LightShading-Accent1">
    <w:name w:val="Light Shading Accent 1"/>
    <w:basedOn w:val="TableNormal"/>
    <w:uiPriority w:val="60"/>
    <w:rsid w:val="003D7F3E"/>
    <w:rPr>
      <w:rFonts w:eastAsiaTheme="minorHAnsi"/>
      <w:color w:val="365F91" w:themeColor="accent1" w:themeShade="BF"/>
      <w:sz w:val="22"/>
      <w:szCs w:val="22"/>
      <w:lang w:val="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D7F3E"/>
    <w:rPr>
      <w:rFonts w:eastAsiaTheme="minorHAnsi"/>
      <w:sz w:val="22"/>
      <w:szCs w:val="22"/>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3D7F3E"/>
    <w:rPr>
      <w:rFonts w:eastAsiaTheme="minorHAnsi"/>
      <w:color w:val="31849B" w:themeColor="accent5" w:themeShade="BF"/>
      <w:sz w:val="22"/>
      <w:szCs w:val="22"/>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3D7F3E"/>
    <w:rPr>
      <w:rFonts w:eastAsiaTheme="minorHAnsi"/>
      <w:color w:val="76923C" w:themeColor="accent3" w:themeShade="BF"/>
      <w:sz w:val="22"/>
      <w:szCs w:val="22"/>
      <w:lang w:val="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5">
    <w:name w:val="Medium Grid 3 Accent 5"/>
    <w:basedOn w:val="TableNormal"/>
    <w:uiPriority w:val="69"/>
    <w:rsid w:val="003D7F3E"/>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1-Accent5">
    <w:name w:val="Medium List 1 Accent 5"/>
    <w:basedOn w:val="TableNormal"/>
    <w:uiPriority w:val="65"/>
    <w:rsid w:val="003D7F3E"/>
    <w:rPr>
      <w:rFonts w:eastAsiaTheme="minorHAnsi"/>
      <w:color w:val="000000" w:themeColor="text1"/>
      <w:sz w:val="22"/>
      <w:szCs w:val="22"/>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leGrid">
    <w:name w:val="Table Grid"/>
    <w:basedOn w:val="TableNormal"/>
    <w:uiPriority w:val="59"/>
    <w:rsid w:val="003D7F3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3D7F3E"/>
    <w:rPr>
      <w:rFonts w:eastAsiaTheme="minorHAnsi"/>
      <w:sz w:val="22"/>
      <w:szCs w:val="22"/>
      <w:lang w:val="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tyle3">
    <w:name w:val="Style3"/>
    <w:basedOn w:val="TableofAuthorities"/>
    <w:qFormat/>
    <w:rsid w:val="003D7F3E"/>
    <w:rPr>
      <w:rFonts w:asciiTheme="minorHAnsi" w:eastAsiaTheme="minorHAnsi" w:hAnsiTheme="minorHAnsi"/>
      <w:bCs/>
      <w:szCs w:val="22"/>
      <w:lang w:val="en-GB"/>
    </w:rPr>
  </w:style>
  <w:style w:type="paragraph" w:styleId="TOAHeading">
    <w:name w:val="toa heading"/>
    <w:basedOn w:val="Normal"/>
    <w:next w:val="Normal"/>
    <w:uiPriority w:val="99"/>
    <w:unhideWhenUsed/>
    <w:rsid w:val="003D7F3E"/>
    <w:pPr>
      <w:spacing w:before="120"/>
    </w:pPr>
    <w:rPr>
      <w:rFonts w:ascii="Arial" w:hAnsi="Arial" w:cs="Arial"/>
      <w:b/>
      <w:sz w:val="24"/>
      <w:lang w:val="en-GB"/>
    </w:rPr>
  </w:style>
  <w:style w:type="paragraph" w:styleId="BlockText">
    <w:name w:val="Block Text"/>
    <w:basedOn w:val="Normal"/>
    <w:rsid w:val="003D7F3E"/>
    <w:pPr>
      <w:spacing w:after="120" w:line="240" w:lineRule="auto"/>
      <w:ind w:left="1440" w:right="1440"/>
      <w:jc w:val="left"/>
    </w:pPr>
    <w:rPr>
      <w:rFonts w:ascii="Times New Roman" w:eastAsia="Times New Roman" w:hAnsi="Times New Roman" w:cs="Times New Roman"/>
      <w:sz w:val="24"/>
    </w:rPr>
  </w:style>
  <w:style w:type="paragraph" w:styleId="Revision">
    <w:name w:val="Revision"/>
    <w:hidden/>
    <w:uiPriority w:val="71"/>
    <w:rsid w:val="003D7F3E"/>
    <w:rPr>
      <w:rFonts w:ascii="Times New Roman" w:eastAsia="Times New Roman" w:hAnsi="Times New Roman" w:cs="Times New Roman"/>
    </w:rPr>
  </w:style>
  <w:style w:type="paragraph" w:styleId="DocumentMap">
    <w:name w:val="Document Map"/>
    <w:basedOn w:val="Normal"/>
    <w:link w:val="DocumentMapChar"/>
    <w:uiPriority w:val="99"/>
    <w:rsid w:val="003D7F3E"/>
    <w:pPr>
      <w:spacing w:line="240" w:lineRule="auto"/>
      <w:jc w:val="left"/>
    </w:pPr>
    <w:rPr>
      <w:rFonts w:ascii="Lucida Grande" w:eastAsia="Times New Roman" w:hAnsi="Lucida Grande" w:cs="Lucida Grande"/>
      <w:sz w:val="24"/>
    </w:rPr>
  </w:style>
  <w:style w:type="character" w:customStyle="1" w:styleId="DocumentMapChar">
    <w:name w:val="Document Map Char"/>
    <w:basedOn w:val="DefaultParagraphFont"/>
    <w:link w:val="DocumentMap"/>
    <w:uiPriority w:val="99"/>
    <w:rsid w:val="003D7F3E"/>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1680">
      <w:bodyDiv w:val="1"/>
      <w:marLeft w:val="0"/>
      <w:marRight w:val="0"/>
      <w:marTop w:val="0"/>
      <w:marBottom w:val="0"/>
      <w:divBdr>
        <w:top w:val="none" w:sz="0" w:space="0" w:color="auto"/>
        <w:left w:val="none" w:sz="0" w:space="0" w:color="auto"/>
        <w:bottom w:val="none" w:sz="0" w:space="0" w:color="auto"/>
        <w:right w:val="none" w:sz="0" w:space="0" w:color="auto"/>
      </w:divBdr>
    </w:div>
    <w:div w:id="732898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http://www.research.lancs.ac.uk/portal/en/people/elena-semino(8aebf947-2263-4c4e-8829-07f8c06ffc7d).html" TargetMode="External"/><Relationship Id="rId18" Type="http://schemas.openxmlformats.org/officeDocument/2006/relationships/hyperlink" Target="http://ucrel.lancs.ac.uk/publications/CL2009/317FullPaper.rtf"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exically.net/downloads/version5/HTML/index.html?keywords_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80FE-4052-1B4B-A253-3109EC7E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20</Pages>
  <Words>7984</Words>
  <Characters>45515</Characters>
  <Application>Microsoft Macintosh Word</Application>
  <DocSecurity>0</DocSecurity>
  <Lines>379</Lines>
  <Paragraphs>106</Paragraphs>
  <ScaleCrop>false</ScaleCrop>
  <Company>Student</Company>
  <LinksUpToDate>false</LinksUpToDate>
  <CharactersWithSpaces>53393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Patterson</dc:creator>
  <cp:keywords/>
  <dc:description/>
  <cp:lastModifiedBy>Katie Patterson</cp:lastModifiedBy>
  <cp:revision>33</cp:revision>
  <dcterms:created xsi:type="dcterms:W3CDTF">2016-01-12T08:32:00Z</dcterms:created>
  <dcterms:modified xsi:type="dcterms:W3CDTF">2016-01-27T09:53:00Z</dcterms:modified>
</cp:coreProperties>
</file>