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837E3" w14:textId="77777777" w:rsidR="00E97387" w:rsidRPr="00166DE6" w:rsidRDefault="00E97387" w:rsidP="00E97387">
      <w:pPr>
        <w:spacing w:line="480" w:lineRule="auto"/>
        <w:jc w:val="both"/>
        <w:rPr>
          <w:rFonts w:ascii="Arial" w:hAnsi="Arial" w:cs="Arial"/>
          <w:b/>
          <w:sz w:val="24"/>
          <w:lang w:val="en-GB"/>
        </w:rPr>
      </w:pPr>
      <w:r w:rsidRPr="00166DE6">
        <w:rPr>
          <w:rFonts w:ascii="Arial" w:hAnsi="Arial" w:cs="Arial"/>
          <w:b/>
          <w:sz w:val="24"/>
          <w:lang w:val="en-GB"/>
        </w:rPr>
        <w:t>Study of phytohormone profile and oxidative metabolism as key process to identification of salinity response in tomato commercial genotypes.</w:t>
      </w:r>
    </w:p>
    <w:p w14:paraId="1775031E" w14:textId="77777777" w:rsidR="00E97387" w:rsidRPr="00EC4299" w:rsidRDefault="00E97387" w:rsidP="00E97387">
      <w:pPr>
        <w:spacing w:line="480" w:lineRule="auto"/>
        <w:jc w:val="both"/>
        <w:rPr>
          <w:sz w:val="18"/>
        </w:rPr>
      </w:pPr>
      <w:r w:rsidRPr="00EC4299">
        <w:rPr>
          <w:rFonts w:ascii="Arial" w:hAnsi="Arial" w:cs="Arial"/>
          <w:sz w:val="20"/>
          <w:szCs w:val="24"/>
        </w:rPr>
        <w:t xml:space="preserve">Alejandro de la Torre-González </w:t>
      </w:r>
      <w:r w:rsidRPr="00EC4299">
        <w:rPr>
          <w:rFonts w:ascii="Arial" w:hAnsi="Arial" w:cs="Arial"/>
          <w:sz w:val="20"/>
          <w:szCs w:val="24"/>
          <w:vertAlign w:val="superscript"/>
        </w:rPr>
        <w:t>a</w:t>
      </w:r>
      <w:r w:rsidRPr="00EC4299">
        <w:rPr>
          <w:rFonts w:ascii="Arial" w:hAnsi="Arial" w:cs="Arial"/>
          <w:sz w:val="20"/>
          <w:szCs w:val="24"/>
        </w:rPr>
        <w:t xml:space="preserve">, Eloy Navarro-León </w:t>
      </w:r>
      <w:r w:rsidRPr="00EC4299">
        <w:rPr>
          <w:rFonts w:ascii="Arial" w:hAnsi="Arial" w:cs="Arial"/>
          <w:sz w:val="20"/>
          <w:szCs w:val="24"/>
          <w:vertAlign w:val="superscript"/>
        </w:rPr>
        <w:t>a</w:t>
      </w:r>
      <w:r w:rsidRPr="00EC4299">
        <w:rPr>
          <w:rFonts w:ascii="Arial" w:hAnsi="Arial" w:cs="Arial"/>
          <w:sz w:val="20"/>
          <w:szCs w:val="24"/>
        </w:rPr>
        <w:t xml:space="preserve">, Alfonso Albacete </w:t>
      </w:r>
      <w:r w:rsidRPr="00EC4299">
        <w:rPr>
          <w:rFonts w:ascii="Arial" w:hAnsi="Arial" w:cs="Arial"/>
          <w:sz w:val="20"/>
          <w:szCs w:val="24"/>
          <w:vertAlign w:val="superscript"/>
        </w:rPr>
        <w:t>b</w:t>
      </w:r>
      <w:r w:rsidRPr="00EC4299">
        <w:rPr>
          <w:rFonts w:ascii="Arial" w:hAnsi="Arial" w:cs="Arial"/>
          <w:sz w:val="20"/>
          <w:szCs w:val="24"/>
        </w:rPr>
        <w:t xml:space="preserve">, Begoña Blasco </w:t>
      </w:r>
      <w:r w:rsidRPr="00EC4299">
        <w:rPr>
          <w:rFonts w:ascii="Arial" w:hAnsi="Arial" w:cs="Arial"/>
          <w:sz w:val="20"/>
          <w:szCs w:val="24"/>
          <w:vertAlign w:val="superscript"/>
        </w:rPr>
        <w:t>a</w:t>
      </w:r>
      <w:r w:rsidRPr="00EC4299">
        <w:rPr>
          <w:rFonts w:ascii="Arial" w:hAnsi="Arial" w:cs="Arial"/>
          <w:sz w:val="20"/>
          <w:szCs w:val="24"/>
        </w:rPr>
        <w:t xml:space="preserve">, Juan M. Ruiz </w:t>
      </w:r>
      <w:r w:rsidRPr="00EC4299">
        <w:rPr>
          <w:rFonts w:ascii="Arial" w:hAnsi="Arial" w:cs="Arial"/>
          <w:sz w:val="20"/>
          <w:szCs w:val="24"/>
          <w:vertAlign w:val="superscript"/>
        </w:rPr>
        <w:t>a</w:t>
      </w:r>
      <w:r w:rsidRPr="00EC4299">
        <w:rPr>
          <w:rFonts w:ascii="Arial" w:hAnsi="Arial" w:cs="Arial"/>
          <w:sz w:val="20"/>
          <w:szCs w:val="24"/>
        </w:rPr>
        <w:t>.</w:t>
      </w:r>
    </w:p>
    <w:p w14:paraId="7F054EEA" w14:textId="77777777" w:rsidR="00E97387" w:rsidRPr="00EC4299" w:rsidRDefault="00E97387" w:rsidP="00E97387">
      <w:pPr>
        <w:spacing w:line="240" w:lineRule="auto"/>
        <w:jc w:val="both"/>
        <w:rPr>
          <w:rFonts w:ascii="Arial" w:hAnsi="Arial" w:cs="Arial"/>
          <w:sz w:val="18"/>
          <w:szCs w:val="20"/>
          <w:lang w:val="en-GB"/>
        </w:rPr>
      </w:pPr>
      <w:r w:rsidRPr="00EC4299">
        <w:rPr>
          <w:rFonts w:ascii="Arial" w:hAnsi="Arial" w:cs="Arial"/>
          <w:szCs w:val="24"/>
          <w:vertAlign w:val="superscript"/>
          <w:lang w:val="en-GB"/>
        </w:rPr>
        <w:t xml:space="preserve">a </w:t>
      </w:r>
      <w:r w:rsidRPr="00EC4299">
        <w:rPr>
          <w:rFonts w:ascii="Arial" w:hAnsi="Arial" w:cs="Arial"/>
          <w:sz w:val="18"/>
          <w:szCs w:val="20"/>
          <w:lang w:val="en-GB"/>
        </w:rPr>
        <w:t>Department of Plant Physiology, Faculty of Sciences, University of Granada, E-18071 Granada, Spain</w:t>
      </w:r>
    </w:p>
    <w:p w14:paraId="09B16FFB" w14:textId="77777777" w:rsidR="00E97387" w:rsidRPr="000A57F1" w:rsidRDefault="00E97387" w:rsidP="00E97387">
      <w:pPr>
        <w:spacing w:line="240" w:lineRule="auto"/>
        <w:jc w:val="both"/>
        <w:rPr>
          <w:rFonts w:ascii="Arial" w:hAnsi="Arial" w:cs="Arial"/>
          <w:sz w:val="18"/>
          <w:szCs w:val="20"/>
          <w:lang w:val="en-US"/>
        </w:rPr>
      </w:pPr>
      <w:r w:rsidRPr="000A57F1">
        <w:rPr>
          <w:rFonts w:ascii="Arial" w:hAnsi="Arial" w:cs="Arial"/>
          <w:sz w:val="18"/>
          <w:szCs w:val="20"/>
          <w:vertAlign w:val="superscript"/>
          <w:lang w:val="en-US"/>
        </w:rPr>
        <w:t>b</w:t>
      </w:r>
      <w:r w:rsidRPr="000A57F1">
        <w:rPr>
          <w:rFonts w:ascii="Arial" w:hAnsi="Arial" w:cs="Arial"/>
          <w:sz w:val="18"/>
          <w:szCs w:val="20"/>
          <w:lang w:val="en-US"/>
        </w:rPr>
        <w:t xml:space="preserve"> Department of Plant Nutrition, CEBAS-CSIC, Campus de Espinardo, E-30100, Espinardo, Murcia, Spain</w:t>
      </w:r>
    </w:p>
    <w:p w14:paraId="7721A528" w14:textId="77777777" w:rsidR="00E97387" w:rsidRPr="000A57F1" w:rsidRDefault="00E97387" w:rsidP="00E97387">
      <w:pPr>
        <w:spacing w:line="480" w:lineRule="auto"/>
        <w:jc w:val="both"/>
        <w:rPr>
          <w:rFonts w:ascii="Arial" w:hAnsi="Arial" w:cs="Arial"/>
          <w:sz w:val="18"/>
          <w:szCs w:val="20"/>
          <w:lang w:val="en-US"/>
        </w:rPr>
      </w:pPr>
    </w:p>
    <w:p w14:paraId="60C9D97A" w14:textId="77777777" w:rsidR="00E97387" w:rsidRPr="000A57F1" w:rsidRDefault="00E97387" w:rsidP="00E97387">
      <w:pPr>
        <w:spacing w:line="480" w:lineRule="auto"/>
        <w:jc w:val="both"/>
        <w:rPr>
          <w:rFonts w:ascii="Arial" w:hAnsi="Arial" w:cs="Arial"/>
          <w:b/>
          <w:sz w:val="24"/>
          <w:szCs w:val="20"/>
          <w:lang w:val="en-US"/>
        </w:rPr>
      </w:pPr>
      <w:r w:rsidRPr="000A57F1">
        <w:rPr>
          <w:rFonts w:ascii="Arial" w:hAnsi="Arial" w:cs="Arial"/>
          <w:b/>
          <w:sz w:val="24"/>
          <w:szCs w:val="20"/>
          <w:lang w:val="en-US"/>
        </w:rPr>
        <w:t>1 Abstract</w:t>
      </w:r>
    </w:p>
    <w:p w14:paraId="3AA91787" w14:textId="77777777" w:rsidR="00E97387" w:rsidRPr="00166DE6" w:rsidRDefault="00E97387" w:rsidP="00E97387">
      <w:pPr>
        <w:spacing w:line="480" w:lineRule="auto"/>
        <w:jc w:val="both"/>
        <w:rPr>
          <w:rFonts w:ascii="Arial" w:hAnsi="Arial" w:cs="Arial"/>
          <w:sz w:val="24"/>
          <w:lang w:val="en-GB"/>
        </w:rPr>
      </w:pPr>
      <w:r w:rsidRPr="00166DE6">
        <w:rPr>
          <w:rFonts w:ascii="Arial" w:hAnsi="Arial" w:cs="Arial"/>
          <w:sz w:val="24"/>
          <w:szCs w:val="24"/>
          <w:lang w:val="en-GB"/>
        </w:rPr>
        <w:t xml:space="preserve">Climatic change, intensive agriculture, and worsening water quality induce abiotic stress conditions for plants. Among these factors, salinity stress is a limit factor for plant growth. Therefore, the purpose of this study was to analyze the phytohormones role and oxidative metabolism in response to salt stress of two genotypes of tomato cv. Grand Brix and cv. Marmande RAF, the crops was carried out in a growth chamber. Salinity stress reduces biomass and relative growth rate (RGR) </w:t>
      </w:r>
      <w:r w:rsidRPr="00166DE6">
        <w:rPr>
          <w:rStyle w:val="Refdecomentario"/>
          <w:rFonts w:ascii="Arial" w:hAnsi="Arial" w:cs="Arial"/>
          <w:sz w:val="24"/>
          <w:lang w:val="en-GB"/>
        </w:rPr>
        <w:t>i</w:t>
      </w:r>
      <w:r w:rsidRPr="00166DE6">
        <w:rPr>
          <w:rFonts w:ascii="Arial" w:hAnsi="Arial" w:cs="Arial"/>
          <w:sz w:val="24"/>
          <w:szCs w:val="24"/>
          <w:lang w:val="en-GB"/>
        </w:rPr>
        <w:t xml:space="preserve">n both genotypes, this effect being greater in cv. Marmande RAF. These results, together with main stress indicator response, the </w:t>
      </w:r>
      <w:r w:rsidRPr="00166DE6">
        <w:rPr>
          <w:rFonts w:ascii="Arial" w:hAnsi="Arial" w:cs="Arial"/>
          <w:sz w:val="24"/>
          <w:lang w:val="en-GB"/>
        </w:rPr>
        <w:t>O</w:t>
      </w:r>
      <w:r w:rsidRPr="00166DE6">
        <w:rPr>
          <w:rFonts w:ascii="Arial" w:hAnsi="Arial" w:cs="Arial"/>
          <w:sz w:val="24"/>
          <w:vertAlign w:val="subscript"/>
          <w:lang w:val="en-GB"/>
        </w:rPr>
        <w:t>2</w:t>
      </w:r>
      <w:r w:rsidRPr="00166DE6">
        <w:rPr>
          <w:rFonts w:ascii="Arial" w:hAnsi="Arial" w:cs="Arial"/>
          <w:sz w:val="24"/>
          <w:vertAlign w:val="superscript"/>
          <w:lang w:val="en-GB"/>
        </w:rPr>
        <w:t>.-</w:t>
      </w:r>
      <w:r w:rsidRPr="00166DE6">
        <w:rPr>
          <w:rFonts w:ascii="Arial" w:hAnsi="Arial" w:cs="Arial"/>
          <w:sz w:val="24"/>
          <w:szCs w:val="24"/>
          <w:lang w:val="en-GB"/>
        </w:rPr>
        <w:t xml:space="preserve">, indicate that cv. Marmande RAF is more sensitive to Saline stress. Grand Brix showed less oxidative stress, because it presented greater detoxification of the </w:t>
      </w:r>
      <w:r w:rsidRPr="00166DE6">
        <w:rPr>
          <w:rFonts w:ascii="Arial" w:hAnsi="Arial" w:cs="Arial"/>
          <w:sz w:val="24"/>
          <w:lang w:val="en-GB"/>
        </w:rPr>
        <w:t>O</w:t>
      </w:r>
      <w:r w:rsidRPr="00166DE6">
        <w:rPr>
          <w:rFonts w:ascii="Arial" w:hAnsi="Arial" w:cs="Arial"/>
          <w:sz w:val="24"/>
          <w:vertAlign w:val="subscript"/>
          <w:lang w:val="en-GB"/>
        </w:rPr>
        <w:t>2</w:t>
      </w:r>
      <w:r w:rsidRPr="00166DE6">
        <w:rPr>
          <w:rFonts w:ascii="Arial" w:hAnsi="Arial" w:cs="Arial"/>
          <w:sz w:val="24"/>
          <w:vertAlign w:val="superscript"/>
          <w:lang w:val="en-GB"/>
        </w:rPr>
        <w:t>.-</w:t>
      </w:r>
      <w:r w:rsidRPr="00166DE6">
        <w:rPr>
          <w:rFonts w:ascii="Arial" w:hAnsi="Arial" w:cs="Arial"/>
          <w:sz w:val="24"/>
          <w:szCs w:val="24"/>
          <w:lang w:val="en-GB"/>
        </w:rPr>
        <w:t xml:space="preserve">, due to SOD enzyme activity induction and greater antioxidant capacity. Furthermore, </w:t>
      </w:r>
      <w:r w:rsidRPr="00166DE6">
        <w:rPr>
          <w:rFonts w:ascii="Arial" w:hAnsi="Arial" w:cs="Arial"/>
          <w:sz w:val="24"/>
          <w:lang w:val="en-GB"/>
        </w:rPr>
        <w:t xml:space="preserve">Grand Brix has a better hormonal profile adapted to salt stress resistance, </w:t>
      </w:r>
      <w:r w:rsidRPr="00166DE6">
        <w:rPr>
          <w:rFonts w:ascii="Arial" w:hAnsi="Arial" w:cs="Arial"/>
          <w:sz w:val="24"/>
          <w:szCs w:val="24"/>
          <w:lang w:val="en-GB"/>
        </w:rPr>
        <w:t>the accumulation of IAA, GA</w:t>
      </w:r>
      <w:r w:rsidRPr="00DB79B1">
        <w:rPr>
          <w:rFonts w:ascii="Arial" w:hAnsi="Arial" w:cs="Arial"/>
          <w:sz w:val="24"/>
          <w:szCs w:val="24"/>
          <w:vertAlign w:val="subscript"/>
          <w:lang w:val="en-GB"/>
        </w:rPr>
        <w:t>4</w:t>
      </w:r>
      <w:r w:rsidRPr="00166DE6">
        <w:rPr>
          <w:rFonts w:ascii="Arial" w:hAnsi="Arial" w:cs="Arial"/>
          <w:sz w:val="24"/>
          <w:szCs w:val="24"/>
          <w:lang w:val="en-GB"/>
        </w:rPr>
        <w:t xml:space="preserve"> and CKs and their beneficial role against oxidative stress </w:t>
      </w:r>
      <w:r w:rsidRPr="00166DE6">
        <w:rPr>
          <w:rFonts w:ascii="Arial" w:hAnsi="Arial" w:cs="Arial"/>
          <w:sz w:val="24"/>
          <w:lang w:val="en-GB"/>
        </w:rPr>
        <w:t>could make the difference between resistance and sensitivity to salt stress. On the other hand, a lower ACC concentration, ethylene precursor, combined with a greater O</w:t>
      </w:r>
      <w:r w:rsidRPr="00166DE6">
        <w:rPr>
          <w:rFonts w:ascii="Arial" w:hAnsi="Arial" w:cs="Arial"/>
          <w:sz w:val="24"/>
          <w:vertAlign w:val="subscript"/>
          <w:lang w:val="en-GB"/>
        </w:rPr>
        <w:t>2</w:t>
      </w:r>
      <w:r w:rsidRPr="00166DE6">
        <w:rPr>
          <w:rFonts w:ascii="Arial" w:hAnsi="Arial" w:cs="Arial"/>
          <w:sz w:val="24"/>
          <w:vertAlign w:val="superscript"/>
          <w:lang w:val="en-GB"/>
        </w:rPr>
        <w:t>.-</w:t>
      </w:r>
      <w:r w:rsidRPr="00166DE6">
        <w:rPr>
          <w:rFonts w:ascii="Arial" w:hAnsi="Arial" w:cs="Arial"/>
          <w:sz w:val="24"/>
          <w:lang w:val="en-GB"/>
        </w:rPr>
        <w:t xml:space="preserve"> detoxification in the cv. Grand Brix could play a fundamental role in tolerance to saline stress</w:t>
      </w:r>
      <w:r w:rsidRPr="00166DE6">
        <w:rPr>
          <w:rFonts w:ascii="Arial" w:hAnsi="Arial" w:cs="Arial"/>
          <w:sz w:val="24"/>
          <w:szCs w:val="24"/>
          <w:lang w:val="en-GB"/>
        </w:rPr>
        <w:t xml:space="preserve">. </w:t>
      </w:r>
      <w:r w:rsidRPr="00166DE6">
        <w:rPr>
          <w:rFonts w:ascii="Arial" w:hAnsi="Arial" w:cs="Arial"/>
          <w:sz w:val="24"/>
          <w:lang w:val="en-GB"/>
        </w:rPr>
        <w:t xml:space="preserve">Besides, an increase in ABA </w:t>
      </w:r>
      <w:r w:rsidRPr="00166DE6">
        <w:rPr>
          <w:rFonts w:ascii="Arial" w:hAnsi="Arial" w:cs="Arial"/>
          <w:sz w:val="24"/>
          <w:lang w:val="en-GB"/>
        </w:rPr>
        <w:lastRenderedPageBreak/>
        <w:t>levels promotes better stomatal closure, better photosynthesis control and a lower rate of water loss. This data could be essential to select plants with greater resistance to saline stress.</w:t>
      </w:r>
    </w:p>
    <w:p w14:paraId="03F879B4" w14:textId="77777777" w:rsidR="00E97387" w:rsidRDefault="00E97387" w:rsidP="00E97387">
      <w:pPr>
        <w:spacing w:line="480" w:lineRule="auto"/>
        <w:rPr>
          <w:rFonts w:ascii="Arial" w:hAnsi="Arial" w:cs="Arial"/>
          <w:sz w:val="24"/>
          <w:szCs w:val="24"/>
          <w:lang w:val="en-GB"/>
        </w:rPr>
      </w:pPr>
      <w:r w:rsidRPr="00166DE6">
        <w:rPr>
          <w:rFonts w:ascii="Arial" w:hAnsi="Arial" w:cs="Arial"/>
          <w:sz w:val="24"/>
          <w:szCs w:val="24"/>
          <w:lang w:val="en-GB"/>
        </w:rPr>
        <w:t xml:space="preserve">Keywords: Salt stress; Oxidative metabolism; Phytohormones; </w:t>
      </w:r>
      <w:r w:rsidRPr="00166DE6">
        <w:rPr>
          <w:rFonts w:ascii="Arial" w:hAnsi="Arial" w:cs="Arial"/>
          <w:i/>
          <w:sz w:val="24"/>
          <w:szCs w:val="24"/>
          <w:lang w:val="en-GB"/>
        </w:rPr>
        <w:t>Solanum lycopersicum</w:t>
      </w:r>
      <w:r w:rsidRPr="00166DE6">
        <w:rPr>
          <w:rFonts w:ascii="Arial" w:hAnsi="Arial" w:cs="Arial"/>
          <w:sz w:val="24"/>
          <w:szCs w:val="24"/>
          <w:lang w:val="en-GB"/>
        </w:rPr>
        <w:t xml:space="preserve"> L.</w:t>
      </w:r>
    </w:p>
    <w:p w14:paraId="6E6191D4" w14:textId="77777777" w:rsidR="00E97387" w:rsidRPr="00166DE6" w:rsidRDefault="00E97387" w:rsidP="00E97387">
      <w:pPr>
        <w:spacing w:line="480" w:lineRule="auto"/>
        <w:rPr>
          <w:rFonts w:ascii="Arial" w:hAnsi="Arial" w:cs="Arial"/>
          <w:sz w:val="24"/>
          <w:szCs w:val="24"/>
          <w:lang w:val="en-GB"/>
        </w:rPr>
      </w:pPr>
    </w:p>
    <w:p w14:paraId="30246EFF" w14:textId="77777777" w:rsidR="00E97387" w:rsidRDefault="00E97387" w:rsidP="00E97387">
      <w:pPr>
        <w:spacing w:line="480" w:lineRule="auto"/>
        <w:jc w:val="both"/>
        <w:rPr>
          <w:rFonts w:ascii="Arial" w:hAnsi="Arial" w:cs="Arial"/>
          <w:b/>
          <w:sz w:val="24"/>
          <w:szCs w:val="24"/>
          <w:lang w:val="en-GB"/>
        </w:rPr>
      </w:pPr>
      <w:r>
        <w:rPr>
          <w:rFonts w:ascii="Arial" w:hAnsi="Arial" w:cs="Arial"/>
          <w:b/>
          <w:sz w:val="24"/>
          <w:szCs w:val="24"/>
          <w:lang w:val="en-GB"/>
        </w:rPr>
        <w:t xml:space="preserve">2 </w:t>
      </w:r>
      <w:r w:rsidRPr="00D30CAC">
        <w:rPr>
          <w:rFonts w:ascii="Arial" w:hAnsi="Arial" w:cs="Arial"/>
          <w:b/>
          <w:sz w:val="24"/>
          <w:szCs w:val="24"/>
          <w:lang w:val="en-GB"/>
        </w:rPr>
        <w:t>Introduction</w:t>
      </w:r>
    </w:p>
    <w:p w14:paraId="00C30595" w14:textId="77777777" w:rsidR="00E97387" w:rsidRDefault="00E97387" w:rsidP="00E97387">
      <w:pPr>
        <w:spacing w:line="480" w:lineRule="auto"/>
        <w:jc w:val="both"/>
        <w:rPr>
          <w:rFonts w:ascii="Arial" w:hAnsi="Arial" w:cs="Arial"/>
          <w:sz w:val="24"/>
          <w:szCs w:val="24"/>
          <w:lang w:val="en-GB"/>
        </w:rPr>
      </w:pPr>
      <w:r>
        <w:rPr>
          <w:rFonts w:ascii="Arial" w:hAnsi="Arial" w:cs="Arial"/>
          <w:sz w:val="24"/>
          <w:szCs w:val="24"/>
          <w:lang w:val="en-GB"/>
        </w:rPr>
        <w:t>T</w:t>
      </w:r>
      <w:r w:rsidRPr="00F577C6">
        <w:rPr>
          <w:rFonts w:ascii="Arial" w:hAnsi="Arial" w:cs="Arial"/>
          <w:sz w:val="24"/>
          <w:szCs w:val="24"/>
          <w:lang w:val="en-GB"/>
        </w:rPr>
        <w:t xml:space="preserve">omato is </w:t>
      </w:r>
      <w:r>
        <w:rPr>
          <w:rFonts w:ascii="Arial" w:hAnsi="Arial" w:cs="Arial"/>
          <w:sz w:val="24"/>
          <w:szCs w:val="24"/>
          <w:lang w:val="en-GB"/>
        </w:rPr>
        <w:t>a crop</w:t>
      </w:r>
      <w:r w:rsidRPr="00F577C6">
        <w:rPr>
          <w:rFonts w:ascii="Arial" w:hAnsi="Arial" w:cs="Arial"/>
          <w:sz w:val="24"/>
          <w:szCs w:val="24"/>
          <w:lang w:val="en-GB"/>
        </w:rPr>
        <w:t xml:space="preserve"> with the greatest ec</w:t>
      </w:r>
      <w:r>
        <w:rPr>
          <w:rFonts w:ascii="Arial" w:hAnsi="Arial" w:cs="Arial"/>
          <w:sz w:val="24"/>
          <w:szCs w:val="24"/>
          <w:lang w:val="en-GB"/>
        </w:rPr>
        <w:t>onomic importance in the world.</w:t>
      </w:r>
      <w:r w:rsidRPr="00F577C6">
        <w:rPr>
          <w:rFonts w:ascii="Arial" w:hAnsi="Arial" w:cs="Arial"/>
          <w:sz w:val="24"/>
          <w:szCs w:val="24"/>
          <w:lang w:val="en-GB"/>
        </w:rPr>
        <w:t xml:space="preserve"> According to t</w:t>
      </w:r>
      <w:r>
        <w:rPr>
          <w:rFonts w:ascii="Arial" w:hAnsi="Arial" w:cs="Arial"/>
          <w:sz w:val="24"/>
          <w:szCs w:val="24"/>
          <w:lang w:val="en-GB"/>
        </w:rPr>
        <w:t>he FAO, in 2014 roughly 4,888,88</w:t>
      </w:r>
      <w:r w:rsidRPr="00F577C6">
        <w:rPr>
          <w:rFonts w:ascii="Arial" w:hAnsi="Arial" w:cs="Arial"/>
          <w:sz w:val="24"/>
          <w:szCs w:val="24"/>
          <w:lang w:val="en-GB"/>
        </w:rPr>
        <w:t>0 tonnes of tom</w:t>
      </w:r>
      <w:r>
        <w:rPr>
          <w:rFonts w:ascii="Arial" w:hAnsi="Arial" w:cs="Arial"/>
          <w:sz w:val="24"/>
          <w:szCs w:val="24"/>
          <w:lang w:val="en-GB"/>
        </w:rPr>
        <w:t xml:space="preserve">ato were produced only in </w:t>
      </w:r>
      <w:r w:rsidRPr="00B634EE">
        <w:rPr>
          <w:rFonts w:ascii="Arial" w:hAnsi="Arial" w:cs="Arial"/>
          <w:sz w:val="24"/>
          <w:szCs w:val="24"/>
          <w:lang w:val="en-GB"/>
        </w:rPr>
        <w:t xml:space="preserve">Spain, cultivated on 54,750 Ha. A great part of this cultivation area is affected by salinity stress. In particular, salinity stress causes a reduction in the quantity and quality of crop production (Saito </w:t>
      </w:r>
      <w:r w:rsidRPr="00FD52AF">
        <w:rPr>
          <w:rFonts w:ascii="Arial" w:hAnsi="Arial" w:cs="Arial"/>
          <w:iCs/>
          <w:sz w:val="24"/>
          <w:szCs w:val="24"/>
          <w:lang w:val="en-GB"/>
        </w:rPr>
        <w:t>et al.</w:t>
      </w:r>
      <w:r w:rsidRPr="00B634EE">
        <w:rPr>
          <w:rFonts w:ascii="Arial" w:hAnsi="Arial" w:cs="Arial"/>
          <w:i/>
          <w:sz w:val="24"/>
          <w:szCs w:val="24"/>
          <w:lang w:val="en-GB"/>
        </w:rPr>
        <w:t xml:space="preserve"> </w:t>
      </w:r>
      <w:r w:rsidRPr="00B634EE">
        <w:rPr>
          <w:rFonts w:ascii="Arial" w:hAnsi="Arial" w:cs="Arial"/>
          <w:sz w:val="24"/>
          <w:szCs w:val="24"/>
          <w:lang w:val="en-GB"/>
        </w:rPr>
        <w:t>2008). Curre</w:t>
      </w:r>
      <w:r>
        <w:rPr>
          <w:rFonts w:ascii="Arial" w:hAnsi="Arial" w:cs="Arial"/>
          <w:sz w:val="24"/>
          <w:szCs w:val="24"/>
          <w:lang w:val="en-GB"/>
        </w:rPr>
        <w:t>ntly, the main challenge of</w:t>
      </w:r>
      <w:r w:rsidRPr="00B634EE">
        <w:rPr>
          <w:rFonts w:ascii="Arial" w:hAnsi="Arial" w:cs="Arial"/>
          <w:sz w:val="24"/>
          <w:szCs w:val="24"/>
          <w:lang w:val="en-GB"/>
        </w:rPr>
        <w:t xml:space="preserve"> world agriculture is to sustain the continuously growing global population, and this becomes more difficult due to climatic change, as this imposes</w:t>
      </w:r>
      <w:r>
        <w:rPr>
          <w:rFonts w:ascii="Arial" w:hAnsi="Arial" w:cs="Arial"/>
          <w:sz w:val="24"/>
          <w:szCs w:val="24"/>
          <w:lang w:val="en-GB"/>
        </w:rPr>
        <w:t xml:space="preserve"> further abiotic stress. C</w:t>
      </w:r>
      <w:r w:rsidRPr="00B634EE">
        <w:rPr>
          <w:rFonts w:ascii="Arial" w:hAnsi="Arial" w:cs="Arial"/>
          <w:sz w:val="24"/>
          <w:szCs w:val="24"/>
          <w:lang w:val="en-GB"/>
        </w:rPr>
        <w:t>oming years, several factors could exacerbate this situation, such as inten</w:t>
      </w:r>
      <w:r>
        <w:rPr>
          <w:rFonts w:ascii="Arial" w:hAnsi="Arial" w:cs="Arial"/>
          <w:sz w:val="24"/>
          <w:szCs w:val="24"/>
          <w:lang w:val="en-GB"/>
        </w:rPr>
        <w:t>sive agriculture and the use of</w:t>
      </w:r>
      <w:r w:rsidRPr="00B634EE">
        <w:rPr>
          <w:rFonts w:ascii="Arial" w:hAnsi="Arial" w:cs="Arial"/>
          <w:sz w:val="24"/>
          <w:szCs w:val="24"/>
          <w:lang w:val="en-GB"/>
        </w:rPr>
        <w:t xml:space="preserve"> poorer quality</w:t>
      </w:r>
      <w:r w:rsidRPr="00555D32">
        <w:rPr>
          <w:rFonts w:ascii="Arial" w:hAnsi="Arial" w:cs="Arial"/>
          <w:sz w:val="24"/>
          <w:szCs w:val="24"/>
          <w:lang w:val="en-GB"/>
        </w:rPr>
        <w:t xml:space="preserve"> </w:t>
      </w:r>
      <w:r w:rsidRPr="00B634EE">
        <w:rPr>
          <w:rFonts w:ascii="Arial" w:hAnsi="Arial" w:cs="Arial"/>
          <w:sz w:val="24"/>
          <w:szCs w:val="24"/>
          <w:lang w:val="en-GB"/>
        </w:rPr>
        <w:t>water</w:t>
      </w:r>
      <w:r>
        <w:rPr>
          <w:rFonts w:ascii="Arial" w:hAnsi="Arial" w:cs="Arial"/>
          <w:sz w:val="24"/>
          <w:szCs w:val="24"/>
          <w:lang w:val="en-GB"/>
        </w:rPr>
        <w:t>. Therefore, it is</w:t>
      </w:r>
      <w:r w:rsidRPr="00B634EE">
        <w:rPr>
          <w:rFonts w:ascii="Arial" w:hAnsi="Arial" w:cs="Arial"/>
          <w:sz w:val="24"/>
          <w:szCs w:val="24"/>
          <w:lang w:val="en-GB"/>
        </w:rPr>
        <w:t xml:space="preserve"> great importance to ascertain the impact of saline stress in tomato cultivation. Greatly limiting crop yield in semiarid and arid regions, salinity affect roughly 397 million Ha of soils in the world (Gong </w:t>
      </w:r>
      <w:r w:rsidRPr="00FD52AF">
        <w:rPr>
          <w:rFonts w:ascii="Arial" w:hAnsi="Arial" w:cs="Arial"/>
          <w:iCs/>
          <w:sz w:val="24"/>
          <w:szCs w:val="24"/>
          <w:lang w:val="en-GB"/>
        </w:rPr>
        <w:t>et al.</w:t>
      </w:r>
      <w:r w:rsidRPr="00B634EE">
        <w:rPr>
          <w:rFonts w:ascii="Arial" w:hAnsi="Arial" w:cs="Arial"/>
          <w:sz w:val="24"/>
          <w:szCs w:val="24"/>
          <w:lang w:val="en-GB"/>
        </w:rPr>
        <w:t xml:space="preserve"> 2013). This is particularly true in the Mediterranean area, where cultivation tends to occupy small fields often with crops of high quality and commercial value, such as the tomato (Lynch and Clair 2004). Growth conditions under salinity stress, trigger osmotic and ionic imbalances, prompt oxidative stress, an</w:t>
      </w:r>
      <w:r>
        <w:rPr>
          <w:rFonts w:ascii="Arial" w:hAnsi="Arial" w:cs="Arial"/>
          <w:sz w:val="24"/>
          <w:szCs w:val="24"/>
          <w:lang w:val="en-GB"/>
        </w:rPr>
        <w:t>d upset the plant’s metabolism.</w:t>
      </w:r>
    </w:p>
    <w:p w14:paraId="54B9C98B"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lastRenderedPageBreak/>
        <w:t>The capacity of the plant to tolerate salinity is determined by multiple biochemical and physiological mechanisms, in particular by controlling the generation of reactive oxygen species (ROS) and r</w:t>
      </w:r>
      <w:r>
        <w:rPr>
          <w:rFonts w:ascii="Arial" w:hAnsi="Arial" w:cs="Arial"/>
          <w:sz w:val="24"/>
          <w:szCs w:val="24"/>
          <w:lang w:val="en-GB"/>
        </w:rPr>
        <w:t>eadjusting the cell redox state</w:t>
      </w:r>
      <w:r w:rsidRPr="00B634EE">
        <w:rPr>
          <w:rFonts w:ascii="Arial" w:hAnsi="Arial" w:cs="Arial"/>
          <w:sz w:val="24"/>
          <w:szCs w:val="24"/>
          <w:lang w:val="en-GB"/>
        </w:rPr>
        <w:t xml:space="preserve"> (Gong </w:t>
      </w:r>
      <w:r w:rsidRPr="00FD52AF">
        <w:rPr>
          <w:rFonts w:ascii="Arial" w:hAnsi="Arial" w:cs="Arial"/>
          <w:iCs/>
          <w:sz w:val="24"/>
          <w:szCs w:val="24"/>
          <w:lang w:val="en-GB"/>
        </w:rPr>
        <w:t>et al.</w:t>
      </w:r>
      <w:r>
        <w:rPr>
          <w:rFonts w:ascii="Arial" w:hAnsi="Arial" w:cs="Arial"/>
          <w:sz w:val="24"/>
          <w:szCs w:val="24"/>
          <w:lang w:val="en-GB"/>
        </w:rPr>
        <w:t xml:space="preserve"> 2013</w:t>
      </w:r>
      <w:r w:rsidRPr="00B634EE">
        <w:rPr>
          <w:rFonts w:ascii="Arial" w:hAnsi="Arial" w:cs="Arial"/>
          <w:sz w:val="24"/>
          <w:szCs w:val="24"/>
          <w:lang w:val="en-GB"/>
        </w:rPr>
        <w:t>). ROS negatively affect biological structures, provoking DNA damage, protein and amino acid oxidation, and li</w:t>
      </w:r>
      <w:r>
        <w:rPr>
          <w:rFonts w:ascii="Arial" w:hAnsi="Arial" w:cs="Arial"/>
          <w:sz w:val="24"/>
          <w:szCs w:val="24"/>
          <w:lang w:val="en-GB"/>
        </w:rPr>
        <w:t xml:space="preserve">pid peroxidation (Asada 1999). </w:t>
      </w:r>
      <w:r w:rsidRPr="00B634EE">
        <w:rPr>
          <w:rFonts w:ascii="Arial" w:hAnsi="Arial" w:cs="Arial"/>
          <w:sz w:val="24"/>
          <w:szCs w:val="24"/>
          <w:lang w:val="en-GB"/>
        </w:rPr>
        <w:t>The ROS generated under stress conditions in plants should be eliminated and, for this purpose, plants have mechanisms to detoxify ROS. These can be classified as enzymatic or non-enzymatic.</w:t>
      </w:r>
      <w:r>
        <w:rPr>
          <w:rFonts w:ascii="Arial" w:hAnsi="Arial" w:cs="Arial"/>
          <w:sz w:val="24"/>
          <w:szCs w:val="24"/>
          <w:lang w:val="en-GB"/>
        </w:rPr>
        <w:t xml:space="preserve"> </w:t>
      </w:r>
      <w:r w:rsidRPr="0040264F">
        <w:rPr>
          <w:rFonts w:ascii="Arial" w:hAnsi="Arial" w:cs="Arial"/>
          <w:sz w:val="24"/>
          <w:szCs w:val="24"/>
          <w:lang w:val="en-GB"/>
        </w:rPr>
        <w:t>In addition, phytohormones</w:t>
      </w:r>
      <w:r>
        <w:rPr>
          <w:rFonts w:ascii="Arial" w:hAnsi="Arial" w:cs="Arial"/>
          <w:sz w:val="24"/>
          <w:szCs w:val="24"/>
          <w:lang w:val="en-GB"/>
        </w:rPr>
        <w:t xml:space="preserve"> also are related to ROS generation</w:t>
      </w:r>
      <w:r w:rsidRPr="0040264F">
        <w:rPr>
          <w:rFonts w:ascii="Arial" w:hAnsi="Arial" w:cs="Arial"/>
          <w:sz w:val="24"/>
          <w:szCs w:val="24"/>
          <w:lang w:val="en-GB"/>
        </w:rPr>
        <w:t>/detoxification processes.</w:t>
      </w:r>
    </w:p>
    <w:p w14:paraId="7675BDF9" w14:textId="77777777" w:rsidR="00E97387" w:rsidRPr="00B634EE" w:rsidRDefault="00E97387" w:rsidP="00E97387">
      <w:pPr>
        <w:spacing w:line="480" w:lineRule="auto"/>
        <w:jc w:val="both"/>
        <w:rPr>
          <w:rFonts w:ascii="Arial" w:hAnsi="Arial" w:cs="Arial"/>
          <w:sz w:val="24"/>
          <w:szCs w:val="24"/>
          <w:lang w:val="en-GB"/>
        </w:rPr>
      </w:pPr>
    </w:p>
    <w:p w14:paraId="1E05F504"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Plant hormones are structurally diverse compounds</w:t>
      </w:r>
      <w:r>
        <w:rPr>
          <w:rFonts w:ascii="Arial" w:hAnsi="Arial" w:cs="Arial"/>
          <w:sz w:val="24"/>
          <w:szCs w:val="24"/>
          <w:lang w:val="en-GB"/>
        </w:rPr>
        <w:t xml:space="preserve"> involved in multiple processes.</w:t>
      </w:r>
      <w:r w:rsidRPr="00B634EE">
        <w:rPr>
          <w:rFonts w:ascii="Arial" w:hAnsi="Arial" w:cs="Arial"/>
          <w:sz w:val="24"/>
          <w:szCs w:val="24"/>
          <w:lang w:val="en-GB"/>
        </w:rPr>
        <w:t xml:space="preserve"> Phytohormones thus have a vital role in mediating pl</w:t>
      </w:r>
      <w:r>
        <w:rPr>
          <w:rFonts w:ascii="Arial" w:hAnsi="Arial" w:cs="Arial"/>
          <w:sz w:val="24"/>
          <w:szCs w:val="24"/>
          <w:lang w:val="en-GB"/>
        </w:rPr>
        <w:t>ant response to abiotic stress, the enzymes</w:t>
      </w:r>
      <w:r w:rsidRPr="00425623">
        <w:rPr>
          <w:rFonts w:ascii="Arial" w:hAnsi="Arial" w:cs="Arial"/>
          <w:sz w:val="24"/>
          <w:szCs w:val="24"/>
          <w:lang w:val="en-GB"/>
        </w:rPr>
        <w:t xml:space="preserve"> play a role in the regulation of oxidative stress.</w:t>
      </w:r>
      <w:r w:rsidRPr="00B634EE">
        <w:rPr>
          <w:rFonts w:ascii="Arial" w:hAnsi="Arial" w:cs="Arial"/>
          <w:sz w:val="24"/>
          <w:szCs w:val="24"/>
          <w:lang w:val="en-GB"/>
        </w:rPr>
        <w:t xml:space="preserve"> (Fahad </w:t>
      </w:r>
      <w:r w:rsidRPr="00FD52AF">
        <w:rPr>
          <w:rFonts w:ascii="Arial" w:hAnsi="Arial" w:cs="Arial"/>
          <w:iCs/>
          <w:sz w:val="24"/>
          <w:szCs w:val="24"/>
          <w:lang w:val="en-GB"/>
        </w:rPr>
        <w:t>et al.</w:t>
      </w:r>
      <w:r w:rsidRPr="00B634EE">
        <w:rPr>
          <w:rFonts w:ascii="Arial" w:hAnsi="Arial" w:cs="Arial"/>
          <w:sz w:val="24"/>
          <w:szCs w:val="24"/>
          <w:lang w:val="en-GB"/>
        </w:rPr>
        <w:t xml:space="preserve"> 2015). It has been observed that in tomato plants under salt stress a decrease in IAA concentration. A low IAA content could stimulate senescence, this compound has been generally seen as a senescence-retarding factor (Ghanem </w:t>
      </w:r>
      <w:r w:rsidRPr="00FD52AF">
        <w:rPr>
          <w:rFonts w:ascii="Arial" w:hAnsi="Arial" w:cs="Arial"/>
          <w:iCs/>
          <w:sz w:val="24"/>
          <w:szCs w:val="24"/>
          <w:lang w:val="en-GB"/>
        </w:rPr>
        <w:t>et al.</w:t>
      </w:r>
      <w:r w:rsidRPr="00B634EE">
        <w:rPr>
          <w:rFonts w:ascii="Arial" w:hAnsi="Arial" w:cs="Arial"/>
          <w:sz w:val="24"/>
          <w:szCs w:val="24"/>
          <w:lang w:val="en-GB"/>
        </w:rPr>
        <w:t xml:space="preserve"> 2008). </w:t>
      </w:r>
      <w:r>
        <w:rPr>
          <w:rFonts w:ascii="Arial" w:hAnsi="Arial" w:cs="Arial"/>
          <w:sz w:val="24"/>
          <w:szCs w:val="24"/>
          <w:lang w:val="en-GB"/>
        </w:rPr>
        <w:t>T</w:t>
      </w:r>
      <w:r w:rsidRPr="00425623">
        <w:rPr>
          <w:rFonts w:ascii="Arial" w:hAnsi="Arial" w:cs="Arial"/>
          <w:sz w:val="24"/>
          <w:szCs w:val="24"/>
          <w:lang w:val="en-GB"/>
        </w:rPr>
        <w:t>he beneficial effect of auxins on the prevention of damage caused by oxidative stres</w:t>
      </w:r>
      <w:r>
        <w:rPr>
          <w:rFonts w:ascii="Arial" w:hAnsi="Arial" w:cs="Arial"/>
          <w:sz w:val="24"/>
          <w:szCs w:val="24"/>
          <w:lang w:val="en-GB"/>
        </w:rPr>
        <w:t>s has been known for some years</w:t>
      </w:r>
      <w:r w:rsidRPr="00425623">
        <w:rPr>
          <w:rFonts w:ascii="Arial" w:hAnsi="Arial" w:cs="Arial"/>
          <w:sz w:val="24"/>
          <w:szCs w:val="24"/>
          <w:lang w:val="en-GB"/>
        </w:rPr>
        <w:t xml:space="preserve"> (Noctor </w:t>
      </w:r>
      <w:r w:rsidRPr="00FD52AF">
        <w:rPr>
          <w:rFonts w:ascii="Arial" w:hAnsi="Arial" w:cs="Arial"/>
          <w:iCs/>
          <w:sz w:val="24"/>
          <w:szCs w:val="24"/>
          <w:lang w:val="en-GB"/>
        </w:rPr>
        <w:t>et al.</w:t>
      </w:r>
      <w:r w:rsidRPr="00425623">
        <w:rPr>
          <w:rFonts w:ascii="Arial" w:hAnsi="Arial" w:cs="Arial"/>
          <w:sz w:val="24"/>
          <w:szCs w:val="24"/>
          <w:lang w:val="en-GB"/>
        </w:rPr>
        <w:t xml:space="preserve"> 2015)</w:t>
      </w:r>
      <w:r>
        <w:rPr>
          <w:rFonts w:ascii="Arial" w:hAnsi="Arial" w:cs="Arial"/>
          <w:sz w:val="24"/>
          <w:szCs w:val="24"/>
          <w:lang w:val="en-GB"/>
        </w:rPr>
        <w:t>. T</w:t>
      </w:r>
      <w:r w:rsidRPr="00C050BF">
        <w:rPr>
          <w:rFonts w:ascii="Arial" w:hAnsi="Arial" w:cs="Arial"/>
          <w:sz w:val="24"/>
          <w:szCs w:val="24"/>
          <w:lang w:val="en-GB"/>
        </w:rPr>
        <w:t>he auxins can help detoxify ROS, this is observed in pla</w:t>
      </w:r>
      <w:r>
        <w:rPr>
          <w:rFonts w:ascii="Arial" w:hAnsi="Arial" w:cs="Arial"/>
          <w:sz w:val="24"/>
          <w:szCs w:val="24"/>
          <w:lang w:val="en-GB"/>
        </w:rPr>
        <w:t>nts with decreased catalase (CAT) activity (</w:t>
      </w:r>
      <w:r w:rsidRPr="00C050BF">
        <w:rPr>
          <w:rFonts w:ascii="Arial" w:hAnsi="Arial" w:cs="Arial"/>
          <w:sz w:val="24"/>
          <w:szCs w:val="24"/>
          <w:lang w:val="en-GB"/>
        </w:rPr>
        <w:t xml:space="preserve">Noctor </w:t>
      </w:r>
      <w:r w:rsidRPr="00FD52AF">
        <w:rPr>
          <w:rFonts w:ascii="Arial" w:hAnsi="Arial" w:cs="Arial"/>
          <w:iCs/>
          <w:sz w:val="24"/>
          <w:szCs w:val="24"/>
          <w:lang w:val="en-GB"/>
        </w:rPr>
        <w:t>et al.</w:t>
      </w:r>
      <w:r w:rsidRPr="00C050BF">
        <w:rPr>
          <w:rFonts w:ascii="Arial" w:hAnsi="Arial" w:cs="Arial"/>
          <w:sz w:val="24"/>
          <w:szCs w:val="24"/>
          <w:lang w:val="en-GB"/>
        </w:rPr>
        <w:t xml:space="preserve"> 2015)</w:t>
      </w:r>
      <w:r>
        <w:rPr>
          <w:rFonts w:ascii="Arial" w:hAnsi="Arial" w:cs="Arial"/>
          <w:sz w:val="24"/>
          <w:szCs w:val="24"/>
          <w:lang w:val="en-GB"/>
        </w:rPr>
        <w:t xml:space="preserve">. </w:t>
      </w:r>
      <w:r w:rsidRPr="00545E3A">
        <w:rPr>
          <w:rFonts w:ascii="Arial" w:hAnsi="Arial" w:cs="Arial"/>
          <w:sz w:val="24"/>
          <w:szCs w:val="24"/>
          <w:lang w:val="en-GB"/>
        </w:rPr>
        <w:t>Other authors point out how ROS alte</w:t>
      </w:r>
      <w:r>
        <w:rPr>
          <w:rFonts w:ascii="Arial" w:hAnsi="Arial" w:cs="Arial"/>
          <w:sz w:val="24"/>
          <w:szCs w:val="24"/>
          <w:lang w:val="en-GB"/>
        </w:rPr>
        <w:t xml:space="preserve">r gradients and auxin signaling </w:t>
      </w:r>
      <w:r w:rsidRPr="00545E3A">
        <w:rPr>
          <w:rFonts w:ascii="Arial" w:hAnsi="Arial" w:cs="Arial"/>
          <w:sz w:val="24"/>
          <w:szCs w:val="24"/>
          <w:lang w:val="en-GB"/>
        </w:rPr>
        <w:t>(Raja et al. 2017).</w:t>
      </w:r>
    </w:p>
    <w:p w14:paraId="65956228" w14:textId="77777777" w:rsidR="00E97387" w:rsidRDefault="00E97387" w:rsidP="00E97387">
      <w:pPr>
        <w:spacing w:line="480" w:lineRule="auto"/>
        <w:jc w:val="both"/>
        <w:rPr>
          <w:rFonts w:ascii="Arial" w:hAnsi="Arial" w:cs="Arial"/>
          <w:sz w:val="24"/>
          <w:szCs w:val="24"/>
          <w:lang w:val="en-GB"/>
        </w:rPr>
      </w:pPr>
    </w:p>
    <w:p w14:paraId="2EE39237"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szCs w:val="24"/>
          <w:lang w:val="en-GB"/>
        </w:rPr>
        <w:t xml:space="preserve">Cytokinins (CKs) such as trans-zeatine (tZ) and isopentenyl adenine (iP), are also known to alleviate the adverse effects of salinity on plant growth (Fahad </w:t>
      </w:r>
      <w:r w:rsidRPr="00FD52AF">
        <w:rPr>
          <w:rFonts w:ascii="Arial" w:hAnsi="Arial" w:cs="Arial"/>
          <w:iCs/>
          <w:sz w:val="24"/>
          <w:szCs w:val="24"/>
          <w:lang w:val="en-GB"/>
        </w:rPr>
        <w:t xml:space="preserve">et al. </w:t>
      </w:r>
      <w:r w:rsidRPr="00B634EE">
        <w:rPr>
          <w:rFonts w:ascii="Arial" w:hAnsi="Arial" w:cs="Arial"/>
          <w:sz w:val="24"/>
          <w:szCs w:val="24"/>
          <w:lang w:val="en-GB"/>
        </w:rPr>
        <w:lastRenderedPageBreak/>
        <w:t xml:space="preserve">2015). </w:t>
      </w:r>
      <w:r w:rsidRPr="0008100B">
        <w:rPr>
          <w:rFonts w:ascii="Arial" w:hAnsi="Arial" w:cs="Arial"/>
          <w:sz w:val="24"/>
          <w:szCs w:val="24"/>
          <w:lang w:val="en-GB"/>
        </w:rPr>
        <w:t>It has been observed that an increase of the CKs can decreas</w:t>
      </w:r>
      <w:r>
        <w:rPr>
          <w:rFonts w:ascii="Arial" w:hAnsi="Arial" w:cs="Arial"/>
          <w:sz w:val="24"/>
          <w:szCs w:val="24"/>
          <w:lang w:val="en-GB"/>
        </w:rPr>
        <w:t>e the damages caused by the ROS,</w:t>
      </w:r>
      <w:r w:rsidRPr="0008100B">
        <w:rPr>
          <w:rFonts w:ascii="Arial" w:hAnsi="Arial" w:cs="Arial"/>
          <w:sz w:val="24"/>
          <w:szCs w:val="24"/>
          <w:lang w:val="en-GB"/>
        </w:rPr>
        <w:t xml:space="preserve"> </w:t>
      </w:r>
      <w:r>
        <w:rPr>
          <w:rFonts w:ascii="Arial" w:hAnsi="Arial" w:cs="Arial"/>
          <w:sz w:val="24"/>
          <w:szCs w:val="24"/>
          <w:lang w:val="en-GB"/>
        </w:rPr>
        <w:t>t</w:t>
      </w:r>
      <w:r w:rsidRPr="0008100B">
        <w:rPr>
          <w:rFonts w:ascii="Arial" w:hAnsi="Arial" w:cs="Arial"/>
          <w:sz w:val="24"/>
          <w:szCs w:val="24"/>
          <w:lang w:val="en-GB"/>
        </w:rPr>
        <w:t>his can help yo</w:t>
      </w:r>
      <w:r>
        <w:rPr>
          <w:rFonts w:ascii="Arial" w:hAnsi="Arial" w:cs="Arial"/>
          <w:sz w:val="24"/>
          <w:szCs w:val="24"/>
          <w:lang w:val="en-GB"/>
        </w:rPr>
        <w:t xml:space="preserve">u to be more tolerant of stress </w:t>
      </w:r>
      <w:r w:rsidRPr="0008100B">
        <w:rPr>
          <w:rFonts w:ascii="Arial" w:hAnsi="Arial" w:cs="Arial"/>
          <w:sz w:val="24"/>
          <w:szCs w:val="24"/>
          <w:lang w:val="en-GB"/>
        </w:rPr>
        <w:t>(Pogány et al. 2004).</w:t>
      </w:r>
      <w:r>
        <w:rPr>
          <w:rFonts w:ascii="Arial" w:hAnsi="Arial" w:cs="Arial"/>
          <w:sz w:val="24"/>
          <w:szCs w:val="24"/>
          <w:lang w:val="en-GB"/>
        </w:rPr>
        <w:t xml:space="preserve"> </w:t>
      </w:r>
      <w:r w:rsidRPr="00FD52AF">
        <w:rPr>
          <w:rFonts w:ascii="Arial" w:hAnsi="Arial" w:cs="Arial"/>
          <w:sz w:val="24"/>
          <w:szCs w:val="24"/>
          <w:lang w:val="en-GB"/>
        </w:rPr>
        <w:t>Ghanem</w:t>
      </w:r>
      <w:r w:rsidRPr="00FD52AF">
        <w:rPr>
          <w:rFonts w:ascii="Arial" w:hAnsi="Arial" w:cs="Arial"/>
          <w:sz w:val="24"/>
          <w:lang w:val="en-GB"/>
        </w:rPr>
        <w:t xml:space="preserve"> et al.</w:t>
      </w:r>
      <w:r w:rsidRPr="00B634EE">
        <w:rPr>
          <w:rFonts w:ascii="Arial" w:hAnsi="Arial" w:cs="Arial"/>
          <w:sz w:val="24"/>
          <w:lang w:val="en-GB"/>
        </w:rPr>
        <w:t xml:space="preserve"> (2011) underwent two varieties of tomato to salt stress and they showed that the concentration of CKs in the plants increase in the leaves in saline treatment. These authors concluded that a greater accumulation of CKs, could improve the resistance to salt stress by delay leaf senescence, </w:t>
      </w:r>
      <w:r>
        <w:rPr>
          <w:rFonts w:ascii="Arial" w:hAnsi="Arial" w:cs="Arial"/>
          <w:sz w:val="24"/>
          <w:lang w:val="en-GB"/>
        </w:rPr>
        <w:t xml:space="preserve">which </w:t>
      </w:r>
      <w:r w:rsidRPr="00B634EE">
        <w:rPr>
          <w:rFonts w:ascii="Arial" w:hAnsi="Arial" w:cs="Arial"/>
          <w:sz w:val="24"/>
          <w:lang w:val="en-GB"/>
        </w:rPr>
        <w:t>would improve maintaining stomatal conductance.</w:t>
      </w:r>
    </w:p>
    <w:p w14:paraId="6B6D2138" w14:textId="77777777" w:rsidR="00E97387" w:rsidRDefault="00E97387" w:rsidP="00E97387">
      <w:pPr>
        <w:spacing w:line="480" w:lineRule="auto"/>
        <w:jc w:val="both"/>
        <w:rPr>
          <w:rFonts w:ascii="Arial" w:hAnsi="Arial" w:cs="Arial"/>
          <w:sz w:val="24"/>
          <w:szCs w:val="24"/>
          <w:lang w:val="en-GB"/>
        </w:rPr>
      </w:pPr>
    </w:p>
    <w:p w14:paraId="54A047FF" w14:textId="77777777" w:rsidR="00E97387" w:rsidRDefault="00E97387" w:rsidP="00E97387">
      <w:pPr>
        <w:spacing w:line="480" w:lineRule="auto"/>
        <w:jc w:val="both"/>
        <w:rPr>
          <w:rFonts w:ascii="Arial" w:hAnsi="Arial" w:cs="Arial"/>
          <w:sz w:val="24"/>
          <w:szCs w:val="24"/>
          <w:lang w:val="en-GB"/>
        </w:rPr>
      </w:pPr>
      <w:r>
        <w:rPr>
          <w:rFonts w:ascii="Arial" w:hAnsi="Arial" w:cs="Arial"/>
          <w:sz w:val="24"/>
          <w:lang w:val="en-GB"/>
        </w:rPr>
        <w:t>A r</w:t>
      </w:r>
      <w:r w:rsidRPr="00B634EE">
        <w:rPr>
          <w:rFonts w:ascii="Arial" w:hAnsi="Arial" w:cs="Arial"/>
          <w:sz w:val="24"/>
          <w:lang w:val="en-GB"/>
        </w:rPr>
        <w:t xml:space="preserve">apid accumulation of </w:t>
      </w:r>
      <w:r w:rsidRPr="00B634EE">
        <w:rPr>
          <w:rFonts w:ascii="Arial" w:hAnsi="Arial" w:cs="Arial"/>
          <w:sz w:val="24"/>
          <w:szCs w:val="24"/>
          <w:lang w:val="en-GB"/>
        </w:rPr>
        <w:t>Gibberellins</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GAs</w:t>
      </w:r>
      <w:r>
        <w:rPr>
          <w:rFonts w:ascii="Arial" w:hAnsi="Arial" w:cs="Arial"/>
          <w:sz w:val="24"/>
          <w:lang w:val="en-GB"/>
        </w:rPr>
        <w:t>) is</w:t>
      </w:r>
      <w:r w:rsidRPr="00B634EE">
        <w:rPr>
          <w:rFonts w:ascii="Arial" w:hAnsi="Arial" w:cs="Arial"/>
          <w:sz w:val="24"/>
          <w:lang w:val="en-GB"/>
        </w:rPr>
        <w:t xml:space="preserve"> characteristic of plants exposed to abiotic stresses, and </w:t>
      </w:r>
      <w:r>
        <w:rPr>
          <w:rFonts w:ascii="Arial" w:hAnsi="Arial" w:cs="Arial"/>
          <w:sz w:val="24"/>
          <w:lang w:val="en-GB"/>
        </w:rPr>
        <w:t>this phytohormone</w:t>
      </w:r>
      <w:r w:rsidRPr="00B634EE">
        <w:rPr>
          <w:rFonts w:ascii="Arial" w:hAnsi="Arial" w:cs="Arial"/>
          <w:sz w:val="24"/>
          <w:lang w:val="en-GB"/>
        </w:rPr>
        <w:t xml:space="preserve"> can impart stress tolerance</w:t>
      </w:r>
      <w:r>
        <w:rPr>
          <w:rFonts w:ascii="Arial" w:hAnsi="Arial" w:cs="Arial"/>
          <w:sz w:val="24"/>
          <w:lang w:val="en-GB"/>
        </w:rPr>
        <w:t>,</w:t>
      </w:r>
      <w:r w:rsidRPr="00B634EE">
        <w:rPr>
          <w:rFonts w:ascii="Arial" w:hAnsi="Arial" w:cs="Arial"/>
          <w:sz w:val="24"/>
          <w:lang w:val="en-GB"/>
        </w:rPr>
        <w:t xml:space="preserve"> including salinity. Under abiotic stress GAs regulates metabolic proces</w:t>
      </w:r>
      <w:r>
        <w:rPr>
          <w:rFonts w:ascii="Arial" w:hAnsi="Arial" w:cs="Arial"/>
          <w:sz w:val="24"/>
          <w:lang w:val="en-GB"/>
        </w:rPr>
        <w:t>se</w:t>
      </w:r>
      <w:r w:rsidRPr="00B634EE">
        <w:rPr>
          <w:rFonts w:ascii="Arial" w:hAnsi="Arial" w:cs="Arial"/>
          <w:sz w:val="24"/>
          <w:lang w:val="en-GB"/>
        </w:rPr>
        <w:t xml:space="preserve">s such as sugar signaling and antioxidative enzymes. </w:t>
      </w:r>
      <w:r w:rsidRPr="00B634EE">
        <w:rPr>
          <w:rFonts w:ascii="Arial" w:hAnsi="Arial" w:cs="Arial"/>
          <w:sz w:val="24"/>
          <w:szCs w:val="24"/>
          <w:lang w:val="en-GB"/>
        </w:rPr>
        <w:t xml:space="preserve">Likewise, they act in stress response since these hormones are antagonistic with respect to abscisic acid (ABA) (Iqbal and Ashraf 2013). </w:t>
      </w:r>
    </w:p>
    <w:p w14:paraId="23F6D5C9" w14:textId="77777777" w:rsidR="00E97387" w:rsidRPr="00B634EE" w:rsidRDefault="00E97387" w:rsidP="00E97387">
      <w:pPr>
        <w:spacing w:line="480" w:lineRule="auto"/>
        <w:jc w:val="both"/>
        <w:rPr>
          <w:rFonts w:ascii="Arial" w:hAnsi="Arial" w:cs="Arial"/>
          <w:sz w:val="24"/>
          <w:lang w:val="en-GB"/>
        </w:rPr>
      </w:pPr>
    </w:p>
    <w:p w14:paraId="4F7432D2"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szCs w:val="24"/>
          <w:lang w:val="en-GB"/>
        </w:rPr>
        <w:t>ABA is known as a hormone that increases their concentration in stressed plants and is key</w:t>
      </w:r>
      <w:r>
        <w:rPr>
          <w:rFonts w:ascii="Arial" w:hAnsi="Arial" w:cs="Arial"/>
          <w:sz w:val="24"/>
          <w:szCs w:val="24"/>
          <w:lang w:val="en-GB"/>
        </w:rPr>
        <w:t xml:space="preserve"> to coordinate stress responses</w:t>
      </w:r>
      <w:r w:rsidRPr="00B634EE">
        <w:rPr>
          <w:rFonts w:ascii="Arial" w:hAnsi="Arial" w:cs="Arial"/>
          <w:sz w:val="24"/>
          <w:szCs w:val="24"/>
          <w:lang w:val="en-GB"/>
        </w:rPr>
        <w:t xml:space="preserve">. In maize plants subjected to salt stress, the most resistant hybrid to salt stress had higher ABA concentration. These authors describe how increasing ABA could benefit to plants under salt stress conditions, inducing a lower rate of transpiration, so the tissues accumulate </w:t>
      </w:r>
      <w:r>
        <w:rPr>
          <w:rFonts w:ascii="Arial" w:hAnsi="Arial" w:cs="Arial"/>
          <w:sz w:val="24"/>
          <w:szCs w:val="24"/>
          <w:lang w:val="en-GB"/>
        </w:rPr>
        <w:t>fewer</w:t>
      </w:r>
      <w:r w:rsidRPr="00B634EE">
        <w:rPr>
          <w:rFonts w:ascii="Arial" w:hAnsi="Arial" w:cs="Arial"/>
          <w:sz w:val="24"/>
          <w:szCs w:val="24"/>
          <w:lang w:val="en-GB"/>
        </w:rPr>
        <w:t xml:space="preserve"> Na</w:t>
      </w:r>
      <w:r w:rsidRPr="00B634EE">
        <w:rPr>
          <w:rFonts w:ascii="Arial" w:hAnsi="Arial" w:cs="Arial"/>
          <w:sz w:val="24"/>
          <w:szCs w:val="24"/>
          <w:vertAlign w:val="superscript"/>
          <w:lang w:val="en-GB"/>
        </w:rPr>
        <w:t>+</w:t>
      </w:r>
      <w:r w:rsidRPr="00B634EE">
        <w:rPr>
          <w:rFonts w:ascii="Arial" w:hAnsi="Arial" w:cs="Arial"/>
          <w:sz w:val="24"/>
          <w:szCs w:val="24"/>
          <w:lang w:val="en-GB"/>
        </w:rPr>
        <w:t xml:space="preserve"> (Zörba </w:t>
      </w:r>
      <w:r w:rsidRPr="00FD52AF">
        <w:rPr>
          <w:rFonts w:ascii="Arial" w:hAnsi="Arial" w:cs="Arial"/>
          <w:iCs/>
          <w:sz w:val="24"/>
          <w:szCs w:val="24"/>
          <w:lang w:val="en-GB"/>
        </w:rPr>
        <w:t>et al.</w:t>
      </w:r>
      <w:r>
        <w:rPr>
          <w:rFonts w:ascii="Arial" w:hAnsi="Arial" w:cs="Arial"/>
          <w:sz w:val="24"/>
          <w:szCs w:val="24"/>
          <w:lang w:val="en-GB"/>
        </w:rPr>
        <w:t xml:space="preserve"> 2013)</w:t>
      </w:r>
      <w:r w:rsidRPr="001B066C">
        <w:rPr>
          <w:rFonts w:ascii="Arial" w:hAnsi="Arial" w:cs="Arial"/>
          <w:sz w:val="24"/>
          <w:szCs w:val="24"/>
          <w:lang w:val="en-GB"/>
        </w:rPr>
        <w:t>.</w:t>
      </w:r>
      <w:r>
        <w:rPr>
          <w:rFonts w:ascii="Arial" w:hAnsi="Arial" w:cs="Arial"/>
          <w:sz w:val="24"/>
          <w:szCs w:val="24"/>
          <w:lang w:val="en-GB"/>
        </w:rPr>
        <w:t xml:space="preserve"> </w:t>
      </w:r>
      <w:r w:rsidRPr="009E253D">
        <w:rPr>
          <w:rFonts w:ascii="Arial" w:hAnsi="Arial" w:cs="Arial"/>
          <w:sz w:val="24"/>
          <w:lang w:val="en-GB"/>
        </w:rPr>
        <w:t>ABA is also closely related to H</w:t>
      </w:r>
      <w:r w:rsidRPr="009E253D">
        <w:rPr>
          <w:rFonts w:ascii="Arial" w:hAnsi="Arial" w:cs="Arial"/>
          <w:sz w:val="24"/>
          <w:vertAlign w:val="subscript"/>
          <w:lang w:val="en-GB"/>
        </w:rPr>
        <w:t>2</w:t>
      </w:r>
      <w:r w:rsidRPr="009E253D">
        <w:rPr>
          <w:rFonts w:ascii="Arial" w:hAnsi="Arial" w:cs="Arial"/>
          <w:sz w:val="24"/>
          <w:lang w:val="en-GB"/>
        </w:rPr>
        <w:t>O</w:t>
      </w:r>
      <w:r w:rsidRPr="009E253D">
        <w:rPr>
          <w:rFonts w:ascii="Arial" w:hAnsi="Arial" w:cs="Arial"/>
          <w:sz w:val="24"/>
          <w:vertAlign w:val="subscript"/>
          <w:lang w:val="en-GB"/>
        </w:rPr>
        <w:t>2</w:t>
      </w:r>
      <w:r>
        <w:rPr>
          <w:rFonts w:ascii="Arial" w:hAnsi="Arial" w:cs="Arial"/>
          <w:sz w:val="24"/>
          <w:lang w:val="en-GB"/>
        </w:rPr>
        <w:t xml:space="preserve"> and Ca</w:t>
      </w:r>
      <w:r w:rsidRPr="00CC2EB7">
        <w:rPr>
          <w:rFonts w:ascii="Arial" w:hAnsi="Arial" w:cs="Arial"/>
          <w:sz w:val="24"/>
          <w:vertAlign w:val="superscript"/>
          <w:lang w:val="en-GB"/>
        </w:rPr>
        <w:t>2+</w:t>
      </w:r>
      <w:r>
        <w:rPr>
          <w:rFonts w:ascii="Arial" w:hAnsi="Arial" w:cs="Arial"/>
          <w:sz w:val="24"/>
          <w:lang w:val="en-GB"/>
        </w:rPr>
        <w:t xml:space="preserve"> ion,</w:t>
      </w:r>
      <w:r w:rsidRPr="009E253D">
        <w:rPr>
          <w:rFonts w:ascii="Arial" w:hAnsi="Arial" w:cs="Arial"/>
          <w:sz w:val="24"/>
          <w:lang w:val="en-GB"/>
        </w:rPr>
        <w:t xml:space="preserve"> both of which int</w:t>
      </w:r>
      <w:r>
        <w:rPr>
          <w:rFonts w:ascii="Arial" w:hAnsi="Arial" w:cs="Arial"/>
          <w:sz w:val="24"/>
          <w:lang w:val="en-GB"/>
        </w:rPr>
        <w:t>eract in the stomatal closure/</w:t>
      </w:r>
      <w:r w:rsidRPr="009E253D">
        <w:rPr>
          <w:rFonts w:ascii="Arial" w:hAnsi="Arial" w:cs="Arial"/>
          <w:sz w:val="24"/>
          <w:lang w:val="en-GB"/>
        </w:rPr>
        <w:t>opening process. In addition, H</w:t>
      </w:r>
      <w:r w:rsidRPr="009E253D">
        <w:rPr>
          <w:rFonts w:ascii="Arial" w:hAnsi="Arial" w:cs="Arial"/>
          <w:sz w:val="24"/>
          <w:vertAlign w:val="subscript"/>
          <w:lang w:val="en-GB"/>
        </w:rPr>
        <w:t>2</w:t>
      </w:r>
      <w:r w:rsidRPr="009E253D">
        <w:rPr>
          <w:rFonts w:ascii="Arial" w:hAnsi="Arial" w:cs="Arial"/>
          <w:sz w:val="24"/>
          <w:lang w:val="en-GB"/>
        </w:rPr>
        <w:t>O</w:t>
      </w:r>
      <w:r w:rsidRPr="009E253D">
        <w:rPr>
          <w:rFonts w:ascii="Arial" w:hAnsi="Arial" w:cs="Arial"/>
          <w:sz w:val="24"/>
          <w:vertAlign w:val="subscript"/>
          <w:lang w:val="en-GB"/>
        </w:rPr>
        <w:t>2</w:t>
      </w:r>
      <w:r w:rsidRPr="009E253D">
        <w:rPr>
          <w:rFonts w:ascii="Arial" w:hAnsi="Arial" w:cs="Arial"/>
          <w:sz w:val="24"/>
          <w:lang w:val="en-GB"/>
        </w:rPr>
        <w:t xml:space="preserve"> stimulates the accumulation of ABA. Finally</w:t>
      </w:r>
      <w:r>
        <w:rPr>
          <w:rFonts w:ascii="Arial" w:hAnsi="Arial" w:cs="Arial"/>
          <w:sz w:val="24"/>
          <w:lang w:val="en-GB"/>
        </w:rPr>
        <w:t>,</w:t>
      </w:r>
      <w:r w:rsidRPr="009E253D">
        <w:rPr>
          <w:rFonts w:ascii="Arial" w:hAnsi="Arial" w:cs="Arial"/>
          <w:sz w:val="24"/>
          <w:lang w:val="en-GB"/>
        </w:rPr>
        <w:t xml:space="preserve"> the accumulation of H</w:t>
      </w:r>
      <w:r w:rsidRPr="009E253D">
        <w:rPr>
          <w:rFonts w:ascii="Arial" w:hAnsi="Arial" w:cs="Arial"/>
          <w:sz w:val="24"/>
          <w:vertAlign w:val="subscript"/>
          <w:lang w:val="en-GB"/>
        </w:rPr>
        <w:t>2</w:t>
      </w:r>
      <w:r w:rsidRPr="009E253D">
        <w:rPr>
          <w:rFonts w:ascii="Arial" w:hAnsi="Arial" w:cs="Arial"/>
          <w:sz w:val="24"/>
          <w:lang w:val="en-GB"/>
        </w:rPr>
        <w:t>O</w:t>
      </w:r>
      <w:r w:rsidRPr="009E253D">
        <w:rPr>
          <w:rFonts w:ascii="Arial" w:hAnsi="Arial" w:cs="Arial"/>
          <w:sz w:val="24"/>
          <w:vertAlign w:val="subscript"/>
          <w:lang w:val="en-GB"/>
        </w:rPr>
        <w:t>2</w:t>
      </w:r>
      <w:r w:rsidRPr="009E253D">
        <w:rPr>
          <w:rFonts w:ascii="Arial" w:hAnsi="Arial" w:cs="Arial"/>
          <w:sz w:val="24"/>
          <w:lang w:val="en-GB"/>
        </w:rPr>
        <w:t xml:space="preserve"> stimulates </w:t>
      </w:r>
      <w:r w:rsidRPr="009E253D">
        <w:rPr>
          <w:rFonts w:ascii="Arial" w:hAnsi="Arial" w:cs="Arial"/>
          <w:sz w:val="24"/>
          <w:lang w:val="en-GB"/>
        </w:rPr>
        <w:lastRenderedPageBreak/>
        <w:t>the accumulation of ABA, this ABA promotes the stomatal closure thus avoiding the loss of wat</w:t>
      </w:r>
      <w:r>
        <w:rPr>
          <w:rFonts w:ascii="Arial" w:hAnsi="Arial" w:cs="Arial"/>
          <w:sz w:val="24"/>
          <w:lang w:val="en-GB"/>
        </w:rPr>
        <w:t xml:space="preserve">er that can cause saline stress </w:t>
      </w:r>
      <w:r w:rsidRPr="004939DB">
        <w:rPr>
          <w:rFonts w:ascii="Arial" w:hAnsi="Arial" w:cs="Arial"/>
          <w:sz w:val="24"/>
          <w:szCs w:val="24"/>
          <w:lang w:val="en-GB"/>
        </w:rPr>
        <w:t>(Mittler and blumwald 2015).</w:t>
      </w:r>
      <w:r>
        <w:rPr>
          <w:rFonts w:ascii="Arial" w:hAnsi="Arial" w:cs="Arial"/>
          <w:sz w:val="24"/>
          <w:lang w:val="en-GB"/>
        </w:rPr>
        <w:t xml:space="preserve"> </w:t>
      </w:r>
    </w:p>
    <w:p w14:paraId="37CE81F9" w14:textId="77777777" w:rsidR="00E97387" w:rsidRDefault="00E97387" w:rsidP="00E97387">
      <w:pPr>
        <w:spacing w:line="480" w:lineRule="auto"/>
        <w:jc w:val="both"/>
        <w:rPr>
          <w:rFonts w:ascii="Arial" w:hAnsi="Arial" w:cs="Arial"/>
          <w:sz w:val="24"/>
          <w:lang w:val="en-GB"/>
        </w:rPr>
      </w:pPr>
    </w:p>
    <w:p w14:paraId="085D0594"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Ethylene interacts with other hormones (GA and ABA) in homeostasis processes (Rzewuski and Sauter 2008).</w:t>
      </w:r>
      <w:r>
        <w:rPr>
          <w:rFonts w:ascii="Arial" w:hAnsi="Arial" w:cs="Arial"/>
          <w:sz w:val="24"/>
          <w:szCs w:val="24"/>
          <w:lang w:val="en-GB"/>
        </w:rPr>
        <w:t xml:space="preserve"> </w:t>
      </w:r>
      <w:r w:rsidRPr="00D4411C">
        <w:rPr>
          <w:rFonts w:ascii="Arial" w:hAnsi="Arial" w:cs="Arial"/>
          <w:sz w:val="24"/>
          <w:szCs w:val="24"/>
          <w:lang w:val="en-GB"/>
        </w:rPr>
        <w:t>It accumulates along</w:t>
      </w:r>
      <w:r>
        <w:rPr>
          <w:rFonts w:ascii="Arial" w:hAnsi="Arial" w:cs="Arial"/>
          <w:sz w:val="24"/>
          <w:szCs w:val="24"/>
          <w:lang w:val="en-GB"/>
        </w:rPr>
        <w:t>side</w:t>
      </w:r>
      <w:r w:rsidRPr="00D4411C">
        <w:rPr>
          <w:rFonts w:ascii="Arial" w:hAnsi="Arial" w:cs="Arial"/>
          <w:sz w:val="24"/>
          <w:szCs w:val="24"/>
          <w:lang w:val="en-GB"/>
        </w:rPr>
        <w:t xml:space="preserve"> ROS.</w:t>
      </w:r>
      <w:r>
        <w:rPr>
          <w:rFonts w:ascii="Arial" w:hAnsi="Arial" w:cs="Arial"/>
          <w:sz w:val="24"/>
          <w:szCs w:val="24"/>
          <w:lang w:val="en-GB"/>
        </w:rPr>
        <w:t xml:space="preserve"> The</w:t>
      </w:r>
      <w:r w:rsidRPr="00D4411C">
        <w:rPr>
          <w:rFonts w:ascii="Arial" w:hAnsi="Arial" w:cs="Arial"/>
          <w:sz w:val="24"/>
          <w:szCs w:val="24"/>
          <w:lang w:val="en-GB"/>
        </w:rPr>
        <w:t xml:space="preserve"> ethylene and O</w:t>
      </w:r>
      <w:r w:rsidRPr="005867BB">
        <w:rPr>
          <w:rFonts w:ascii="Arial" w:hAnsi="Arial" w:cs="Arial"/>
          <w:sz w:val="24"/>
          <w:szCs w:val="24"/>
          <w:vertAlign w:val="subscript"/>
          <w:lang w:val="en-GB"/>
        </w:rPr>
        <w:t>2</w:t>
      </w:r>
      <w:r>
        <w:rPr>
          <w:rFonts w:ascii="Arial" w:hAnsi="Arial" w:cs="Arial"/>
          <w:sz w:val="24"/>
          <w:szCs w:val="24"/>
          <w:vertAlign w:val="superscript"/>
          <w:lang w:val="en-GB"/>
        </w:rPr>
        <w:t>.-</w:t>
      </w:r>
      <w:r w:rsidRPr="00D4411C">
        <w:rPr>
          <w:rFonts w:ascii="Arial" w:hAnsi="Arial" w:cs="Arial"/>
          <w:sz w:val="24"/>
          <w:szCs w:val="24"/>
          <w:lang w:val="en-GB"/>
        </w:rPr>
        <w:t xml:space="preserve"> in plants under abiotic stress are the main</w:t>
      </w:r>
      <w:r>
        <w:rPr>
          <w:rFonts w:ascii="Arial" w:hAnsi="Arial" w:cs="Arial"/>
          <w:sz w:val="24"/>
          <w:szCs w:val="24"/>
          <w:lang w:val="en-GB"/>
        </w:rPr>
        <w:t xml:space="preserve"> cause of programmed cell death</w:t>
      </w:r>
      <w:r w:rsidRPr="00D4411C">
        <w:rPr>
          <w:rFonts w:ascii="Arial" w:hAnsi="Arial" w:cs="Arial"/>
          <w:sz w:val="24"/>
          <w:szCs w:val="24"/>
          <w:lang w:val="en-GB"/>
        </w:rPr>
        <w:t xml:space="preserve">. </w:t>
      </w:r>
      <w:r w:rsidRPr="006608D9">
        <w:rPr>
          <w:rFonts w:ascii="Arial" w:hAnsi="Arial" w:cs="Arial"/>
          <w:sz w:val="24"/>
          <w:szCs w:val="24"/>
          <w:lang w:val="en-GB"/>
        </w:rPr>
        <w:t>The ethylene and O</w:t>
      </w:r>
      <w:r w:rsidRPr="006608D9">
        <w:rPr>
          <w:rFonts w:ascii="Arial" w:hAnsi="Arial" w:cs="Arial"/>
          <w:sz w:val="24"/>
          <w:szCs w:val="24"/>
          <w:vertAlign w:val="subscript"/>
          <w:lang w:val="en-GB"/>
        </w:rPr>
        <w:t>2</w:t>
      </w:r>
      <w:r w:rsidRPr="006608D9">
        <w:rPr>
          <w:rFonts w:ascii="Arial" w:hAnsi="Arial" w:cs="Arial"/>
          <w:sz w:val="24"/>
          <w:szCs w:val="24"/>
          <w:vertAlign w:val="superscript"/>
          <w:lang w:val="en-GB"/>
        </w:rPr>
        <w:t>.-</w:t>
      </w:r>
      <w:r w:rsidRPr="006608D9">
        <w:rPr>
          <w:rFonts w:ascii="Arial" w:hAnsi="Arial" w:cs="Arial"/>
          <w:sz w:val="24"/>
          <w:szCs w:val="24"/>
          <w:lang w:val="en-GB"/>
        </w:rPr>
        <w:t xml:space="preserve"> in plants under abiotic stress behaves as an indicator of stress.</w:t>
      </w:r>
      <w:r>
        <w:rPr>
          <w:rFonts w:ascii="Arial" w:hAnsi="Arial" w:cs="Arial"/>
          <w:sz w:val="24"/>
          <w:szCs w:val="24"/>
          <w:lang w:val="en-GB"/>
        </w:rPr>
        <w:t xml:space="preserve"> </w:t>
      </w:r>
      <w:r w:rsidRPr="00D4411C">
        <w:rPr>
          <w:rFonts w:ascii="Arial" w:hAnsi="Arial" w:cs="Arial"/>
          <w:sz w:val="24"/>
          <w:szCs w:val="24"/>
          <w:lang w:val="en-GB"/>
        </w:rPr>
        <w:t xml:space="preserve">An increase in the hormone </w:t>
      </w:r>
      <w:r w:rsidRPr="00B634EE">
        <w:rPr>
          <w:rFonts w:ascii="Arial" w:hAnsi="Arial" w:cs="Arial"/>
          <w:sz w:val="24"/>
          <w:szCs w:val="24"/>
          <w:lang w:val="en-GB"/>
        </w:rPr>
        <w:t>jasmonic</w:t>
      </w:r>
      <w:r w:rsidRPr="00D4411C">
        <w:rPr>
          <w:rFonts w:ascii="Arial" w:hAnsi="Arial" w:cs="Arial"/>
          <w:sz w:val="24"/>
          <w:szCs w:val="24"/>
          <w:lang w:val="en-GB"/>
        </w:rPr>
        <w:t xml:space="preserve"> </w:t>
      </w:r>
      <w:r>
        <w:rPr>
          <w:rFonts w:ascii="Arial" w:hAnsi="Arial" w:cs="Arial"/>
          <w:sz w:val="24"/>
          <w:szCs w:val="24"/>
          <w:lang w:val="en-GB"/>
        </w:rPr>
        <w:t>(</w:t>
      </w:r>
      <w:r w:rsidRPr="00D4411C">
        <w:rPr>
          <w:rFonts w:ascii="Arial" w:hAnsi="Arial" w:cs="Arial"/>
          <w:sz w:val="24"/>
          <w:szCs w:val="24"/>
          <w:lang w:val="en-GB"/>
        </w:rPr>
        <w:t>JA</w:t>
      </w:r>
      <w:r>
        <w:rPr>
          <w:rFonts w:ascii="Arial" w:hAnsi="Arial" w:cs="Arial"/>
          <w:sz w:val="24"/>
          <w:szCs w:val="24"/>
          <w:lang w:val="en-GB"/>
        </w:rPr>
        <w:t>)</w:t>
      </w:r>
      <w:r w:rsidRPr="00D4411C">
        <w:rPr>
          <w:rFonts w:ascii="Arial" w:hAnsi="Arial" w:cs="Arial"/>
          <w:sz w:val="24"/>
          <w:szCs w:val="24"/>
          <w:lang w:val="en-GB"/>
        </w:rPr>
        <w:t xml:space="preserve"> can lead to</w:t>
      </w:r>
      <w:r>
        <w:rPr>
          <w:rFonts w:ascii="Arial" w:hAnsi="Arial" w:cs="Arial"/>
          <w:sz w:val="24"/>
          <w:szCs w:val="24"/>
          <w:lang w:val="en-GB"/>
        </w:rPr>
        <w:t xml:space="preserve"> an increase in ethylene levels (Overmyer </w:t>
      </w:r>
      <w:r w:rsidRPr="005867BB">
        <w:rPr>
          <w:rFonts w:ascii="Arial" w:hAnsi="Arial" w:cs="Arial"/>
          <w:sz w:val="24"/>
          <w:szCs w:val="24"/>
          <w:lang w:val="en-GB"/>
        </w:rPr>
        <w:t>et al.</w:t>
      </w:r>
      <w:r>
        <w:rPr>
          <w:rFonts w:ascii="Arial" w:hAnsi="Arial" w:cs="Arial"/>
          <w:sz w:val="24"/>
          <w:szCs w:val="24"/>
          <w:lang w:val="en-GB"/>
        </w:rPr>
        <w:t xml:space="preserve"> 2003).</w:t>
      </w:r>
      <w:r w:rsidRPr="00C32EFB">
        <w:rPr>
          <w:rFonts w:ascii="Arial" w:hAnsi="Arial" w:cs="Arial"/>
          <w:sz w:val="24"/>
          <w:szCs w:val="24"/>
          <w:highlight w:val="yellow"/>
          <w:lang w:val="en-GB"/>
        </w:rPr>
        <w:t xml:space="preserve"> </w:t>
      </w:r>
    </w:p>
    <w:p w14:paraId="73ABA341" w14:textId="77777777" w:rsidR="00E97387" w:rsidRDefault="00E97387" w:rsidP="00E97387">
      <w:pPr>
        <w:spacing w:line="480" w:lineRule="auto"/>
        <w:jc w:val="both"/>
        <w:rPr>
          <w:rFonts w:ascii="Arial" w:hAnsi="Arial" w:cs="Arial"/>
          <w:sz w:val="24"/>
          <w:szCs w:val="24"/>
          <w:lang w:val="en-GB"/>
        </w:rPr>
      </w:pPr>
    </w:p>
    <w:p w14:paraId="1AA2E010"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 xml:space="preserve">Other two phytohormones relevant in stress response are </w:t>
      </w:r>
      <w:r>
        <w:rPr>
          <w:rFonts w:ascii="Arial" w:hAnsi="Arial" w:cs="Arial"/>
          <w:sz w:val="24"/>
          <w:szCs w:val="24"/>
          <w:lang w:val="en-GB"/>
        </w:rPr>
        <w:t>JA</w:t>
      </w:r>
      <w:r w:rsidRPr="00B634EE">
        <w:rPr>
          <w:rFonts w:ascii="Arial" w:hAnsi="Arial" w:cs="Arial"/>
          <w:sz w:val="24"/>
          <w:szCs w:val="24"/>
          <w:lang w:val="en-GB"/>
        </w:rPr>
        <w:t xml:space="preserve"> and salicylic acids (SA). JA is commonly associated with stress by pathogens. However, pretreatment with JA diminished the inhibitory effect of high salt concentration on growth and photosynthesis in barley. </w:t>
      </w:r>
      <w:r>
        <w:rPr>
          <w:rFonts w:ascii="Arial" w:hAnsi="Arial" w:cs="Arial"/>
          <w:sz w:val="24"/>
          <w:szCs w:val="24"/>
          <w:lang w:val="en-GB"/>
        </w:rPr>
        <w:t xml:space="preserve">However, </w:t>
      </w:r>
      <w:r w:rsidRPr="00B634EE">
        <w:rPr>
          <w:rFonts w:ascii="Arial" w:hAnsi="Arial" w:cs="Arial"/>
          <w:sz w:val="24"/>
          <w:szCs w:val="24"/>
          <w:lang w:val="en-GB"/>
        </w:rPr>
        <w:t xml:space="preserve">there is no information about how salinity affects endogenous JA levels in natural plant. SA has antagonistic effects on JA by preventing its accumulation in </w:t>
      </w:r>
      <w:r>
        <w:rPr>
          <w:rFonts w:ascii="Arial" w:hAnsi="Arial" w:cs="Arial"/>
          <w:sz w:val="24"/>
          <w:szCs w:val="24"/>
          <w:lang w:val="en-GB"/>
        </w:rPr>
        <w:t>injury</w:t>
      </w:r>
      <w:r w:rsidRPr="00B634EE">
        <w:rPr>
          <w:rFonts w:ascii="Arial" w:hAnsi="Arial" w:cs="Arial"/>
          <w:sz w:val="24"/>
          <w:szCs w:val="24"/>
          <w:lang w:val="en-GB"/>
        </w:rPr>
        <w:t xml:space="preserve"> </w:t>
      </w:r>
      <w:r>
        <w:rPr>
          <w:rFonts w:ascii="Arial" w:hAnsi="Arial" w:cs="Arial"/>
          <w:sz w:val="24"/>
          <w:szCs w:val="24"/>
          <w:lang w:val="en-GB"/>
        </w:rPr>
        <w:t>response</w:t>
      </w:r>
      <w:r w:rsidRPr="00B634EE">
        <w:rPr>
          <w:rFonts w:ascii="Arial" w:hAnsi="Arial" w:cs="Arial"/>
          <w:sz w:val="24"/>
          <w:szCs w:val="24"/>
          <w:lang w:val="en-GB"/>
        </w:rPr>
        <w:t xml:space="preserve">. </w:t>
      </w:r>
      <w:r>
        <w:rPr>
          <w:rFonts w:ascii="Arial" w:hAnsi="Arial" w:cs="Arial"/>
          <w:sz w:val="24"/>
          <w:szCs w:val="24"/>
          <w:lang w:val="en-GB"/>
        </w:rPr>
        <w:t xml:space="preserve">On the other hand, </w:t>
      </w:r>
      <w:r w:rsidRPr="00B634EE">
        <w:rPr>
          <w:rFonts w:ascii="Arial" w:hAnsi="Arial" w:cs="Arial"/>
          <w:sz w:val="24"/>
          <w:szCs w:val="24"/>
          <w:lang w:val="en-GB"/>
        </w:rPr>
        <w:t>SA is</w:t>
      </w:r>
      <w:r>
        <w:rPr>
          <w:rFonts w:ascii="Arial" w:hAnsi="Arial" w:cs="Arial"/>
          <w:sz w:val="24"/>
          <w:szCs w:val="24"/>
          <w:lang w:val="en-GB"/>
        </w:rPr>
        <w:t xml:space="preserve"> usually</w:t>
      </w:r>
      <w:r w:rsidRPr="00B634EE">
        <w:rPr>
          <w:rFonts w:ascii="Arial" w:hAnsi="Arial" w:cs="Arial"/>
          <w:sz w:val="24"/>
          <w:szCs w:val="24"/>
          <w:lang w:val="en-GB"/>
        </w:rPr>
        <w:t xml:space="preserve"> associated with the chemical defense of plants against microbes and herbivores </w:t>
      </w:r>
      <w:r>
        <w:rPr>
          <w:rFonts w:ascii="Arial" w:hAnsi="Arial" w:cs="Arial"/>
          <w:sz w:val="24"/>
          <w:szCs w:val="24"/>
          <w:lang w:val="en-GB"/>
        </w:rPr>
        <w:t>(Singh and Gautam</w:t>
      </w:r>
      <w:r w:rsidRPr="00B634EE">
        <w:rPr>
          <w:rFonts w:ascii="Arial" w:hAnsi="Arial" w:cs="Arial"/>
          <w:sz w:val="24"/>
          <w:szCs w:val="24"/>
          <w:lang w:val="en-GB"/>
        </w:rPr>
        <w:t xml:space="preserve"> </w:t>
      </w:r>
      <w:r w:rsidRPr="002B6447">
        <w:rPr>
          <w:rFonts w:ascii="Arial" w:hAnsi="Arial" w:cs="Arial"/>
          <w:sz w:val="24"/>
          <w:szCs w:val="24"/>
          <w:lang w:val="en-GB"/>
        </w:rPr>
        <w:t>2013</w:t>
      </w:r>
      <w:r w:rsidRPr="00B634EE">
        <w:rPr>
          <w:rFonts w:ascii="Arial" w:hAnsi="Arial" w:cs="Arial"/>
          <w:sz w:val="24"/>
          <w:szCs w:val="24"/>
          <w:lang w:val="en-GB"/>
        </w:rPr>
        <w:t>).</w:t>
      </w:r>
      <w:r>
        <w:rPr>
          <w:rFonts w:ascii="Arial" w:hAnsi="Arial" w:cs="Arial"/>
          <w:sz w:val="24"/>
          <w:szCs w:val="24"/>
          <w:lang w:val="en-GB"/>
        </w:rPr>
        <w:t xml:space="preserve"> </w:t>
      </w:r>
      <w:r w:rsidRPr="00E2452A">
        <w:rPr>
          <w:rFonts w:ascii="Arial" w:hAnsi="Arial" w:cs="Arial"/>
          <w:sz w:val="24"/>
          <w:szCs w:val="24"/>
          <w:lang w:val="en-GB"/>
        </w:rPr>
        <w:t>The role of hormones in defense against abiotic stress and ROS is becoming clearer. In spite of this, more studies are necessary to understand this process well.</w:t>
      </w:r>
    </w:p>
    <w:p w14:paraId="757A8B91" w14:textId="77777777" w:rsidR="00E97387" w:rsidRPr="00425623" w:rsidRDefault="00E97387" w:rsidP="00E97387">
      <w:pPr>
        <w:spacing w:line="480" w:lineRule="auto"/>
        <w:jc w:val="both"/>
        <w:rPr>
          <w:rFonts w:ascii="Arial" w:hAnsi="Arial" w:cs="Arial"/>
          <w:sz w:val="24"/>
          <w:szCs w:val="24"/>
          <w:lang w:val="en-GB"/>
        </w:rPr>
      </w:pPr>
    </w:p>
    <w:p w14:paraId="79493DFF"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 xml:space="preserve">In this context, considering the importance of phytohormones and role oxidative metabolism in plant resistance to saline stress, we investigate here the response of oxidative metabolic process and phytohormones concentrations in two tomato </w:t>
      </w:r>
      <w:r w:rsidRPr="00B634EE">
        <w:rPr>
          <w:rFonts w:ascii="Arial" w:hAnsi="Arial" w:cs="Arial"/>
          <w:sz w:val="24"/>
          <w:szCs w:val="24"/>
          <w:lang w:val="en-GB"/>
        </w:rPr>
        <w:lastRenderedPageBreak/>
        <w:t>genotypes submitted to salinity stress. The aim is to determine whether the oxidative metabolism and hormonal profile are determinant to define the cultivar with the strongest tolerance to saline stress. Also, understand how different hormones and oxidative metabolism are related with salt stress tolerance.</w:t>
      </w:r>
    </w:p>
    <w:p w14:paraId="09DC5773" w14:textId="77777777" w:rsidR="00E97387" w:rsidRDefault="00E97387" w:rsidP="00E97387">
      <w:pPr>
        <w:spacing w:line="480" w:lineRule="auto"/>
        <w:jc w:val="both"/>
        <w:rPr>
          <w:rFonts w:ascii="Arial" w:hAnsi="Arial" w:cs="Arial"/>
          <w:sz w:val="24"/>
          <w:szCs w:val="24"/>
          <w:lang w:val="en-GB"/>
        </w:rPr>
      </w:pPr>
    </w:p>
    <w:p w14:paraId="65139B56" w14:textId="77777777" w:rsidR="00E97387" w:rsidRPr="00B634EE" w:rsidRDefault="00E97387" w:rsidP="00E97387">
      <w:pPr>
        <w:spacing w:line="480" w:lineRule="auto"/>
        <w:jc w:val="both"/>
        <w:rPr>
          <w:rFonts w:ascii="Arial" w:hAnsi="Arial" w:cs="Arial"/>
          <w:sz w:val="24"/>
          <w:lang w:val="en-GB"/>
        </w:rPr>
      </w:pPr>
      <w:r>
        <w:rPr>
          <w:rFonts w:ascii="Arial" w:hAnsi="Arial" w:cs="Arial"/>
          <w:b/>
          <w:sz w:val="24"/>
          <w:lang w:val="en-GB"/>
        </w:rPr>
        <w:t>3</w:t>
      </w:r>
      <w:r w:rsidRPr="00CF056C">
        <w:rPr>
          <w:rFonts w:ascii="Arial" w:hAnsi="Arial" w:cs="Arial"/>
          <w:b/>
          <w:sz w:val="24"/>
          <w:lang w:val="en-GB"/>
        </w:rPr>
        <w:t xml:space="preserve"> </w:t>
      </w:r>
      <w:r>
        <w:rPr>
          <w:rFonts w:ascii="Arial" w:hAnsi="Arial" w:cs="Arial"/>
          <w:b/>
          <w:sz w:val="24"/>
          <w:lang w:val="en-GB"/>
        </w:rPr>
        <w:t>Materials and Methods</w:t>
      </w:r>
    </w:p>
    <w:p w14:paraId="3C3B13CD" w14:textId="77777777" w:rsidR="00E97387" w:rsidRPr="00B634EE" w:rsidRDefault="00E97387" w:rsidP="00E97387">
      <w:pPr>
        <w:spacing w:line="480" w:lineRule="auto"/>
        <w:jc w:val="both"/>
        <w:rPr>
          <w:rFonts w:ascii="Arial" w:hAnsi="Arial" w:cs="Arial"/>
          <w:sz w:val="24"/>
          <w:szCs w:val="24"/>
          <w:lang w:val="en-GB"/>
        </w:rPr>
      </w:pPr>
      <w:r>
        <w:rPr>
          <w:rFonts w:ascii="Arial" w:hAnsi="Arial" w:cs="Arial"/>
          <w:sz w:val="24"/>
          <w:szCs w:val="24"/>
          <w:lang w:val="en-GB"/>
        </w:rPr>
        <w:t>3</w:t>
      </w:r>
      <w:r w:rsidRPr="00B634EE">
        <w:rPr>
          <w:rFonts w:ascii="Arial" w:hAnsi="Arial" w:cs="Arial"/>
          <w:sz w:val="24"/>
          <w:szCs w:val="24"/>
          <w:lang w:val="en-GB"/>
        </w:rPr>
        <w:t>.1 Plant material and treatments</w:t>
      </w:r>
    </w:p>
    <w:p w14:paraId="417365FB"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 xml:space="preserve">Seeds of </w:t>
      </w:r>
      <w:r w:rsidRPr="00B634EE">
        <w:rPr>
          <w:rFonts w:ascii="Arial" w:hAnsi="Arial" w:cs="Arial"/>
          <w:i/>
          <w:sz w:val="24"/>
          <w:szCs w:val="24"/>
          <w:lang w:val="en-GB"/>
        </w:rPr>
        <w:t xml:space="preserve">Solanum lycopersicum </w:t>
      </w:r>
      <w:r w:rsidRPr="00B634EE">
        <w:rPr>
          <w:rFonts w:ascii="Arial" w:hAnsi="Arial" w:cs="Arial"/>
          <w:sz w:val="24"/>
          <w:szCs w:val="24"/>
          <w:lang w:val="en-GB"/>
        </w:rPr>
        <w:t xml:space="preserve">cv. Gran brix and </w:t>
      </w:r>
      <w:r w:rsidRPr="00B634EE">
        <w:rPr>
          <w:rFonts w:ascii="Arial" w:hAnsi="Arial" w:cs="Arial"/>
          <w:i/>
          <w:sz w:val="24"/>
          <w:szCs w:val="24"/>
          <w:lang w:val="en-GB"/>
        </w:rPr>
        <w:t xml:space="preserve">Solanum lycopersicum </w:t>
      </w:r>
      <w:r w:rsidRPr="00B634EE">
        <w:rPr>
          <w:rFonts w:ascii="Arial" w:hAnsi="Arial" w:cs="Arial"/>
          <w:sz w:val="24"/>
          <w:szCs w:val="24"/>
          <w:lang w:val="en-GB"/>
        </w:rPr>
        <w:t xml:space="preserve">cv. Marmande RAF (Saliplant S.L., Spain) were germinated and grown for 30 days in cell flats of 3 cm × 3 cm × 10 cm filled with a perlite mixture substratum. The flats were placed on benches in an experimental greenhouse located in Southern Spain (Saliplant S.L., Motril, Granada). After 30 days, the seedlings were transferred to a growth chamber (Department of plant physiology, University of Granada) under the following controlled environmental conditions: Relative humidity 60-80%; Day/night temperatures 28/19 °C; 16/8 h photoperiod at a photosynthetic photon flux density (PPFD) of 350 </w:t>
      </w:r>
      <w:r w:rsidRPr="00B634EE">
        <w:rPr>
          <w:rFonts w:ascii="Arial" w:hAnsi="Arial" w:cs="Arial"/>
          <w:i/>
          <w:sz w:val="24"/>
          <w:szCs w:val="24"/>
          <w:lang w:val="en-GB"/>
        </w:rPr>
        <w:t>μ</w:t>
      </w:r>
      <w:r w:rsidRPr="00B634EE">
        <w:rPr>
          <w:rFonts w:ascii="Arial" w:hAnsi="Arial" w:cs="Arial"/>
          <w:sz w:val="24"/>
          <w:szCs w:val="24"/>
          <w:lang w:val="en-GB"/>
        </w:rPr>
        <w:t>mol m</w:t>
      </w:r>
      <w:r w:rsidRPr="00B634EE">
        <w:rPr>
          <w:rFonts w:ascii="Arial" w:hAnsi="Arial" w:cs="Arial"/>
          <w:sz w:val="24"/>
          <w:szCs w:val="24"/>
          <w:vertAlign w:val="superscript"/>
          <w:lang w:val="en-GB"/>
        </w:rPr>
        <w:t>−2</w:t>
      </w:r>
      <w:r w:rsidRPr="00B634EE">
        <w:rPr>
          <w:rFonts w:ascii="Arial" w:hAnsi="Arial" w:cs="Arial"/>
          <w:sz w:val="24"/>
          <w:szCs w:val="24"/>
          <w:lang w:val="en-GB"/>
        </w:rPr>
        <w:t>s</w:t>
      </w:r>
      <w:r w:rsidRPr="00B634EE">
        <w:rPr>
          <w:rFonts w:ascii="Arial" w:hAnsi="Arial" w:cs="Arial"/>
          <w:sz w:val="24"/>
          <w:szCs w:val="24"/>
          <w:vertAlign w:val="superscript"/>
          <w:lang w:val="en-GB"/>
        </w:rPr>
        <w:t xml:space="preserve">−1 </w:t>
      </w:r>
      <w:r w:rsidRPr="00B634EE">
        <w:rPr>
          <w:rFonts w:ascii="Arial" w:hAnsi="Arial" w:cs="Arial"/>
          <w:sz w:val="24"/>
          <w:szCs w:val="24"/>
          <w:lang w:val="en-GB"/>
        </w:rPr>
        <w:t>(measured at the top of the seedlings with a 190 SB quantum sensor, LI-CORInc., Lincoln, Nebraska, USA). Under these conditions</w:t>
      </w:r>
      <w:r>
        <w:rPr>
          <w:rFonts w:ascii="Arial" w:hAnsi="Arial" w:cs="Arial"/>
          <w:sz w:val="24"/>
          <w:szCs w:val="24"/>
          <w:lang w:val="en-GB"/>
        </w:rPr>
        <w:t>,</w:t>
      </w:r>
      <w:r w:rsidRPr="00B634EE">
        <w:rPr>
          <w:rFonts w:ascii="Arial" w:hAnsi="Arial" w:cs="Arial"/>
          <w:sz w:val="24"/>
          <w:szCs w:val="24"/>
          <w:lang w:val="en-GB"/>
        </w:rPr>
        <w:t xml:space="preserve"> the plants were grown in hydroponic cultivation in lightweight polypropylene trays (60 cm diameter top, bottom diameter 60 cm and 7 cm in height) of 3 L volume, 8 plants/tray. Throughout the experiment the plants were treated with a growth solution made up of 4 mM KNO</w:t>
      </w:r>
      <w:r w:rsidRPr="00B634EE">
        <w:rPr>
          <w:rFonts w:ascii="Arial" w:hAnsi="Arial" w:cs="Arial"/>
          <w:sz w:val="24"/>
          <w:szCs w:val="24"/>
          <w:vertAlign w:val="subscript"/>
          <w:lang w:val="en-GB"/>
        </w:rPr>
        <w:t>3</w:t>
      </w:r>
      <w:r w:rsidRPr="00B634EE">
        <w:rPr>
          <w:rFonts w:ascii="Arial" w:hAnsi="Arial" w:cs="Arial"/>
          <w:sz w:val="24"/>
          <w:szCs w:val="24"/>
          <w:lang w:val="en-GB"/>
        </w:rPr>
        <w:t>, 3 mM Ca(NO</w:t>
      </w:r>
      <w:r w:rsidRPr="00B634EE">
        <w:rPr>
          <w:rFonts w:ascii="Arial" w:hAnsi="Arial" w:cs="Arial"/>
          <w:sz w:val="24"/>
          <w:szCs w:val="24"/>
          <w:vertAlign w:val="subscript"/>
          <w:lang w:val="en-GB"/>
        </w:rPr>
        <w:t>3</w:t>
      </w:r>
      <w:r w:rsidRPr="00B634EE">
        <w:rPr>
          <w:rFonts w:ascii="Arial" w:hAnsi="Arial" w:cs="Arial"/>
          <w:sz w:val="24"/>
          <w:szCs w:val="24"/>
          <w:lang w:val="en-GB"/>
        </w:rPr>
        <w:t>)</w:t>
      </w:r>
      <w:r w:rsidRPr="00B634EE">
        <w:rPr>
          <w:rFonts w:ascii="Arial" w:hAnsi="Arial" w:cs="Arial"/>
          <w:sz w:val="24"/>
          <w:szCs w:val="24"/>
          <w:vertAlign w:val="subscript"/>
          <w:lang w:val="en-GB"/>
        </w:rPr>
        <w:t>2</w:t>
      </w:r>
      <w:r w:rsidRPr="00B634EE">
        <w:rPr>
          <w:rFonts w:ascii="Arial" w:hAnsi="Arial" w:cs="Arial"/>
          <w:sz w:val="24"/>
          <w:szCs w:val="24"/>
          <w:lang w:val="en-GB"/>
        </w:rPr>
        <w:t>·4H</w:t>
      </w:r>
      <w:r w:rsidRPr="00B634EE">
        <w:rPr>
          <w:rFonts w:ascii="Arial" w:hAnsi="Arial" w:cs="Arial"/>
          <w:sz w:val="24"/>
          <w:szCs w:val="24"/>
          <w:vertAlign w:val="subscript"/>
          <w:lang w:val="en-GB"/>
        </w:rPr>
        <w:t>2</w:t>
      </w:r>
      <w:r w:rsidRPr="00B634EE">
        <w:rPr>
          <w:rFonts w:ascii="Arial" w:hAnsi="Arial" w:cs="Arial"/>
          <w:sz w:val="24"/>
          <w:szCs w:val="24"/>
          <w:lang w:val="en-GB"/>
        </w:rPr>
        <w:t>O, 2 mM MgSO</w:t>
      </w:r>
      <w:r w:rsidRPr="00B634EE">
        <w:rPr>
          <w:rFonts w:ascii="Arial" w:hAnsi="Arial" w:cs="Arial"/>
          <w:sz w:val="24"/>
          <w:szCs w:val="24"/>
          <w:vertAlign w:val="subscript"/>
          <w:lang w:val="en-GB"/>
        </w:rPr>
        <w:t>4</w:t>
      </w:r>
      <w:r w:rsidRPr="00B634EE">
        <w:rPr>
          <w:rFonts w:ascii="Arial" w:hAnsi="Arial" w:cs="Arial"/>
          <w:sz w:val="24"/>
          <w:szCs w:val="24"/>
          <w:lang w:val="en-GB"/>
        </w:rPr>
        <w:t>·7H</w:t>
      </w:r>
      <w:r w:rsidRPr="00B634EE">
        <w:rPr>
          <w:rFonts w:ascii="Arial" w:hAnsi="Arial" w:cs="Arial"/>
          <w:sz w:val="24"/>
          <w:szCs w:val="24"/>
          <w:vertAlign w:val="subscript"/>
          <w:lang w:val="en-GB"/>
        </w:rPr>
        <w:t>2</w:t>
      </w:r>
      <w:r w:rsidRPr="00B634EE">
        <w:rPr>
          <w:rFonts w:ascii="Arial" w:hAnsi="Arial" w:cs="Arial"/>
          <w:sz w:val="24"/>
          <w:szCs w:val="24"/>
          <w:lang w:val="en-GB"/>
        </w:rPr>
        <w:t>O, 6 mM KH</w:t>
      </w:r>
      <w:r w:rsidRPr="00B634EE">
        <w:rPr>
          <w:rFonts w:ascii="Arial" w:hAnsi="Arial" w:cs="Arial"/>
          <w:sz w:val="24"/>
          <w:szCs w:val="24"/>
          <w:vertAlign w:val="subscript"/>
          <w:lang w:val="en-GB"/>
        </w:rPr>
        <w:t>2</w:t>
      </w:r>
      <w:r w:rsidRPr="00B634EE">
        <w:rPr>
          <w:rFonts w:ascii="Arial" w:hAnsi="Arial" w:cs="Arial"/>
          <w:sz w:val="24"/>
          <w:szCs w:val="24"/>
          <w:lang w:val="en-GB"/>
        </w:rPr>
        <w:t>PO</w:t>
      </w:r>
      <w:r w:rsidRPr="00B634EE">
        <w:rPr>
          <w:rFonts w:ascii="Arial" w:hAnsi="Arial" w:cs="Arial"/>
          <w:sz w:val="24"/>
          <w:szCs w:val="24"/>
          <w:vertAlign w:val="subscript"/>
          <w:lang w:val="en-GB"/>
        </w:rPr>
        <w:t>4</w:t>
      </w:r>
      <w:r w:rsidRPr="00B634EE">
        <w:rPr>
          <w:rFonts w:ascii="Arial" w:hAnsi="Arial" w:cs="Arial"/>
          <w:sz w:val="24"/>
          <w:szCs w:val="24"/>
          <w:lang w:val="en-GB"/>
        </w:rPr>
        <w:t>, 1 mM NaH</w:t>
      </w:r>
      <w:r w:rsidRPr="00B634EE">
        <w:rPr>
          <w:rFonts w:ascii="Arial" w:hAnsi="Arial" w:cs="Arial"/>
          <w:sz w:val="24"/>
          <w:szCs w:val="24"/>
          <w:vertAlign w:val="subscript"/>
          <w:lang w:val="en-GB"/>
        </w:rPr>
        <w:t>2</w:t>
      </w:r>
      <w:r w:rsidRPr="00B634EE">
        <w:rPr>
          <w:rFonts w:ascii="Arial" w:hAnsi="Arial" w:cs="Arial"/>
          <w:sz w:val="24"/>
          <w:szCs w:val="24"/>
          <w:lang w:val="en-GB"/>
        </w:rPr>
        <w:t>PO</w:t>
      </w:r>
      <w:r w:rsidRPr="00B634EE">
        <w:rPr>
          <w:rFonts w:ascii="Arial" w:hAnsi="Arial" w:cs="Arial"/>
          <w:sz w:val="24"/>
          <w:szCs w:val="24"/>
          <w:vertAlign w:val="subscript"/>
          <w:lang w:val="en-GB"/>
        </w:rPr>
        <w:t>4</w:t>
      </w:r>
      <w:r w:rsidRPr="00B634EE">
        <w:rPr>
          <w:rFonts w:ascii="Arial" w:hAnsi="Arial" w:cs="Arial"/>
          <w:sz w:val="24"/>
          <w:szCs w:val="24"/>
          <w:lang w:val="en-GB"/>
        </w:rPr>
        <w:t>·2H</w:t>
      </w:r>
      <w:r w:rsidRPr="00B634EE">
        <w:rPr>
          <w:rFonts w:ascii="Arial" w:hAnsi="Arial" w:cs="Arial"/>
          <w:sz w:val="24"/>
          <w:szCs w:val="24"/>
          <w:vertAlign w:val="subscript"/>
          <w:lang w:val="en-GB"/>
        </w:rPr>
        <w:t>2</w:t>
      </w:r>
      <w:r w:rsidRPr="00B634EE">
        <w:rPr>
          <w:rFonts w:ascii="Arial" w:hAnsi="Arial" w:cs="Arial"/>
          <w:sz w:val="24"/>
          <w:szCs w:val="24"/>
          <w:lang w:val="en-GB"/>
        </w:rPr>
        <w:t xml:space="preserve">O, 2 </w:t>
      </w:r>
      <w:r w:rsidRPr="00B634EE">
        <w:rPr>
          <w:rFonts w:ascii="Arial" w:hAnsi="Arial" w:cs="Arial"/>
          <w:sz w:val="24"/>
          <w:lang w:val="en-GB"/>
        </w:rPr>
        <w:t>µ</w:t>
      </w:r>
      <w:r w:rsidRPr="00B634EE">
        <w:rPr>
          <w:rFonts w:ascii="Arial" w:hAnsi="Arial" w:cs="Arial"/>
          <w:sz w:val="24"/>
          <w:szCs w:val="24"/>
          <w:lang w:val="en-GB"/>
        </w:rPr>
        <w:t>M MnCl</w:t>
      </w:r>
      <w:r w:rsidRPr="00B634EE">
        <w:rPr>
          <w:rFonts w:ascii="Arial" w:hAnsi="Arial" w:cs="Arial"/>
          <w:sz w:val="24"/>
          <w:szCs w:val="24"/>
          <w:vertAlign w:val="subscript"/>
          <w:lang w:val="en-GB"/>
        </w:rPr>
        <w:t>2</w:t>
      </w:r>
      <w:r w:rsidRPr="00B634EE">
        <w:rPr>
          <w:rFonts w:ascii="Arial" w:hAnsi="Arial" w:cs="Arial"/>
          <w:sz w:val="24"/>
          <w:szCs w:val="24"/>
          <w:lang w:val="en-GB"/>
        </w:rPr>
        <w:t>·4H</w:t>
      </w:r>
      <w:r w:rsidRPr="00B634EE">
        <w:rPr>
          <w:rFonts w:ascii="Arial" w:hAnsi="Arial" w:cs="Arial"/>
          <w:sz w:val="24"/>
          <w:szCs w:val="24"/>
          <w:vertAlign w:val="subscript"/>
          <w:lang w:val="en-GB"/>
        </w:rPr>
        <w:t>2</w:t>
      </w:r>
      <w:r w:rsidRPr="00B634EE">
        <w:rPr>
          <w:rFonts w:ascii="Arial" w:hAnsi="Arial" w:cs="Arial"/>
          <w:sz w:val="24"/>
          <w:szCs w:val="24"/>
          <w:lang w:val="en-GB"/>
        </w:rPr>
        <w:t xml:space="preserve">O, 1 </w:t>
      </w:r>
      <w:r w:rsidRPr="00B634EE">
        <w:rPr>
          <w:rFonts w:ascii="Arial" w:hAnsi="Arial" w:cs="Arial"/>
          <w:sz w:val="24"/>
          <w:lang w:val="en-GB"/>
        </w:rPr>
        <w:t>µ</w:t>
      </w:r>
      <w:r w:rsidRPr="00B634EE">
        <w:rPr>
          <w:rFonts w:ascii="Arial" w:hAnsi="Arial" w:cs="Arial"/>
          <w:sz w:val="24"/>
          <w:szCs w:val="24"/>
          <w:lang w:val="en-GB"/>
        </w:rPr>
        <w:t>M ZnSO</w:t>
      </w:r>
      <w:r w:rsidRPr="00B634EE">
        <w:rPr>
          <w:rFonts w:ascii="Arial" w:hAnsi="Arial" w:cs="Arial"/>
          <w:sz w:val="24"/>
          <w:szCs w:val="24"/>
          <w:vertAlign w:val="subscript"/>
          <w:lang w:val="en-GB"/>
        </w:rPr>
        <w:t>4</w:t>
      </w:r>
      <w:r w:rsidRPr="00B634EE">
        <w:rPr>
          <w:rFonts w:ascii="Arial" w:hAnsi="Arial" w:cs="Arial"/>
          <w:sz w:val="24"/>
          <w:szCs w:val="24"/>
          <w:lang w:val="en-GB"/>
        </w:rPr>
        <w:t>·7H</w:t>
      </w:r>
      <w:r w:rsidRPr="00B634EE">
        <w:rPr>
          <w:rFonts w:ascii="Arial" w:hAnsi="Arial" w:cs="Arial"/>
          <w:sz w:val="24"/>
          <w:szCs w:val="24"/>
          <w:vertAlign w:val="subscript"/>
          <w:lang w:val="en-GB"/>
        </w:rPr>
        <w:t>2</w:t>
      </w:r>
      <w:r w:rsidRPr="00B634EE">
        <w:rPr>
          <w:rFonts w:ascii="Arial" w:hAnsi="Arial" w:cs="Arial"/>
          <w:sz w:val="24"/>
          <w:szCs w:val="24"/>
          <w:lang w:val="en-GB"/>
        </w:rPr>
        <w:t xml:space="preserve">O, 0.25 </w:t>
      </w:r>
      <w:r w:rsidRPr="00B634EE">
        <w:rPr>
          <w:rFonts w:ascii="Arial" w:hAnsi="Arial" w:cs="Arial"/>
          <w:sz w:val="24"/>
          <w:lang w:val="en-GB"/>
        </w:rPr>
        <w:t>µ</w:t>
      </w:r>
      <w:r w:rsidRPr="00B634EE">
        <w:rPr>
          <w:rFonts w:ascii="Arial" w:hAnsi="Arial" w:cs="Arial"/>
          <w:sz w:val="24"/>
          <w:szCs w:val="24"/>
          <w:lang w:val="en-GB"/>
        </w:rPr>
        <w:t>M CuSO</w:t>
      </w:r>
      <w:r w:rsidRPr="00B634EE">
        <w:rPr>
          <w:rFonts w:ascii="Arial" w:hAnsi="Arial" w:cs="Arial"/>
          <w:sz w:val="24"/>
          <w:szCs w:val="24"/>
          <w:vertAlign w:val="subscript"/>
          <w:lang w:val="en-GB"/>
        </w:rPr>
        <w:t>4</w:t>
      </w:r>
      <w:r w:rsidRPr="00B634EE">
        <w:rPr>
          <w:rFonts w:ascii="Arial" w:hAnsi="Arial" w:cs="Arial"/>
          <w:sz w:val="24"/>
          <w:szCs w:val="24"/>
          <w:lang w:val="en-GB"/>
        </w:rPr>
        <w:t>·5H</w:t>
      </w:r>
      <w:r w:rsidRPr="00B634EE">
        <w:rPr>
          <w:rFonts w:ascii="Arial" w:hAnsi="Arial" w:cs="Arial"/>
          <w:sz w:val="24"/>
          <w:szCs w:val="24"/>
          <w:vertAlign w:val="subscript"/>
          <w:lang w:val="en-GB"/>
        </w:rPr>
        <w:t>2</w:t>
      </w:r>
      <w:r w:rsidRPr="00B634EE">
        <w:rPr>
          <w:rFonts w:ascii="Arial" w:hAnsi="Arial" w:cs="Arial"/>
          <w:sz w:val="24"/>
          <w:szCs w:val="24"/>
          <w:lang w:val="en-GB"/>
        </w:rPr>
        <w:t xml:space="preserve">O, </w:t>
      </w:r>
      <w:r w:rsidRPr="00B634EE">
        <w:rPr>
          <w:rFonts w:ascii="Arial" w:hAnsi="Arial" w:cs="Arial"/>
          <w:sz w:val="24"/>
          <w:szCs w:val="24"/>
          <w:lang w:val="en-GB"/>
        </w:rPr>
        <w:lastRenderedPageBreak/>
        <w:t xml:space="preserve">0.1 </w:t>
      </w:r>
      <w:r w:rsidRPr="00B634EE">
        <w:rPr>
          <w:rFonts w:ascii="Arial" w:hAnsi="Arial" w:cs="Arial"/>
          <w:sz w:val="24"/>
          <w:lang w:val="en-GB"/>
        </w:rPr>
        <w:t>µ</w:t>
      </w:r>
      <w:r w:rsidRPr="00B634EE">
        <w:rPr>
          <w:rFonts w:ascii="Arial" w:hAnsi="Arial" w:cs="Arial"/>
          <w:sz w:val="24"/>
          <w:szCs w:val="24"/>
          <w:lang w:val="en-GB"/>
        </w:rPr>
        <w:t>M Na</w:t>
      </w:r>
      <w:r w:rsidRPr="00B634EE">
        <w:rPr>
          <w:rFonts w:ascii="Arial" w:hAnsi="Arial" w:cs="Arial"/>
          <w:sz w:val="24"/>
          <w:szCs w:val="24"/>
          <w:vertAlign w:val="subscript"/>
          <w:lang w:val="en-GB"/>
        </w:rPr>
        <w:t>2</w:t>
      </w:r>
      <w:r w:rsidRPr="00B634EE">
        <w:rPr>
          <w:rFonts w:ascii="Arial" w:hAnsi="Arial" w:cs="Arial"/>
          <w:sz w:val="24"/>
          <w:szCs w:val="24"/>
          <w:lang w:val="en-GB"/>
        </w:rPr>
        <w:t>MoO</w:t>
      </w:r>
      <w:r w:rsidRPr="00B634EE">
        <w:rPr>
          <w:rFonts w:ascii="Arial" w:hAnsi="Arial" w:cs="Arial"/>
          <w:sz w:val="24"/>
          <w:szCs w:val="24"/>
          <w:vertAlign w:val="subscript"/>
          <w:lang w:val="en-GB"/>
        </w:rPr>
        <w:t>4</w:t>
      </w:r>
      <w:r w:rsidRPr="00B634EE">
        <w:rPr>
          <w:rFonts w:ascii="Arial" w:hAnsi="Arial" w:cs="Arial"/>
          <w:sz w:val="24"/>
          <w:szCs w:val="24"/>
          <w:lang w:val="en-GB"/>
        </w:rPr>
        <w:t>·2H</w:t>
      </w:r>
      <w:r w:rsidRPr="00B634EE">
        <w:rPr>
          <w:rFonts w:ascii="Arial" w:hAnsi="Arial" w:cs="Arial"/>
          <w:sz w:val="24"/>
          <w:szCs w:val="24"/>
          <w:vertAlign w:val="subscript"/>
          <w:lang w:val="en-GB"/>
        </w:rPr>
        <w:t>2</w:t>
      </w:r>
      <w:r w:rsidRPr="00B634EE">
        <w:rPr>
          <w:rFonts w:ascii="Arial" w:hAnsi="Arial" w:cs="Arial"/>
          <w:sz w:val="24"/>
          <w:szCs w:val="24"/>
          <w:lang w:val="en-GB"/>
        </w:rPr>
        <w:t xml:space="preserve">O, 5 </w:t>
      </w:r>
      <w:r w:rsidRPr="00B634EE">
        <w:rPr>
          <w:rFonts w:ascii="Arial" w:hAnsi="Arial" w:cs="Arial"/>
          <w:sz w:val="24"/>
          <w:lang w:val="en-GB"/>
        </w:rPr>
        <w:t>µ</w:t>
      </w:r>
      <w:r w:rsidRPr="00B634EE">
        <w:rPr>
          <w:rFonts w:ascii="Arial" w:hAnsi="Arial" w:cs="Arial"/>
          <w:sz w:val="24"/>
          <w:szCs w:val="24"/>
          <w:lang w:val="en-GB"/>
        </w:rPr>
        <w:t xml:space="preserve">M Fe-chelate (Sequestrene; 138 FeG100) and 50 </w:t>
      </w:r>
      <w:r w:rsidRPr="000A57F1">
        <w:rPr>
          <w:rFonts w:ascii="Arial" w:hAnsi="Arial" w:cs="Arial"/>
          <w:sz w:val="24"/>
          <w:lang w:val="en-US"/>
        </w:rPr>
        <w:t>µ</w:t>
      </w:r>
      <w:r w:rsidRPr="00B634EE">
        <w:rPr>
          <w:rFonts w:ascii="Arial" w:hAnsi="Arial" w:cs="Arial"/>
          <w:sz w:val="24"/>
          <w:szCs w:val="24"/>
          <w:lang w:val="en-GB"/>
        </w:rPr>
        <w:t>M H</w:t>
      </w:r>
      <w:r w:rsidRPr="00B634EE">
        <w:rPr>
          <w:rFonts w:ascii="Arial" w:hAnsi="Arial" w:cs="Arial"/>
          <w:sz w:val="24"/>
          <w:szCs w:val="24"/>
          <w:vertAlign w:val="subscript"/>
          <w:lang w:val="en-GB"/>
        </w:rPr>
        <w:t>3</w:t>
      </w:r>
      <w:r w:rsidRPr="00B634EE">
        <w:rPr>
          <w:rFonts w:ascii="Arial" w:hAnsi="Arial" w:cs="Arial"/>
          <w:sz w:val="24"/>
          <w:szCs w:val="24"/>
          <w:lang w:val="en-GB"/>
        </w:rPr>
        <w:t>BO</w:t>
      </w:r>
      <w:r w:rsidRPr="00B634EE">
        <w:rPr>
          <w:rFonts w:ascii="Arial" w:hAnsi="Arial" w:cs="Arial"/>
          <w:sz w:val="24"/>
          <w:szCs w:val="24"/>
          <w:vertAlign w:val="subscript"/>
          <w:lang w:val="en-GB"/>
        </w:rPr>
        <w:t>3</w:t>
      </w:r>
      <w:r>
        <w:rPr>
          <w:rFonts w:ascii="Arial" w:hAnsi="Arial" w:cs="Arial"/>
          <w:sz w:val="24"/>
          <w:szCs w:val="24"/>
          <w:lang w:val="en-GB"/>
        </w:rPr>
        <w:t>,</w:t>
      </w:r>
      <w:r w:rsidRPr="00B634EE">
        <w:rPr>
          <w:rFonts w:ascii="Arial" w:hAnsi="Arial" w:cs="Arial"/>
          <w:sz w:val="24"/>
          <w:szCs w:val="24"/>
          <w:lang w:val="en-GB"/>
        </w:rPr>
        <w:t xml:space="preserve"> pH 5.5–6.0</w:t>
      </w:r>
      <w:r>
        <w:rPr>
          <w:rFonts w:ascii="Arial" w:hAnsi="Arial" w:cs="Arial"/>
          <w:sz w:val="24"/>
          <w:szCs w:val="24"/>
          <w:lang w:val="en-GB"/>
        </w:rPr>
        <w:t>.</w:t>
      </w:r>
    </w:p>
    <w:p w14:paraId="031C251B" w14:textId="77777777" w:rsidR="00E97387" w:rsidRPr="00B634EE" w:rsidRDefault="00E97387" w:rsidP="00E97387">
      <w:pPr>
        <w:spacing w:line="480" w:lineRule="auto"/>
        <w:jc w:val="both"/>
        <w:rPr>
          <w:rFonts w:ascii="Arial" w:hAnsi="Arial" w:cs="Arial"/>
          <w:sz w:val="24"/>
          <w:szCs w:val="24"/>
          <w:lang w:val="en-GB"/>
        </w:rPr>
      </w:pPr>
    </w:p>
    <w:p w14:paraId="69C824E5" w14:textId="77777777" w:rsidR="00E97387" w:rsidRPr="00B634EE" w:rsidRDefault="00E97387" w:rsidP="00E97387">
      <w:pPr>
        <w:spacing w:line="480" w:lineRule="auto"/>
        <w:jc w:val="both"/>
        <w:rPr>
          <w:rFonts w:ascii="Arial" w:hAnsi="Arial" w:cs="Arial"/>
          <w:sz w:val="24"/>
          <w:szCs w:val="24"/>
          <w:lang w:val="en-GB"/>
        </w:rPr>
      </w:pPr>
      <w:r>
        <w:rPr>
          <w:rFonts w:ascii="Arial" w:hAnsi="Arial" w:cs="Arial"/>
          <w:sz w:val="24"/>
          <w:szCs w:val="24"/>
          <w:lang w:val="en-GB"/>
        </w:rPr>
        <w:t>3</w:t>
      </w:r>
      <w:r w:rsidRPr="00B634EE">
        <w:rPr>
          <w:rFonts w:ascii="Arial" w:hAnsi="Arial" w:cs="Arial"/>
          <w:sz w:val="24"/>
          <w:szCs w:val="24"/>
          <w:lang w:val="en-GB"/>
        </w:rPr>
        <w:t>.2 Experimental design</w:t>
      </w:r>
    </w:p>
    <w:p w14:paraId="3E3C45DA"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Treatment of saline stress started 38 days after germination</w:t>
      </w:r>
      <w:r>
        <w:rPr>
          <w:rFonts w:ascii="Arial" w:hAnsi="Arial" w:cs="Arial"/>
          <w:sz w:val="24"/>
          <w:szCs w:val="24"/>
          <w:lang w:val="en-GB"/>
        </w:rPr>
        <w:t>, this treatment</w:t>
      </w:r>
      <w:r w:rsidRPr="00B634EE">
        <w:rPr>
          <w:rFonts w:ascii="Arial" w:hAnsi="Arial" w:cs="Arial"/>
          <w:sz w:val="24"/>
          <w:szCs w:val="24"/>
          <w:lang w:val="en-GB"/>
        </w:rPr>
        <w:t xml:space="preserve"> was maintained fo</w:t>
      </w:r>
      <w:r>
        <w:rPr>
          <w:rFonts w:ascii="Arial" w:hAnsi="Arial" w:cs="Arial"/>
          <w:sz w:val="24"/>
          <w:szCs w:val="24"/>
          <w:lang w:val="en-GB"/>
        </w:rPr>
        <w:t>r 15 days. The control treatment received the growth</w:t>
      </w:r>
      <w:r w:rsidRPr="00B634EE">
        <w:rPr>
          <w:rFonts w:ascii="Arial" w:hAnsi="Arial" w:cs="Arial"/>
          <w:sz w:val="24"/>
          <w:szCs w:val="24"/>
          <w:lang w:val="en-GB"/>
        </w:rPr>
        <w:t xml:space="preserve"> solution, </w:t>
      </w:r>
      <w:r>
        <w:rPr>
          <w:rFonts w:ascii="Arial" w:hAnsi="Arial" w:cs="Arial"/>
          <w:sz w:val="24"/>
          <w:szCs w:val="24"/>
          <w:lang w:val="en-GB"/>
        </w:rPr>
        <w:t>d</w:t>
      </w:r>
      <w:r w:rsidRPr="001214A6">
        <w:rPr>
          <w:rFonts w:ascii="Arial" w:hAnsi="Arial" w:cs="Arial"/>
          <w:sz w:val="24"/>
          <w:szCs w:val="24"/>
          <w:lang w:val="en-GB"/>
        </w:rPr>
        <w:t>escribed in section 2.1</w:t>
      </w:r>
      <w:r>
        <w:rPr>
          <w:rFonts w:ascii="Arial" w:hAnsi="Arial" w:cs="Arial"/>
          <w:sz w:val="24"/>
          <w:szCs w:val="24"/>
          <w:lang w:val="en-GB"/>
        </w:rPr>
        <w:t>, this solution</w:t>
      </w:r>
      <w:r w:rsidRPr="00B634EE">
        <w:rPr>
          <w:rFonts w:ascii="Arial" w:hAnsi="Arial" w:cs="Arial"/>
          <w:sz w:val="24"/>
          <w:szCs w:val="24"/>
          <w:lang w:val="en-GB"/>
        </w:rPr>
        <w:t xml:space="preserve"> was renewed every three days.</w:t>
      </w:r>
      <w:r>
        <w:rPr>
          <w:rFonts w:ascii="Arial" w:hAnsi="Arial" w:cs="Arial"/>
          <w:sz w:val="24"/>
          <w:szCs w:val="24"/>
          <w:lang w:val="en-GB"/>
        </w:rPr>
        <w:t xml:space="preserve"> Saline </w:t>
      </w:r>
      <w:r w:rsidRPr="00B634EE">
        <w:rPr>
          <w:rFonts w:ascii="Arial" w:hAnsi="Arial" w:cs="Arial"/>
          <w:sz w:val="24"/>
          <w:szCs w:val="24"/>
          <w:lang w:val="en-GB"/>
        </w:rPr>
        <w:t>treatment received</w:t>
      </w:r>
      <w:r>
        <w:rPr>
          <w:rFonts w:ascii="Arial" w:hAnsi="Arial" w:cs="Arial"/>
          <w:sz w:val="24"/>
          <w:szCs w:val="24"/>
          <w:lang w:val="en-GB"/>
        </w:rPr>
        <w:t xml:space="preserve"> the growth</w:t>
      </w:r>
      <w:r w:rsidRPr="00B634EE">
        <w:rPr>
          <w:rFonts w:ascii="Arial" w:hAnsi="Arial" w:cs="Arial"/>
          <w:sz w:val="24"/>
          <w:szCs w:val="24"/>
          <w:lang w:val="en-GB"/>
        </w:rPr>
        <w:t xml:space="preserve"> solution plus 100 mM NaCl</w:t>
      </w:r>
      <w:r>
        <w:rPr>
          <w:rFonts w:ascii="Arial" w:hAnsi="Arial" w:cs="Arial"/>
          <w:sz w:val="24"/>
          <w:szCs w:val="24"/>
          <w:lang w:val="en-GB"/>
        </w:rPr>
        <w:t>, this solution</w:t>
      </w:r>
      <w:r w:rsidRPr="00B634EE">
        <w:rPr>
          <w:rFonts w:ascii="Arial" w:hAnsi="Arial" w:cs="Arial"/>
          <w:sz w:val="24"/>
          <w:szCs w:val="24"/>
          <w:lang w:val="en-GB"/>
        </w:rPr>
        <w:t xml:space="preserve"> was renewed every three days. The experimental design was a randomized complete block with two treatments, 8 plants per treatment and with 3 replications per treatment (n = 9).</w:t>
      </w:r>
    </w:p>
    <w:p w14:paraId="295092D0" w14:textId="77777777" w:rsidR="00E97387" w:rsidRPr="00B634EE" w:rsidRDefault="00E97387" w:rsidP="00E97387">
      <w:pPr>
        <w:spacing w:line="480" w:lineRule="auto"/>
        <w:jc w:val="both"/>
        <w:rPr>
          <w:rFonts w:ascii="Arial" w:hAnsi="Arial" w:cs="Arial"/>
          <w:sz w:val="24"/>
          <w:szCs w:val="24"/>
          <w:lang w:val="en-GB"/>
        </w:rPr>
      </w:pPr>
    </w:p>
    <w:p w14:paraId="131D0E81" w14:textId="77777777" w:rsidR="00E97387" w:rsidRPr="00B634EE" w:rsidRDefault="00E97387" w:rsidP="00E97387">
      <w:pPr>
        <w:spacing w:line="480" w:lineRule="auto"/>
        <w:jc w:val="both"/>
        <w:rPr>
          <w:rFonts w:ascii="Arial" w:hAnsi="Arial" w:cs="Arial"/>
          <w:sz w:val="24"/>
          <w:szCs w:val="24"/>
          <w:lang w:val="en-GB"/>
        </w:rPr>
      </w:pPr>
      <w:r>
        <w:rPr>
          <w:rFonts w:ascii="Arial" w:hAnsi="Arial" w:cs="Arial"/>
          <w:sz w:val="24"/>
          <w:szCs w:val="24"/>
          <w:lang w:val="en-GB"/>
        </w:rPr>
        <w:t>3</w:t>
      </w:r>
      <w:r w:rsidRPr="00B634EE">
        <w:rPr>
          <w:rFonts w:ascii="Arial" w:hAnsi="Arial" w:cs="Arial"/>
          <w:sz w:val="24"/>
          <w:szCs w:val="24"/>
          <w:lang w:val="en-GB"/>
        </w:rPr>
        <w:t>.3 Plant sampling and determination of the relative growth rate (RGR)</w:t>
      </w:r>
    </w:p>
    <w:p w14:paraId="5CC235A4"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 xml:space="preserve">Plants of each treatment (53 days after germination) were divided into roots and leaves, washed with distilled water, dried on filter paper and weighed, thereby obtaining fresh weight (FW). Half of </w:t>
      </w:r>
      <w:r>
        <w:rPr>
          <w:rFonts w:ascii="Arial" w:hAnsi="Arial" w:cs="Arial"/>
          <w:sz w:val="24"/>
          <w:szCs w:val="24"/>
          <w:lang w:val="en-GB"/>
        </w:rPr>
        <w:t xml:space="preserve">the </w:t>
      </w:r>
      <w:r w:rsidRPr="00B634EE">
        <w:rPr>
          <w:rFonts w:ascii="Arial" w:hAnsi="Arial" w:cs="Arial"/>
          <w:sz w:val="24"/>
          <w:szCs w:val="24"/>
          <w:lang w:val="en-GB"/>
        </w:rPr>
        <w:t xml:space="preserve">leaves from each treatment were frozen at −30 °C for further work and biochemical assays and the other half of the plant material was lyophilised for 48h to obtain the dry weight (DW) and the subsequent analysis of the concentrations of nutrients. To determine the relative leaf growth rate (RGR), leaves from three plants per cultivar were sampled on day 38 after germination, immediately before starting the stress treatment (Ti). The leaves were dried in a forced-air oven at 70 °C for 24 h, and the dry weight (DW) was recorded as grams per plant. The remaining plants were sampled 53 days after germination (15 days of treatments, Tf). The relative growth rate was calculated </w:t>
      </w:r>
      <w:r w:rsidRPr="00B634EE">
        <w:rPr>
          <w:rFonts w:ascii="Arial" w:hAnsi="Arial" w:cs="Arial"/>
          <w:sz w:val="24"/>
          <w:szCs w:val="24"/>
          <w:lang w:val="en-GB"/>
        </w:rPr>
        <w:lastRenderedPageBreak/>
        <w:t>from the increase in leaf DW at the beginning and at the end of th</w:t>
      </w:r>
      <w:r>
        <w:rPr>
          <w:rFonts w:ascii="Arial" w:hAnsi="Arial" w:cs="Arial"/>
          <w:sz w:val="24"/>
          <w:szCs w:val="24"/>
          <w:lang w:val="en-GB"/>
        </w:rPr>
        <w:t>e saline</w:t>
      </w:r>
      <w:r w:rsidRPr="00B634EE">
        <w:rPr>
          <w:rFonts w:ascii="Arial" w:hAnsi="Arial" w:cs="Arial"/>
          <w:sz w:val="24"/>
          <w:szCs w:val="24"/>
          <w:lang w:val="en-GB"/>
        </w:rPr>
        <w:t>-stress treatment, using the equation RGR = (ln DWf − ln DWi)/(Tf − Ti) where T is the time and the subscripts denote the final and initial sampling.</w:t>
      </w:r>
    </w:p>
    <w:p w14:paraId="2190B90F" w14:textId="77777777" w:rsidR="00E97387" w:rsidRDefault="00E97387" w:rsidP="00E97387">
      <w:pPr>
        <w:spacing w:line="480" w:lineRule="auto"/>
        <w:jc w:val="both"/>
        <w:rPr>
          <w:rFonts w:ascii="Arial" w:hAnsi="Arial" w:cs="Arial"/>
          <w:sz w:val="24"/>
          <w:szCs w:val="24"/>
          <w:lang w:val="en-GB"/>
        </w:rPr>
      </w:pPr>
    </w:p>
    <w:p w14:paraId="48183E2E" w14:textId="77777777" w:rsidR="00E97387" w:rsidRDefault="00E97387" w:rsidP="00E97387">
      <w:pPr>
        <w:spacing w:line="480" w:lineRule="auto"/>
        <w:jc w:val="both"/>
        <w:rPr>
          <w:rFonts w:ascii="Arial" w:hAnsi="Arial" w:cs="Arial"/>
          <w:sz w:val="24"/>
          <w:lang w:val="en-GB"/>
        </w:rPr>
      </w:pPr>
      <w:r>
        <w:rPr>
          <w:rFonts w:ascii="Arial" w:hAnsi="Arial" w:cs="Arial"/>
          <w:sz w:val="24"/>
          <w:lang w:val="en-GB"/>
        </w:rPr>
        <w:t>3.4</w:t>
      </w:r>
      <w:r w:rsidRPr="00B634EE">
        <w:rPr>
          <w:rFonts w:ascii="Arial" w:hAnsi="Arial" w:cs="Arial"/>
          <w:sz w:val="24"/>
          <w:lang w:val="en-GB"/>
        </w:rPr>
        <w:t xml:space="preserve"> Determination of the concentration of promoters and indicators of oxidative stress (MDA,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and O</w:t>
      </w:r>
      <w:r w:rsidRPr="00B634EE">
        <w:rPr>
          <w:rFonts w:ascii="Arial" w:hAnsi="Arial" w:cs="Arial"/>
          <w:sz w:val="24"/>
          <w:vertAlign w:val="subscript"/>
          <w:lang w:val="en-GB"/>
        </w:rPr>
        <w:t>2</w:t>
      </w:r>
      <w:r w:rsidRPr="00B634EE">
        <w:rPr>
          <w:rFonts w:ascii="Arial" w:hAnsi="Arial" w:cs="Arial"/>
          <w:sz w:val="24"/>
          <w:vertAlign w:val="superscript"/>
          <w:lang w:val="en-GB"/>
        </w:rPr>
        <w:t>.-</w:t>
      </w:r>
      <w:r>
        <w:rPr>
          <w:rFonts w:ascii="Arial" w:hAnsi="Arial" w:cs="Arial"/>
          <w:sz w:val="24"/>
          <w:lang w:val="en-GB"/>
        </w:rPr>
        <w:t>), lipoxygenase (LOX) activity</w:t>
      </w:r>
    </w:p>
    <w:p w14:paraId="65163A5C"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For the extraction of MDA, 0.1 g of frozen leaf material was grounded, in 1 mL of buffer 50 mM (0.07% of NaH</w:t>
      </w:r>
      <w:r w:rsidRPr="00B634EE">
        <w:rPr>
          <w:rFonts w:ascii="Arial" w:hAnsi="Arial" w:cs="Arial"/>
          <w:sz w:val="24"/>
          <w:vertAlign w:val="subscript"/>
          <w:lang w:val="en-GB"/>
        </w:rPr>
        <w:t>2</w:t>
      </w:r>
      <w:r w:rsidRPr="00B634EE">
        <w:rPr>
          <w:rFonts w:ascii="Arial" w:hAnsi="Arial" w:cs="Arial"/>
          <w:sz w:val="24"/>
          <w:lang w:val="en-GB"/>
        </w:rPr>
        <w:t>PO</w:t>
      </w:r>
      <w:r w:rsidRPr="00B634EE">
        <w:rPr>
          <w:rFonts w:ascii="Arial" w:hAnsi="Arial" w:cs="Arial"/>
          <w:sz w:val="24"/>
          <w:vertAlign w:val="subscript"/>
          <w:lang w:val="en-GB"/>
        </w:rPr>
        <w:t>4</w:t>
      </w:r>
      <w:r w:rsidRPr="00B634EE">
        <w:rPr>
          <w:rFonts w:ascii="Arial" w:hAnsi="Arial" w:cs="Arial"/>
          <w:sz w:val="24"/>
          <w:vertAlign w:val="superscript"/>
          <w:lang w:val="en-GB"/>
        </w:rPr>
        <w:t>.</w:t>
      </w:r>
      <w:r w:rsidRPr="00B634EE">
        <w:rPr>
          <w:rFonts w:ascii="Arial" w:hAnsi="Arial" w:cs="Arial"/>
          <w:sz w:val="24"/>
          <w:lang w:val="en-GB"/>
        </w:rPr>
        <w:t>2H</w:t>
      </w:r>
      <w:r w:rsidRPr="00B634EE">
        <w:rPr>
          <w:rFonts w:ascii="Arial" w:hAnsi="Arial" w:cs="Arial"/>
          <w:sz w:val="24"/>
          <w:vertAlign w:val="subscript"/>
          <w:lang w:val="en-GB"/>
        </w:rPr>
        <w:t>2</w:t>
      </w:r>
      <w:r w:rsidRPr="00B634EE">
        <w:rPr>
          <w:rFonts w:ascii="Arial" w:hAnsi="Arial" w:cs="Arial"/>
          <w:sz w:val="24"/>
          <w:lang w:val="en-GB"/>
        </w:rPr>
        <w:t>O and 1.6% of Na</w:t>
      </w:r>
      <w:r w:rsidRPr="00B634EE">
        <w:rPr>
          <w:rFonts w:ascii="Arial" w:hAnsi="Arial" w:cs="Arial"/>
          <w:sz w:val="24"/>
          <w:vertAlign w:val="subscript"/>
          <w:lang w:val="en-GB"/>
        </w:rPr>
        <w:t>2</w:t>
      </w:r>
      <w:r w:rsidRPr="00B634EE">
        <w:rPr>
          <w:rFonts w:ascii="Arial" w:hAnsi="Arial" w:cs="Arial"/>
          <w:sz w:val="24"/>
          <w:lang w:val="en-GB"/>
        </w:rPr>
        <w:t>HPO</w:t>
      </w:r>
      <w:r w:rsidRPr="00B634EE">
        <w:rPr>
          <w:rFonts w:ascii="Arial" w:hAnsi="Arial" w:cs="Arial"/>
          <w:sz w:val="24"/>
          <w:vertAlign w:val="subscript"/>
          <w:lang w:val="en-GB"/>
        </w:rPr>
        <w:t>4</w:t>
      </w:r>
      <w:r w:rsidRPr="00B634EE">
        <w:rPr>
          <w:rFonts w:ascii="Arial" w:hAnsi="Arial" w:cs="Arial"/>
          <w:sz w:val="24"/>
          <w:vertAlign w:val="superscript"/>
          <w:lang w:val="en-GB"/>
        </w:rPr>
        <w:t>.</w:t>
      </w:r>
      <w:r w:rsidRPr="00B634EE">
        <w:rPr>
          <w:rFonts w:ascii="Arial" w:hAnsi="Arial" w:cs="Arial"/>
          <w:sz w:val="24"/>
          <w:lang w:val="en-GB"/>
        </w:rPr>
        <w:t>12H</w:t>
      </w:r>
      <w:r w:rsidRPr="00B634EE">
        <w:rPr>
          <w:rFonts w:ascii="Arial" w:hAnsi="Arial" w:cs="Arial"/>
          <w:sz w:val="24"/>
          <w:vertAlign w:val="subscript"/>
          <w:lang w:val="en-GB"/>
        </w:rPr>
        <w:t>2</w:t>
      </w:r>
      <w:r w:rsidRPr="00B634EE">
        <w:rPr>
          <w:rFonts w:ascii="Arial" w:hAnsi="Arial" w:cs="Arial"/>
          <w:sz w:val="24"/>
          <w:lang w:val="en-GB"/>
        </w:rPr>
        <w:t>O). The extract was centrifuged to 20000 g for 25 min. Subsequently, an aliquot of supernatant was mixed in test tubes with 4 mL of trichloroacetic acid 20% containing 0.5% of thiobarbituric acid. The resulting mixture was heated to 95°C for 30 minutes. Then it was rapidly cooled in an ice bath. The absorbance of the supernatant was measured at 532 nm. The value for the non-specific absorption at 600 nm was subtracted from the reading obtained at 532 nm, (Fu and Huang 2001).</w:t>
      </w:r>
    </w:p>
    <w:p w14:paraId="20C9B87C" w14:textId="77777777" w:rsidR="00E97387" w:rsidRPr="00B634EE" w:rsidRDefault="00E97387" w:rsidP="00E97387">
      <w:pPr>
        <w:spacing w:line="480" w:lineRule="auto"/>
        <w:jc w:val="both"/>
        <w:rPr>
          <w:rFonts w:ascii="Arial" w:hAnsi="Arial" w:cs="Arial"/>
          <w:sz w:val="24"/>
          <w:lang w:val="en-GB"/>
        </w:rPr>
      </w:pPr>
    </w:p>
    <w:p w14:paraId="75B73773"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Leaf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concentration was measured colorimetrically according to Mukherjee and Choudhuri </w:t>
      </w:r>
      <w:r>
        <w:rPr>
          <w:rFonts w:ascii="Arial" w:hAnsi="Arial" w:cs="Arial"/>
          <w:sz w:val="24"/>
          <w:lang w:val="en-GB"/>
        </w:rPr>
        <w:t>(</w:t>
      </w:r>
      <w:r w:rsidRPr="00B634EE">
        <w:rPr>
          <w:rFonts w:ascii="Arial" w:hAnsi="Arial" w:cs="Arial"/>
          <w:sz w:val="24"/>
          <w:lang w:val="en-GB"/>
        </w:rPr>
        <w:t>1983</w:t>
      </w:r>
      <w:r>
        <w:rPr>
          <w:rFonts w:ascii="Arial" w:hAnsi="Arial" w:cs="Arial"/>
          <w:sz w:val="24"/>
          <w:lang w:val="en-GB"/>
        </w:rPr>
        <w:t>)</w:t>
      </w:r>
      <w:r w:rsidRPr="00B634EE">
        <w:rPr>
          <w:rFonts w:ascii="Arial" w:hAnsi="Arial" w:cs="Arial"/>
          <w:sz w:val="24"/>
          <w:lang w:val="en-GB"/>
        </w:rPr>
        <w:t>. 0.1 g of frozen leaf material was grounded in cold acetone. An aliquot of 1 mL of the extract was mixed with 200 µL of 0.1% titanium dioxide H</w:t>
      </w:r>
      <w:r w:rsidRPr="00B634EE">
        <w:rPr>
          <w:rFonts w:ascii="Arial" w:hAnsi="Arial" w:cs="Arial"/>
          <w:sz w:val="24"/>
          <w:vertAlign w:val="subscript"/>
          <w:lang w:val="en-GB"/>
        </w:rPr>
        <w:t>2</w:t>
      </w:r>
      <w:r w:rsidRPr="00B634EE">
        <w:rPr>
          <w:rFonts w:ascii="Arial" w:hAnsi="Arial" w:cs="Arial"/>
          <w:sz w:val="24"/>
          <w:lang w:val="en-GB"/>
        </w:rPr>
        <w:t>SO</w:t>
      </w:r>
      <w:r w:rsidRPr="00B634EE">
        <w:rPr>
          <w:rFonts w:ascii="Arial" w:hAnsi="Arial" w:cs="Arial"/>
          <w:sz w:val="24"/>
          <w:vertAlign w:val="subscript"/>
          <w:lang w:val="en-GB"/>
        </w:rPr>
        <w:t>4</w:t>
      </w:r>
      <w:r w:rsidRPr="00B634EE">
        <w:rPr>
          <w:rFonts w:ascii="Arial" w:hAnsi="Arial" w:cs="Arial"/>
          <w:sz w:val="24"/>
          <w:lang w:val="en-GB"/>
        </w:rPr>
        <w:t xml:space="preserve"> to 20% (v:v) and the mixture was centrifuged at 6000 g for 15 minutes. The intensity of the yellow colour of the supernatant was measured at 415 nm. The concentration of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was calculated from a standard curve of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w:t>
      </w:r>
    </w:p>
    <w:p w14:paraId="10D71EC8" w14:textId="77777777" w:rsidR="00E97387" w:rsidRPr="00B634EE" w:rsidRDefault="00E97387" w:rsidP="00E97387">
      <w:pPr>
        <w:spacing w:line="480" w:lineRule="auto"/>
        <w:jc w:val="both"/>
        <w:rPr>
          <w:rFonts w:ascii="Arial" w:hAnsi="Arial" w:cs="Arial"/>
          <w:sz w:val="24"/>
          <w:lang w:val="en-GB"/>
        </w:rPr>
      </w:pPr>
    </w:p>
    <w:p w14:paraId="27C496A1"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lastRenderedPageBreak/>
        <w:t>The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concentration in the leaves was measured colorimetrically according to Barrameda-Medina </w:t>
      </w:r>
      <w:r w:rsidRPr="00FD52AF">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2014</w:t>
      </w:r>
      <w:r>
        <w:rPr>
          <w:rFonts w:ascii="Arial" w:hAnsi="Arial" w:cs="Arial"/>
          <w:sz w:val="24"/>
          <w:lang w:val="en-GB"/>
        </w:rPr>
        <w:t>)</w:t>
      </w:r>
      <w:r w:rsidRPr="00B634EE">
        <w:rPr>
          <w:rFonts w:ascii="Arial" w:hAnsi="Arial" w:cs="Arial"/>
          <w:sz w:val="24"/>
          <w:lang w:val="en-GB"/>
        </w:rPr>
        <w:t>. 0.1 g of frozen leaf material was grounded and 300 µL of phosphate buffer 50 mM was added. The mixture was centrifuged at 10000 g for 15 min. From the mixture, 250µL of the supernatant were caught. Then, buffer phosphate 50 mM and 250 µL of hydroxylamine 10 mM were added to it. The mix was incubated for 20 minutes at 25ºC. Subsequently, 60 µL of the supernatant were caught and 180 µL of sulfonyl acid 17 mM and 180 µL of α-1-Naphthylamine 7 mM were added and the mixture was incubated for 1h at room temperature. When the incubation was finished, the colour intensity was measured at 530 nm. The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concentration was calculated from a standard curve of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w:t>
      </w:r>
    </w:p>
    <w:p w14:paraId="3BD36C44" w14:textId="77777777" w:rsidR="00E97387" w:rsidRPr="00B634EE" w:rsidRDefault="00E97387" w:rsidP="00E97387">
      <w:pPr>
        <w:spacing w:line="480" w:lineRule="auto"/>
        <w:jc w:val="both"/>
        <w:rPr>
          <w:rFonts w:ascii="Arial" w:hAnsi="Arial" w:cs="Arial"/>
          <w:sz w:val="24"/>
          <w:lang w:val="en-GB"/>
        </w:rPr>
      </w:pPr>
    </w:p>
    <w:p w14:paraId="38ED3502"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The LOX activity was measured according to Minguez-Mosquera </w:t>
      </w:r>
      <w:r w:rsidRPr="007728E4">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1993</w:t>
      </w:r>
      <w:r>
        <w:rPr>
          <w:rFonts w:ascii="Arial" w:hAnsi="Arial" w:cs="Arial"/>
          <w:sz w:val="24"/>
          <w:lang w:val="en-GB"/>
        </w:rPr>
        <w:t>)</w:t>
      </w:r>
      <w:r w:rsidRPr="00B634EE">
        <w:rPr>
          <w:rFonts w:ascii="Arial" w:hAnsi="Arial" w:cs="Arial"/>
          <w:sz w:val="24"/>
          <w:lang w:val="en-GB"/>
        </w:rPr>
        <w:t>, A weighed sample was triturated with phosphate buffer 50 mM pH 7 until homogenized. The triturate was centrifuged at 7000 g, and the supernatant used as crude enzymatic extract. All operations were carried out in an ice bath. The absorbance of the sample was measured at a wavelength of 234 nm.</w:t>
      </w:r>
    </w:p>
    <w:p w14:paraId="7F17726D" w14:textId="77777777" w:rsidR="00E97387" w:rsidRPr="00B634EE" w:rsidRDefault="00E97387" w:rsidP="00E97387">
      <w:pPr>
        <w:spacing w:line="480" w:lineRule="auto"/>
        <w:jc w:val="both"/>
        <w:rPr>
          <w:rFonts w:ascii="Arial" w:hAnsi="Arial" w:cs="Arial"/>
          <w:sz w:val="24"/>
          <w:lang w:val="en-GB"/>
        </w:rPr>
      </w:pPr>
    </w:p>
    <w:p w14:paraId="418DC498"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3.5</w:t>
      </w:r>
      <w:r w:rsidRPr="00B634EE">
        <w:rPr>
          <w:rFonts w:ascii="Arial" w:hAnsi="Arial" w:cs="Arial"/>
          <w:sz w:val="24"/>
          <w:lang w:val="en-GB"/>
        </w:rPr>
        <w:t xml:space="preserve"> Determination of the a</w:t>
      </w:r>
      <w:r>
        <w:rPr>
          <w:rFonts w:ascii="Arial" w:hAnsi="Arial" w:cs="Arial"/>
          <w:sz w:val="24"/>
          <w:lang w:val="en-GB"/>
        </w:rPr>
        <w:t xml:space="preserve">ctivity of antioxidant enzymes </w:t>
      </w:r>
      <w:r w:rsidRPr="00B634EE">
        <w:rPr>
          <w:rFonts w:ascii="Arial" w:hAnsi="Arial" w:cs="Arial"/>
          <w:sz w:val="24"/>
          <w:szCs w:val="24"/>
          <w:lang w:val="en-GB"/>
        </w:rPr>
        <w:t>superoxide dismutase (SOD)</w:t>
      </w:r>
      <w:r>
        <w:rPr>
          <w:rFonts w:ascii="Arial" w:hAnsi="Arial" w:cs="Arial"/>
          <w:sz w:val="24"/>
          <w:lang w:val="en-GB"/>
        </w:rPr>
        <w:t xml:space="preserve">, </w:t>
      </w:r>
      <w:r w:rsidRPr="00B634EE">
        <w:rPr>
          <w:rFonts w:ascii="Arial" w:hAnsi="Arial" w:cs="Arial"/>
          <w:sz w:val="24"/>
          <w:szCs w:val="24"/>
          <w:lang w:val="en-GB"/>
        </w:rPr>
        <w:t>ascorbate peroxidase (APX)</w:t>
      </w:r>
      <w:r>
        <w:rPr>
          <w:rFonts w:ascii="Arial" w:hAnsi="Arial" w:cs="Arial"/>
          <w:sz w:val="24"/>
          <w:lang w:val="en-GB"/>
        </w:rPr>
        <w:t>,</w:t>
      </w:r>
      <w:r>
        <w:rPr>
          <w:rFonts w:ascii="Arial" w:hAnsi="Arial" w:cs="Arial"/>
          <w:sz w:val="24"/>
          <w:szCs w:val="24"/>
          <w:lang w:val="en-GB"/>
        </w:rPr>
        <w:t xml:space="preserve"> CAT</w:t>
      </w:r>
      <w:r w:rsidRPr="00B634EE">
        <w:rPr>
          <w:rFonts w:ascii="Arial" w:hAnsi="Arial" w:cs="Arial"/>
          <w:sz w:val="24"/>
          <w:lang w:val="en-GB"/>
        </w:rPr>
        <w:t>, glut</w:t>
      </w:r>
      <w:r>
        <w:rPr>
          <w:rFonts w:ascii="Arial" w:hAnsi="Arial" w:cs="Arial"/>
          <w:sz w:val="24"/>
          <w:lang w:val="en-GB"/>
        </w:rPr>
        <w:t xml:space="preserve">athione reductase (GR) and </w:t>
      </w:r>
      <w:r w:rsidRPr="00B634EE">
        <w:rPr>
          <w:rFonts w:ascii="Arial" w:hAnsi="Arial" w:cs="Arial"/>
          <w:sz w:val="24"/>
          <w:szCs w:val="24"/>
          <w:lang w:val="en-GB"/>
        </w:rPr>
        <w:t>glutat</w:t>
      </w:r>
      <w:r>
        <w:rPr>
          <w:rFonts w:ascii="Arial" w:hAnsi="Arial" w:cs="Arial"/>
          <w:sz w:val="24"/>
          <w:szCs w:val="24"/>
          <w:lang w:val="en-GB"/>
        </w:rPr>
        <w:t>hione</w:t>
      </w:r>
      <w:r w:rsidRPr="00B634EE">
        <w:rPr>
          <w:rFonts w:ascii="Arial" w:hAnsi="Arial" w:cs="Arial"/>
          <w:sz w:val="24"/>
          <w:szCs w:val="24"/>
          <w:lang w:val="en-GB"/>
        </w:rPr>
        <w:t xml:space="preserve"> peroxidase (GSHPx)</w:t>
      </w:r>
    </w:p>
    <w:p w14:paraId="76BBE4F1"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The SOD activity was measured in accordance with Yu </w:t>
      </w:r>
      <w:r w:rsidRPr="007728E4">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1998</w:t>
      </w:r>
      <w:r>
        <w:rPr>
          <w:rFonts w:ascii="Arial" w:hAnsi="Arial" w:cs="Arial"/>
          <w:sz w:val="24"/>
          <w:lang w:val="en-GB"/>
        </w:rPr>
        <w:t>)</w:t>
      </w:r>
      <w:r w:rsidRPr="00B634EE">
        <w:rPr>
          <w:rFonts w:ascii="Arial" w:hAnsi="Arial" w:cs="Arial"/>
          <w:sz w:val="24"/>
          <w:lang w:val="en-GB"/>
        </w:rPr>
        <w:t xml:space="preserve">, by means of a test based on the inhibition of the Nitro photochemical reduction tetrazolium (NBT). The absorbance of the sample was measured at a wavelength of 560 nm.  </w:t>
      </w:r>
      <w:r w:rsidRPr="00B634EE">
        <w:rPr>
          <w:rFonts w:ascii="Arial" w:hAnsi="Arial" w:cs="Arial"/>
          <w:sz w:val="24"/>
          <w:lang w:val="en-GB"/>
        </w:rPr>
        <w:lastRenderedPageBreak/>
        <w:t>The SOD activity was expressed in units (U) min</w:t>
      </w:r>
      <w:r w:rsidRPr="00B634EE">
        <w:rPr>
          <w:rFonts w:ascii="Arial" w:hAnsi="Arial" w:cs="Arial"/>
          <w:sz w:val="24"/>
          <w:vertAlign w:val="superscript"/>
          <w:lang w:val="en-GB"/>
        </w:rPr>
        <w:t>-1</w:t>
      </w:r>
      <w:r w:rsidRPr="00B634EE">
        <w:rPr>
          <w:rFonts w:ascii="Arial" w:hAnsi="Arial" w:cs="Arial"/>
          <w:sz w:val="24"/>
          <w:lang w:val="en-GB"/>
        </w:rPr>
        <w:t xml:space="preserve"> mg</w:t>
      </w:r>
      <w:r w:rsidRPr="00B634EE">
        <w:rPr>
          <w:rFonts w:ascii="Arial" w:hAnsi="Arial" w:cs="Arial"/>
          <w:sz w:val="24"/>
          <w:vertAlign w:val="superscript"/>
          <w:lang w:val="en-GB"/>
        </w:rPr>
        <w:t>-1</w:t>
      </w:r>
      <w:r w:rsidRPr="00B634EE">
        <w:rPr>
          <w:rFonts w:ascii="Arial" w:hAnsi="Arial" w:cs="Arial"/>
          <w:sz w:val="24"/>
          <w:lang w:val="en-GB"/>
        </w:rPr>
        <w:t xml:space="preserve"> protein, where one unit corresponds to the amount of the enzyme required to cause inhibition of 50% of the reduction of the NTB.</w:t>
      </w:r>
    </w:p>
    <w:p w14:paraId="214AD6B5" w14:textId="77777777" w:rsidR="00E97387" w:rsidRPr="00B634EE" w:rsidRDefault="00E97387" w:rsidP="00E97387">
      <w:pPr>
        <w:spacing w:line="480" w:lineRule="auto"/>
        <w:jc w:val="both"/>
        <w:rPr>
          <w:rFonts w:ascii="Arial" w:hAnsi="Arial" w:cs="Arial"/>
          <w:sz w:val="24"/>
          <w:lang w:val="en-GB"/>
        </w:rPr>
      </w:pPr>
    </w:p>
    <w:p w14:paraId="4F1B999F"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CAT activity was determined as described</w:t>
      </w:r>
      <w:r>
        <w:rPr>
          <w:rFonts w:ascii="Arial" w:hAnsi="Arial" w:cs="Arial"/>
          <w:sz w:val="24"/>
          <w:lang w:val="en-GB"/>
        </w:rPr>
        <w:t xml:space="preserve"> by</w:t>
      </w:r>
      <w:r w:rsidRPr="00B634EE">
        <w:rPr>
          <w:rFonts w:ascii="Arial" w:hAnsi="Arial" w:cs="Arial"/>
          <w:sz w:val="24"/>
          <w:lang w:val="en-GB"/>
        </w:rPr>
        <w:t xml:space="preserve"> Badiani </w:t>
      </w:r>
      <w:r w:rsidRPr="007728E4">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1990</w:t>
      </w:r>
      <w:r>
        <w:rPr>
          <w:rFonts w:ascii="Arial" w:hAnsi="Arial" w:cs="Arial"/>
          <w:sz w:val="24"/>
          <w:lang w:val="en-GB"/>
        </w:rPr>
        <w:t>)</w:t>
      </w:r>
      <w:r w:rsidRPr="00B634EE">
        <w:rPr>
          <w:rFonts w:ascii="Arial" w:hAnsi="Arial" w:cs="Arial"/>
          <w:sz w:val="24"/>
          <w:lang w:val="en-GB"/>
        </w:rPr>
        <w:t>, through the analysis of the consumption of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(39.4 molar extinction coefficient mM</w:t>
      </w:r>
      <w:r w:rsidRPr="00B634EE">
        <w:rPr>
          <w:rFonts w:ascii="Arial" w:hAnsi="Arial" w:cs="Arial"/>
          <w:sz w:val="24"/>
          <w:vertAlign w:val="superscript"/>
          <w:lang w:val="en-GB"/>
        </w:rPr>
        <w:t>-1</w:t>
      </w:r>
      <w:r w:rsidRPr="00B634EE">
        <w:rPr>
          <w:rFonts w:ascii="Arial" w:hAnsi="Arial" w:cs="Arial"/>
          <w:sz w:val="24"/>
          <w:lang w:val="en-GB"/>
        </w:rPr>
        <w:t>cm</w:t>
      </w:r>
      <w:r w:rsidRPr="00B634EE">
        <w:rPr>
          <w:rFonts w:ascii="Arial" w:hAnsi="Arial" w:cs="Arial"/>
          <w:sz w:val="24"/>
          <w:vertAlign w:val="superscript"/>
          <w:lang w:val="en-GB"/>
        </w:rPr>
        <w:t>-1</w:t>
      </w:r>
      <w:r w:rsidRPr="00B634EE">
        <w:rPr>
          <w:rFonts w:ascii="Arial" w:hAnsi="Arial" w:cs="Arial"/>
          <w:sz w:val="24"/>
          <w:lang w:val="en-GB"/>
        </w:rPr>
        <w:t>) at a wavelength of 240 nm for 3 minutes.</w:t>
      </w:r>
    </w:p>
    <w:p w14:paraId="70E1479E" w14:textId="77777777" w:rsidR="00E97387" w:rsidRPr="00B634EE" w:rsidRDefault="00E97387" w:rsidP="00E97387">
      <w:pPr>
        <w:spacing w:line="480" w:lineRule="auto"/>
        <w:jc w:val="both"/>
        <w:rPr>
          <w:rFonts w:ascii="Arial" w:hAnsi="Arial" w:cs="Arial"/>
          <w:sz w:val="24"/>
          <w:lang w:val="en-GB"/>
        </w:rPr>
      </w:pPr>
    </w:p>
    <w:p w14:paraId="0D8576F5"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The assay of enzymes APX and GR was performed according to Rao </w:t>
      </w:r>
      <w:r w:rsidRPr="007728E4">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1996</w:t>
      </w:r>
      <w:r>
        <w:rPr>
          <w:rFonts w:ascii="Arial" w:hAnsi="Arial" w:cs="Arial"/>
          <w:sz w:val="24"/>
          <w:lang w:val="en-GB"/>
        </w:rPr>
        <w:t>)</w:t>
      </w:r>
      <w:r w:rsidRPr="00B634EE">
        <w:rPr>
          <w:rFonts w:ascii="Arial" w:hAnsi="Arial" w:cs="Arial"/>
          <w:sz w:val="24"/>
          <w:lang w:val="en-GB"/>
        </w:rPr>
        <w:t>. The APX activity was determined by recording the change in absorbance at 290 nm for 3 minutes of a reaction mixture containing buffer potassium phosphate 100 mM (pH 7.5), 0.5 mM of AsA, 0.2 mM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and 0.75 mL of enzyme extract. On the other hand, the GR activity was measured following the oxidation of NADPH at 340 nm for 3 minutes in a reaction mixture containing 100 mM Tris-HCl (pH 7.8), 2 mM Na</w:t>
      </w:r>
      <w:r w:rsidRPr="00B634EE">
        <w:rPr>
          <w:rFonts w:ascii="Arial" w:hAnsi="Arial" w:cs="Arial"/>
          <w:sz w:val="24"/>
          <w:vertAlign w:val="subscript"/>
          <w:lang w:val="en-GB"/>
        </w:rPr>
        <w:t>2</w:t>
      </w:r>
      <w:r w:rsidRPr="00B634EE">
        <w:rPr>
          <w:rFonts w:ascii="Arial" w:hAnsi="Arial" w:cs="Arial"/>
          <w:sz w:val="24"/>
          <w:lang w:val="en-GB"/>
        </w:rPr>
        <w:t>-EDTA, 0.2 mM NADPH, 0.5 mM GSSG and 0.75 mL of enzyme extract.</w:t>
      </w:r>
    </w:p>
    <w:p w14:paraId="54314089" w14:textId="77777777" w:rsidR="00E97387" w:rsidRPr="00B634EE" w:rsidRDefault="00E97387" w:rsidP="00E97387">
      <w:pPr>
        <w:spacing w:line="480" w:lineRule="auto"/>
        <w:jc w:val="both"/>
        <w:rPr>
          <w:rFonts w:ascii="Arial" w:hAnsi="Arial" w:cs="Arial"/>
          <w:sz w:val="24"/>
          <w:lang w:val="en-GB"/>
        </w:rPr>
      </w:pPr>
    </w:p>
    <w:p w14:paraId="0085B611"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GSHPx activity was determined as described</w:t>
      </w:r>
      <w:r>
        <w:rPr>
          <w:rFonts w:ascii="Arial" w:hAnsi="Arial" w:cs="Arial"/>
          <w:sz w:val="24"/>
          <w:lang w:val="en-GB"/>
        </w:rPr>
        <w:t xml:space="preserve"> by</w:t>
      </w:r>
      <w:r w:rsidRPr="00B634EE">
        <w:rPr>
          <w:rFonts w:ascii="Arial" w:hAnsi="Arial" w:cs="Arial"/>
          <w:sz w:val="24"/>
          <w:lang w:val="en-GB"/>
        </w:rPr>
        <w:t xml:space="preserve"> Edwards </w:t>
      </w:r>
      <w:r w:rsidRPr="00B634EE">
        <w:rPr>
          <w:rFonts w:ascii="Arial" w:hAnsi="Arial" w:cs="Arial"/>
          <w:i/>
          <w:sz w:val="24"/>
          <w:lang w:val="en-GB"/>
        </w:rPr>
        <w:t>et al.</w:t>
      </w:r>
      <w:r w:rsidRPr="00B634EE">
        <w:rPr>
          <w:rFonts w:ascii="Arial" w:hAnsi="Arial" w:cs="Arial"/>
          <w:sz w:val="24"/>
          <w:lang w:val="en-GB"/>
        </w:rPr>
        <w:t xml:space="preserve"> 1996, through the analysis of the consumption of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(39.4 molar extinction coefficient mM</w:t>
      </w:r>
      <w:r w:rsidRPr="00B634EE">
        <w:rPr>
          <w:rFonts w:ascii="Arial" w:hAnsi="Arial" w:cs="Arial"/>
          <w:sz w:val="24"/>
          <w:vertAlign w:val="superscript"/>
          <w:lang w:val="en-GB"/>
        </w:rPr>
        <w:t>-1</w:t>
      </w:r>
      <w:r w:rsidRPr="00B634EE">
        <w:rPr>
          <w:rFonts w:ascii="Arial" w:hAnsi="Arial" w:cs="Arial"/>
          <w:sz w:val="24"/>
          <w:lang w:val="en-GB"/>
        </w:rPr>
        <w:t>cm</w:t>
      </w:r>
      <w:r w:rsidRPr="00B634EE">
        <w:rPr>
          <w:rFonts w:ascii="Arial" w:hAnsi="Arial" w:cs="Arial"/>
          <w:sz w:val="24"/>
          <w:vertAlign w:val="superscript"/>
          <w:lang w:val="en-GB"/>
        </w:rPr>
        <w:t>-1</w:t>
      </w:r>
      <w:r w:rsidRPr="00B634EE">
        <w:rPr>
          <w:rFonts w:ascii="Arial" w:hAnsi="Arial" w:cs="Arial"/>
          <w:sz w:val="24"/>
          <w:lang w:val="en-GB"/>
        </w:rPr>
        <w:t>) at a wavelength of 240 nm for 3 minutes.</w:t>
      </w:r>
    </w:p>
    <w:p w14:paraId="24A66C0A" w14:textId="77777777" w:rsidR="00E97387" w:rsidRDefault="00E97387" w:rsidP="00E97387">
      <w:pPr>
        <w:spacing w:line="480" w:lineRule="auto"/>
        <w:jc w:val="both"/>
        <w:rPr>
          <w:rFonts w:ascii="Arial" w:hAnsi="Arial" w:cs="Arial"/>
          <w:sz w:val="24"/>
          <w:lang w:val="en-GB"/>
        </w:rPr>
      </w:pPr>
    </w:p>
    <w:p w14:paraId="1F8B8883" w14:textId="77777777" w:rsidR="00E97387" w:rsidRDefault="00E97387" w:rsidP="00E97387">
      <w:pPr>
        <w:spacing w:line="480" w:lineRule="auto"/>
        <w:jc w:val="both"/>
        <w:rPr>
          <w:rFonts w:ascii="Arial" w:hAnsi="Arial" w:cs="Arial"/>
          <w:sz w:val="24"/>
          <w:lang w:val="en-GB"/>
        </w:rPr>
      </w:pPr>
    </w:p>
    <w:p w14:paraId="4700D681" w14:textId="77777777" w:rsidR="00E97387" w:rsidRPr="00B634EE" w:rsidRDefault="00E97387" w:rsidP="00E97387">
      <w:pPr>
        <w:spacing w:line="480" w:lineRule="auto"/>
        <w:jc w:val="both"/>
        <w:rPr>
          <w:rFonts w:ascii="Arial" w:hAnsi="Arial" w:cs="Arial"/>
          <w:sz w:val="24"/>
          <w:lang w:val="en-GB"/>
        </w:rPr>
      </w:pPr>
    </w:p>
    <w:p w14:paraId="0631EAF2"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lastRenderedPageBreak/>
        <w:t>3.6</w:t>
      </w:r>
      <w:r w:rsidRPr="00B634EE">
        <w:rPr>
          <w:rFonts w:ascii="Arial" w:hAnsi="Arial" w:cs="Arial"/>
          <w:sz w:val="24"/>
          <w:lang w:val="en-GB"/>
        </w:rPr>
        <w:t xml:space="preserve"> Determination of the concentration of protein in the plant extracts</w:t>
      </w:r>
    </w:p>
    <w:p w14:paraId="440EFA10"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The concentration of proteins in the enzyme extracts was determined by the method of Bradford </w:t>
      </w:r>
      <w:r>
        <w:rPr>
          <w:rFonts w:ascii="Arial" w:hAnsi="Arial" w:cs="Arial"/>
          <w:sz w:val="24"/>
          <w:lang w:val="en-GB"/>
        </w:rPr>
        <w:t>(</w:t>
      </w:r>
      <w:r w:rsidRPr="00B634EE">
        <w:rPr>
          <w:rFonts w:ascii="Arial" w:hAnsi="Arial" w:cs="Arial"/>
          <w:sz w:val="24"/>
          <w:lang w:val="en-GB"/>
        </w:rPr>
        <w:t>1976</w:t>
      </w:r>
      <w:r>
        <w:rPr>
          <w:rFonts w:ascii="Arial" w:hAnsi="Arial" w:cs="Arial"/>
          <w:sz w:val="24"/>
          <w:lang w:val="en-GB"/>
        </w:rPr>
        <w:t>)</w:t>
      </w:r>
      <w:r w:rsidRPr="00B634EE">
        <w:rPr>
          <w:rFonts w:ascii="Arial" w:hAnsi="Arial" w:cs="Arial"/>
          <w:sz w:val="24"/>
          <w:lang w:val="en-GB"/>
        </w:rPr>
        <w:t>, using serum-albumin as standard.</w:t>
      </w:r>
    </w:p>
    <w:p w14:paraId="0D9C21D7" w14:textId="77777777" w:rsidR="00E97387" w:rsidRPr="00B634EE" w:rsidRDefault="00E97387" w:rsidP="00E97387">
      <w:pPr>
        <w:spacing w:line="480" w:lineRule="auto"/>
        <w:jc w:val="both"/>
        <w:rPr>
          <w:rFonts w:ascii="Arial" w:hAnsi="Arial" w:cs="Arial"/>
          <w:sz w:val="24"/>
          <w:lang w:val="en-GB"/>
        </w:rPr>
      </w:pPr>
    </w:p>
    <w:p w14:paraId="39CAE968"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3.7</w:t>
      </w:r>
      <w:r w:rsidRPr="00B634EE">
        <w:rPr>
          <w:rFonts w:ascii="Arial" w:hAnsi="Arial" w:cs="Arial"/>
          <w:sz w:val="24"/>
          <w:lang w:val="en-GB"/>
        </w:rPr>
        <w:t xml:space="preserve"> Determination of the concentration of non-en</w:t>
      </w:r>
      <w:r>
        <w:rPr>
          <w:rFonts w:ascii="Arial" w:hAnsi="Arial" w:cs="Arial"/>
          <w:sz w:val="24"/>
          <w:lang w:val="en-GB"/>
        </w:rPr>
        <w:t xml:space="preserve">zymatic antioxidant systems </w:t>
      </w:r>
      <w:r w:rsidRPr="00B634EE">
        <w:rPr>
          <w:rFonts w:ascii="Arial" w:hAnsi="Arial" w:cs="Arial"/>
          <w:sz w:val="24"/>
          <w:szCs w:val="24"/>
          <w:lang w:val="en-GB"/>
        </w:rPr>
        <w:t>ascorbic acid (AsA)</w:t>
      </w:r>
      <w:r w:rsidRPr="00B634EE">
        <w:rPr>
          <w:rFonts w:ascii="Arial" w:hAnsi="Arial" w:cs="Arial"/>
          <w:sz w:val="24"/>
          <w:lang w:val="en-GB"/>
        </w:rPr>
        <w:t xml:space="preserve"> and </w:t>
      </w:r>
      <w:r>
        <w:rPr>
          <w:rFonts w:ascii="Arial" w:hAnsi="Arial" w:cs="Arial"/>
          <w:sz w:val="24"/>
          <w:lang w:val="en-GB"/>
        </w:rPr>
        <w:t>glutathione (</w:t>
      </w:r>
      <w:r w:rsidRPr="00B634EE">
        <w:rPr>
          <w:rFonts w:ascii="Arial" w:hAnsi="Arial" w:cs="Arial"/>
          <w:sz w:val="24"/>
          <w:lang w:val="en-GB"/>
        </w:rPr>
        <w:t>GSH)</w:t>
      </w:r>
    </w:p>
    <w:p w14:paraId="38690C61"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For the extraction and quantification of the AsA reduced the method followed was described by (Law et al 1992). This method is based on the reduction of Fe</w:t>
      </w:r>
      <w:r w:rsidRPr="00B634EE">
        <w:rPr>
          <w:rFonts w:ascii="Arial" w:hAnsi="Arial" w:cs="Arial"/>
          <w:sz w:val="24"/>
          <w:vertAlign w:val="superscript"/>
          <w:lang w:val="en-GB"/>
        </w:rPr>
        <w:t>3+</w:t>
      </w:r>
      <w:r w:rsidRPr="00B634EE">
        <w:rPr>
          <w:rFonts w:ascii="Arial" w:hAnsi="Arial" w:cs="Arial"/>
          <w:sz w:val="24"/>
          <w:lang w:val="en-GB"/>
        </w:rPr>
        <w:t xml:space="preserve"> to Fe</w:t>
      </w:r>
      <w:r w:rsidRPr="00B634EE">
        <w:rPr>
          <w:rFonts w:ascii="Arial" w:hAnsi="Arial" w:cs="Arial"/>
          <w:sz w:val="24"/>
          <w:vertAlign w:val="superscript"/>
          <w:lang w:val="en-GB"/>
        </w:rPr>
        <w:t>2+</w:t>
      </w:r>
      <w:r w:rsidRPr="00B634EE">
        <w:rPr>
          <w:rFonts w:ascii="Arial" w:hAnsi="Arial" w:cs="Arial"/>
          <w:sz w:val="24"/>
          <w:lang w:val="en-GB"/>
        </w:rPr>
        <w:t xml:space="preserve"> by AsA in acid solution. 0.5 g frozen leaf material was ground in 5 mL of metaphosphoric acid 5% (w/v) and was subsequently centrifuged at 16000 g for 15 minutes. After 0.2 mL of supernatant w</w:t>
      </w:r>
      <w:r>
        <w:rPr>
          <w:rFonts w:ascii="Arial" w:hAnsi="Arial" w:cs="Arial"/>
          <w:sz w:val="24"/>
          <w:lang w:val="en-GB"/>
        </w:rPr>
        <w:t>as</w:t>
      </w:r>
      <w:r w:rsidRPr="00B634EE">
        <w:rPr>
          <w:rFonts w:ascii="Arial" w:hAnsi="Arial" w:cs="Arial"/>
          <w:sz w:val="24"/>
          <w:lang w:val="en-GB"/>
        </w:rPr>
        <w:t xml:space="preserve"> added to a tube with 0.5 mL buffer phosphate sodium 150 mM (pH 7.5) and 0.1 mL of distilled water. The mixture was shaken and incubated at room temperature and in darkness for 10 minutes. Then, 0.1 mL of N-etilmaleimida 0.5% (w/v), 0.4 mL of orthophosphoric acid to 44% (v/v), 0.4 mL of 2, 2´-bipiridil to 4% (w/v) in ethanol 70% and 0.2 mL of FeCl</w:t>
      </w:r>
      <w:r w:rsidRPr="00B634EE">
        <w:rPr>
          <w:rFonts w:ascii="Arial" w:hAnsi="Arial" w:cs="Arial"/>
          <w:sz w:val="24"/>
          <w:vertAlign w:val="subscript"/>
          <w:lang w:val="en-GB"/>
        </w:rPr>
        <w:t>3</w:t>
      </w:r>
      <w:r w:rsidRPr="00B634EE">
        <w:rPr>
          <w:rFonts w:ascii="Arial" w:hAnsi="Arial" w:cs="Arial"/>
          <w:sz w:val="24"/>
          <w:lang w:val="en-GB"/>
        </w:rPr>
        <w:t xml:space="preserve"> to 3% (w/v) were added. Then the test tubes were shaken and incubated at 40°C and in darkness for 40 minutes. Finally, the absorbance measured at 525 nm against a standard curve of AsA followed the same procedure above.</w:t>
      </w:r>
    </w:p>
    <w:p w14:paraId="310CB7A9" w14:textId="77777777" w:rsidR="00E97387" w:rsidRPr="00B634EE" w:rsidRDefault="00E97387" w:rsidP="00E97387">
      <w:pPr>
        <w:spacing w:line="480" w:lineRule="auto"/>
        <w:jc w:val="both"/>
        <w:rPr>
          <w:rFonts w:ascii="Arial" w:hAnsi="Arial" w:cs="Arial"/>
          <w:sz w:val="24"/>
          <w:lang w:val="en-GB"/>
        </w:rPr>
      </w:pPr>
    </w:p>
    <w:p w14:paraId="4FEEA0BD"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For the extraction and quantification of the GSH reduced,</w:t>
      </w:r>
      <w:r>
        <w:rPr>
          <w:rFonts w:ascii="Arial" w:hAnsi="Arial" w:cs="Arial"/>
          <w:sz w:val="24"/>
          <w:lang w:val="en-GB"/>
        </w:rPr>
        <w:t xml:space="preserve"> </w:t>
      </w:r>
      <w:r w:rsidRPr="00B634EE">
        <w:rPr>
          <w:rFonts w:ascii="Arial" w:hAnsi="Arial" w:cs="Arial"/>
          <w:sz w:val="24"/>
          <w:lang w:val="en-GB"/>
        </w:rPr>
        <w:t xml:space="preserve">the method followed was described by Gronwald </w:t>
      </w:r>
      <w:r w:rsidRPr="007728E4">
        <w:rPr>
          <w:rFonts w:ascii="Arial" w:hAnsi="Arial" w:cs="Arial"/>
          <w:iCs/>
          <w:sz w:val="24"/>
          <w:lang w:val="en-GB"/>
        </w:rPr>
        <w:t>et al.</w:t>
      </w:r>
      <w:r w:rsidRPr="00B634EE">
        <w:rPr>
          <w:rFonts w:ascii="Arial" w:hAnsi="Arial" w:cs="Arial"/>
          <w:sz w:val="24"/>
          <w:lang w:val="en-GB"/>
        </w:rPr>
        <w:t xml:space="preserve"> </w:t>
      </w:r>
      <w:r>
        <w:rPr>
          <w:rFonts w:ascii="Arial" w:hAnsi="Arial" w:cs="Arial"/>
          <w:sz w:val="24"/>
          <w:lang w:val="en-GB"/>
        </w:rPr>
        <w:t>(</w:t>
      </w:r>
      <w:r w:rsidRPr="00B634EE">
        <w:rPr>
          <w:rFonts w:ascii="Arial" w:hAnsi="Arial" w:cs="Arial"/>
          <w:sz w:val="24"/>
          <w:lang w:val="en-GB"/>
        </w:rPr>
        <w:t>1987</w:t>
      </w:r>
      <w:r>
        <w:rPr>
          <w:rFonts w:ascii="Arial" w:hAnsi="Arial" w:cs="Arial"/>
          <w:sz w:val="24"/>
          <w:lang w:val="en-GB"/>
        </w:rPr>
        <w:t>)</w:t>
      </w:r>
      <w:r w:rsidRPr="00B634EE">
        <w:rPr>
          <w:rFonts w:ascii="Arial" w:hAnsi="Arial" w:cs="Arial"/>
          <w:sz w:val="24"/>
          <w:lang w:val="en-GB"/>
        </w:rPr>
        <w:t>. 0.2 g frozen leaf material was ground in 1 mL of HCl 0.2 M and was centrifuged at 16000 g for 10 minutes.</w:t>
      </w:r>
      <w:r>
        <w:rPr>
          <w:rFonts w:ascii="Arial" w:hAnsi="Arial" w:cs="Arial"/>
          <w:sz w:val="24"/>
          <w:lang w:val="en-GB"/>
        </w:rPr>
        <w:t xml:space="preserve"> </w:t>
      </w:r>
      <w:r w:rsidRPr="00B634EE">
        <w:rPr>
          <w:rFonts w:ascii="Arial" w:hAnsi="Arial" w:cs="Arial"/>
          <w:sz w:val="24"/>
          <w:lang w:val="en-GB"/>
        </w:rPr>
        <w:t xml:space="preserve">Then 500 μl of the supernatant was caught and 500 μl of sodium phosphate buffer (pH 7.5) was added. An aliquot of 25 μl was extracted and 90 μl sodium phosphate buffer, </w:t>
      </w:r>
      <w:r w:rsidRPr="00B634EE">
        <w:rPr>
          <w:rFonts w:ascii="Arial" w:hAnsi="Arial" w:cs="Arial"/>
          <w:sz w:val="24"/>
          <w:lang w:val="en-GB"/>
        </w:rPr>
        <w:lastRenderedPageBreak/>
        <w:t>10 μl EDTA 10 mM, 10 μl of NADPH 10 mM, 10 μl DTNB 6 mM, 35 μl of distilled water and 10 μl of GR 10 UD/mL were added. The GSH Reduced concentration was measured at 412nm.</w:t>
      </w:r>
    </w:p>
    <w:p w14:paraId="10996468" w14:textId="77777777" w:rsidR="00E97387" w:rsidRPr="00B634EE" w:rsidRDefault="00E97387" w:rsidP="00E97387">
      <w:pPr>
        <w:spacing w:line="480" w:lineRule="auto"/>
        <w:jc w:val="both"/>
        <w:rPr>
          <w:rFonts w:ascii="Arial" w:hAnsi="Arial" w:cs="Arial"/>
          <w:sz w:val="24"/>
          <w:lang w:val="en-GB"/>
        </w:rPr>
      </w:pPr>
    </w:p>
    <w:p w14:paraId="67AD92EA"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3.8</w:t>
      </w:r>
      <w:r w:rsidRPr="00B634EE">
        <w:rPr>
          <w:rFonts w:ascii="Arial" w:hAnsi="Arial" w:cs="Arial"/>
          <w:sz w:val="24"/>
          <w:lang w:val="en-GB"/>
        </w:rPr>
        <w:t xml:space="preserve"> Determination of the antioxidants test</w:t>
      </w:r>
    </w:p>
    <w:p w14:paraId="08EA1080"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The TEAC and FRAP assay was determined as described Benzie and Strain 1996 the absorbances were measured at 734 nm and 593 nm respectively.</w:t>
      </w:r>
    </w:p>
    <w:p w14:paraId="1687AAC9" w14:textId="77777777" w:rsidR="00E97387" w:rsidRPr="00B634EE" w:rsidRDefault="00E97387" w:rsidP="00E97387">
      <w:pPr>
        <w:spacing w:line="480" w:lineRule="auto"/>
        <w:jc w:val="both"/>
        <w:rPr>
          <w:rFonts w:ascii="Arial" w:hAnsi="Arial" w:cs="Arial"/>
          <w:sz w:val="24"/>
          <w:lang w:val="en-GB"/>
        </w:rPr>
      </w:pPr>
    </w:p>
    <w:p w14:paraId="6DAFA1E8"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The DPPH and Reducing-power assay w</w:t>
      </w:r>
      <w:r>
        <w:rPr>
          <w:rFonts w:ascii="Arial" w:hAnsi="Arial" w:cs="Arial"/>
          <w:sz w:val="24"/>
          <w:lang w:val="en-GB"/>
        </w:rPr>
        <w:t>ere</w:t>
      </w:r>
      <w:r w:rsidRPr="00B634EE">
        <w:rPr>
          <w:rFonts w:ascii="Arial" w:hAnsi="Arial" w:cs="Arial"/>
          <w:sz w:val="24"/>
          <w:lang w:val="en-GB"/>
        </w:rPr>
        <w:t xml:space="preserve"> determined as described</w:t>
      </w:r>
      <w:r>
        <w:rPr>
          <w:rFonts w:ascii="Arial" w:hAnsi="Arial" w:cs="Arial"/>
          <w:sz w:val="24"/>
          <w:lang w:val="en-GB"/>
        </w:rPr>
        <w:t xml:space="preserve"> by</w:t>
      </w:r>
      <w:r w:rsidRPr="00B634EE">
        <w:rPr>
          <w:rFonts w:ascii="Arial" w:hAnsi="Arial" w:cs="Arial"/>
          <w:sz w:val="24"/>
          <w:lang w:val="en-GB"/>
        </w:rPr>
        <w:t xml:space="preserve"> Hsu </w:t>
      </w:r>
      <w:r w:rsidRPr="00B634EE">
        <w:rPr>
          <w:rFonts w:ascii="Arial" w:hAnsi="Arial" w:cs="Arial"/>
          <w:i/>
          <w:sz w:val="24"/>
          <w:lang w:val="en-GB"/>
        </w:rPr>
        <w:t>et al.</w:t>
      </w:r>
      <w:r w:rsidRPr="00B634EE">
        <w:rPr>
          <w:rFonts w:ascii="Arial" w:hAnsi="Arial" w:cs="Arial"/>
          <w:sz w:val="24"/>
          <w:lang w:val="en-GB"/>
        </w:rPr>
        <w:t xml:space="preserve"> 2004 the absorbances were measured at 517 nm and 700 nm respectively.</w:t>
      </w:r>
    </w:p>
    <w:p w14:paraId="05E326AA" w14:textId="77777777" w:rsidR="00E97387" w:rsidRPr="00B634EE" w:rsidRDefault="00E97387" w:rsidP="00E97387">
      <w:pPr>
        <w:spacing w:line="480" w:lineRule="auto"/>
        <w:jc w:val="both"/>
        <w:rPr>
          <w:rFonts w:ascii="Arial" w:hAnsi="Arial" w:cs="Arial"/>
          <w:sz w:val="24"/>
          <w:lang w:val="en-GB"/>
        </w:rPr>
      </w:pPr>
    </w:p>
    <w:p w14:paraId="764EF217" w14:textId="77777777" w:rsidR="00E97387" w:rsidRPr="00B634EE" w:rsidRDefault="00E97387" w:rsidP="00E97387">
      <w:pPr>
        <w:spacing w:line="480" w:lineRule="auto"/>
        <w:jc w:val="both"/>
        <w:rPr>
          <w:rFonts w:ascii="Arial" w:hAnsi="Arial" w:cs="Arial"/>
          <w:sz w:val="24"/>
          <w:szCs w:val="24"/>
          <w:lang w:val="en-GB"/>
        </w:rPr>
      </w:pPr>
      <w:r>
        <w:rPr>
          <w:rFonts w:ascii="Arial" w:hAnsi="Arial" w:cs="Arial"/>
          <w:sz w:val="24"/>
          <w:szCs w:val="24"/>
          <w:lang w:val="en-GB"/>
        </w:rPr>
        <w:t>3</w:t>
      </w:r>
      <w:r w:rsidRPr="00B634EE">
        <w:rPr>
          <w:rFonts w:ascii="Arial" w:hAnsi="Arial" w:cs="Arial"/>
          <w:sz w:val="24"/>
          <w:szCs w:val="24"/>
          <w:lang w:val="en-GB"/>
        </w:rPr>
        <w:t>.</w:t>
      </w:r>
      <w:r>
        <w:rPr>
          <w:rFonts w:ascii="Arial" w:hAnsi="Arial" w:cs="Arial"/>
          <w:sz w:val="24"/>
          <w:szCs w:val="24"/>
          <w:lang w:val="en-GB"/>
        </w:rPr>
        <w:t>9</w:t>
      </w:r>
      <w:r w:rsidRPr="00B634EE">
        <w:rPr>
          <w:rFonts w:ascii="Arial" w:hAnsi="Arial" w:cs="Arial"/>
          <w:sz w:val="24"/>
          <w:szCs w:val="24"/>
          <w:lang w:val="en-GB"/>
        </w:rPr>
        <w:t xml:space="preserve"> Hormone extraction and analysis</w:t>
      </w:r>
    </w:p>
    <w:p w14:paraId="4DAA4E3F"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IAA, GA4, CKs (tZ and iP), ethylene precursor ACC, ABA, SA and JA concentrations were analysed as in Ghanem et al. (2008) with some modifications. The GA1, GA3 and Riboside concentrations were analysed too, th</w:t>
      </w:r>
      <w:r>
        <w:rPr>
          <w:rFonts w:ascii="Arial" w:hAnsi="Arial" w:cs="Arial"/>
          <w:sz w:val="24"/>
          <w:szCs w:val="24"/>
          <w:lang w:val="en-GB"/>
        </w:rPr>
        <w:t>ese</w:t>
      </w:r>
      <w:r w:rsidRPr="00B634EE">
        <w:rPr>
          <w:rFonts w:ascii="Arial" w:hAnsi="Arial" w:cs="Arial"/>
          <w:sz w:val="24"/>
          <w:szCs w:val="24"/>
          <w:lang w:val="en-GB"/>
        </w:rPr>
        <w:t xml:space="preserve"> hormones concentrations were not found in both genotypes, data not revealed. Briefly, 30 mg of homogenized dry material w</w:t>
      </w:r>
      <w:r>
        <w:rPr>
          <w:rFonts w:ascii="Arial" w:hAnsi="Arial" w:cs="Arial"/>
          <w:sz w:val="24"/>
          <w:szCs w:val="24"/>
          <w:lang w:val="en-GB"/>
        </w:rPr>
        <w:t>as</w:t>
      </w:r>
      <w:r w:rsidRPr="00B634EE">
        <w:rPr>
          <w:rFonts w:ascii="Arial" w:hAnsi="Arial" w:cs="Arial"/>
          <w:sz w:val="24"/>
          <w:szCs w:val="24"/>
          <w:lang w:val="en-GB"/>
        </w:rPr>
        <w:t xml:space="preserve"> dropped in 0.5 ml of cold (-20°C) extraction mixture of methanol/water (80/20, v/v). Solids were separated by centrifugation (20000 g, 15 min) and re-extracted for 30 min at 4ºC in </w:t>
      </w:r>
      <w:r>
        <w:rPr>
          <w:rFonts w:ascii="Arial" w:hAnsi="Arial" w:cs="Arial"/>
          <w:sz w:val="24"/>
          <w:szCs w:val="24"/>
          <w:lang w:val="en-GB"/>
        </w:rPr>
        <w:t xml:space="preserve">an </w:t>
      </w:r>
      <w:r w:rsidRPr="00B634EE">
        <w:rPr>
          <w:rFonts w:ascii="Arial" w:hAnsi="Arial" w:cs="Arial"/>
          <w:sz w:val="24"/>
          <w:szCs w:val="24"/>
          <w:lang w:val="en-GB"/>
        </w:rPr>
        <w:t xml:space="preserve">additional 0.5 ml of the same extraction solution. Pooled supernatants were passed through Sep-Pak Plus †C18 cartridge (SepPak Plus, Waters, USA) to remove interfering lipids and part of plant pigments and evaporated at 40ºC under vacuum either to near dryness or until the organic solvent was removed. The </w:t>
      </w:r>
      <w:r w:rsidRPr="00B634EE">
        <w:rPr>
          <w:rFonts w:ascii="Arial" w:hAnsi="Arial" w:cs="Arial"/>
          <w:sz w:val="24"/>
          <w:szCs w:val="24"/>
          <w:lang w:val="en-GB"/>
        </w:rPr>
        <w:lastRenderedPageBreak/>
        <w:t>residue was dissolved in 1 ml methanol/water (20/80, v/v) solution using an ultrasonic bath. The dissolved samples were filtered through Millex nylon membrane filters 13 mm diameter of 0.22 µm pore size (Millipore, Bedford, MA, USA). Next, 10 µl of filtrated extract were injected in a U-HPLC-MS system consisting of an Accela Series U-HPLC (ThermoFisher Scientific, Waltham, MA, USA) coupled to an Exactive mass spectrometer (ThermoFisher Scientific, Waltham, MA, USA) using heated electrospray ionization (HESI) interface. The mass spectra were determined using the Xcalibur software version 2.2 (ThermoFisher Scientific, Waltham, MA, USA). For quantification of the plant hormones, calibration curves were constructed for each component analysed (1, 10, 50, and 100 µg l-1) and corrected for 10 µg l-1 deuterated internal standards. Recovery percentages ranged between 92 and 95%.</w:t>
      </w:r>
    </w:p>
    <w:p w14:paraId="1988A453" w14:textId="77777777" w:rsidR="00E97387" w:rsidRPr="00B634EE" w:rsidRDefault="00E97387" w:rsidP="00E97387">
      <w:pPr>
        <w:spacing w:line="480" w:lineRule="auto"/>
        <w:jc w:val="both"/>
        <w:rPr>
          <w:rFonts w:ascii="Arial" w:hAnsi="Arial" w:cs="Arial"/>
          <w:sz w:val="24"/>
          <w:szCs w:val="24"/>
          <w:lang w:val="en-GB"/>
        </w:rPr>
      </w:pPr>
    </w:p>
    <w:p w14:paraId="2A14CB09"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3</w:t>
      </w:r>
      <w:r w:rsidRPr="00B634EE">
        <w:rPr>
          <w:rFonts w:ascii="Arial" w:hAnsi="Arial" w:cs="Arial"/>
          <w:sz w:val="24"/>
          <w:lang w:val="en-GB"/>
        </w:rPr>
        <w:t>.10 Determination of Na</w:t>
      </w:r>
      <w:r w:rsidRPr="00B634EE">
        <w:rPr>
          <w:rFonts w:ascii="Arial" w:hAnsi="Arial" w:cs="Arial"/>
          <w:sz w:val="24"/>
          <w:vertAlign w:val="superscript"/>
          <w:lang w:val="en-GB"/>
        </w:rPr>
        <w:t>+</w:t>
      </w:r>
      <w:r w:rsidRPr="00B634EE">
        <w:rPr>
          <w:rFonts w:ascii="Arial" w:hAnsi="Arial" w:cs="Arial"/>
          <w:sz w:val="24"/>
          <w:lang w:val="en-GB"/>
        </w:rPr>
        <w:t xml:space="preserve"> and K</w:t>
      </w:r>
      <w:r w:rsidRPr="00B634EE">
        <w:rPr>
          <w:rFonts w:ascii="Arial" w:hAnsi="Arial" w:cs="Arial"/>
          <w:sz w:val="24"/>
          <w:vertAlign w:val="superscript"/>
          <w:lang w:val="en-GB"/>
        </w:rPr>
        <w:t>+</w:t>
      </w:r>
      <w:r w:rsidRPr="00B634EE">
        <w:rPr>
          <w:rFonts w:ascii="Arial" w:hAnsi="Arial" w:cs="Arial"/>
          <w:sz w:val="24"/>
          <w:lang w:val="en-GB"/>
        </w:rPr>
        <w:t xml:space="preserve"> ions</w:t>
      </w:r>
    </w:p>
    <w:p w14:paraId="7ABDEBA9"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The samples were mineralized by wet digestion according to Wolf (1982). To carry this out, 0.2 g of freeze-dried leaves were ground and mineralized with 98% H</w:t>
      </w:r>
      <w:r w:rsidRPr="00B634EE">
        <w:rPr>
          <w:rFonts w:ascii="Arial" w:hAnsi="Arial" w:cs="Arial"/>
          <w:sz w:val="24"/>
          <w:vertAlign w:val="subscript"/>
          <w:lang w:val="en-GB"/>
        </w:rPr>
        <w:t>2</w:t>
      </w:r>
      <w:r w:rsidRPr="00B634EE">
        <w:rPr>
          <w:rFonts w:ascii="Arial" w:hAnsi="Arial" w:cs="Arial"/>
          <w:sz w:val="24"/>
          <w:lang w:val="en-GB"/>
        </w:rPr>
        <w:t>SO</w:t>
      </w:r>
      <w:r w:rsidRPr="00B634EE">
        <w:rPr>
          <w:rFonts w:ascii="Arial" w:hAnsi="Arial" w:cs="Arial"/>
          <w:sz w:val="24"/>
          <w:vertAlign w:val="subscript"/>
          <w:lang w:val="en-GB"/>
        </w:rPr>
        <w:t>4</w:t>
      </w:r>
      <w:r w:rsidRPr="00B634EE">
        <w:rPr>
          <w:rFonts w:ascii="Arial" w:hAnsi="Arial" w:cs="Arial"/>
          <w:sz w:val="24"/>
          <w:lang w:val="en-GB"/>
        </w:rPr>
        <w:t xml:space="preserve"> and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to 30% at 300 °C. K</w:t>
      </w:r>
      <w:r w:rsidRPr="00B634EE">
        <w:rPr>
          <w:rFonts w:ascii="Arial" w:hAnsi="Arial" w:cs="Arial"/>
          <w:sz w:val="24"/>
          <w:vertAlign w:val="superscript"/>
          <w:lang w:val="en-GB"/>
        </w:rPr>
        <w:t>+</w:t>
      </w:r>
      <w:r w:rsidRPr="00B634EE">
        <w:rPr>
          <w:rFonts w:ascii="Arial" w:hAnsi="Arial" w:cs="Arial"/>
          <w:sz w:val="24"/>
          <w:lang w:val="en-GB"/>
        </w:rPr>
        <w:t xml:space="preserve"> and Na</w:t>
      </w:r>
      <w:r w:rsidRPr="00B634EE">
        <w:rPr>
          <w:rFonts w:ascii="Arial" w:hAnsi="Arial" w:cs="Arial"/>
          <w:sz w:val="24"/>
          <w:vertAlign w:val="superscript"/>
          <w:lang w:val="en-GB"/>
        </w:rPr>
        <w:t>+</w:t>
      </w:r>
      <w:r w:rsidRPr="00B634EE">
        <w:rPr>
          <w:rFonts w:ascii="Arial" w:hAnsi="Arial" w:cs="Arial"/>
          <w:sz w:val="24"/>
          <w:lang w:val="en-GB"/>
        </w:rPr>
        <w:t xml:space="preserve"> were analyzed by ICP-OES.</w:t>
      </w:r>
    </w:p>
    <w:p w14:paraId="6306B8F7" w14:textId="77777777" w:rsidR="00E97387" w:rsidRPr="00B634EE" w:rsidRDefault="00E97387" w:rsidP="00E97387">
      <w:pPr>
        <w:spacing w:line="480" w:lineRule="auto"/>
        <w:jc w:val="both"/>
        <w:rPr>
          <w:rFonts w:ascii="Arial" w:hAnsi="Arial" w:cs="Arial"/>
          <w:sz w:val="24"/>
          <w:lang w:val="en-GB"/>
        </w:rPr>
      </w:pPr>
    </w:p>
    <w:p w14:paraId="13F2BE44"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3</w:t>
      </w:r>
      <w:r w:rsidRPr="00B634EE">
        <w:rPr>
          <w:rFonts w:ascii="Arial" w:hAnsi="Arial" w:cs="Arial"/>
          <w:sz w:val="24"/>
          <w:lang w:val="en-GB"/>
        </w:rPr>
        <w:t>.11 Statistical analysis</w:t>
      </w:r>
    </w:p>
    <w:p w14:paraId="6279E4B5"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All analyses were repeated in triplicate and the results were evaluated statistically using an analysis of variance ANOVA simple with a 95% confidence interval. The differences between the treatments means were compared using the test of the minor differences of Fisher (LSD) at a 95% probability level. Significance levels were expressed as: * P &lt; 0.05; ** P &lt; 0.01; *** P &lt; 0.001; NS not significant.</w:t>
      </w:r>
    </w:p>
    <w:p w14:paraId="7947E1D2" w14:textId="77777777" w:rsidR="00E97387" w:rsidRPr="00B634EE" w:rsidRDefault="00E97387" w:rsidP="00E97387">
      <w:pPr>
        <w:spacing w:line="480" w:lineRule="auto"/>
        <w:jc w:val="both"/>
        <w:rPr>
          <w:rFonts w:ascii="Arial" w:hAnsi="Arial" w:cs="Arial"/>
          <w:b/>
          <w:sz w:val="24"/>
          <w:lang w:val="en-GB"/>
        </w:rPr>
      </w:pPr>
      <w:r>
        <w:rPr>
          <w:rFonts w:ascii="Arial" w:hAnsi="Arial" w:cs="Arial"/>
          <w:b/>
          <w:sz w:val="24"/>
          <w:lang w:val="en-GB"/>
        </w:rPr>
        <w:lastRenderedPageBreak/>
        <w:t>4</w:t>
      </w:r>
      <w:r w:rsidRPr="00C04733">
        <w:rPr>
          <w:rFonts w:ascii="Arial" w:hAnsi="Arial" w:cs="Arial"/>
          <w:b/>
          <w:sz w:val="24"/>
          <w:lang w:val="en-GB"/>
        </w:rPr>
        <w:t xml:space="preserve"> Results</w:t>
      </w:r>
    </w:p>
    <w:p w14:paraId="55AF2EF9"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4</w:t>
      </w:r>
      <w:r w:rsidRPr="00B634EE">
        <w:rPr>
          <w:rFonts w:ascii="Arial" w:hAnsi="Arial" w:cs="Arial"/>
          <w:sz w:val="24"/>
          <w:lang w:val="en-GB"/>
        </w:rPr>
        <w:t>.1 Foliar biomass, RGR, Na, and K concentration and Na/K ratio</w:t>
      </w:r>
    </w:p>
    <w:p w14:paraId="3CA9DFB2"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Plant growth was determined by the foliar biomass and RGR. Of the two genotypes, the one more negatively influenced by salinity stress was cv. Marmande RAF, showing a sharp reduction in both parameters.  Nevertheless, cv. Grand Brix also presented a reduction in salinity stress treatment, but this reduc</w:t>
      </w:r>
      <w:r>
        <w:rPr>
          <w:rFonts w:ascii="Arial" w:hAnsi="Arial" w:cs="Arial"/>
          <w:sz w:val="24"/>
          <w:lang w:val="en-GB"/>
        </w:rPr>
        <w:t xml:space="preserve">tion was less pronounced (Table </w:t>
      </w:r>
      <w:r w:rsidRPr="00B634EE">
        <w:rPr>
          <w:rFonts w:ascii="Arial" w:hAnsi="Arial" w:cs="Arial"/>
          <w:sz w:val="24"/>
          <w:lang w:val="en-GB"/>
        </w:rPr>
        <w:t>1).</w:t>
      </w:r>
    </w:p>
    <w:p w14:paraId="5BF79650" w14:textId="77777777" w:rsidR="00E97387" w:rsidRPr="00B634EE" w:rsidRDefault="00E97387" w:rsidP="00E97387">
      <w:pPr>
        <w:spacing w:line="480" w:lineRule="auto"/>
        <w:jc w:val="both"/>
        <w:rPr>
          <w:rFonts w:ascii="Arial" w:hAnsi="Arial" w:cs="Arial"/>
          <w:sz w:val="24"/>
          <w:lang w:val="en-GB"/>
        </w:rPr>
      </w:pPr>
    </w:p>
    <w:p w14:paraId="444E756C"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Our results showed an accumulation of the Na</w:t>
      </w:r>
      <w:r w:rsidRPr="00B634EE">
        <w:rPr>
          <w:rFonts w:ascii="Arial" w:hAnsi="Arial" w:cs="Arial"/>
          <w:sz w:val="24"/>
          <w:vertAlign w:val="superscript"/>
          <w:lang w:val="en-GB"/>
        </w:rPr>
        <w:t>+</w:t>
      </w:r>
      <w:r w:rsidRPr="00B634EE">
        <w:rPr>
          <w:rFonts w:ascii="Arial" w:hAnsi="Arial" w:cs="Arial"/>
          <w:sz w:val="24"/>
          <w:lang w:val="en-GB"/>
        </w:rPr>
        <w:t xml:space="preserve"> ion in the salinity treatment in comparison to c</w:t>
      </w:r>
      <w:r>
        <w:rPr>
          <w:rFonts w:ascii="Arial" w:hAnsi="Arial" w:cs="Arial"/>
          <w:sz w:val="24"/>
          <w:lang w:val="en-GB"/>
        </w:rPr>
        <w:t xml:space="preserve">ontrol in both genotypes (Table </w:t>
      </w:r>
      <w:r w:rsidRPr="00B634EE">
        <w:rPr>
          <w:rFonts w:ascii="Arial" w:hAnsi="Arial" w:cs="Arial"/>
          <w:sz w:val="24"/>
          <w:lang w:val="en-GB"/>
        </w:rPr>
        <w:t>2). For the K</w:t>
      </w:r>
      <w:r w:rsidRPr="00B634EE">
        <w:rPr>
          <w:rFonts w:ascii="Arial" w:hAnsi="Arial" w:cs="Arial"/>
          <w:sz w:val="24"/>
          <w:vertAlign w:val="superscript"/>
          <w:lang w:val="en-GB"/>
        </w:rPr>
        <w:t xml:space="preserve">+ </w:t>
      </w:r>
      <w:r w:rsidRPr="00B634EE">
        <w:rPr>
          <w:rFonts w:ascii="Arial" w:hAnsi="Arial" w:cs="Arial"/>
          <w:sz w:val="24"/>
          <w:lang w:val="en-GB"/>
        </w:rPr>
        <w:t>ion, the salinity treatment resulted in a decline in concent</w:t>
      </w:r>
      <w:r>
        <w:rPr>
          <w:rFonts w:ascii="Arial" w:hAnsi="Arial" w:cs="Arial"/>
          <w:sz w:val="24"/>
          <w:lang w:val="en-GB"/>
        </w:rPr>
        <w:t xml:space="preserve">ration in both genotypes (Table </w:t>
      </w:r>
      <w:r w:rsidRPr="00B634EE">
        <w:rPr>
          <w:rFonts w:ascii="Arial" w:hAnsi="Arial" w:cs="Arial"/>
          <w:sz w:val="24"/>
          <w:lang w:val="en-GB"/>
        </w:rPr>
        <w:t>2). As with the Na</w:t>
      </w:r>
      <w:r w:rsidRPr="00B634EE">
        <w:rPr>
          <w:rFonts w:ascii="Arial" w:hAnsi="Arial" w:cs="Arial"/>
          <w:sz w:val="24"/>
          <w:vertAlign w:val="superscript"/>
          <w:lang w:val="en-GB"/>
        </w:rPr>
        <w:t>+</w:t>
      </w:r>
      <w:r w:rsidRPr="00B634EE">
        <w:rPr>
          <w:rFonts w:ascii="Arial" w:hAnsi="Arial" w:cs="Arial"/>
          <w:sz w:val="24"/>
          <w:lang w:val="en-GB"/>
        </w:rPr>
        <w:t xml:space="preserve"> ion, the Na/K ratio reached its highest value i</w:t>
      </w:r>
      <w:r>
        <w:rPr>
          <w:rFonts w:ascii="Arial" w:hAnsi="Arial" w:cs="Arial"/>
          <w:sz w:val="24"/>
          <w:lang w:val="en-GB"/>
        </w:rPr>
        <w:t xml:space="preserve">n the salinity treatment (Table </w:t>
      </w:r>
      <w:r w:rsidRPr="00B634EE">
        <w:rPr>
          <w:rFonts w:ascii="Arial" w:hAnsi="Arial" w:cs="Arial"/>
          <w:sz w:val="24"/>
          <w:lang w:val="en-GB"/>
        </w:rPr>
        <w:t>2). Finally, the comparison between these two genotypes revealed that the cv. Grand Brix reached higher values for the three ab</w:t>
      </w:r>
      <w:r>
        <w:rPr>
          <w:rFonts w:ascii="Arial" w:hAnsi="Arial" w:cs="Arial"/>
          <w:sz w:val="24"/>
          <w:lang w:val="en-GB"/>
        </w:rPr>
        <w:t xml:space="preserve">ove-mentioned parameters (Table </w:t>
      </w:r>
      <w:r w:rsidRPr="00B634EE">
        <w:rPr>
          <w:rFonts w:ascii="Arial" w:hAnsi="Arial" w:cs="Arial"/>
          <w:sz w:val="24"/>
          <w:lang w:val="en-GB"/>
        </w:rPr>
        <w:t>2).</w:t>
      </w:r>
    </w:p>
    <w:p w14:paraId="10FB7B77" w14:textId="77777777" w:rsidR="00E97387" w:rsidRDefault="00E97387" w:rsidP="00E97387">
      <w:pPr>
        <w:spacing w:line="480" w:lineRule="auto"/>
        <w:jc w:val="both"/>
        <w:rPr>
          <w:rFonts w:ascii="Arial" w:hAnsi="Arial" w:cs="Arial"/>
          <w:sz w:val="24"/>
          <w:lang w:val="en-GB"/>
        </w:rPr>
      </w:pPr>
    </w:p>
    <w:p w14:paraId="1ABC45CC" w14:textId="77777777" w:rsidR="00E97387" w:rsidRDefault="00E97387" w:rsidP="00E97387">
      <w:pPr>
        <w:spacing w:line="480" w:lineRule="auto"/>
        <w:jc w:val="both"/>
        <w:rPr>
          <w:rFonts w:ascii="Arial" w:hAnsi="Arial" w:cs="Arial"/>
          <w:sz w:val="24"/>
          <w:lang w:val="en-GB"/>
        </w:rPr>
      </w:pPr>
    </w:p>
    <w:p w14:paraId="43CE541D" w14:textId="77777777" w:rsidR="00E97387" w:rsidRDefault="00E97387" w:rsidP="00E97387">
      <w:pPr>
        <w:spacing w:line="480" w:lineRule="auto"/>
        <w:jc w:val="both"/>
        <w:rPr>
          <w:rFonts w:ascii="Arial" w:hAnsi="Arial" w:cs="Arial"/>
          <w:sz w:val="24"/>
          <w:lang w:val="en-GB"/>
        </w:rPr>
      </w:pPr>
    </w:p>
    <w:p w14:paraId="5D7DAE6E" w14:textId="77777777" w:rsidR="00E97387" w:rsidRDefault="00E97387" w:rsidP="00E97387">
      <w:pPr>
        <w:spacing w:line="480" w:lineRule="auto"/>
        <w:jc w:val="both"/>
        <w:rPr>
          <w:rFonts w:ascii="Arial" w:hAnsi="Arial" w:cs="Arial"/>
          <w:sz w:val="24"/>
          <w:lang w:val="en-GB"/>
        </w:rPr>
      </w:pPr>
    </w:p>
    <w:p w14:paraId="3999A042" w14:textId="77777777" w:rsidR="00E97387" w:rsidRDefault="00E97387" w:rsidP="00E97387">
      <w:pPr>
        <w:spacing w:line="480" w:lineRule="auto"/>
        <w:jc w:val="both"/>
        <w:rPr>
          <w:rFonts w:ascii="Arial" w:hAnsi="Arial" w:cs="Arial"/>
          <w:sz w:val="24"/>
          <w:lang w:val="en-GB"/>
        </w:rPr>
      </w:pPr>
    </w:p>
    <w:p w14:paraId="55A5C5D6" w14:textId="77777777" w:rsidR="00E97387" w:rsidRDefault="00E97387" w:rsidP="00E97387">
      <w:pPr>
        <w:spacing w:line="480" w:lineRule="auto"/>
        <w:jc w:val="both"/>
        <w:rPr>
          <w:rFonts w:ascii="Arial" w:hAnsi="Arial" w:cs="Arial"/>
          <w:sz w:val="24"/>
          <w:lang w:val="en-GB"/>
        </w:rPr>
      </w:pPr>
    </w:p>
    <w:p w14:paraId="53A395FB" w14:textId="77777777" w:rsidR="00E97387" w:rsidRDefault="00E97387" w:rsidP="00E97387">
      <w:pPr>
        <w:spacing w:line="480" w:lineRule="auto"/>
        <w:jc w:val="both"/>
        <w:rPr>
          <w:rFonts w:ascii="Arial" w:hAnsi="Arial" w:cs="Arial"/>
          <w:sz w:val="24"/>
          <w:lang w:val="en-GB"/>
        </w:rPr>
      </w:pPr>
    </w:p>
    <w:p w14:paraId="45BDA5F6" w14:textId="77777777" w:rsidR="00E97387" w:rsidRPr="00B10512" w:rsidRDefault="00E97387" w:rsidP="00E97387">
      <w:pPr>
        <w:pStyle w:val="Sinespaciado"/>
        <w:jc w:val="both"/>
        <w:rPr>
          <w:b/>
          <w:sz w:val="24"/>
          <w:lang w:val="en-GB"/>
        </w:rPr>
      </w:pPr>
      <w:r w:rsidRPr="00B10512">
        <w:rPr>
          <w:b/>
          <w:sz w:val="24"/>
          <w:lang w:val="en-GB"/>
        </w:rPr>
        <w:lastRenderedPageBreak/>
        <w:t>Table 1:</w:t>
      </w:r>
      <w:r w:rsidRPr="00645298">
        <w:rPr>
          <w:lang w:val="en-GB"/>
        </w:rPr>
        <w:t xml:space="preserve"> </w:t>
      </w:r>
      <w:r w:rsidRPr="007F1B5F">
        <w:rPr>
          <w:lang w:val="en-GB"/>
        </w:rPr>
        <w:t xml:space="preserve">Effect of saline treatment on the foliar biomass and RGR in plants of </w:t>
      </w:r>
      <w:r w:rsidRPr="007F1B5F">
        <w:rPr>
          <w:i/>
          <w:lang w:val="en-GB"/>
        </w:rPr>
        <w:t>Solanum lycopersicum</w:t>
      </w:r>
      <w:r w:rsidRPr="007F1B5F">
        <w:rPr>
          <w:lang w:val="en-GB"/>
        </w:rPr>
        <w:t xml:space="preserve"> cv. Grand Brix and cv. Marmande RAF</w:t>
      </w:r>
    </w:p>
    <w:tbl>
      <w:tblPr>
        <w:tblStyle w:val="Tablaconcuadrcula"/>
        <w:tblW w:w="8647" w:type="dxa"/>
        <w:jc w:val="center"/>
        <w:tblLook w:val="04A0" w:firstRow="1" w:lastRow="0" w:firstColumn="1" w:lastColumn="0" w:noHBand="0" w:noVBand="1"/>
      </w:tblPr>
      <w:tblGrid>
        <w:gridCol w:w="1951"/>
        <w:gridCol w:w="1601"/>
        <w:gridCol w:w="1566"/>
        <w:gridCol w:w="1679"/>
        <w:gridCol w:w="1850"/>
      </w:tblGrid>
      <w:tr w:rsidR="00E97387" w14:paraId="3CE4503B" w14:textId="77777777" w:rsidTr="00C02C80">
        <w:trPr>
          <w:jc w:val="center"/>
        </w:trPr>
        <w:tc>
          <w:tcPr>
            <w:tcW w:w="1951" w:type="dxa"/>
            <w:vMerge w:val="restart"/>
            <w:tcBorders>
              <w:left w:val="nil"/>
              <w:right w:val="nil"/>
            </w:tcBorders>
          </w:tcPr>
          <w:p w14:paraId="179497CD" w14:textId="77777777" w:rsidR="00E97387" w:rsidRPr="00B10512" w:rsidRDefault="00E97387" w:rsidP="00C02C80">
            <w:pPr>
              <w:jc w:val="both"/>
              <w:rPr>
                <w:lang w:val="en-GB"/>
              </w:rPr>
            </w:pPr>
          </w:p>
        </w:tc>
        <w:tc>
          <w:tcPr>
            <w:tcW w:w="3167" w:type="dxa"/>
            <w:gridSpan w:val="2"/>
            <w:tcBorders>
              <w:left w:val="nil"/>
              <w:right w:val="nil"/>
            </w:tcBorders>
          </w:tcPr>
          <w:p w14:paraId="3A904740" w14:textId="77777777" w:rsidR="00E97387" w:rsidRPr="00B10512" w:rsidRDefault="00E97387" w:rsidP="00C02C80">
            <w:pPr>
              <w:jc w:val="center"/>
            </w:pPr>
            <w:r>
              <w:t>Biomass</w:t>
            </w:r>
            <w:r w:rsidRPr="00B10512">
              <w:t xml:space="preserve"> (g</w:t>
            </w:r>
            <w:r w:rsidRPr="00B10512">
              <w:rPr>
                <w:vertAlign w:val="superscript"/>
              </w:rPr>
              <w:t>-1</w:t>
            </w:r>
            <w:r w:rsidRPr="00B10512">
              <w:t xml:space="preserve"> FW)</w:t>
            </w:r>
          </w:p>
        </w:tc>
        <w:tc>
          <w:tcPr>
            <w:tcW w:w="3529" w:type="dxa"/>
            <w:gridSpan w:val="2"/>
            <w:tcBorders>
              <w:left w:val="nil"/>
              <w:right w:val="nil"/>
            </w:tcBorders>
          </w:tcPr>
          <w:p w14:paraId="4C0A296E" w14:textId="77777777" w:rsidR="00E97387" w:rsidRPr="00AB277A" w:rsidRDefault="00E97387" w:rsidP="00C02C80">
            <w:pPr>
              <w:jc w:val="center"/>
            </w:pPr>
            <w:r w:rsidRPr="00B10512">
              <w:t>RGR</w:t>
            </w:r>
            <w:r>
              <w:t xml:space="preserve"> (g g</w:t>
            </w:r>
            <w:r>
              <w:rPr>
                <w:vertAlign w:val="superscript"/>
              </w:rPr>
              <w:t>-1</w:t>
            </w:r>
            <w:r>
              <w:t xml:space="preserve"> day</w:t>
            </w:r>
            <w:r>
              <w:rPr>
                <w:vertAlign w:val="superscript"/>
              </w:rPr>
              <w:t>-1</w:t>
            </w:r>
            <w:r>
              <w:t>)</w:t>
            </w:r>
          </w:p>
        </w:tc>
      </w:tr>
      <w:tr w:rsidR="00E97387" w14:paraId="77930270" w14:textId="77777777" w:rsidTr="00C02C80">
        <w:trPr>
          <w:jc w:val="center"/>
        </w:trPr>
        <w:tc>
          <w:tcPr>
            <w:tcW w:w="1951" w:type="dxa"/>
            <w:vMerge/>
            <w:tcBorders>
              <w:left w:val="nil"/>
              <w:bottom w:val="single" w:sz="4" w:space="0" w:color="auto"/>
              <w:right w:val="nil"/>
            </w:tcBorders>
          </w:tcPr>
          <w:p w14:paraId="1DE6B729" w14:textId="77777777" w:rsidR="00E97387" w:rsidRPr="00B10512" w:rsidRDefault="00E97387" w:rsidP="00C02C80">
            <w:pPr>
              <w:jc w:val="both"/>
            </w:pPr>
          </w:p>
        </w:tc>
        <w:tc>
          <w:tcPr>
            <w:tcW w:w="1601" w:type="dxa"/>
            <w:tcBorders>
              <w:left w:val="nil"/>
              <w:bottom w:val="single" w:sz="4" w:space="0" w:color="auto"/>
              <w:right w:val="nil"/>
            </w:tcBorders>
          </w:tcPr>
          <w:p w14:paraId="370D5D90" w14:textId="77777777" w:rsidR="00E97387" w:rsidRPr="00B10512" w:rsidRDefault="00E97387" w:rsidP="00C02C80">
            <w:pPr>
              <w:jc w:val="center"/>
            </w:pPr>
            <w:r w:rsidRPr="00B10512">
              <w:t>Grand Brix</w:t>
            </w:r>
          </w:p>
        </w:tc>
        <w:tc>
          <w:tcPr>
            <w:tcW w:w="1566" w:type="dxa"/>
            <w:tcBorders>
              <w:left w:val="nil"/>
              <w:bottom w:val="single" w:sz="4" w:space="0" w:color="auto"/>
              <w:right w:val="nil"/>
            </w:tcBorders>
          </w:tcPr>
          <w:p w14:paraId="16CB2399" w14:textId="77777777" w:rsidR="00E97387" w:rsidRPr="00B10512" w:rsidRDefault="00E97387" w:rsidP="00C02C80">
            <w:pPr>
              <w:jc w:val="center"/>
            </w:pPr>
            <w:r w:rsidRPr="00B10512">
              <w:t>Marmande</w:t>
            </w:r>
          </w:p>
        </w:tc>
        <w:tc>
          <w:tcPr>
            <w:tcW w:w="1679" w:type="dxa"/>
            <w:tcBorders>
              <w:left w:val="nil"/>
              <w:bottom w:val="single" w:sz="4" w:space="0" w:color="auto"/>
              <w:right w:val="nil"/>
            </w:tcBorders>
          </w:tcPr>
          <w:p w14:paraId="0A216699" w14:textId="77777777" w:rsidR="00E97387" w:rsidRPr="00B10512" w:rsidRDefault="00E97387" w:rsidP="00C02C80">
            <w:pPr>
              <w:jc w:val="center"/>
            </w:pPr>
            <w:r w:rsidRPr="00B10512">
              <w:t>Grand Brix</w:t>
            </w:r>
          </w:p>
        </w:tc>
        <w:tc>
          <w:tcPr>
            <w:tcW w:w="1850" w:type="dxa"/>
            <w:tcBorders>
              <w:left w:val="nil"/>
              <w:bottom w:val="single" w:sz="4" w:space="0" w:color="auto"/>
              <w:right w:val="nil"/>
            </w:tcBorders>
          </w:tcPr>
          <w:p w14:paraId="3E69B008" w14:textId="77777777" w:rsidR="00E97387" w:rsidRPr="00B10512" w:rsidRDefault="00E97387" w:rsidP="00C02C80">
            <w:pPr>
              <w:jc w:val="center"/>
            </w:pPr>
            <w:r w:rsidRPr="00B10512">
              <w:t>Marmande</w:t>
            </w:r>
          </w:p>
        </w:tc>
      </w:tr>
      <w:tr w:rsidR="00E97387" w:rsidRPr="002E2FC6" w14:paraId="612EA15F" w14:textId="77777777" w:rsidTr="00C02C80">
        <w:trPr>
          <w:jc w:val="center"/>
        </w:trPr>
        <w:tc>
          <w:tcPr>
            <w:tcW w:w="1951" w:type="dxa"/>
            <w:tcBorders>
              <w:top w:val="single" w:sz="4" w:space="0" w:color="auto"/>
              <w:left w:val="nil"/>
              <w:bottom w:val="nil"/>
              <w:right w:val="nil"/>
            </w:tcBorders>
          </w:tcPr>
          <w:p w14:paraId="5DD1733A" w14:textId="77777777" w:rsidR="00E97387" w:rsidRPr="00B10512" w:rsidRDefault="00E97387" w:rsidP="00C02C80">
            <w:pPr>
              <w:jc w:val="both"/>
            </w:pPr>
            <w:r w:rsidRPr="00B10512">
              <w:t>Control</w:t>
            </w:r>
          </w:p>
        </w:tc>
        <w:tc>
          <w:tcPr>
            <w:tcW w:w="1601" w:type="dxa"/>
            <w:tcBorders>
              <w:top w:val="single" w:sz="4" w:space="0" w:color="auto"/>
              <w:left w:val="nil"/>
              <w:bottom w:val="nil"/>
              <w:right w:val="nil"/>
            </w:tcBorders>
          </w:tcPr>
          <w:p w14:paraId="473E71AE" w14:textId="77777777" w:rsidR="00E97387" w:rsidRPr="00214B02" w:rsidRDefault="00E97387" w:rsidP="00C02C80">
            <w:pPr>
              <w:jc w:val="center"/>
            </w:pPr>
            <w:r>
              <w:t>8.</w:t>
            </w:r>
            <w:r w:rsidRPr="00920A5D">
              <w:t>55±</w:t>
            </w:r>
            <w:r>
              <w:t>0.04</w:t>
            </w:r>
            <w:r>
              <w:rPr>
                <w:vertAlign w:val="superscript"/>
              </w:rPr>
              <w:t>a</w:t>
            </w:r>
            <w:r w:rsidRPr="007F1B5F">
              <w:rPr>
                <w:lang w:val="en-GB"/>
              </w:rPr>
              <w:t>†</w:t>
            </w:r>
          </w:p>
        </w:tc>
        <w:tc>
          <w:tcPr>
            <w:tcW w:w="1566" w:type="dxa"/>
            <w:tcBorders>
              <w:top w:val="single" w:sz="4" w:space="0" w:color="auto"/>
              <w:left w:val="nil"/>
              <w:bottom w:val="nil"/>
              <w:right w:val="nil"/>
            </w:tcBorders>
          </w:tcPr>
          <w:p w14:paraId="419BF27C" w14:textId="77777777" w:rsidR="00E97387" w:rsidRPr="00F8492E" w:rsidRDefault="00E97387" w:rsidP="00C02C80">
            <w:pPr>
              <w:jc w:val="center"/>
              <w:rPr>
                <w:vertAlign w:val="superscript"/>
              </w:rPr>
            </w:pPr>
            <w:r>
              <w:t>8.47</w:t>
            </w:r>
            <w:r w:rsidRPr="00920A5D">
              <w:t>±</w:t>
            </w:r>
            <w:r>
              <w:t>0.13</w:t>
            </w:r>
            <w:r>
              <w:rPr>
                <w:vertAlign w:val="superscript"/>
              </w:rPr>
              <w:t>a</w:t>
            </w:r>
          </w:p>
        </w:tc>
        <w:tc>
          <w:tcPr>
            <w:tcW w:w="1679" w:type="dxa"/>
            <w:tcBorders>
              <w:top w:val="single" w:sz="4" w:space="0" w:color="auto"/>
              <w:left w:val="nil"/>
              <w:bottom w:val="nil"/>
              <w:right w:val="nil"/>
            </w:tcBorders>
          </w:tcPr>
          <w:p w14:paraId="16B24376" w14:textId="77777777" w:rsidR="00E97387" w:rsidRPr="007C3874" w:rsidRDefault="00E97387" w:rsidP="00C02C80">
            <w:pPr>
              <w:jc w:val="center"/>
              <w:rPr>
                <w:vertAlign w:val="superscript"/>
              </w:rPr>
            </w:pPr>
            <w:r>
              <w:t>0.14±0.</w:t>
            </w:r>
            <w:r w:rsidRPr="00920A5D">
              <w:t>00</w:t>
            </w:r>
            <w:r>
              <w:rPr>
                <w:vertAlign w:val="superscript"/>
              </w:rPr>
              <w:t>a</w:t>
            </w:r>
          </w:p>
        </w:tc>
        <w:tc>
          <w:tcPr>
            <w:tcW w:w="1850" w:type="dxa"/>
            <w:tcBorders>
              <w:top w:val="single" w:sz="4" w:space="0" w:color="auto"/>
              <w:left w:val="nil"/>
              <w:bottom w:val="nil"/>
              <w:right w:val="nil"/>
            </w:tcBorders>
          </w:tcPr>
          <w:p w14:paraId="4FD2B320" w14:textId="77777777" w:rsidR="00E97387" w:rsidRPr="002E2FC6" w:rsidRDefault="00E97387" w:rsidP="00C02C80">
            <w:pPr>
              <w:jc w:val="center"/>
              <w:rPr>
                <w:vertAlign w:val="superscript"/>
              </w:rPr>
            </w:pPr>
            <w:r>
              <w:t>0.14</w:t>
            </w:r>
            <w:r w:rsidRPr="00920A5D">
              <w:t>±</w:t>
            </w:r>
            <w:r>
              <w:t>0.01</w:t>
            </w:r>
            <w:r>
              <w:rPr>
                <w:vertAlign w:val="superscript"/>
              </w:rPr>
              <w:t>a</w:t>
            </w:r>
          </w:p>
        </w:tc>
      </w:tr>
      <w:tr w:rsidR="00E97387" w:rsidRPr="002E2FC6" w14:paraId="5B567901" w14:textId="77777777" w:rsidTr="00C02C80">
        <w:trPr>
          <w:jc w:val="center"/>
        </w:trPr>
        <w:tc>
          <w:tcPr>
            <w:tcW w:w="1951" w:type="dxa"/>
            <w:tcBorders>
              <w:top w:val="nil"/>
              <w:left w:val="nil"/>
              <w:bottom w:val="nil"/>
              <w:right w:val="nil"/>
            </w:tcBorders>
          </w:tcPr>
          <w:p w14:paraId="54F1B60B" w14:textId="77777777" w:rsidR="00E97387" w:rsidRPr="00B10512" w:rsidRDefault="00E97387" w:rsidP="00C02C80">
            <w:pPr>
              <w:jc w:val="both"/>
            </w:pPr>
            <w:r>
              <w:t>Salinity</w:t>
            </w:r>
          </w:p>
        </w:tc>
        <w:tc>
          <w:tcPr>
            <w:tcW w:w="1601" w:type="dxa"/>
            <w:tcBorders>
              <w:top w:val="nil"/>
              <w:left w:val="nil"/>
              <w:bottom w:val="nil"/>
              <w:right w:val="nil"/>
            </w:tcBorders>
          </w:tcPr>
          <w:p w14:paraId="57E1997D" w14:textId="77777777" w:rsidR="00E97387" w:rsidRPr="00920A5D" w:rsidRDefault="00E97387" w:rsidP="00C02C80">
            <w:pPr>
              <w:rPr>
                <w:vertAlign w:val="superscript"/>
              </w:rPr>
            </w:pPr>
            <w:r>
              <w:t xml:space="preserve">   5.83</w:t>
            </w:r>
            <w:r w:rsidRPr="00920A5D">
              <w:t>±</w:t>
            </w:r>
            <w:r>
              <w:t>0.13</w:t>
            </w:r>
            <w:r>
              <w:rPr>
                <w:vertAlign w:val="superscript"/>
              </w:rPr>
              <w:t>b</w:t>
            </w:r>
          </w:p>
        </w:tc>
        <w:tc>
          <w:tcPr>
            <w:tcW w:w="1566" w:type="dxa"/>
            <w:tcBorders>
              <w:top w:val="nil"/>
              <w:left w:val="nil"/>
              <w:bottom w:val="nil"/>
              <w:right w:val="nil"/>
            </w:tcBorders>
          </w:tcPr>
          <w:p w14:paraId="04CA33EB" w14:textId="77777777" w:rsidR="00E97387" w:rsidRPr="00F8492E" w:rsidRDefault="00E97387" w:rsidP="00C02C80">
            <w:pPr>
              <w:jc w:val="center"/>
              <w:rPr>
                <w:vertAlign w:val="superscript"/>
              </w:rPr>
            </w:pPr>
            <w:r>
              <w:t>4.66</w:t>
            </w:r>
            <w:r w:rsidRPr="00920A5D">
              <w:t>±</w:t>
            </w:r>
            <w:r>
              <w:t>0.13</w:t>
            </w:r>
            <w:r>
              <w:rPr>
                <w:vertAlign w:val="superscript"/>
              </w:rPr>
              <w:t>b</w:t>
            </w:r>
          </w:p>
        </w:tc>
        <w:tc>
          <w:tcPr>
            <w:tcW w:w="1679" w:type="dxa"/>
            <w:tcBorders>
              <w:top w:val="nil"/>
              <w:left w:val="nil"/>
              <w:bottom w:val="nil"/>
              <w:right w:val="nil"/>
            </w:tcBorders>
          </w:tcPr>
          <w:p w14:paraId="5C367A3D" w14:textId="77777777" w:rsidR="00E97387" w:rsidRPr="007C3874" w:rsidRDefault="00E97387" w:rsidP="00C02C80">
            <w:pPr>
              <w:jc w:val="center"/>
              <w:rPr>
                <w:vertAlign w:val="superscript"/>
              </w:rPr>
            </w:pPr>
            <w:r>
              <w:t>0.11±0.01</w:t>
            </w:r>
            <w:r>
              <w:rPr>
                <w:vertAlign w:val="superscript"/>
              </w:rPr>
              <w:t>b</w:t>
            </w:r>
          </w:p>
        </w:tc>
        <w:tc>
          <w:tcPr>
            <w:tcW w:w="1850" w:type="dxa"/>
            <w:tcBorders>
              <w:top w:val="nil"/>
              <w:left w:val="nil"/>
              <w:bottom w:val="nil"/>
              <w:right w:val="nil"/>
            </w:tcBorders>
          </w:tcPr>
          <w:p w14:paraId="30FC5505" w14:textId="77777777" w:rsidR="00E97387" w:rsidRPr="002E2FC6" w:rsidRDefault="00E97387" w:rsidP="00C02C80">
            <w:pPr>
              <w:jc w:val="center"/>
              <w:rPr>
                <w:vertAlign w:val="superscript"/>
              </w:rPr>
            </w:pPr>
            <w:r>
              <w:t>0.09</w:t>
            </w:r>
            <w:r w:rsidRPr="00920A5D">
              <w:t>±</w:t>
            </w:r>
            <w:r>
              <w:t>0.01</w:t>
            </w:r>
            <w:r>
              <w:rPr>
                <w:vertAlign w:val="superscript"/>
              </w:rPr>
              <w:t>b</w:t>
            </w:r>
          </w:p>
        </w:tc>
      </w:tr>
      <w:tr w:rsidR="00E97387" w14:paraId="606CFF41" w14:textId="77777777" w:rsidTr="00C02C80">
        <w:trPr>
          <w:jc w:val="center"/>
        </w:trPr>
        <w:tc>
          <w:tcPr>
            <w:tcW w:w="1951" w:type="dxa"/>
            <w:tcBorders>
              <w:top w:val="nil"/>
              <w:left w:val="nil"/>
              <w:bottom w:val="nil"/>
              <w:right w:val="nil"/>
            </w:tcBorders>
          </w:tcPr>
          <w:p w14:paraId="1F6D138D" w14:textId="77777777" w:rsidR="00E97387" w:rsidRPr="00B10512" w:rsidRDefault="00E97387" w:rsidP="00C02C80">
            <w:pPr>
              <w:jc w:val="both"/>
            </w:pPr>
            <w:r>
              <w:t>P-value</w:t>
            </w:r>
          </w:p>
        </w:tc>
        <w:tc>
          <w:tcPr>
            <w:tcW w:w="1601" w:type="dxa"/>
            <w:tcBorders>
              <w:top w:val="nil"/>
              <w:left w:val="nil"/>
              <w:bottom w:val="nil"/>
              <w:right w:val="nil"/>
            </w:tcBorders>
          </w:tcPr>
          <w:p w14:paraId="3693C930" w14:textId="77777777" w:rsidR="00E97387" w:rsidRDefault="00E97387" w:rsidP="00C02C80">
            <w:pPr>
              <w:jc w:val="center"/>
            </w:pPr>
            <w:r>
              <w:t>***</w:t>
            </w:r>
            <w:r w:rsidRPr="007F1B5F">
              <w:rPr>
                <w:lang w:val="en-GB"/>
              </w:rPr>
              <w:t>§</w:t>
            </w:r>
          </w:p>
        </w:tc>
        <w:tc>
          <w:tcPr>
            <w:tcW w:w="1566" w:type="dxa"/>
            <w:tcBorders>
              <w:top w:val="nil"/>
              <w:left w:val="nil"/>
              <w:bottom w:val="nil"/>
              <w:right w:val="nil"/>
            </w:tcBorders>
          </w:tcPr>
          <w:p w14:paraId="5E99FC6B" w14:textId="77777777" w:rsidR="00E97387" w:rsidRDefault="00E97387" w:rsidP="00C02C80">
            <w:pPr>
              <w:jc w:val="center"/>
            </w:pPr>
            <w:r>
              <w:t>***</w:t>
            </w:r>
          </w:p>
        </w:tc>
        <w:tc>
          <w:tcPr>
            <w:tcW w:w="1679" w:type="dxa"/>
            <w:tcBorders>
              <w:top w:val="nil"/>
              <w:left w:val="nil"/>
              <w:bottom w:val="nil"/>
              <w:right w:val="nil"/>
            </w:tcBorders>
          </w:tcPr>
          <w:p w14:paraId="547587BC" w14:textId="77777777" w:rsidR="00E97387" w:rsidRDefault="00E97387" w:rsidP="00C02C80">
            <w:pPr>
              <w:jc w:val="center"/>
            </w:pPr>
            <w:r>
              <w:t>***</w:t>
            </w:r>
          </w:p>
        </w:tc>
        <w:tc>
          <w:tcPr>
            <w:tcW w:w="1850" w:type="dxa"/>
            <w:tcBorders>
              <w:top w:val="nil"/>
              <w:left w:val="nil"/>
              <w:bottom w:val="nil"/>
              <w:right w:val="nil"/>
            </w:tcBorders>
          </w:tcPr>
          <w:p w14:paraId="3BE52298" w14:textId="77777777" w:rsidR="00E97387" w:rsidRDefault="00E97387" w:rsidP="00C02C80">
            <w:pPr>
              <w:jc w:val="center"/>
            </w:pPr>
            <w:r>
              <w:t>***</w:t>
            </w:r>
          </w:p>
        </w:tc>
      </w:tr>
      <w:tr w:rsidR="00E97387" w14:paraId="71C8C582" w14:textId="77777777" w:rsidTr="00C02C80">
        <w:trPr>
          <w:jc w:val="center"/>
        </w:trPr>
        <w:tc>
          <w:tcPr>
            <w:tcW w:w="1951" w:type="dxa"/>
            <w:tcBorders>
              <w:top w:val="nil"/>
              <w:left w:val="nil"/>
              <w:bottom w:val="nil"/>
              <w:right w:val="nil"/>
            </w:tcBorders>
          </w:tcPr>
          <w:p w14:paraId="508938E1" w14:textId="77777777" w:rsidR="00E97387" w:rsidRPr="00B10512" w:rsidRDefault="00E97387" w:rsidP="00C02C80">
            <w:pPr>
              <w:jc w:val="both"/>
            </w:pPr>
          </w:p>
        </w:tc>
        <w:tc>
          <w:tcPr>
            <w:tcW w:w="1601" w:type="dxa"/>
            <w:tcBorders>
              <w:top w:val="nil"/>
              <w:left w:val="nil"/>
              <w:bottom w:val="nil"/>
              <w:right w:val="nil"/>
            </w:tcBorders>
          </w:tcPr>
          <w:p w14:paraId="3B57E887" w14:textId="77777777" w:rsidR="00E97387" w:rsidRDefault="00E97387" w:rsidP="00C02C80">
            <w:pPr>
              <w:jc w:val="center"/>
            </w:pPr>
          </w:p>
        </w:tc>
        <w:tc>
          <w:tcPr>
            <w:tcW w:w="1566" w:type="dxa"/>
            <w:tcBorders>
              <w:top w:val="nil"/>
              <w:left w:val="nil"/>
              <w:bottom w:val="nil"/>
              <w:right w:val="nil"/>
            </w:tcBorders>
          </w:tcPr>
          <w:p w14:paraId="36806640" w14:textId="77777777" w:rsidR="00E97387" w:rsidRDefault="00E97387" w:rsidP="00C02C80">
            <w:pPr>
              <w:jc w:val="center"/>
            </w:pPr>
          </w:p>
        </w:tc>
        <w:tc>
          <w:tcPr>
            <w:tcW w:w="1679" w:type="dxa"/>
            <w:tcBorders>
              <w:top w:val="nil"/>
              <w:left w:val="nil"/>
              <w:bottom w:val="nil"/>
              <w:right w:val="nil"/>
            </w:tcBorders>
          </w:tcPr>
          <w:p w14:paraId="76DF6B9B" w14:textId="77777777" w:rsidR="00E97387" w:rsidRPr="00B10512" w:rsidRDefault="00E97387" w:rsidP="00C02C80">
            <w:pPr>
              <w:jc w:val="center"/>
              <w:rPr>
                <w:rFonts w:cs="Arial"/>
              </w:rPr>
            </w:pPr>
          </w:p>
        </w:tc>
        <w:tc>
          <w:tcPr>
            <w:tcW w:w="1850" w:type="dxa"/>
            <w:tcBorders>
              <w:top w:val="nil"/>
              <w:left w:val="nil"/>
              <w:bottom w:val="nil"/>
              <w:right w:val="nil"/>
            </w:tcBorders>
          </w:tcPr>
          <w:p w14:paraId="743008A6" w14:textId="77777777" w:rsidR="00E97387" w:rsidRPr="00B10512" w:rsidRDefault="00E97387" w:rsidP="00C02C80">
            <w:pPr>
              <w:jc w:val="center"/>
              <w:rPr>
                <w:rFonts w:cs="Arial"/>
              </w:rPr>
            </w:pPr>
          </w:p>
        </w:tc>
      </w:tr>
      <w:tr w:rsidR="00E97387" w14:paraId="35B3B82F" w14:textId="77777777" w:rsidTr="00C02C80">
        <w:trPr>
          <w:jc w:val="center"/>
        </w:trPr>
        <w:tc>
          <w:tcPr>
            <w:tcW w:w="1951" w:type="dxa"/>
            <w:tcBorders>
              <w:top w:val="nil"/>
              <w:left w:val="nil"/>
              <w:bottom w:val="nil"/>
              <w:right w:val="nil"/>
            </w:tcBorders>
          </w:tcPr>
          <w:p w14:paraId="3E4DFA26" w14:textId="77777777" w:rsidR="00E97387" w:rsidRPr="00B10512" w:rsidRDefault="00E97387" w:rsidP="00C02C80">
            <w:pPr>
              <w:jc w:val="both"/>
            </w:pPr>
            <w:r w:rsidRPr="00B10512">
              <w:t>Grand Brix</w:t>
            </w:r>
          </w:p>
        </w:tc>
        <w:tc>
          <w:tcPr>
            <w:tcW w:w="3167" w:type="dxa"/>
            <w:gridSpan w:val="2"/>
            <w:vMerge w:val="restart"/>
            <w:tcBorders>
              <w:top w:val="nil"/>
              <w:left w:val="nil"/>
              <w:bottom w:val="nil"/>
              <w:right w:val="nil"/>
            </w:tcBorders>
          </w:tcPr>
          <w:p w14:paraId="50824943" w14:textId="77777777" w:rsidR="00E97387" w:rsidRPr="00214B02" w:rsidRDefault="00E97387" w:rsidP="00C02C80">
            <w:pPr>
              <w:jc w:val="center"/>
            </w:pPr>
            <w:r>
              <w:t>7.22</w:t>
            </w:r>
            <w:r>
              <w:rPr>
                <w:vertAlign w:val="superscript"/>
              </w:rPr>
              <w:t>a</w:t>
            </w:r>
            <w:r w:rsidRPr="007F1B5F">
              <w:rPr>
                <w:lang w:val="en-GB"/>
              </w:rPr>
              <w:t>‡</w:t>
            </w:r>
          </w:p>
          <w:p w14:paraId="314177CB" w14:textId="77777777" w:rsidR="00E97387" w:rsidRPr="00361D8F" w:rsidRDefault="00E97387" w:rsidP="00C02C80">
            <w:pPr>
              <w:jc w:val="center"/>
              <w:rPr>
                <w:vertAlign w:val="superscript"/>
              </w:rPr>
            </w:pPr>
            <w:r>
              <w:t>6.56</w:t>
            </w:r>
            <w:r>
              <w:rPr>
                <w:vertAlign w:val="superscript"/>
              </w:rPr>
              <w:t>b</w:t>
            </w:r>
          </w:p>
          <w:p w14:paraId="379D622A" w14:textId="77777777" w:rsidR="00E97387" w:rsidRDefault="00E97387" w:rsidP="00C02C80">
            <w:pPr>
              <w:jc w:val="center"/>
            </w:pPr>
            <w:r>
              <w:t>***</w:t>
            </w:r>
          </w:p>
          <w:p w14:paraId="2BCBC0AC" w14:textId="77777777" w:rsidR="00E97387" w:rsidRDefault="00E97387" w:rsidP="00C02C80">
            <w:pPr>
              <w:jc w:val="center"/>
            </w:pPr>
            <w:r>
              <w:t>0.30</w:t>
            </w:r>
          </w:p>
        </w:tc>
        <w:tc>
          <w:tcPr>
            <w:tcW w:w="3529" w:type="dxa"/>
            <w:gridSpan w:val="2"/>
            <w:vMerge w:val="restart"/>
            <w:tcBorders>
              <w:top w:val="nil"/>
              <w:left w:val="nil"/>
              <w:bottom w:val="nil"/>
              <w:right w:val="nil"/>
            </w:tcBorders>
          </w:tcPr>
          <w:p w14:paraId="42AB510A" w14:textId="77777777" w:rsidR="00E97387" w:rsidRPr="00361D8F" w:rsidRDefault="00E97387" w:rsidP="00C02C80">
            <w:pPr>
              <w:jc w:val="center"/>
              <w:rPr>
                <w:vertAlign w:val="superscript"/>
              </w:rPr>
            </w:pPr>
            <w:r>
              <w:t>0.13</w:t>
            </w:r>
            <w:r>
              <w:rPr>
                <w:vertAlign w:val="superscript"/>
              </w:rPr>
              <w:t>a</w:t>
            </w:r>
          </w:p>
          <w:p w14:paraId="4150BC35" w14:textId="77777777" w:rsidR="00E97387" w:rsidRPr="00361D8F" w:rsidRDefault="00E97387" w:rsidP="00C02C80">
            <w:pPr>
              <w:jc w:val="center"/>
              <w:rPr>
                <w:vertAlign w:val="superscript"/>
              </w:rPr>
            </w:pPr>
            <w:r>
              <w:t>0.11</w:t>
            </w:r>
            <w:r>
              <w:rPr>
                <w:vertAlign w:val="superscript"/>
              </w:rPr>
              <w:t>b</w:t>
            </w:r>
          </w:p>
          <w:p w14:paraId="51511359" w14:textId="77777777" w:rsidR="00E97387" w:rsidRDefault="00E97387" w:rsidP="00C02C80">
            <w:pPr>
              <w:ind w:right="36"/>
              <w:jc w:val="center"/>
            </w:pPr>
            <w:r>
              <w:t>*</w:t>
            </w:r>
          </w:p>
          <w:p w14:paraId="2E600BDC" w14:textId="77777777" w:rsidR="00E97387" w:rsidRDefault="00E97387" w:rsidP="00C02C80">
            <w:pPr>
              <w:jc w:val="center"/>
            </w:pPr>
            <w:r>
              <w:t>0.</w:t>
            </w:r>
            <w:r w:rsidRPr="00361D8F">
              <w:t>01</w:t>
            </w:r>
          </w:p>
        </w:tc>
      </w:tr>
      <w:tr w:rsidR="00E97387" w14:paraId="14EC41DF" w14:textId="77777777" w:rsidTr="00C02C80">
        <w:trPr>
          <w:jc w:val="center"/>
        </w:trPr>
        <w:tc>
          <w:tcPr>
            <w:tcW w:w="1951" w:type="dxa"/>
            <w:tcBorders>
              <w:top w:val="nil"/>
              <w:left w:val="nil"/>
              <w:bottom w:val="nil"/>
              <w:right w:val="nil"/>
            </w:tcBorders>
          </w:tcPr>
          <w:p w14:paraId="4AADC4EE" w14:textId="77777777" w:rsidR="00E97387" w:rsidRPr="00B10512" w:rsidRDefault="00E97387" w:rsidP="00C02C80">
            <w:pPr>
              <w:jc w:val="both"/>
            </w:pPr>
            <w:r w:rsidRPr="00B10512">
              <w:t>Marmande</w:t>
            </w:r>
          </w:p>
        </w:tc>
        <w:tc>
          <w:tcPr>
            <w:tcW w:w="3167" w:type="dxa"/>
            <w:gridSpan w:val="2"/>
            <w:vMerge/>
            <w:tcBorders>
              <w:top w:val="nil"/>
              <w:left w:val="nil"/>
              <w:bottom w:val="nil"/>
              <w:right w:val="nil"/>
            </w:tcBorders>
          </w:tcPr>
          <w:p w14:paraId="0768C0D8" w14:textId="77777777" w:rsidR="00E97387" w:rsidRDefault="00E97387" w:rsidP="00C02C80">
            <w:pPr>
              <w:jc w:val="both"/>
            </w:pPr>
          </w:p>
        </w:tc>
        <w:tc>
          <w:tcPr>
            <w:tcW w:w="3529" w:type="dxa"/>
            <w:gridSpan w:val="2"/>
            <w:vMerge/>
            <w:tcBorders>
              <w:top w:val="nil"/>
              <w:left w:val="nil"/>
              <w:bottom w:val="nil"/>
              <w:right w:val="nil"/>
            </w:tcBorders>
          </w:tcPr>
          <w:p w14:paraId="58BAE4E6" w14:textId="77777777" w:rsidR="00E97387" w:rsidRDefault="00E97387" w:rsidP="00C02C80">
            <w:pPr>
              <w:jc w:val="both"/>
            </w:pPr>
          </w:p>
        </w:tc>
      </w:tr>
      <w:tr w:rsidR="00E97387" w14:paraId="660A295F" w14:textId="77777777" w:rsidTr="00C02C80">
        <w:trPr>
          <w:jc w:val="center"/>
        </w:trPr>
        <w:tc>
          <w:tcPr>
            <w:tcW w:w="1951" w:type="dxa"/>
            <w:tcBorders>
              <w:top w:val="nil"/>
              <w:left w:val="nil"/>
              <w:bottom w:val="nil"/>
              <w:right w:val="nil"/>
            </w:tcBorders>
          </w:tcPr>
          <w:p w14:paraId="46A7B438" w14:textId="77777777" w:rsidR="00E97387" w:rsidRPr="00B10512" w:rsidRDefault="00E97387" w:rsidP="00C02C80">
            <w:pPr>
              <w:jc w:val="both"/>
            </w:pPr>
            <w:r>
              <w:t>P-value</w:t>
            </w:r>
          </w:p>
        </w:tc>
        <w:tc>
          <w:tcPr>
            <w:tcW w:w="3167" w:type="dxa"/>
            <w:gridSpan w:val="2"/>
            <w:vMerge/>
            <w:tcBorders>
              <w:top w:val="nil"/>
              <w:left w:val="nil"/>
              <w:bottom w:val="nil"/>
              <w:right w:val="nil"/>
            </w:tcBorders>
          </w:tcPr>
          <w:p w14:paraId="2AB9A8A1" w14:textId="77777777" w:rsidR="00E97387" w:rsidRDefault="00E97387" w:rsidP="00C02C80">
            <w:pPr>
              <w:jc w:val="both"/>
            </w:pPr>
          </w:p>
        </w:tc>
        <w:tc>
          <w:tcPr>
            <w:tcW w:w="3529" w:type="dxa"/>
            <w:gridSpan w:val="2"/>
            <w:vMerge/>
            <w:tcBorders>
              <w:top w:val="nil"/>
              <w:left w:val="nil"/>
              <w:bottom w:val="nil"/>
              <w:right w:val="nil"/>
            </w:tcBorders>
          </w:tcPr>
          <w:p w14:paraId="2F86EBA0" w14:textId="77777777" w:rsidR="00E97387" w:rsidRDefault="00E97387" w:rsidP="00C02C80">
            <w:pPr>
              <w:jc w:val="both"/>
            </w:pPr>
          </w:p>
        </w:tc>
      </w:tr>
      <w:tr w:rsidR="00E97387" w14:paraId="3B1D9C1F" w14:textId="77777777" w:rsidTr="00C02C80">
        <w:trPr>
          <w:jc w:val="center"/>
        </w:trPr>
        <w:tc>
          <w:tcPr>
            <w:tcW w:w="1951" w:type="dxa"/>
            <w:tcBorders>
              <w:top w:val="nil"/>
              <w:left w:val="nil"/>
              <w:bottom w:val="nil"/>
              <w:right w:val="nil"/>
            </w:tcBorders>
          </w:tcPr>
          <w:p w14:paraId="2EE20FF5" w14:textId="77777777" w:rsidR="00E97387" w:rsidRPr="00B10512" w:rsidRDefault="00E97387" w:rsidP="00C02C80">
            <w:pPr>
              <w:jc w:val="both"/>
              <w:rPr>
                <w:vertAlign w:val="subscript"/>
              </w:rPr>
            </w:pPr>
            <w:r w:rsidRPr="00B10512">
              <w:t>LSD</w:t>
            </w:r>
            <w:r w:rsidRPr="00B10512">
              <w:rPr>
                <w:vertAlign w:val="subscript"/>
              </w:rPr>
              <w:t>0.05</w:t>
            </w:r>
          </w:p>
        </w:tc>
        <w:tc>
          <w:tcPr>
            <w:tcW w:w="3167" w:type="dxa"/>
            <w:gridSpan w:val="2"/>
            <w:vMerge/>
            <w:tcBorders>
              <w:top w:val="nil"/>
              <w:left w:val="nil"/>
              <w:bottom w:val="nil"/>
              <w:right w:val="nil"/>
            </w:tcBorders>
          </w:tcPr>
          <w:p w14:paraId="318AF9CE" w14:textId="77777777" w:rsidR="00E97387" w:rsidRPr="00920A5D" w:rsidRDefault="00E97387" w:rsidP="00C02C80">
            <w:pPr>
              <w:jc w:val="both"/>
              <w:rPr>
                <w:vertAlign w:val="superscript"/>
              </w:rPr>
            </w:pPr>
          </w:p>
        </w:tc>
        <w:tc>
          <w:tcPr>
            <w:tcW w:w="3529" w:type="dxa"/>
            <w:gridSpan w:val="2"/>
            <w:vMerge/>
            <w:tcBorders>
              <w:top w:val="nil"/>
              <w:left w:val="nil"/>
              <w:bottom w:val="nil"/>
              <w:right w:val="nil"/>
            </w:tcBorders>
          </w:tcPr>
          <w:p w14:paraId="3B9E1879" w14:textId="77777777" w:rsidR="00E97387" w:rsidRPr="00F8492E" w:rsidRDefault="00E97387" w:rsidP="00C02C80">
            <w:pPr>
              <w:jc w:val="both"/>
              <w:rPr>
                <w:vertAlign w:val="superscript"/>
              </w:rPr>
            </w:pPr>
          </w:p>
        </w:tc>
      </w:tr>
    </w:tbl>
    <w:p w14:paraId="79FB13A5" w14:textId="77777777" w:rsidR="00E97387" w:rsidRDefault="00E97387" w:rsidP="00E97387">
      <w:pPr>
        <w:pStyle w:val="Sinespaciado"/>
        <w:jc w:val="both"/>
        <w:rPr>
          <w:lang w:val="en-GB"/>
        </w:rPr>
      </w:pPr>
    </w:p>
    <w:p w14:paraId="302D9E99" w14:textId="77777777" w:rsidR="00E97387" w:rsidRPr="00D92C1D" w:rsidRDefault="00E97387" w:rsidP="00E97387">
      <w:pPr>
        <w:pStyle w:val="Sinespaciado"/>
        <w:jc w:val="both"/>
        <w:rPr>
          <w:b/>
          <w:lang w:val="en-US"/>
        </w:rPr>
      </w:pPr>
      <w:r w:rsidRPr="00B10512">
        <w:rPr>
          <w:b/>
          <w:sz w:val="24"/>
          <w:lang w:val="en-US"/>
        </w:rPr>
        <w:t>Table 2:</w:t>
      </w:r>
      <w:r w:rsidRPr="00C022E6">
        <w:rPr>
          <w:sz w:val="24"/>
          <w:lang w:val="en-GB"/>
        </w:rPr>
        <w:t xml:space="preserve"> </w:t>
      </w:r>
      <w:r w:rsidRPr="00D92C1D">
        <w:rPr>
          <w:lang w:val="en-GB"/>
        </w:rPr>
        <w:t xml:space="preserve">Effect of saline treatment in the concentration of Na, K and Na/K ratio in plants of </w:t>
      </w:r>
      <w:r w:rsidRPr="00D92C1D">
        <w:rPr>
          <w:i/>
          <w:lang w:val="en-GB"/>
        </w:rPr>
        <w:t>Solanum lycopersicum</w:t>
      </w:r>
      <w:r w:rsidRPr="00D92C1D">
        <w:rPr>
          <w:lang w:val="en-GB"/>
        </w:rPr>
        <w:t xml:space="preserve"> cv. Grand Brix and cv. Marmande RAF</w:t>
      </w:r>
    </w:p>
    <w:tbl>
      <w:tblPr>
        <w:tblStyle w:val="Tablaconcuadrcula"/>
        <w:tblW w:w="8621" w:type="dxa"/>
        <w:jc w:val="center"/>
        <w:tblLook w:val="04A0" w:firstRow="1" w:lastRow="0" w:firstColumn="1" w:lastColumn="0" w:noHBand="0" w:noVBand="1"/>
      </w:tblPr>
      <w:tblGrid>
        <w:gridCol w:w="1246"/>
        <w:gridCol w:w="1351"/>
        <w:gridCol w:w="1351"/>
        <w:gridCol w:w="1355"/>
        <w:gridCol w:w="1355"/>
        <w:gridCol w:w="1238"/>
        <w:gridCol w:w="1246"/>
      </w:tblGrid>
      <w:tr w:rsidR="00E97387" w:rsidRPr="0030507A" w14:paraId="4F2344F5" w14:textId="77777777" w:rsidTr="00C02C80">
        <w:trPr>
          <w:trHeight w:val="244"/>
          <w:jc w:val="center"/>
        </w:trPr>
        <w:tc>
          <w:tcPr>
            <w:tcW w:w="924" w:type="dxa"/>
            <w:vMerge w:val="restart"/>
            <w:tcBorders>
              <w:left w:val="nil"/>
              <w:right w:val="nil"/>
            </w:tcBorders>
          </w:tcPr>
          <w:p w14:paraId="612A1E95" w14:textId="77777777" w:rsidR="00E97387" w:rsidRPr="00B10512" w:rsidRDefault="00E97387" w:rsidP="00C02C80">
            <w:pPr>
              <w:jc w:val="both"/>
              <w:rPr>
                <w:lang w:val="en-GB"/>
              </w:rPr>
            </w:pPr>
          </w:p>
        </w:tc>
        <w:tc>
          <w:tcPr>
            <w:tcW w:w="2621" w:type="dxa"/>
            <w:gridSpan w:val="2"/>
            <w:tcBorders>
              <w:left w:val="nil"/>
              <w:right w:val="nil"/>
            </w:tcBorders>
          </w:tcPr>
          <w:p w14:paraId="27E43384" w14:textId="77777777" w:rsidR="00E97387" w:rsidRPr="0027276F" w:rsidRDefault="00E97387" w:rsidP="00C02C80">
            <w:pPr>
              <w:jc w:val="center"/>
            </w:pPr>
            <w:r w:rsidRPr="0027276F">
              <w:t>Na (mg g</w:t>
            </w:r>
            <w:r w:rsidRPr="0027276F">
              <w:rPr>
                <w:vertAlign w:val="superscript"/>
              </w:rPr>
              <w:t>-1</w:t>
            </w:r>
            <w:r w:rsidRPr="0027276F">
              <w:t>DW)</w:t>
            </w:r>
          </w:p>
        </w:tc>
        <w:tc>
          <w:tcPr>
            <w:tcW w:w="2647" w:type="dxa"/>
            <w:gridSpan w:val="2"/>
            <w:tcBorders>
              <w:left w:val="nil"/>
              <w:right w:val="nil"/>
            </w:tcBorders>
          </w:tcPr>
          <w:p w14:paraId="78990C51" w14:textId="77777777" w:rsidR="00E97387" w:rsidRPr="0027276F" w:rsidRDefault="00E97387" w:rsidP="00C02C80">
            <w:pPr>
              <w:jc w:val="center"/>
            </w:pPr>
            <w:r w:rsidRPr="0027276F">
              <w:t>K (mg g</w:t>
            </w:r>
            <w:r w:rsidRPr="0027276F">
              <w:rPr>
                <w:vertAlign w:val="superscript"/>
              </w:rPr>
              <w:t>-1</w:t>
            </w:r>
            <w:r w:rsidRPr="0027276F">
              <w:t>DW)</w:t>
            </w:r>
          </w:p>
        </w:tc>
        <w:tc>
          <w:tcPr>
            <w:tcW w:w="2429" w:type="dxa"/>
            <w:gridSpan w:val="2"/>
            <w:tcBorders>
              <w:left w:val="nil"/>
              <w:right w:val="nil"/>
            </w:tcBorders>
            <w:vAlign w:val="bottom"/>
          </w:tcPr>
          <w:p w14:paraId="227A7690" w14:textId="77777777" w:rsidR="00E97387" w:rsidRPr="0027276F" w:rsidRDefault="00E97387" w:rsidP="00C02C80">
            <w:pPr>
              <w:jc w:val="center"/>
              <w:rPr>
                <w:color w:val="000000"/>
              </w:rPr>
            </w:pPr>
            <w:r w:rsidRPr="0027276F">
              <w:rPr>
                <w:color w:val="000000"/>
              </w:rPr>
              <w:t xml:space="preserve">Na/K </w:t>
            </w:r>
            <w:r w:rsidRPr="0027276F">
              <w:t>(mg g</w:t>
            </w:r>
            <w:r w:rsidRPr="0027276F">
              <w:rPr>
                <w:vertAlign w:val="superscript"/>
              </w:rPr>
              <w:t>-1</w:t>
            </w:r>
            <w:r w:rsidRPr="0027276F">
              <w:t>DW)</w:t>
            </w:r>
          </w:p>
        </w:tc>
      </w:tr>
      <w:tr w:rsidR="00E97387" w:rsidRPr="0030507A" w14:paraId="0B37645D" w14:textId="77777777" w:rsidTr="00C02C80">
        <w:trPr>
          <w:trHeight w:val="150"/>
          <w:jc w:val="center"/>
        </w:trPr>
        <w:tc>
          <w:tcPr>
            <w:tcW w:w="924" w:type="dxa"/>
            <w:vMerge/>
            <w:tcBorders>
              <w:left w:val="nil"/>
              <w:bottom w:val="single" w:sz="4" w:space="0" w:color="auto"/>
              <w:right w:val="nil"/>
            </w:tcBorders>
          </w:tcPr>
          <w:p w14:paraId="17195242" w14:textId="77777777" w:rsidR="00E97387" w:rsidRPr="00B10512" w:rsidRDefault="00E97387" w:rsidP="00C02C80">
            <w:pPr>
              <w:jc w:val="both"/>
              <w:rPr>
                <w:lang w:val="en-GB"/>
              </w:rPr>
            </w:pPr>
          </w:p>
        </w:tc>
        <w:tc>
          <w:tcPr>
            <w:tcW w:w="1289" w:type="dxa"/>
            <w:tcBorders>
              <w:left w:val="nil"/>
              <w:bottom w:val="single" w:sz="4" w:space="0" w:color="auto"/>
              <w:right w:val="nil"/>
            </w:tcBorders>
          </w:tcPr>
          <w:p w14:paraId="41756CFE" w14:textId="77777777" w:rsidR="00E97387" w:rsidRPr="0027276F" w:rsidRDefault="00E97387" w:rsidP="00C02C80">
            <w:pPr>
              <w:jc w:val="center"/>
            </w:pPr>
            <w:r w:rsidRPr="0027276F">
              <w:t>Grand Brix</w:t>
            </w:r>
          </w:p>
        </w:tc>
        <w:tc>
          <w:tcPr>
            <w:tcW w:w="1332" w:type="dxa"/>
            <w:tcBorders>
              <w:left w:val="nil"/>
              <w:bottom w:val="single" w:sz="4" w:space="0" w:color="auto"/>
              <w:right w:val="nil"/>
            </w:tcBorders>
          </w:tcPr>
          <w:p w14:paraId="50E31CE5" w14:textId="77777777" w:rsidR="00E97387" w:rsidRPr="0027276F" w:rsidRDefault="00E97387" w:rsidP="00C02C80">
            <w:pPr>
              <w:jc w:val="center"/>
            </w:pPr>
            <w:r w:rsidRPr="0027276F">
              <w:t>Marmande</w:t>
            </w:r>
          </w:p>
        </w:tc>
        <w:tc>
          <w:tcPr>
            <w:tcW w:w="1323" w:type="dxa"/>
            <w:tcBorders>
              <w:left w:val="nil"/>
              <w:bottom w:val="single" w:sz="4" w:space="0" w:color="auto"/>
              <w:right w:val="nil"/>
            </w:tcBorders>
          </w:tcPr>
          <w:p w14:paraId="33D8681D" w14:textId="77777777" w:rsidR="00E97387" w:rsidRPr="0027276F" w:rsidRDefault="00E97387" w:rsidP="00C02C80">
            <w:pPr>
              <w:jc w:val="center"/>
            </w:pPr>
            <w:r w:rsidRPr="0027276F">
              <w:t>Grand Brix</w:t>
            </w:r>
          </w:p>
        </w:tc>
        <w:tc>
          <w:tcPr>
            <w:tcW w:w="1324" w:type="dxa"/>
            <w:tcBorders>
              <w:left w:val="nil"/>
              <w:bottom w:val="single" w:sz="4" w:space="0" w:color="auto"/>
              <w:right w:val="nil"/>
            </w:tcBorders>
          </w:tcPr>
          <w:p w14:paraId="101F0218" w14:textId="77777777" w:rsidR="00E97387" w:rsidRPr="0027276F" w:rsidRDefault="00E97387" w:rsidP="00C02C80">
            <w:pPr>
              <w:jc w:val="center"/>
            </w:pPr>
            <w:r w:rsidRPr="0027276F">
              <w:t>Grand Brix</w:t>
            </w:r>
          </w:p>
        </w:tc>
        <w:tc>
          <w:tcPr>
            <w:tcW w:w="1180" w:type="dxa"/>
            <w:tcBorders>
              <w:left w:val="nil"/>
              <w:bottom w:val="single" w:sz="4" w:space="0" w:color="auto"/>
              <w:right w:val="nil"/>
            </w:tcBorders>
          </w:tcPr>
          <w:p w14:paraId="10A0193B" w14:textId="77777777" w:rsidR="00E97387" w:rsidRPr="0027276F" w:rsidRDefault="00E97387" w:rsidP="00C02C80">
            <w:pPr>
              <w:jc w:val="center"/>
            </w:pPr>
            <w:r w:rsidRPr="0027276F">
              <w:t>Grand Brix</w:t>
            </w:r>
          </w:p>
        </w:tc>
        <w:tc>
          <w:tcPr>
            <w:tcW w:w="1249" w:type="dxa"/>
            <w:tcBorders>
              <w:left w:val="nil"/>
              <w:bottom w:val="single" w:sz="4" w:space="0" w:color="auto"/>
              <w:right w:val="nil"/>
            </w:tcBorders>
          </w:tcPr>
          <w:p w14:paraId="68F49CFC" w14:textId="77777777" w:rsidR="00E97387" w:rsidRPr="0027276F" w:rsidRDefault="00E97387" w:rsidP="00C02C80">
            <w:pPr>
              <w:jc w:val="center"/>
            </w:pPr>
            <w:r w:rsidRPr="0027276F">
              <w:t>Marmande</w:t>
            </w:r>
          </w:p>
        </w:tc>
      </w:tr>
      <w:tr w:rsidR="00E97387" w:rsidRPr="0030507A" w14:paraId="41566EB0" w14:textId="77777777" w:rsidTr="00C02C80">
        <w:trPr>
          <w:trHeight w:val="156"/>
          <w:jc w:val="center"/>
        </w:trPr>
        <w:tc>
          <w:tcPr>
            <w:tcW w:w="924" w:type="dxa"/>
            <w:tcBorders>
              <w:top w:val="single" w:sz="4" w:space="0" w:color="auto"/>
              <w:left w:val="nil"/>
              <w:bottom w:val="nil"/>
              <w:right w:val="nil"/>
            </w:tcBorders>
          </w:tcPr>
          <w:p w14:paraId="6711FE14" w14:textId="77777777" w:rsidR="00E97387" w:rsidRPr="0027276F" w:rsidRDefault="00E97387" w:rsidP="00C02C80">
            <w:pPr>
              <w:jc w:val="both"/>
            </w:pPr>
            <w:r w:rsidRPr="0027276F">
              <w:t>Control</w:t>
            </w:r>
          </w:p>
        </w:tc>
        <w:tc>
          <w:tcPr>
            <w:tcW w:w="1289" w:type="dxa"/>
            <w:tcBorders>
              <w:top w:val="single" w:sz="4" w:space="0" w:color="auto"/>
              <w:left w:val="nil"/>
              <w:bottom w:val="nil"/>
              <w:right w:val="nil"/>
            </w:tcBorders>
          </w:tcPr>
          <w:p w14:paraId="384D2B3E" w14:textId="77777777" w:rsidR="00E97387" w:rsidRPr="0008207D" w:rsidRDefault="00E97387" w:rsidP="00C02C80">
            <w:pPr>
              <w:jc w:val="center"/>
            </w:pPr>
            <w:r>
              <w:t>3.29</w:t>
            </w:r>
            <w:r w:rsidRPr="00920A5D">
              <w:t>±</w:t>
            </w:r>
            <w:r>
              <w:t>0.28</w:t>
            </w:r>
            <w:r>
              <w:rPr>
                <w:vertAlign w:val="superscript"/>
              </w:rPr>
              <w:t>b</w:t>
            </w:r>
            <w:r w:rsidRPr="007F1B5F">
              <w:rPr>
                <w:lang w:val="en-GB"/>
              </w:rPr>
              <w:t>†</w:t>
            </w:r>
          </w:p>
        </w:tc>
        <w:tc>
          <w:tcPr>
            <w:tcW w:w="1332" w:type="dxa"/>
            <w:tcBorders>
              <w:top w:val="single" w:sz="4" w:space="0" w:color="auto"/>
              <w:left w:val="nil"/>
              <w:bottom w:val="nil"/>
              <w:right w:val="nil"/>
            </w:tcBorders>
          </w:tcPr>
          <w:p w14:paraId="0380CB89" w14:textId="77777777" w:rsidR="00E97387" w:rsidRPr="002E2FC6" w:rsidRDefault="00E97387" w:rsidP="00C02C80">
            <w:pPr>
              <w:jc w:val="center"/>
              <w:rPr>
                <w:vertAlign w:val="superscript"/>
              </w:rPr>
            </w:pPr>
            <w:r>
              <w:t>2.70</w:t>
            </w:r>
            <w:r w:rsidRPr="00920A5D">
              <w:t>±</w:t>
            </w:r>
            <w:r>
              <w:t>0.01</w:t>
            </w:r>
            <w:r>
              <w:rPr>
                <w:vertAlign w:val="superscript"/>
              </w:rPr>
              <w:t>b</w:t>
            </w:r>
          </w:p>
        </w:tc>
        <w:tc>
          <w:tcPr>
            <w:tcW w:w="1323" w:type="dxa"/>
            <w:tcBorders>
              <w:top w:val="single" w:sz="4" w:space="0" w:color="auto"/>
              <w:left w:val="nil"/>
              <w:bottom w:val="nil"/>
              <w:right w:val="nil"/>
            </w:tcBorders>
          </w:tcPr>
          <w:p w14:paraId="7F0CEA5B" w14:textId="77777777" w:rsidR="00E97387" w:rsidRPr="006A20D5" w:rsidRDefault="00E97387" w:rsidP="00C02C80">
            <w:pPr>
              <w:jc w:val="center"/>
            </w:pPr>
            <w:r>
              <w:t>24.39</w:t>
            </w:r>
            <w:r w:rsidRPr="00920A5D">
              <w:t>±</w:t>
            </w:r>
            <w:r>
              <w:t>0.48</w:t>
            </w:r>
            <w:r>
              <w:rPr>
                <w:vertAlign w:val="superscript"/>
              </w:rPr>
              <w:t>a</w:t>
            </w:r>
          </w:p>
        </w:tc>
        <w:tc>
          <w:tcPr>
            <w:tcW w:w="1324" w:type="dxa"/>
            <w:tcBorders>
              <w:top w:val="single" w:sz="4" w:space="0" w:color="auto"/>
              <w:left w:val="nil"/>
              <w:bottom w:val="nil"/>
              <w:right w:val="nil"/>
            </w:tcBorders>
          </w:tcPr>
          <w:p w14:paraId="2D87AFFA" w14:textId="77777777" w:rsidR="00E97387" w:rsidRPr="002E2FC6" w:rsidRDefault="00E97387" w:rsidP="00C02C80">
            <w:pPr>
              <w:jc w:val="center"/>
              <w:rPr>
                <w:vertAlign w:val="superscript"/>
              </w:rPr>
            </w:pPr>
            <w:r>
              <w:t>22.33</w:t>
            </w:r>
            <w:r w:rsidRPr="00920A5D">
              <w:t>±</w:t>
            </w:r>
            <w:r>
              <w:t>0.17</w:t>
            </w:r>
            <w:r>
              <w:rPr>
                <w:vertAlign w:val="superscript"/>
              </w:rPr>
              <w:t>a</w:t>
            </w:r>
          </w:p>
        </w:tc>
        <w:tc>
          <w:tcPr>
            <w:tcW w:w="1180" w:type="dxa"/>
            <w:tcBorders>
              <w:left w:val="nil"/>
              <w:bottom w:val="nil"/>
              <w:right w:val="nil"/>
            </w:tcBorders>
          </w:tcPr>
          <w:p w14:paraId="4976DAAB" w14:textId="77777777" w:rsidR="00E97387" w:rsidRPr="001656DB" w:rsidRDefault="00E97387" w:rsidP="00C02C80">
            <w:pPr>
              <w:jc w:val="center"/>
              <w:rPr>
                <w:vertAlign w:val="superscript"/>
              </w:rPr>
            </w:pPr>
            <w:r>
              <w:t>0.14</w:t>
            </w:r>
            <w:r w:rsidRPr="00920A5D">
              <w:t>±</w:t>
            </w:r>
            <w:r>
              <w:t>0.01</w:t>
            </w:r>
            <w:r>
              <w:rPr>
                <w:vertAlign w:val="superscript"/>
              </w:rPr>
              <w:t>b</w:t>
            </w:r>
          </w:p>
        </w:tc>
        <w:tc>
          <w:tcPr>
            <w:tcW w:w="1249" w:type="dxa"/>
            <w:tcBorders>
              <w:left w:val="nil"/>
              <w:bottom w:val="nil"/>
              <w:right w:val="nil"/>
            </w:tcBorders>
          </w:tcPr>
          <w:p w14:paraId="6FAFAB95" w14:textId="77777777" w:rsidR="00E97387" w:rsidRPr="00CF3C33" w:rsidRDefault="00E97387" w:rsidP="00C02C80">
            <w:pPr>
              <w:jc w:val="center"/>
              <w:rPr>
                <w:vertAlign w:val="superscript"/>
              </w:rPr>
            </w:pPr>
            <w:r>
              <w:t>0.12</w:t>
            </w:r>
            <w:r w:rsidRPr="00920A5D">
              <w:t>±</w:t>
            </w:r>
            <w:r>
              <w:t>0.00</w:t>
            </w:r>
            <w:r>
              <w:rPr>
                <w:vertAlign w:val="superscript"/>
              </w:rPr>
              <w:t>b</w:t>
            </w:r>
          </w:p>
        </w:tc>
      </w:tr>
      <w:tr w:rsidR="00E97387" w:rsidRPr="0030507A" w14:paraId="4576E1B5" w14:textId="77777777" w:rsidTr="00C02C80">
        <w:trPr>
          <w:trHeight w:val="170"/>
          <w:jc w:val="center"/>
        </w:trPr>
        <w:tc>
          <w:tcPr>
            <w:tcW w:w="924" w:type="dxa"/>
            <w:tcBorders>
              <w:top w:val="nil"/>
              <w:left w:val="nil"/>
              <w:bottom w:val="nil"/>
              <w:right w:val="nil"/>
            </w:tcBorders>
          </w:tcPr>
          <w:p w14:paraId="2BE11DA5" w14:textId="77777777" w:rsidR="00E97387" w:rsidRPr="0027276F" w:rsidRDefault="00E97387" w:rsidP="00C02C80">
            <w:pPr>
              <w:jc w:val="both"/>
            </w:pPr>
            <w:r>
              <w:t>Salinity</w:t>
            </w:r>
          </w:p>
        </w:tc>
        <w:tc>
          <w:tcPr>
            <w:tcW w:w="1289" w:type="dxa"/>
            <w:tcBorders>
              <w:top w:val="nil"/>
              <w:left w:val="nil"/>
              <w:bottom w:val="nil"/>
              <w:right w:val="nil"/>
            </w:tcBorders>
          </w:tcPr>
          <w:p w14:paraId="763B1642" w14:textId="77777777" w:rsidR="00E97387" w:rsidRPr="00640926" w:rsidRDefault="00E97387" w:rsidP="00C02C80">
            <w:pPr>
              <w:jc w:val="center"/>
              <w:rPr>
                <w:vertAlign w:val="superscript"/>
              </w:rPr>
            </w:pPr>
            <w:r>
              <w:t>18.78</w:t>
            </w:r>
            <w:r w:rsidRPr="00920A5D">
              <w:t>±</w:t>
            </w:r>
            <w:r>
              <w:t>0.07</w:t>
            </w:r>
            <w:r>
              <w:rPr>
                <w:vertAlign w:val="superscript"/>
              </w:rPr>
              <w:t>a</w:t>
            </w:r>
          </w:p>
        </w:tc>
        <w:tc>
          <w:tcPr>
            <w:tcW w:w="1332" w:type="dxa"/>
            <w:tcBorders>
              <w:top w:val="nil"/>
              <w:left w:val="nil"/>
              <w:bottom w:val="nil"/>
              <w:right w:val="nil"/>
            </w:tcBorders>
          </w:tcPr>
          <w:p w14:paraId="53D1E194" w14:textId="77777777" w:rsidR="00E97387" w:rsidRPr="002E2FC6" w:rsidRDefault="00E97387" w:rsidP="00C02C80">
            <w:pPr>
              <w:jc w:val="center"/>
              <w:rPr>
                <w:vertAlign w:val="superscript"/>
              </w:rPr>
            </w:pPr>
            <w:r>
              <w:t>11.25</w:t>
            </w:r>
            <w:r w:rsidRPr="00920A5D">
              <w:t>±</w:t>
            </w:r>
            <w:r>
              <w:t>0.21</w:t>
            </w:r>
            <w:r>
              <w:rPr>
                <w:vertAlign w:val="superscript"/>
              </w:rPr>
              <w:t>a</w:t>
            </w:r>
          </w:p>
        </w:tc>
        <w:tc>
          <w:tcPr>
            <w:tcW w:w="1323" w:type="dxa"/>
            <w:tcBorders>
              <w:top w:val="nil"/>
              <w:left w:val="nil"/>
              <w:bottom w:val="nil"/>
              <w:right w:val="nil"/>
            </w:tcBorders>
          </w:tcPr>
          <w:p w14:paraId="35C7D17E" w14:textId="77777777" w:rsidR="00E97387" w:rsidRPr="007C3874" w:rsidRDefault="00E97387" w:rsidP="00C02C80">
            <w:pPr>
              <w:jc w:val="center"/>
              <w:rPr>
                <w:vertAlign w:val="superscript"/>
              </w:rPr>
            </w:pPr>
            <w:r>
              <w:t>16.34</w:t>
            </w:r>
            <w:r w:rsidRPr="00920A5D">
              <w:t>±</w:t>
            </w:r>
            <w:r>
              <w:t>0.11</w:t>
            </w:r>
            <w:r>
              <w:rPr>
                <w:vertAlign w:val="superscript"/>
              </w:rPr>
              <w:t>b</w:t>
            </w:r>
          </w:p>
        </w:tc>
        <w:tc>
          <w:tcPr>
            <w:tcW w:w="1324" w:type="dxa"/>
            <w:tcBorders>
              <w:top w:val="nil"/>
              <w:left w:val="nil"/>
              <w:bottom w:val="nil"/>
              <w:right w:val="nil"/>
            </w:tcBorders>
          </w:tcPr>
          <w:p w14:paraId="4DBCA9BC" w14:textId="77777777" w:rsidR="00E97387" w:rsidRPr="002E2FC6" w:rsidRDefault="00E97387" w:rsidP="00C02C80">
            <w:pPr>
              <w:jc w:val="center"/>
              <w:rPr>
                <w:vertAlign w:val="superscript"/>
              </w:rPr>
            </w:pPr>
            <w:r>
              <w:t>15.26</w:t>
            </w:r>
            <w:r w:rsidRPr="00920A5D">
              <w:t>±</w:t>
            </w:r>
            <w:r>
              <w:t>0.19</w:t>
            </w:r>
            <w:r>
              <w:rPr>
                <w:vertAlign w:val="superscript"/>
              </w:rPr>
              <w:t>b</w:t>
            </w:r>
          </w:p>
        </w:tc>
        <w:tc>
          <w:tcPr>
            <w:tcW w:w="1180" w:type="dxa"/>
            <w:tcBorders>
              <w:top w:val="nil"/>
              <w:left w:val="nil"/>
              <w:bottom w:val="nil"/>
              <w:right w:val="nil"/>
            </w:tcBorders>
          </w:tcPr>
          <w:p w14:paraId="59C87EC4" w14:textId="77777777" w:rsidR="00E97387" w:rsidRPr="001656DB" w:rsidRDefault="00E97387" w:rsidP="00C02C80">
            <w:pPr>
              <w:jc w:val="center"/>
              <w:rPr>
                <w:vertAlign w:val="superscript"/>
              </w:rPr>
            </w:pPr>
            <w:r>
              <w:t>1.15</w:t>
            </w:r>
            <w:r w:rsidRPr="00920A5D">
              <w:t>±</w:t>
            </w:r>
            <w:r>
              <w:t>0.00</w:t>
            </w:r>
            <w:r>
              <w:rPr>
                <w:vertAlign w:val="superscript"/>
              </w:rPr>
              <w:t>a</w:t>
            </w:r>
          </w:p>
        </w:tc>
        <w:tc>
          <w:tcPr>
            <w:tcW w:w="1249" w:type="dxa"/>
            <w:tcBorders>
              <w:top w:val="nil"/>
              <w:left w:val="nil"/>
              <w:bottom w:val="nil"/>
              <w:right w:val="nil"/>
            </w:tcBorders>
          </w:tcPr>
          <w:p w14:paraId="7BB40D80" w14:textId="77777777" w:rsidR="00E97387" w:rsidRPr="00CF3C33" w:rsidRDefault="00E97387" w:rsidP="00C02C80">
            <w:pPr>
              <w:jc w:val="center"/>
              <w:rPr>
                <w:vertAlign w:val="superscript"/>
              </w:rPr>
            </w:pPr>
            <w:r>
              <w:t>0.74</w:t>
            </w:r>
            <w:r w:rsidRPr="00920A5D">
              <w:t>±</w:t>
            </w:r>
            <w:r>
              <w:t>0.01</w:t>
            </w:r>
            <w:r>
              <w:rPr>
                <w:vertAlign w:val="superscript"/>
              </w:rPr>
              <w:t>a</w:t>
            </w:r>
          </w:p>
        </w:tc>
      </w:tr>
      <w:tr w:rsidR="00E97387" w:rsidRPr="0030507A" w14:paraId="09BABF8A" w14:textId="77777777" w:rsidTr="00C02C80">
        <w:trPr>
          <w:trHeight w:val="279"/>
          <w:jc w:val="center"/>
        </w:trPr>
        <w:tc>
          <w:tcPr>
            <w:tcW w:w="924" w:type="dxa"/>
            <w:tcBorders>
              <w:top w:val="nil"/>
              <w:left w:val="nil"/>
              <w:bottom w:val="nil"/>
              <w:right w:val="nil"/>
            </w:tcBorders>
          </w:tcPr>
          <w:p w14:paraId="7CBDC07B" w14:textId="77777777" w:rsidR="00E97387" w:rsidRPr="0027276F" w:rsidRDefault="00E97387" w:rsidP="00C02C80">
            <w:pPr>
              <w:jc w:val="both"/>
            </w:pPr>
            <w:r>
              <w:t>P-value</w:t>
            </w:r>
          </w:p>
        </w:tc>
        <w:tc>
          <w:tcPr>
            <w:tcW w:w="1289" w:type="dxa"/>
            <w:tcBorders>
              <w:top w:val="nil"/>
              <w:left w:val="nil"/>
              <w:bottom w:val="nil"/>
              <w:right w:val="nil"/>
            </w:tcBorders>
          </w:tcPr>
          <w:p w14:paraId="168E25D3" w14:textId="77777777" w:rsidR="00E97387" w:rsidRDefault="00E97387" w:rsidP="00C02C80">
            <w:pPr>
              <w:jc w:val="center"/>
            </w:pPr>
            <w:r>
              <w:t>***</w:t>
            </w:r>
            <w:r w:rsidRPr="007F1B5F">
              <w:rPr>
                <w:lang w:val="en-GB"/>
              </w:rPr>
              <w:t>§</w:t>
            </w:r>
          </w:p>
        </w:tc>
        <w:tc>
          <w:tcPr>
            <w:tcW w:w="1332" w:type="dxa"/>
            <w:tcBorders>
              <w:top w:val="nil"/>
              <w:left w:val="nil"/>
              <w:bottom w:val="nil"/>
              <w:right w:val="nil"/>
            </w:tcBorders>
          </w:tcPr>
          <w:p w14:paraId="664DBBEF" w14:textId="77777777" w:rsidR="00E97387" w:rsidRDefault="00E97387" w:rsidP="00C02C80">
            <w:pPr>
              <w:jc w:val="center"/>
            </w:pPr>
            <w:r>
              <w:t>***</w:t>
            </w:r>
          </w:p>
        </w:tc>
        <w:tc>
          <w:tcPr>
            <w:tcW w:w="1323" w:type="dxa"/>
            <w:tcBorders>
              <w:top w:val="nil"/>
              <w:left w:val="nil"/>
              <w:bottom w:val="nil"/>
              <w:right w:val="nil"/>
            </w:tcBorders>
          </w:tcPr>
          <w:p w14:paraId="4F2FA713" w14:textId="77777777" w:rsidR="00E97387" w:rsidRDefault="00E97387" w:rsidP="00C02C80">
            <w:pPr>
              <w:jc w:val="center"/>
            </w:pPr>
            <w:r>
              <w:t>***</w:t>
            </w:r>
          </w:p>
        </w:tc>
        <w:tc>
          <w:tcPr>
            <w:tcW w:w="1324" w:type="dxa"/>
            <w:tcBorders>
              <w:top w:val="nil"/>
              <w:left w:val="nil"/>
              <w:bottom w:val="nil"/>
              <w:right w:val="nil"/>
            </w:tcBorders>
          </w:tcPr>
          <w:p w14:paraId="72296947" w14:textId="77777777" w:rsidR="00E97387" w:rsidRDefault="00E97387" w:rsidP="00C02C80">
            <w:pPr>
              <w:jc w:val="center"/>
            </w:pPr>
            <w:r>
              <w:t>***</w:t>
            </w:r>
          </w:p>
        </w:tc>
        <w:tc>
          <w:tcPr>
            <w:tcW w:w="1180" w:type="dxa"/>
            <w:tcBorders>
              <w:top w:val="nil"/>
              <w:left w:val="nil"/>
              <w:bottom w:val="nil"/>
              <w:right w:val="nil"/>
            </w:tcBorders>
          </w:tcPr>
          <w:p w14:paraId="39B8BFC8" w14:textId="77777777" w:rsidR="00E97387" w:rsidRPr="00F30B60" w:rsidRDefault="00E97387" w:rsidP="00C02C80">
            <w:pPr>
              <w:jc w:val="center"/>
            </w:pPr>
            <w:r>
              <w:t>***</w:t>
            </w:r>
          </w:p>
        </w:tc>
        <w:tc>
          <w:tcPr>
            <w:tcW w:w="1249" w:type="dxa"/>
            <w:tcBorders>
              <w:top w:val="nil"/>
              <w:left w:val="nil"/>
              <w:bottom w:val="nil"/>
              <w:right w:val="nil"/>
            </w:tcBorders>
          </w:tcPr>
          <w:p w14:paraId="7FA22036" w14:textId="77777777" w:rsidR="00E97387" w:rsidRPr="00F30B60" w:rsidRDefault="00E97387" w:rsidP="00C02C80">
            <w:pPr>
              <w:jc w:val="center"/>
            </w:pPr>
            <w:r>
              <w:t>***</w:t>
            </w:r>
          </w:p>
        </w:tc>
      </w:tr>
      <w:tr w:rsidR="00E97387" w:rsidRPr="0030507A" w14:paraId="4949CFDA" w14:textId="77777777" w:rsidTr="00C02C80">
        <w:trPr>
          <w:trHeight w:val="279"/>
          <w:jc w:val="center"/>
        </w:trPr>
        <w:tc>
          <w:tcPr>
            <w:tcW w:w="924" w:type="dxa"/>
            <w:tcBorders>
              <w:top w:val="nil"/>
              <w:left w:val="nil"/>
              <w:bottom w:val="nil"/>
              <w:right w:val="nil"/>
            </w:tcBorders>
          </w:tcPr>
          <w:p w14:paraId="5C52D7CA" w14:textId="77777777" w:rsidR="00E97387" w:rsidRPr="0027276F" w:rsidRDefault="00E97387" w:rsidP="00C02C80">
            <w:pPr>
              <w:jc w:val="both"/>
            </w:pPr>
          </w:p>
        </w:tc>
        <w:tc>
          <w:tcPr>
            <w:tcW w:w="1289" w:type="dxa"/>
            <w:tcBorders>
              <w:top w:val="nil"/>
              <w:left w:val="nil"/>
              <w:bottom w:val="nil"/>
              <w:right w:val="nil"/>
            </w:tcBorders>
          </w:tcPr>
          <w:p w14:paraId="712D453C" w14:textId="77777777" w:rsidR="00E97387" w:rsidRDefault="00E97387" w:rsidP="00C02C80">
            <w:pPr>
              <w:jc w:val="center"/>
            </w:pPr>
          </w:p>
        </w:tc>
        <w:tc>
          <w:tcPr>
            <w:tcW w:w="1332" w:type="dxa"/>
            <w:tcBorders>
              <w:top w:val="nil"/>
              <w:left w:val="nil"/>
              <w:bottom w:val="nil"/>
              <w:right w:val="nil"/>
            </w:tcBorders>
          </w:tcPr>
          <w:p w14:paraId="70C5FB5E" w14:textId="77777777" w:rsidR="00E97387" w:rsidRDefault="00E97387" w:rsidP="00C02C80">
            <w:pPr>
              <w:jc w:val="center"/>
            </w:pPr>
          </w:p>
        </w:tc>
        <w:tc>
          <w:tcPr>
            <w:tcW w:w="1323" w:type="dxa"/>
            <w:tcBorders>
              <w:top w:val="nil"/>
              <w:left w:val="nil"/>
              <w:bottom w:val="nil"/>
              <w:right w:val="nil"/>
            </w:tcBorders>
          </w:tcPr>
          <w:p w14:paraId="764926A1" w14:textId="77777777" w:rsidR="00E97387" w:rsidRPr="00B10512" w:rsidRDefault="00E97387" w:rsidP="00C02C80">
            <w:pPr>
              <w:jc w:val="center"/>
              <w:rPr>
                <w:rFonts w:cs="Arial"/>
              </w:rPr>
            </w:pPr>
          </w:p>
        </w:tc>
        <w:tc>
          <w:tcPr>
            <w:tcW w:w="1324" w:type="dxa"/>
            <w:tcBorders>
              <w:top w:val="nil"/>
              <w:left w:val="nil"/>
              <w:bottom w:val="nil"/>
              <w:right w:val="nil"/>
            </w:tcBorders>
          </w:tcPr>
          <w:p w14:paraId="6F5BD477" w14:textId="77777777" w:rsidR="00E97387" w:rsidRPr="00B10512" w:rsidRDefault="00E97387" w:rsidP="00C02C80">
            <w:pPr>
              <w:jc w:val="center"/>
              <w:rPr>
                <w:rFonts w:cs="Arial"/>
              </w:rPr>
            </w:pPr>
          </w:p>
        </w:tc>
        <w:tc>
          <w:tcPr>
            <w:tcW w:w="1180" w:type="dxa"/>
            <w:tcBorders>
              <w:top w:val="nil"/>
              <w:left w:val="nil"/>
              <w:bottom w:val="nil"/>
              <w:right w:val="nil"/>
            </w:tcBorders>
          </w:tcPr>
          <w:p w14:paraId="30F2BB50" w14:textId="77777777" w:rsidR="00E97387" w:rsidRDefault="00E97387" w:rsidP="00C02C80">
            <w:pPr>
              <w:jc w:val="center"/>
            </w:pPr>
          </w:p>
        </w:tc>
        <w:tc>
          <w:tcPr>
            <w:tcW w:w="1249" w:type="dxa"/>
            <w:tcBorders>
              <w:top w:val="nil"/>
              <w:left w:val="nil"/>
              <w:bottom w:val="nil"/>
              <w:right w:val="nil"/>
            </w:tcBorders>
          </w:tcPr>
          <w:p w14:paraId="6B08BD0F" w14:textId="77777777" w:rsidR="00E97387" w:rsidRPr="00B10512" w:rsidRDefault="00E97387" w:rsidP="00C02C80">
            <w:pPr>
              <w:jc w:val="center"/>
              <w:rPr>
                <w:rFonts w:cs="Arial"/>
              </w:rPr>
            </w:pPr>
          </w:p>
        </w:tc>
      </w:tr>
      <w:tr w:rsidR="00E97387" w:rsidRPr="0030507A" w14:paraId="1D4E210D" w14:textId="77777777" w:rsidTr="00C02C80">
        <w:trPr>
          <w:trHeight w:val="87"/>
          <w:jc w:val="center"/>
        </w:trPr>
        <w:tc>
          <w:tcPr>
            <w:tcW w:w="924" w:type="dxa"/>
            <w:tcBorders>
              <w:top w:val="nil"/>
              <w:left w:val="nil"/>
              <w:bottom w:val="nil"/>
              <w:right w:val="nil"/>
            </w:tcBorders>
          </w:tcPr>
          <w:p w14:paraId="2FB7AB26" w14:textId="77777777" w:rsidR="00E97387" w:rsidRPr="0027276F" w:rsidRDefault="00E97387" w:rsidP="00C02C80">
            <w:pPr>
              <w:jc w:val="both"/>
            </w:pPr>
            <w:r w:rsidRPr="0027276F">
              <w:t>Grand Brix</w:t>
            </w:r>
          </w:p>
        </w:tc>
        <w:tc>
          <w:tcPr>
            <w:tcW w:w="2621" w:type="dxa"/>
            <w:gridSpan w:val="2"/>
            <w:vMerge w:val="restart"/>
            <w:tcBorders>
              <w:top w:val="nil"/>
              <w:left w:val="nil"/>
              <w:bottom w:val="nil"/>
              <w:right w:val="nil"/>
            </w:tcBorders>
          </w:tcPr>
          <w:p w14:paraId="342D9930" w14:textId="77777777" w:rsidR="00E97387" w:rsidRPr="0008207D" w:rsidRDefault="00E97387" w:rsidP="00C02C80">
            <w:pPr>
              <w:jc w:val="center"/>
            </w:pPr>
            <w:r>
              <w:t>11.03</w:t>
            </w:r>
            <w:r>
              <w:rPr>
                <w:vertAlign w:val="superscript"/>
              </w:rPr>
              <w:t>a</w:t>
            </w:r>
            <w:r w:rsidRPr="007F1B5F">
              <w:rPr>
                <w:lang w:val="en-GB"/>
              </w:rPr>
              <w:t>‡</w:t>
            </w:r>
          </w:p>
          <w:p w14:paraId="545A8BBF" w14:textId="77777777" w:rsidR="00E97387" w:rsidRPr="00361D8F" w:rsidRDefault="00E97387" w:rsidP="00C02C80">
            <w:pPr>
              <w:jc w:val="center"/>
              <w:rPr>
                <w:vertAlign w:val="superscript"/>
              </w:rPr>
            </w:pPr>
            <w:r>
              <w:t>6.98</w:t>
            </w:r>
            <w:r>
              <w:rPr>
                <w:vertAlign w:val="superscript"/>
              </w:rPr>
              <w:t>b</w:t>
            </w:r>
          </w:p>
          <w:p w14:paraId="30AFF8E7" w14:textId="77777777" w:rsidR="00E97387" w:rsidRDefault="00E97387" w:rsidP="00C02C80">
            <w:pPr>
              <w:jc w:val="center"/>
            </w:pPr>
            <w:r>
              <w:t>***</w:t>
            </w:r>
          </w:p>
          <w:p w14:paraId="69EC7993" w14:textId="77777777" w:rsidR="00E97387" w:rsidRDefault="00E97387" w:rsidP="00C02C80">
            <w:pPr>
              <w:jc w:val="center"/>
            </w:pPr>
            <w:r>
              <w:t>1.28</w:t>
            </w:r>
          </w:p>
        </w:tc>
        <w:tc>
          <w:tcPr>
            <w:tcW w:w="2647" w:type="dxa"/>
            <w:gridSpan w:val="2"/>
            <w:vMerge w:val="restart"/>
            <w:tcBorders>
              <w:top w:val="nil"/>
              <w:left w:val="nil"/>
              <w:bottom w:val="nil"/>
              <w:right w:val="nil"/>
            </w:tcBorders>
          </w:tcPr>
          <w:p w14:paraId="3000FD6E" w14:textId="77777777" w:rsidR="00E97387" w:rsidRPr="00361D8F" w:rsidRDefault="00E97387" w:rsidP="00C02C80">
            <w:pPr>
              <w:jc w:val="center"/>
              <w:rPr>
                <w:vertAlign w:val="superscript"/>
              </w:rPr>
            </w:pPr>
            <w:r>
              <w:t>20.37</w:t>
            </w:r>
            <w:r>
              <w:rPr>
                <w:vertAlign w:val="superscript"/>
              </w:rPr>
              <w:t>a</w:t>
            </w:r>
          </w:p>
          <w:p w14:paraId="3107368F" w14:textId="77777777" w:rsidR="00E97387" w:rsidRPr="00361D8F" w:rsidRDefault="00E97387" w:rsidP="00C02C80">
            <w:pPr>
              <w:jc w:val="center"/>
              <w:rPr>
                <w:vertAlign w:val="superscript"/>
              </w:rPr>
            </w:pPr>
            <w:r>
              <w:t>18.80</w:t>
            </w:r>
            <w:r>
              <w:rPr>
                <w:vertAlign w:val="superscript"/>
              </w:rPr>
              <w:t>b</w:t>
            </w:r>
          </w:p>
          <w:p w14:paraId="7CC4DE5E" w14:textId="77777777" w:rsidR="00E97387" w:rsidRDefault="00E97387" w:rsidP="00C02C80">
            <w:pPr>
              <w:jc w:val="center"/>
            </w:pPr>
            <w:r>
              <w:t>***</w:t>
            </w:r>
          </w:p>
          <w:p w14:paraId="2793B4DC" w14:textId="77777777" w:rsidR="00E97387" w:rsidRDefault="00E97387" w:rsidP="00C02C80">
            <w:pPr>
              <w:jc w:val="center"/>
            </w:pPr>
            <w:r>
              <w:t>0.59</w:t>
            </w:r>
          </w:p>
        </w:tc>
        <w:tc>
          <w:tcPr>
            <w:tcW w:w="2429" w:type="dxa"/>
            <w:gridSpan w:val="2"/>
            <w:vMerge w:val="restart"/>
            <w:tcBorders>
              <w:top w:val="nil"/>
              <w:left w:val="nil"/>
              <w:bottom w:val="nil"/>
              <w:right w:val="nil"/>
            </w:tcBorders>
          </w:tcPr>
          <w:p w14:paraId="688E275F" w14:textId="77777777" w:rsidR="00E97387" w:rsidRPr="00361D8F" w:rsidRDefault="00E97387" w:rsidP="00C02C80">
            <w:pPr>
              <w:jc w:val="center"/>
              <w:rPr>
                <w:vertAlign w:val="superscript"/>
              </w:rPr>
            </w:pPr>
            <w:r>
              <w:t>0.65</w:t>
            </w:r>
            <w:r>
              <w:rPr>
                <w:vertAlign w:val="superscript"/>
              </w:rPr>
              <w:t>a</w:t>
            </w:r>
          </w:p>
          <w:p w14:paraId="30896458" w14:textId="77777777" w:rsidR="00E97387" w:rsidRPr="00361D8F" w:rsidRDefault="00E97387" w:rsidP="00C02C80">
            <w:pPr>
              <w:jc w:val="center"/>
              <w:rPr>
                <w:vertAlign w:val="superscript"/>
              </w:rPr>
            </w:pPr>
            <w:r>
              <w:t>0.4</w:t>
            </w:r>
            <w:r w:rsidRPr="00361D8F">
              <w:t>3</w:t>
            </w:r>
            <w:r>
              <w:rPr>
                <w:vertAlign w:val="superscript"/>
              </w:rPr>
              <w:t>b</w:t>
            </w:r>
          </w:p>
          <w:p w14:paraId="21DB4EF9" w14:textId="77777777" w:rsidR="00E97387" w:rsidRDefault="00E97387" w:rsidP="00C02C80">
            <w:pPr>
              <w:jc w:val="center"/>
            </w:pPr>
            <w:r>
              <w:t>***</w:t>
            </w:r>
          </w:p>
          <w:p w14:paraId="7571797A" w14:textId="77777777" w:rsidR="00E97387" w:rsidRDefault="00E97387" w:rsidP="00C02C80">
            <w:pPr>
              <w:jc w:val="center"/>
            </w:pPr>
            <w:r>
              <w:t>0.07</w:t>
            </w:r>
          </w:p>
        </w:tc>
      </w:tr>
      <w:tr w:rsidR="00E97387" w:rsidRPr="0030507A" w14:paraId="59E5B8DA" w14:textId="77777777" w:rsidTr="00C02C80">
        <w:trPr>
          <w:trHeight w:val="87"/>
          <w:jc w:val="center"/>
        </w:trPr>
        <w:tc>
          <w:tcPr>
            <w:tcW w:w="924" w:type="dxa"/>
            <w:tcBorders>
              <w:top w:val="nil"/>
              <w:left w:val="nil"/>
              <w:bottom w:val="nil"/>
              <w:right w:val="nil"/>
            </w:tcBorders>
          </w:tcPr>
          <w:p w14:paraId="5956C092" w14:textId="77777777" w:rsidR="00E97387" w:rsidRPr="0027276F" w:rsidRDefault="00E97387" w:rsidP="00C02C80">
            <w:pPr>
              <w:jc w:val="both"/>
            </w:pPr>
            <w:r w:rsidRPr="0027276F">
              <w:t>Marmande</w:t>
            </w:r>
          </w:p>
        </w:tc>
        <w:tc>
          <w:tcPr>
            <w:tcW w:w="2621" w:type="dxa"/>
            <w:gridSpan w:val="2"/>
            <w:vMerge/>
            <w:tcBorders>
              <w:top w:val="nil"/>
              <w:left w:val="nil"/>
              <w:bottom w:val="nil"/>
              <w:right w:val="nil"/>
            </w:tcBorders>
          </w:tcPr>
          <w:p w14:paraId="70267A80" w14:textId="77777777" w:rsidR="00E97387" w:rsidRPr="0027276F" w:rsidRDefault="00E97387" w:rsidP="00C02C80">
            <w:pPr>
              <w:jc w:val="both"/>
            </w:pPr>
          </w:p>
        </w:tc>
        <w:tc>
          <w:tcPr>
            <w:tcW w:w="2647" w:type="dxa"/>
            <w:gridSpan w:val="2"/>
            <w:vMerge/>
            <w:tcBorders>
              <w:top w:val="nil"/>
              <w:left w:val="nil"/>
              <w:bottom w:val="nil"/>
              <w:right w:val="nil"/>
            </w:tcBorders>
          </w:tcPr>
          <w:p w14:paraId="0F367C0F" w14:textId="77777777" w:rsidR="00E97387" w:rsidRPr="0027276F" w:rsidRDefault="00E97387" w:rsidP="00C02C80">
            <w:pPr>
              <w:jc w:val="both"/>
            </w:pPr>
          </w:p>
        </w:tc>
        <w:tc>
          <w:tcPr>
            <w:tcW w:w="2429" w:type="dxa"/>
            <w:gridSpan w:val="2"/>
            <w:vMerge/>
            <w:tcBorders>
              <w:top w:val="nil"/>
              <w:left w:val="nil"/>
              <w:bottom w:val="nil"/>
              <w:right w:val="nil"/>
            </w:tcBorders>
          </w:tcPr>
          <w:p w14:paraId="38421328" w14:textId="77777777" w:rsidR="00E97387" w:rsidRPr="0027276F" w:rsidRDefault="00E97387" w:rsidP="00C02C80">
            <w:pPr>
              <w:jc w:val="both"/>
            </w:pPr>
          </w:p>
        </w:tc>
      </w:tr>
      <w:tr w:rsidR="00E97387" w:rsidRPr="0030507A" w14:paraId="66692717" w14:textId="77777777" w:rsidTr="00C02C80">
        <w:trPr>
          <w:trHeight w:val="279"/>
          <w:jc w:val="center"/>
        </w:trPr>
        <w:tc>
          <w:tcPr>
            <w:tcW w:w="924" w:type="dxa"/>
            <w:tcBorders>
              <w:top w:val="nil"/>
              <w:left w:val="nil"/>
              <w:bottom w:val="nil"/>
              <w:right w:val="nil"/>
            </w:tcBorders>
          </w:tcPr>
          <w:p w14:paraId="5CF15C6F" w14:textId="77777777" w:rsidR="00E97387" w:rsidRPr="0027276F" w:rsidRDefault="00E97387" w:rsidP="00C02C80">
            <w:pPr>
              <w:jc w:val="both"/>
            </w:pPr>
            <w:r>
              <w:t>P-value</w:t>
            </w:r>
          </w:p>
        </w:tc>
        <w:tc>
          <w:tcPr>
            <w:tcW w:w="2621" w:type="dxa"/>
            <w:gridSpan w:val="2"/>
            <w:vMerge/>
            <w:tcBorders>
              <w:top w:val="nil"/>
              <w:left w:val="nil"/>
              <w:bottom w:val="nil"/>
              <w:right w:val="nil"/>
            </w:tcBorders>
          </w:tcPr>
          <w:p w14:paraId="3273F4FA" w14:textId="77777777" w:rsidR="00E97387" w:rsidRPr="00B10512" w:rsidRDefault="00E97387" w:rsidP="00C02C80">
            <w:pPr>
              <w:jc w:val="both"/>
              <w:rPr>
                <w:rFonts w:cs="Arial"/>
              </w:rPr>
            </w:pPr>
          </w:p>
        </w:tc>
        <w:tc>
          <w:tcPr>
            <w:tcW w:w="2647" w:type="dxa"/>
            <w:gridSpan w:val="2"/>
            <w:vMerge/>
            <w:tcBorders>
              <w:top w:val="nil"/>
              <w:left w:val="nil"/>
              <w:bottom w:val="nil"/>
              <w:right w:val="nil"/>
            </w:tcBorders>
          </w:tcPr>
          <w:p w14:paraId="2589EED1" w14:textId="77777777" w:rsidR="00E97387" w:rsidRPr="00B10512" w:rsidRDefault="00E97387" w:rsidP="00C02C80">
            <w:pPr>
              <w:jc w:val="both"/>
              <w:rPr>
                <w:rFonts w:cs="Arial"/>
              </w:rPr>
            </w:pPr>
          </w:p>
        </w:tc>
        <w:tc>
          <w:tcPr>
            <w:tcW w:w="2429" w:type="dxa"/>
            <w:gridSpan w:val="2"/>
            <w:vMerge/>
            <w:tcBorders>
              <w:top w:val="nil"/>
              <w:left w:val="nil"/>
              <w:bottom w:val="nil"/>
              <w:right w:val="nil"/>
            </w:tcBorders>
          </w:tcPr>
          <w:p w14:paraId="379B9328" w14:textId="77777777" w:rsidR="00E97387" w:rsidRPr="00B10512" w:rsidRDefault="00E97387" w:rsidP="00C02C80">
            <w:pPr>
              <w:jc w:val="both"/>
            </w:pPr>
          </w:p>
        </w:tc>
      </w:tr>
      <w:tr w:rsidR="00E97387" w:rsidRPr="0030507A" w14:paraId="75C12028" w14:textId="77777777" w:rsidTr="00C02C80">
        <w:trPr>
          <w:trHeight w:val="261"/>
          <w:jc w:val="center"/>
        </w:trPr>
        <w:tc>
          <w:tcPr>
            <w:tcW w:w="924" w:type="dxa"/>
            <w:tcBorders>
              <w:top w:val="nil"/>
              <w:left w:val="nil"/>
              <w:bottom w:val="nil"/>
              <w:right w:val="nil"/>
            </w:tcBorders>
          </w:tcPr>
          <w:p w14:paraId="6B0D9B15" w14:textId="77777777" w:rsidR="00E97387" w:rsidRPr="0027276F" w:rsidRDefault="00E97387" w:rsidP="00C02C80">
            <w:pPr>
              <w:jc w:val="both"/>
              <w:rPr>
                <w:vertAlign w:val="subscript"/>
              </w:rPr>
            </w:pPr>
            <w:r w:rsidRPr="0027276F">
              <w:t>LSD</w:t>
            </w:r>
            <w:r w:rsidRPr="0027276F">
              <w:rPr>
                <w:vertAlign w:val="subscript"/>
              </w:rPr>
              <w:t>0.05</w:t>
            </w:r>
          </w:p>
        </w:tc>
        <w:tc>
          <w:tcPr>
            <w:tcW w:w="2621" w:type="dxa"/>
            <w:gridSpan w:val="2"/>
            <w:vMerge/>
            <w:tcBorders>
              <w:top w:val="nil"/>
              <w:left w:val="nil"/>
              <w:bottom w:val="nil"/>
              <w:right w:val="nil"/>
            </w:tcBorders>
          </w:tcPr>
          <w:p w14:paraId="04036CE5" w14:textId="77777777" w:rsidR="00E97387" w:rsidRPr="0027276F" w:rsidRDefault="00E97387" w:rsidP="00C02C80">
            <w:pPr>
              <w:jc w:val="both"/>
            </w:pPr>
          </w:p>
        </w:tc>
        <w:tc>
          <w:tcPr>
            <w:tcW w:w="2647" w:type="dxa"/>
            <w:gridSpan w:val="2"/>
            <w:vMerge/>
            <w:tcBorders>
              <w:top w:val="nil"/>
              <w:left w:val="nil"/>
              <w:bottom w:val="nil"/>
              <w:right w:val="nil"/>
            </w:tcBorders>
          </w:tcPr>
          <w:p w14:paraId="12752ED6" w14:textId="77777777" w:rsidR="00E97387" w:rsidRPr="0027276F" w:rsidRDefault="00E97387" w:rsidP="00C02C80">
            <w:pPr>
              <w:jc w:val="both"/>
            </w:pPr>
          </w:p>
        </w:tc>
        <w:tc>
          <w:tcPr>
            <w:tcW w:w="2429" w:type="dxa"/>
            <w:gridSpan w:val="2"/>
            <w:vMerge/>
            <w:tcBorders>
              <w:top w:val="nil"/>
              <w:left w:val="nil"/>
              <w:bottom w:val="nil"/>
              <w:right w:val="nil"/>
            </w:tcBorders>
          </w:tcPr>
          <w:p w14:paraId="34929093" w14:textId="77777777" w:rsidR="00E97387" w:rsidRPr="0027276F" w:rsidRDefault="00E97387" w:rsidP="00C02C80">
            <w:pPr>
              <w:jc w:val="both"/>
            </w:pPr>
          </w:p>
        </w:tc>
      </w:tr>
    </w:tbl>
    <w:p w14:paraId="0CFB86AF" w14:textId="77777777" w:rsidR="00E97387" w:rsidRDefault="00E97387" w:rsidP="00E97387">
      <w:pPr>
        <w:pStyle w:val="Sinespaciado"/>
        <w:jc w:val="both"/>
        <w:rPr>
          <w:lang w:val="en-GB"/>
        </w:rPr>
      </w:pPr>
      <w:r w:rsidRPr="007F1B5F">
        <w:rPr>
          <w:lang w:val="en-GB"/>
        </w:rPr>
        <w:t>†</w:t>
      </w:r>
      <w:r w:rsidRPr="00D92C1D">
        <w:rPr>
          <w:lang w:val="en-GB"/>
        </w:rPr>
        <w:t>Valu</w:t>
      </w:r>
      <w:r>
        <w:rPr>
          <w:lang w:val="en-GB"/>
        </w:rPr>
        <w:t xml:space="preserve">es are mean ± standard error (n= </w:t>
      </w:r>
      <w:r w:rsidRPr="00D92C1D">
        <w:rPr>
          <w:lang w:val="en-GB"/>
        </w:rPr>
        <w:t>9), the differences between means were compared with the minimum significant difference of Fisher test (LSD; P= 0.05).</w:t>
      </w:r>
    </w:p>
    <w:p w14:paraId="286AADA2" w14:textId="77777777" w:rsidR="00E97387" w:rsidRDefault="00E97387" w:rsidP="00E97387">
      <w:pPr>
        <w:pStyle w:val="Sinespaciado"/>
        <w:jc w:val="both"/>
        <w:rPr>
          <w:lang w:val="en-GB"/>
        </w:rPr>
      </w:pPr>
      <w:r w:rsidRPr="007F1B5F">
        <w:rPr>
          <w:lang w:val="en-GB"/>
        </w:rPr>
        <w:t>‡</w:t>
      </w:r>
      <w:r>
        <w:rPr>
          <w:lang w:val="en-GB"/>
        </w:rPr>
        <w:t xml:space="preserve"> Values are means (control + salinity n= 18</w:t>
      </w:r>
      <w:r w:rsidRPr="007F1B5F">
        <w:rPr>
          <w:lang w:val="en-GB"/>
        </w:rPr>
        <w:t xml:space="preserve">) and differences between means </w:t>
      </w:r>
      <w:r>
        <w:rPr>
          <w:lang w:val="en-GB"/>
        </w:rPr>
        <w:t>were compared using LSD test (P= 0,</w:t>
      </w:r>
      <w:r w:rsidRPr="007F1B5F">
        <w:rPr>
          <w:lang w:val="en-GB"/>
        </w:rPr>
        <w:t>05).</w:t>
      </w:r>
    </w:p>
    <w:p w14:paraId="1F93F353" w14:textId="77777777" w:rsidR="00E97387" w:rsidRDefault="00E97387" w:rsidP="00E97387">
      <w:pPr>
        <w:pStyle w:val="Sinespaciado"/>
        <w:jc w:val="both"/>
        <w:rPr>
          <w:lang w:val="en-GB"/>
        </w:rPr>
      </w:pPr>
      <w:r w:rsidRPr="007F1B5F">
        <w:rPr>
          <w:lang w:val="en-GB"/>
        </w:rPr>
        <w:t xml:space="preserve">§Levels of significance are represented by NS </w:t>
      </w:r>
      <w:r>
        <w:rPr>
          <w:lang w:val="en-GB"/>
        </w:rPr>
        <w:t>(non-significant) P&gt; 0.05; * P</w:t>
      </w:r>
      <w:r w:rsidRPr="007F1B5F">
        <w:rPr>
          <w:lang w:val="en-GB"/>
        </w:rPr>
        <w:t>&lt; 0,05; *</w:t>
      </w:r>
      <w:r>
        <w:rPr>
          <w:lang w:val="en-GB"/>
        </w:rPr>
        <w:t>*P</w:t>
      </w:r>
      <w:r w:rsidRPr="007F1B5F">
        <w:rPr>
          <w:lang w:val="en-GB"/>
        </w:rPr>
        <w:t>&lt; 0</w:t>
      </w:r>
      <w:r>
        <w:rPr>
          <w:lang w:val="en-GB"/>
        </w:rPr>
        <w:t>,</w:t>
      </w:r>
      <w:r w:rsidRPr="007F1B5F">
        <w:rPr>
          <w:lang w:val="en-GB"/>
        </w:rPr>
        <w:t xml:space="preserve">01 and </w:t>
      </w:r>
      <w:r>
        <w:rPr>
          <w:lang w:val="en-GB"/>
        </w:rPr>
        <w:t>**</w:t>
      </w:r>
      <w:r w:rsidRPr="007F1B5F">
        <w:rPr>
          <w:lang w:val="en-GB"/>
        </w:rPr>
        <w:t xml:space="preserve">* </w:t>
      </w:r>
      <w:r>
        <w:rPr>
          <w:lang w:val="en-GB"/>
        </w:rPr>
        <w:t>P&lt; 0,</w:t>
      </w:r>
      <w:r w:rsidRPr="007F1B5F">
        <w:rPr>
          <w:lang w:val="en-GB"/>
        </w:rPr>
        <w:t>001 relative to the control.</w:t>
      </w:r>
    </w:p>
    <w:p w14:paraId="09EA77F8" w14:textId="77777777" w:rsidR="00E97387" w:rsidRDefault="00E97387" w:rsidP="00E97387">
      <w:pPr>
        <w:pStyle w:val="Sinespaciado"/>
        <w:jc w:val="both"/>
        <w:rPr>
          <w:lang w:val="en-GB"/>
        </w:rPr>
      </w:pPr>
    </w:p>
    <w:p w14:paraId="03091D25" w14:textId="77777777" w:rsidR="00E97387" w:rsidRDefault="00E97387" w:rsidP="00E97387">
      <w:pPr>
        <w:spacing w:line="480" w:lineRule="auto"/>
        <w:jc w:val="both"/>
        <w:rPr>
          <w:rFonts w:ascii="Arial" w:hAnsi="Arial" w:cs="Arial"/>
          <w:sz w:val="24"/>
          <w:lang w:val="en-GB"/>
        </w:rPr>
      </w:pPr>
    </w:p>
    <w:p w14:paraId="0FAFC2D3"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4.2</w:t>
      </w:r>
      <w:r w:rsidRPr="00B634EE">
        <w:rPr>
          <w:rFonts w:ascii="Arial" w:hAnsi="Arial" w:cs="Arial"/>
          <w:sz w:val="24"/>
          <w:lang w:val="en-GB"/>
        </w:rPr>
        <w:t xml:space="preserve"> Promoters and indicators of oxidative stress </w:t>
      </w:r>
    </w:p>
    <w:p w14:paraId="64D1DCD6"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Our results showed a decline in the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concentration in the salinity treatment in both genotypes with respect to control (Fig</w:t>
      </w:r>
      <w:r>
        <w:rPr>
          <w:rFonts w:ascii="Arial" w:hAnsi="Arial" w:cs="Arial"/>
          <w:sz w:val="24"/>
          <w:lang w:val="en-GB"/>
        </w:rPr>
        <w:t>ure</w:t>
      </w:r>
      <w:r w:rsidRPr="00B634EE">
        <w:rPr>
          <w:rFonts w:ascii="Arial" w:hAnsi="Arial" w:cs="Arial"/>
          <w:sz w:val="24"/>
          <w:lang w:val="en-GB"/>
        </w:rPr>
        <w:t xml:space="preserve"> 1A; P&lt;0.001). The foliar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Pr>
          <w:rFonts w:ascii="Arial" w:hAnsi="Arial" w:cs="Arial"/>
          <w:sz w:val="24"/>
          <w:vertAlign w:val="subscript"/>
          <w:lang w:val="en-GB"/>
        </w:rPr>
        <w:t xml:space="preserve"> </w:t>
      </w:r>
      <w:r>
        <w:rPr>
          <w:rFonts w:ascii="Arial" w:hAnsi="Arial" w:cs="Arial"/>
          <w:sz w:val="24"/>
          <w:lang w:val="en-GB"/>
        </w:rPr>
        <w:t xml:space="preserve">concentration </w:t>
      </w:r>
      <w:r w:rsidRPr="00B634EE">
        <w:rPr>
          <w:rFonts w:ascii="Arial" w:hAnsi="Arial" w:cs="Arial"/>
          <w:sz w:val="24"/>
          <w:lang w:val="en-GB"/>
        </w:rPr>
        <w:t>increased in the salinity treatment in</w:t>
      </w:r>
      <w:r>
        <w:rPr>
          <w:rFonts w:ascii="Arial" w:hAnsi="Arial" w:cs="Arial"/>
          <w:sz w:val="24"/>
          <w:lang w:val="en-GB"/>
        </w:rPr>
        <w:t xml:space="preserve"> Marmande RAF and decreased in Grand Brix</w:t>
      </w:r>
      <w:r w:rsidRPr="00B634EE">
        <w:rPr>
          <w:rFonts w:ascii="Arial" w:hAnsi="Arial" w:cs="Arial"/>
          <w:sz w:val="24"/>
          <w:lang w:val="en-GB"/>
        </w:rPr>
        <w:t xml:space="preserve"> (Fig</w:t>
      </w:r>
      <w:r>
        <w:rPr>
          <w:rFonts w:ascii="Arial" w:hAnsi="Arial" w:cs="Arial"/>
          <w:sz w:val="24"/>
          <w:lang w:val="en-GB"/>
        </w:rPr>
        <w:t>ure</w:t>
      </w:r>
      <w:r w:rsidRPr="00B634EE">
        <w:rPr>
          <w:rFonts w:ascii="Arial" w:hAnsi="Arial" w:cs="Arial"/>
          <w:sz w:val="24"/>
          <w:lang w:val="en-GB"/>
        </w:rPr>
        <w:t xml:space="preserve"> 1B; P&lt;0.05). </w:t>
      </w:r>
    </w:p>
    <w:p w14:paraId="6211F9D2" w14:textId="77777777" w:rsidR="00E97387" w:rsidRPr="00B634EE" w:rsidRDefault="00E97387" w:rsidP="00E97387">
      <w:pPr>
        <w:spacing w:line="480" w:lineRule="auto"/>
        <w:jc w:val="both"/>
        <w:rPr>
          <w:rFonts w:ascii="Arial" w:hAnsi="Arial" w:cs="Arial"/>
          <w:sz w:val="24"/>
          <w:lang w:val="en-GB"/>
        </w:rPr>
      </w:pPr>
    </w:p>
    <w:p w14:paraId="66A9E5B2"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lastRenderedPageBreak/>
        <w:t>The saline treatment affected the genotypes differently in terms of the LOX activity (Fig</w:t>
      </w:r>
      <w:r>
        <w:rPr>
          <w:rFonts w:ascii="Arial" w:hAnsi="Arial" w:cs="Arial"/>
          <w:sz w:val="24"/>
          <w:lang w:val="en-GB"/>
        </w:rPr>
        <w:t>ure</w:t>
      </w:r>
      <w:r w:rsidRPr="00B634EE">
        <w:rPr>
          <w:rFonts w:ascii="Arial" w:hAnsi="Arial" w:cs="Arial"/>
          <w:sz w:val="24"/>
          <w:lang w:val="en-GB"/>
        </w:rPr>
        <w:t xml:space="preserve"> 1C). This enzymatic activity rose significantly in the salinity treatment in Grand Brix (Fig</w:t>
      </w:r>
      <w:r>
        <w:rPr>
          <w:rFonts w:ascii="Arial" w:hAnsi="Arial" w:cs="Arial"/>
          <w:sz w:val="24"/>
          <w:lang w:val="en-GB"/>
        </w:rPr>
        <w:t xml:space="preserve">ure </w:t>
      </w:r>
      <w:r w:rsidRPr="00B634EE">
        <w:rPr>
          <w:rFonts w:ascii="Arial" w:hAnsi="Arial" w:cs="Arial"/>
          <w:sz w:val="24"/>
          <w:lang w:val="en-GB"/>
        </w:rPr>
        <w:t>1C; P&lt;0.05), maintaining without significant changes in Marmande RAF (Fig</w:t>
      </w:r>
      <w:r>
        <w:rPr>
          <w:rFonts w:ascii="Arial" w:hAnsi="Arial" w:cs="Arial"/>
          <w:sz w:val="24"/>
          <w:lang w:val="en-GB"/>
        </w:rPr>
        <w:t>ure</w:t>
      </w:r>
      <w:r w:rsidRPr="00B634EE">
        <w:rPr>
          <w:rFonts w:ascii="Arial" w:hAnsi="Arial" w:cs="Arial"/>
          <w:sz w:val="24"/>
          <w:lang w:val="en-GB"/>
        </w:rPr>
        <w:t xml:space="preserve"> 1C; P&gt;0.05). On the other hand, the MDA concentration increased in saline treatment in both cultivars (Fig</w:t>
      </w:r>
      <w:r>
        <w:rPr>
          <w:rFonts w:ascii="Arial" w:hAnsi="Arial" w:cs="Arial"/>
          <w:sz w:val="24"/>
          <w:lang w:val="en-GB"/>
        </w:rPr>
        <w:t xml:space="preserve">ure </w:t>
      </w:r>
      <w:r w:rsidRPr="00B634EE">
        <w:rPr>
          <w:rFonts w:ascii="Arial" w:hAnsi="Arial" w:cs="Arial"/>
          <w:sz w:val="24"/>
          <w:lang w:val="en-GB"/>
        </w:rPr>
        <w:t>1D; P&lt;0.001).</w:t>
      </w:r>
    </w:p>
    <w:p w14:paraId="1EDDD9E6" w14:textId="77777777" w:rsidR="00E97387" w:rsidRPr="00B634EE" w:rsidRDefault="00E97387" w:rsidP="00E97387">
      <w:pPr>
        <w:spacing w:line="480" w:lineRule="auto"/>
        <w:jc w:val="both"/>
        <w:rPr>
          <w:rFonts w:ascii="Arial" w:hAnsi="Arial" w:cs="Arial"/>
          <w:sz w:val="24"/>
          <w:lang w:val="en-GB"/>
        </w:rPr>
      </w:pPr>
    </w:p>
    <w:p w14:paraId="3FFD062D"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In general, on comparing the two genotypes, we found that Marmande RAF had higher concentrations of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w:t>
      </w:r>
      <w:r>
        <w:rPr>
          <w:rFonts w:ascii="Arial" w:hAnsi="Arial" w:cs="Arial"/>
          <w:sz w:val="24"/>
          <w:lang w:val="en-GB"/>
        </w:rPr>
        <w:t>and H</w:t>
      </w:r>
      <w:r w:rsidRPr="00293C1F">
        <w:rPr>
          <w:rFonts w:ascii="Arial" w:hAnsi="Arial" w:cs="Arial"/>
          <w:sz w:val="24"/>
          <w:vertAlign w:val="subscript"/>
          <w:lang w:val="en-GB"/>
        </w:rPr>
        <w:t>2</w:t>
      </w:r>
      <w:r>
        <w:rPr>
          <w:rFonts w:ascii="Arial" w:hAnsi="Arial" w:cs="Arial"/>
          <w:sz w:val="24"/>
          <w:lang w:val="en-GB"/>
        </w:rPr>
        <w:t>O</w:t>
      </w:r>
      <w:r w:rsidRPr="00293C1F">
        <w:rPr>
          <w:rFonts w:ascii="Arial" w:hAnsi="Arial" w:cs="Arial"/>
          <w:sz w:val="24"/>
          <w:vertAlign w:val="subscript"/>
          <w:lang w:val="en-GB"/>
        </w:rPr>
        <w:t>2</w:t>
      </w:r>
      <w:r>
        <w:rPr>
          <w:rFonts w:ascii="Arial" w:hAnsi="Arial" w:cs="Arial"/>
          <w:sz w:val="24"/>
          <w:lang w:val="en-GB"/>
        </w:rPr>
        <w:t xml:space="preserve"> </w:t>
      </w:r>
      <w:r w:rsidRPr="00B634EE">
        <w:rPr>
          <w:rFonts w:ascii="Arial" w:hAnsi="Arial" w:cs="Arial"/>
          <w:sz w:val="24"/>
          <w:lang w:val="en-GB"/>
        </w:rPr>
        <w:t>(Fig</w:t>
      </w:r>
      <w:r>
        <w:rPr>
          <w:rFonts w:ascii="Arial" w:hAnsi="Arial" w:cs="Arial"/>
          <w:sz w:val="24"/>
          <w:lang w:val="en-GB"/>
        </w:rPr>
        <w:t>ure</w:t>
      </w:r>
      <w:r w:rsidRPr="00B634EE">
        <w:rPr>
          <w:rFonts w:ascii="Arial" w:hAnsi="Arial" w:cs="Arial"/>
          <w:sz w:val="24"/>
          <w:lang w:val="en-GB"/>
        </w:rPr>
        <w:t xml:space="preserve"> 1A1; P&lt;0.001</w:t>
      </w:r>
      <w:r>
        <w:rPr>
          <w:rFonts w:ascii="Arial" w:hAnsi="Arial" w:cs="Arial"/>
          <w:sz w:val="24"/>
          <w:lang w:val="en-GB"/>
        </w:rPr>
        <w:t xml:space="preserve">; </w:t>
      </w:r>
      <w:r w:rsidRPr="00B634EE">
        <w:rPr>
          <w:rFonts w:ascii="Arial" w:hAnsi="Arial" w:cs="Arial"/>
          <w:sz w:val="24"/>
          <w:lang w:val="en-GB"/>
        </w:rPr>
        <w:t>Fig</w:t>
      </w:r>
      <w:r>
        <w:rPr>
          <w:rFonts w:ascii="Arial" w:hAnsi="Arial" w:cs="Arial"/>
          <w:sz w:val="24"/>
          <w:lang w:val="en-GB"/>
        </w:rPr>
        <w:t>ure</w:t>
      </w:r>
      <w:r w:rsidRPr="00B634EE">
        <w:rPr>
          <w:rFonts w:ascii="Arial" w:hAnsi="Arial" w:cs="Arial"/>
          <w:sz w:val="24"/>
          <w:lang w:val="en-GB"/>
        </w:rPr>
        <w:t xml:space="preserve"> </w:t>
      </w:r>
      <w:r>
        <w:rPr>
          <w:rFonts w:ascii="Arial" w:hAnsi="Arial" w:cs="Arial"/>
          <w:sz w:val="24"/>
          <w:lang w:val="en-GB"/>
        </w:rPr>
        <w:t xml:space="preserve"> </w:t>
      </w:r>
      <w:r w:rsidRPr="00B634EE">
        <w:rPr>
          <w:rFonts w:ascii="Arial" w:hAnsi="Arial" w:cs="Arial"/>
          <w:sz w:val="24"/>
          <w:lang w:val="en-GB"/>
        </w:rPr>
        <w:t>1B; P&lt;0.05)</w:t>
      </w:r>
      <w:r>
        <w:rPr>
          <w:rFonts w:ascii="Arial" w:hAnsi="Arial" w:cs="Arial"/>
          <w:sz w:val="24"/>
          <w:lang w:val="en-GB"/>
        </w:rPr>
        <w:t>, whereas LOX activity and</w:t>
      </w:r>
      <w:r w:rsidRPr="00B634EE">
        <w:rPr>
          <w:rFonts w:ascii="Arial" w:hAnsi="Arial" w:cs="Arial"/>
          <w:sz w:val="24"/>
          <w:lang w:val="en-GB"/>
        </w:rPr>
        <w:t xml:space="preserve"> MDA concentration did not dif</w:t>
      </w:r>
      <w:r>
        <w:rPr>
          <w:rFonts w:ascii="Arial" w:hAnsi="Arial" w:cs="Arial"/>
          <w:sz w:val="24"/>
          <w:lang w:val="en-GB"/>
        </w:rPr>
        <w:t>fer between genotypes (</w:t>
      </w:r>
      <w:r w:rsidRPr="00B634EE">
        <w:rPr>
          <w:rFonts w:ascii="Arial" w:hAnsi="Arial" w:cs="Arial"/>
          <w:sz w:val="24"/>
          <w:lang w:val="en-GB"/>
        </w:rPr>
        <w:t>Fig</w:t>
      </w:r>
      <w:r>
        <w:rPr>
          <w:rFonts w:ascii="Arial" w:hAnsi="Arial" w:cs="Arial"/>
          <w:sz w:val="24"/>
          <w:lang w:val="en-GB"/>
        </w:rPr>
        <w:t xml:space="preserve">ure </w:t>
      </w:r>
      <w:r w:rsidRPr="00B634EE">
        <w:rPr>
          <w:rFonts w:ascii="Arial" w:hAnsi="Arial" w:cs="Arial"/>
          <w:sz w:val="24"/>
          <w:lang w:val="en-GB"/>
        </w:rPr>
        <w:t>1C1 and 1D1; P&gt;0.05)</w:t>
      </w:r>
    </w:p>
    <w:p w14:paraId="68E2B9F9" w14:textId="77777777" w:rsidR="00E97387" w:rsidRDefault="00E97387" w:rsidP="00E97387">
      <w:pPr>
        <w:spacing w:line="480" w:lineRule="auto"/>
        <w:jc w:val="both"/>
        <w:rPr>
          <w:rFonts w:ascii="Arial" w:hAnsi="Arial" w:cs="Arial"/>
          <w:sz w:val="24"/>
          <w:lang w:val="en-GB"/>
        </w:rPr>
      </w:pPr>
    </w:p>
    <w:p w14:paraId="5D056630"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4.3</w:t>
      </w:r>
      <w:r w:rsidRPr="00B634EE">
        <w:rPr>
          <w:rFonts w:ascii="Arial" w:hAnsi="Arial" w:cs="Arial"/>
          <w:sz w:val="24"/>
          <w:lang w:val="en-GB"/>
        </w:rPr>
        <w:t xml:space="preserve"> Antioxidant enzyme systems</w:t>
      </w:r>
    </w:p>
    <w:p w14:paraId="332E2C62" w14:textId="77777777" w:rsidR="00E97387" w:rsidRPr="00B634EE"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Our results for SOD showed greater activity for saline treatment in both genotypes </w:t>
      </w:r>
      <w:r>
        <w:rPr>
          <w:rFonts w:ascii="Arial" w:hAnsi="Arial" w:cs="Arial"/>
          <w:sz w:val="24"/>
          <w:lang w:val="en-GB"/>
        </w:rPr>
        <w:t>with respect to control (Table 5</w:t>
      </w:r>
      <w:r w:rsidRPr="00B634EE">
        <w:rPr>
          <w:rFonts w:ascii="Arial" w:hAnsi="Arial" w:cs="Arial"/>
          <w:sz w:val="24"/>
          <w:lang w:val="en-GB"/>
        </w:rPr>
        <w:t xml:space="preserve">). Meanwhile, Grand Brix presented significantly greater SOD activity </w:t>
      </w:r>
      <w:r>
        <w:rPr>
          <w:rFonts w:ascii="Arial" w:hAnsi="Arial" w:cs="Arial"/>
          <w:sz w:val="24"/>
          <w:lang w:val="en-GB"/>
        </w:rPr>
        <w:t>than in Marmande RAF (Table 5</w:t>
      </w:r>
      <w:r w:rsidRPr="00B634EE">
        <w:rPr>
          <w:rFonts w:ascii="Arial" w:hAnsi="Arial" w:cs="Arial"/>
          <w:sz w:val="24"/>
          <w:lang w:val="en-GB"/>
        </w:rPr>
        <w:t>). On the other hand, the CAT activity fell in salinity treat</w:t>
      </w:r>
      <w:r>
        <w:rPr>
          <w:rFonts w:ascii="Arial" w:hAnsi="Arial" w:cs="Arial"/>
          <w:sz w:val="24"/>
          <w:lang w:val="en-GB"/>
        </w:rPr>
        <w:t>ment for both genotypes (Table 5). The genotypes didn´t register</w:t>
      </w:r>
      <w:r w:rsidRPr="00B634EE">
        <w:rPr>
          <w:rFonts w:ascii="Arial" w:hAnsi="Arial" w:cs="Arial"/>
          <w:sz w:val="24"/>
          <w:lang w:val="en-GB"/>
        </w:rPr>
        <w:t xml:space="preserve"> diffe</w:t>
      </w:r>
      <w:r>
        <w:rPr>
          <w:rFonts w:ascii="Arial" w:hAnsi="Arial" w:cs="Arial"/>
          <w:sz w:val="24"/>
          <w:lang w:val="en-GB"/>
        </w:rPr>
        <w:t>rences for CAT activity (Table 5</w:t>
      </w:r>
      <w:r w:rsidRPr="00B634EE">
        <w:rPr>
          <w:rFonts w:ascii="Arial" w:hAnsi="Arial" w:cs="Arial"/>
          <w:sz w:val="24"/>
          <w:lang w:val="en-GB"/>
        </w:rPr>
        <w:t>).</w:t>
      </w:r>
    </w:p>
    <w:p w14:paraId="0D69897D"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APX and GSHPx enzymes increased in activity with the treatment </w:t>
      </w:r>
      <w:r>
        <w:rPr>
          <w:rFonts w:ascii="Arial" w:hAnsi="Arial" w:cs="Arial"/>
          <w:sz w:val="24"/>
          <w:lang w:val="en-GB"/>
        </w:rPr>
        <w:t>in both genotypes (Table 5</w:t>
      </w:r>
      <w:r w:rsidRPr="00B634EE">
        <w:rPr>
          <w:rFonts w:ascii="Arial" w:hAnsi="Arial" w:cs="Arial"/>
          <w:sz w:val="24"/>
          <w:lang w:val="en-GB"/>
        </w:rPr>
        <w:t>). For these enzymes, Marmande RAF presented greater activ</w:t>
      </w:r>
      <w:r>
        <w:rPr>
          <w:rFonts w:ascii="Arial" w:hAnsi="Arial" w:cs="Arial"/>
          <w:sz w:val="24"/>
          <w:lang w:val="en-GB"/>
        </w:rPr>
        <w:t>ity than did Grand Brix (Table 5</w:t>
      </w:r>
      <w:r w:rsidRPr="00B634EE">
        <w:rPr>
          <w:rFonts w:ascii="Arial" w:hAnsi="Arial" w:cs="Arial"/>
          <w:sz w:val="24"/>
          <w:lang w:val="en-GB"/>
        </w:rPr>
        <w:t>). The GR enzyme d</w:t>
      </w:r>
      <w:r>
        <w:rPr>
          <w:rFonts w:ascii="Arial" w:hAnsi="Arial" w:cs="Arial"/>
          <w:sz w:val="24"/>
          <w:lang w:val="en-GB"/>
        </w:rPr>
        <w:t>id</w:t>
      </w:r>
      <w:r w:rsidRPr="00B634EE">
        <w:rPr>
          <w:rFonts w:ascii="Arial" w:hAnsi="Arial" w:cs="Arial"/>
          <w:sz w:val="24"/>
          <w:lang w:val="en-GB"/>
        </w:rPr>
        <w:t>n’t show changes signif</w:t>
      </w:r>
      <w:r>
        <w:rPr>
          <w:rFonts w:ascii="Arial" w:hAnsi="Arial" w:cs="Arial"/>
          <w:sz w:val="24"/>
          <w:lang w:val="en-GB"/>
        </w:rPr>
        <w:t>icant in both genotypes (Table 5</w:t>
      </w:r>
      <w:r w:rsidRPr="00B634EE">
        <w:rPr>
          <w:rFonts w:ascii="Arial" w:hAnsi="Arial" w:cs="Arial"/>
          <w:sz w:val="24"/>
          <w:lang w:val="en-GB"/>
        </w:rPr>
        <w:t>).</w:t>
      </w:r>
    </w:p>
    <w:p w14:paraId="24CC4ABE" w14:textId="77777777" w:rsidR="00E97387" w:rsidRDefault="00E97387" w:rsidP="00E97387">
      <w:pPr>
        <w:rPr>
          <w:rFonts w:ascii="Arial" w:hAnsi="Arial" w:cs="Arial"/>
          <w:sz w:val="24"/>
          <w:lang w:val="en-GB"/>
        </w:rPr>
      </w:pPr>
    </w:p>
    <w:p w14:paraId="4C5C15B1" w14:textId="77777777" w:rsidR="00E97387" w:rsidRDefault="00E97387" w:rsidP="00E97387">
      <w:pPr>
        <w:spacing w:line="480" w:lineRule="auto"/>
        <w:jc w:val="both"/>
        <w:rPr>
          <w:rFonts w:ascii="Arial" w:hAnsi="Arial" w:cs="Arial"/>
          <w:sz w:val="24"/>
          <w:lang w:val="en-GB"/>
        </w:rPr>
      </w:pPr>
      <w:r>
        <w:rPr>
          <w:b/>
          <w:noProof/>
          <w:lang w:eastAsia="es-ES_tradnl"/>
        </w:rPr>
        <w:lastRenderedPageBreak/>
        <w:drawing>
          <wp:inline distT="0" distB="0" distL="0" distR="0" wp14:anchorId="110BD41D" wp14:editId="0DD5163C">
            <wp:extent cx="5400040" cy="4437380"/>
            <wp:effectExtent l="0" t="0" r="0" b="1270"/>
            <wp:docPr id="2" name="Imagen 2" descr="Imagen que contiene 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Gráfico&#10;&#10;Descripción generada automáticament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4437380"/>
                    </a:xfrm>
                    <a:prstGeom prst="rect">
                      <a:avLst/>
                    </a:prstGeom>
                    <a:noFill/>
                    <a:ln>
                      <a:noFill/>
                    </a:ln>
                  </pic:spPr>
                </pic:pic>
              </a:graphicData>
            </a:graphic>
          </wp:inline>
        </w:drawing>
      </w:r>
    </w:p>
    <w:p w14:paraId="03B909C3" w14:textId="77777777" w:rsidR="00E97387" w:rsidRPr="00B240D3" w:rsidRDefault="00E97387" w:rsidP="00E97387">
      <w:pPr>
        <w:spacing w:line="240" w:lineRule="auto"/>
        <w:jc w:val="both"/>
        <w:rPr>
          <w:rFonts w:ascii="Arial" w:hAnsi="Arial" w:cs="Arial"/>
          <w:sz w:val="18"/>
          <w:lang w:val="en-GB"/>
        </w:rPr>
      </w:pPr>
      <w:r w:rsidRPr="00B240D3">
        <w:rPr>
          <w:rFonts w:ascii="Arial" w:hAnsi="Arial" w:cs="Arial"/>
          <w:b/>
          <w:sz w:val="18"/>
          <w:lang w:val="en-GB"/>
        </w:rPr>
        <w:t xml:space="preserve">Figure 1: </w:t>
      </w:r>
      <w:r w:rsidRPr="00B240D3">
        <w:rPr>
          <w:rFonts w:ascii="Arial" w:hAnsi="Arial" w:cs="Arial"/>
          <w:sz w:val="18"/>
          <w:lang w:val="en-GB"/>
        </w:rPr>
        <w:t>Effect of saline treatment in the concentration of O</w:t>
      </w:r>
      <w:r w:rsidRPr="00B240D3">
        <w:rPr>
          <w:rFonts w:ascii="Arial" w:hAnsi="Arial" w:cs="Arial"/>
          <w:sz w:val="18"/>
          <w:vertAlign w:val="subscript"/>
          <w:lang w:val="en-GB"/>
        </w:rPr>
        <w:t>2</w:t>
      </w:r>
      <w:r w:rsidRPr="00B240D3">
        <w:rPr>
          <w:rFonts w:ascii="Arial" w:hAnsi="Arial" w:cs="Arial"/>
          <w:sz w:val="18"/>
          <w:vertAlign w:val="superscript"/>
          <w:lang w:val="en-GB"/>
        </w:rPr>
        <w:t>.-</w:t>
      </w:r>
      <w:r w:rsidRPr="00B240D3">
        <w:rPr>
          <w:rFonts w:ascii="Arial" w:hAnsi="Arial" w:cs="Arial"/>
          <w:sz w:val="18"/>
          <w:lang w:val="en-GB"/>
        </w:rPr>
        <w:t>(µg g</w:t>
      </w:r>
      <w:r w:rsidRPr="00B240D3">
        <w:rPr>
          <w:rFonts w:ascii="Arial" w:hAnsi="Arial" w:cs="Arial"/>
          <w:sz w:val="18"/>
          <w:vertAlign w:val="superscript"/>
          <w:lang w:val="en-GB"/>
        </w:rPr>
        <w:t>-1</w:t>
      </w:r>
      <w:r w:rsidRPr="00B240D3">
        <w:rPr>
          <w:rFonts w:ascii="Arial" w:hAnsi="Arial" w:cs="Arial"/>
          <w:sz w:val="18"/>
          <w:lang w:val="en-GB"/>
        </w:rPr>
        <w:t xml:space="preserve"> FW) (A), H</w:t>
      </w:r>
      <w:r w:rsidRPr="00B240D3">
        <w:rPr>
          <w:rFonts w:ascii="Arial" w:hAnsi="Arial" w:cs="Arial"/>
          <w:sz w:val="18"/>
          <w:vertAlign w:val="subscript"/>
          <w:lang w:val="en-GB"/>
        </w:rPr>
        <w:t>2</w:t>
      </w:r>
      <w:r w:rsidRPr="00B240D3">
        <w:rPr>
          <w:rFonts w:ascii="Arial" w:hAnsi="Arial" w:cs="Arial"/>
          <w:sz w:val="18"/>
          <w:lang w:val="en-GB"/>
        </w:rPr>
        <w:t>O</w:t>
      </w:r>
      <w:r w:rsidRPr="00B240D3">
        <w:rPr>
          <w:rFonts w:ascii="Arial" w:hAnsi="Arial" w:cs="Arial"/>
          <w:sz w:val="18"/>
          <w:vertAlign w:val="subscript"/>
          <w:lang w:val="en-GB"/>
        </w:rPr>
        <w:t>2</w:t>
      </w:r>
      <w:r w:rsidRPr="00B240D3">
        <w:rPr>
          <w:rFonts w:ascii="Arial" w:hAnsi="Arial" w:cs="Arial"/>
          <w:sz w:val="18"/>
          <w:lang w:val="en-GB"/>
        </w:rPr>
        <w:t>(µg g</w:t>
      </w:r>
      <w:r w:rsidRPr="00B240D3">
        <w:rPr>
          <w:rFonts w:ascii="Arial" w:hAnsi="Arial" w:cs="Arial"/>
          <w:sz w:val="18"/>
          <w:vertAlign w:val="superscript"/>
          <w:lang w:val="en-GB"/>
        </w:rPr>
        <w:t>-1</w:t>
      </w:r>
      <w:r w:rsidRPr="00B240D3">
        <w:rPr>
          <w:rFonts w:ascii="Arial" w:hAnsi="Arial" w:cs="Arial"/>
          <w:sz w:val="18"/>
          <w:lang w:val="en-GB"/>
        </w:rPr>
        <w:t xml:space="preserve"> FW) (B), LOX (Abs min-1 mg-1 protein) (C) and MDA (µmol g</w:t>
      </w:r>
      <w:r w:rsidRPr="00B240D3">
        <w:rPr>
          <w:rFonts w:ascii="Arial" w:hAnsi="Arial" w:cs="Arial"/>
          <w:sz w:val="18"/>
          <w:vertAlign w:val="superscript"/>
          <w:lang w:val="en-GB"/>
        </w:rPr>
        <w:t>-1</w:t>
      </w:r>
      <w:r w:rsidRPr="00B240D3">
        <w:rPr>
          <w:rFonts w:ascii="Arial" w:hAnsi="Arial" w:cs="Arial"/>
          <w:sz w:val="18"/>
          <w:lang w:val="en-GB"/>
        </w:rPr>
        <w:t xml:space="preserve"> FW) (D) in plants of Solanum lycopersicum cv. Grand Brix and cv. Marmande RAF. The columns Values are mean ± standard error (n= 9), the differences between means were compared with the minimum significant difference of Fisher test (LSD; P= 0.05). A1, B1, C1 and D1 Values are means (control + salinity n= 18) and differences between means were compared using LSD test (P= 0.05). Levels of significance are represented by NS (non-significant) P&gt; 0.05; * P&lt; 0.05; ** P&lt; 0.01 and *** P&lt; 0.001 relative to the control.</w:t>
      </w:r>
    </w:p>
    <w:p w14:paraId="6CB824E0" w14:textId="77777777" w:rsidR="00E97387" w:rsidRDefault="00E97387" w:rsidP="00E97387">
      <w:pPr>
        <w:spacing w:line="480" w:lineRule="auto"/>
        <w:jc w:val="both"/>
        <w:rPr>
          <w:rFonts w:ascii="Arial" w:hAnsi="Arial" w:cs="Arial"/>
          <w:sz w:val="24"/>
          <w:lang w:val="en-GB"/>
        </w:rPr>
        <w:sectPr w:rsidR="00E97387" w:rsidSect="00140028">
          <w:headerReference w:type="default" r:id="rId6"/>
          <w:footerReference w:type="default" r:id="rId7"/>
          <w:pgSz w:w="11906" w:h="16838"/>
          <w:pgMar w:top="1417" w:right="1701" w:bottom="1417" w:left="1701" w:header="708" w:footer="708" w:gutter="0"/>
          <w:pgNumType w:start="68"/>
          <w:cols w:space="708"/>
          <w:docGrid w:linePitch="360"/>
        </w:sectPr>
      </w:pPr>
    </w:p>
    <w:p w14:paraId="6F6B9790" w14:textId="77777777" w:rsidR="00E97387" w:rsidRDefault="00E97387" w:rsidP="00E97387">
      <w:pPr>
        <w:spacing w:line="480" w:lineRule="auto"/>
        <w:jc w:val="both"/>
        <w:rPr>
          <w:rFonts w:ascii="Arial" w:hAnsi="Arial" w:cs="Arial"/>
          <w:sz w:val="24"/>
          <w:lang w:val="en-GB"/>
        </w:rPr>
      </w:pPr>
    </w:p>
    <w:p w14:paraId="0DA268A0" w14:textId="77777777" w:rsidR="00E97387" w:rsidRPr="00B10512" w:rsidRDefault="00E97387" w:rsidP="00E97387">
      <w:pPr>
        <w:pStyle w:val="Sinespaciado"/>
        <w:jc w:val="both"/>
        <w:rPr>
          <w:b/>
          <w:sz w:val="24"/>
          <w:lang w:val="en-GB"/>
        </w:rPr>
      </w:pPr>
      <w:r>
        <w:rPr>
          <w:b/>
          <w:sz w:val="24"/>
          <w:lang w:val="en-GB"/>
        </w:rPr>
        <w:t>Table 5</w:t>
      </w:r>
      <w:r w:rsidRPr="00B10512">
        <w:rPr>
          <w:b/>
          <w:sz w:val="24"/>
          <w:lang w:val="en-GB"/>
        </w:rPr>
        <w:t>:</w:t>
      </w:r>
      <w:r>
        <w:rPr>
          <w:b/>
          <w:sz w:val="24"/>
          <w:lang w:val="en-GB"/>
        </w:rPr>
        <w:t xml:space="preserve"> </w:t>
      </w:r>
      <w:r w:rsidRPr="00D92C1D">
        <w:rPr>
          <w:lang w:val="en-GB"/>
        </w:rPr>
        <w:t>Effect o</w:t>
      </w:r>
      <w:r>
        <w:rPr>
          <w:lang w:val="en-GB"/>
        </w:rPr>
        <w:t>f saline treatment</w:t>
      </w:r>
      <w:r w:rsidRPr="00D92C1D">
        <w:rPr>
          <w:lang w:val="en-GB"/>
        </w:rPr>
        <w:t xml:space="preserve"> in</w:t>
      </w:r>
      <w:r>
        <w:rPr>
          <w:lang w:val="en-GB"/>
        </w:rPr>
        <w:t xml:space="preserve"> the CAT, SOD, APX, GR and GSHPx</w:t>
      </w:r>
      <w:r w:rsidRPr="00D92C1D">
        <w:rPr>
          <w:lang w:val="en-GB"/>
        </w:rPr>
        <w:t xml:space="preserve"> activity in plants of </w:t>
      </w:r>
      <w:r w:rsidRPr="00D92C1D">
        <w:rPr>
          <w:i/>
          <w:lang w:val="en-GB"/>
        </w:rPr>
        <w:t>Solanum lycopersicum</w:t>
      </w:r>
      <w:r w:rsidRPr="00D92C1D">
        <w:rPr>
          <w:lang w:val="en-GB"/>
        </w:rPr>
        <w:t xml:space="preserve"> cv. Grand Brix and cv. Marmande RAF</w:t>
      </w:r>
    </w:p>
    <w:tbl>
      <w:tblPr>
        <w:tblStyle w:val="Tablaconcuadrcula"/>
        <w:tblW w:w="13922" w:type="dxa"/>
        <w:jc w:val="center"/>
        <w:tblLayout w:type="fixed"/>
        <w:tblLook w:val="04A0" w:firstRow="1" w:lastRow="0" w:firstColumn="1" w:lastColumn="0" w:noHBand="0" w:noVBand="1"/>
      </w:tblPr>
      <w:tblGrid>
        <w:gridCol w:w="1094"/>
        <w:gridCol w:w="202"/>
        <w:gridCol w:w="1151"/>
        <w:gridCol w:w="149"/>
        <w:gridCol w:w="1077"/>
        <w:gridCol w:w="181"/>
        <w:gridCol w:w="1076"/>
        <w:gridCol w:w="182"/>
        <w:gridCol w:w="1077"/>
        <w:gridCol w:w="182"/>
        <w:gridCol w:w="1076"/>
        <w:gridCol w:w="182"/>
        <w:gridCol w:w="1077"/>
        <w:gridCol w:w="182"/>
        <w:gridCol w:w="1076"/>
        <w:gridCol w:w="182"/>
        <w:gridCol w:w="1077"/>
        <w:gridCol w:w="182"/>
        <w:gridCol w:w="1076"/>
        <w:gridCol w:w="182"/>
        <w:gridCol w:w="1229"/>
        <w:gridCol w:w="30"/>
      </w:tblGrid>
      <w:tr w:rsidR="00E97387" w:rsidRPr="005400D9" w14:paraId="001FAA78" w14:textId="77777777" w:rsidTr="00C02C80">
        <w:trPr>
          <w:gridAfter w:val="1"/>
          <w:wAfter w:w="30" w:type="dxa"/>
          <w:trHeight w:val="570"/>
          <w:jc w:val="center"/>
        </w:trPr>
        <w:tc>
          <w:tcPr>
            <w:tcW w:w="1296" w:type="dxa"/>
            <w:gridSpan w:val="2"/>
            <w:tcBorders>
              <w:left w:val="nil"/>
              <w:right w:val="nil"/>
            </w:tcBorders>
          </w:tcPr>
          <w:p w14:paraId="2A947899" w14:textId="77777777" w:rsidR="00E97387" w:rsidRPr="00B10512" w:rsidRDefault="00E97387" w:rsidP="00C02C80">
            <w:pPr>
              <w:jc w:val="center"/>
              <w:rPr>
                <w:lang w:val="en-GB"/>
              </w:rPr>
            </w:pPr>
          </w:p>
        </w:tc>
        <w:tc>
          <w:tcPr>
            <w:tcW w:w="2377" w:type="dxa"/>
            <w:gridSpan w:val="3"/>
            <w:tcBorders>
              <w:left w:val="nil"/>
              <w:right w:val="nil"/>
            </w:tcBorders>
            <w:vAlign w:val="bottom"/>
          </w:tcPr>
          <w:p w14:paraId="1CE36172" w14:textId="77777777" w:rsidR="00E97387" w:rsidRPr="008834D9" w:rsidRDefault="00E97387" w:rsidP="00C02C80">
            <w:pPr>
              <w:jc w:val="center"/>
              <w:rPr>
                <w:rFonts w:ascii="Calibri" w:hAnsi="Calibri"/>
                <w:color w:val="000000"/>
                <w:lang w:val="en-GB"/>
              </w:rPr>
            </w:pPr>
            <w:r>
              <w:rPr>
                <w:rFonts w:ascii="Calibri" w:hAnsi="Calibri"/>
                <w:color w:val="000000"/>
              </w:rPr>
              <w:t xml:space="preserve">SOD </w:t>
            </w:r>
            <w:r w:rsidRPr="008834D9">
              <w:rPr>
                <w:rFonts w:ascii="Calibri" w:hAnsi="Calibri"/>
                <w:color w:val="000000"/>
              </w:rPr>
              <w:t>(U mg</w:t>
            </w:r>
            <w:r w:rsidRPr="00453069">
              <w:rPr>
                <w:rFonts w:ascii="Calibri" w:hAnsi="Calibri"/>
                <w:color w:val="000000"/>
                <w:vertAlign w:val="superscript"/>
              </w:rPr>
              <w:t>-1</w:t>
            </w:r>
            <w:r w:rsidRPr="008834D9">
              <w:rPr>
                <w:rFonts w:ascii="Calibri" w:hAnsi="Calibri"/>
                <w:color w:val="000000"/>
              </w:rPr>
              <w:t>protein)</w:t>
            </w:r>
          </w:p>
        </w:tc>
        <w:tc>
          <w:tcPr>
            <w:tcW w:w="2516" w:type="dxa"/>
            <w:gridSpan w:val="4"/>
            <w:tcBorders>
              <w:left w:val="nil"/>
              <w:right w:val="nil"/>
            </w:tcBorders>
            <w:vAlign w:val="bottom"/>
          </w:tcPr>
          <w:p w14:paraId="5A1E206A" w14:textId="77777777" w:rsidR="00E97387" w:rsidRPr="006964FB" w:rsidRDefault="00E97387" w:rsidP="00C02C80">
            <w:pPr>
              <w:jc w:val="center"/>
              <w:rPr>
                <w:rFonts w:ascii="Calibri" w:hAnsi="Calibri"/>
                <w:color w:val="000000"/>
                <w:lang w:val="en-GB"/>
              </w:rPr>
            </w:pPr>
            <w:r w:rsidRPr="008834D9">
              <w:rPr>
                <w:rFonts w:ascii="Calibri" w:hAnsi="Calibri"/>
                <w:color w:val="000000"/>
                <w:lang w:val="en-GB"/>
              </w:rPr>
              <w:t>CAT (Abs min</w:t>
            </w:r>
            <w:r w:rsidRPr="00453069">
              <w:rPr>
                <w:rFonts w:ascii="Calibri" w:hAnsi="Calibri"/>
                <w:color w:val="000000"/>
                <w:vertAlign w:val="superscript"/>
                <w:lang w:val="en-GB"/>
              </w:rPr>
              <w:t>-1</w:t>
            </w:r>
            <w:r w:rsidRPr="008834D9">
              <w:rPr>
                <w:rFonts w:ascii="Calibri" w:hAnsi="Calibri"/>
                <w:color w:val="000000"/>
                <w:lang w:val="en-GB"/>
              </w:rPr>
              <w:t xml:space="preserve"> mg</w:t>
            </w:r>
            <w:r w:rsidRPr="00453069">
              <w:rPr>
                <w:rFonts w:ascii="Calibri" w:hAnsi="Calibri"/>
                <w:color w:val="000000"/>
                <w:vertAlign w:val="superscript"/>
                <w:lang w:val="en-GB"/>
              </w:rPr>
              <w:t>-1</w:t>
            </w:r>
            <w:r w:rsidRPr="008834D9">
              <w:rPr>
                <w:rFonts w:ascii="Calibri" w:hAnsi="Calibri"/>
                <w:color w:val="000000"/>
                <w:lang w:val="en-GB"/>
              </w:rPr>
              <w:t xml:space="preserve"> protein)</w:t>
            </w:r>
          </w:p>
        </w:tc>
        <w:tc>
          <w:tcPr>
            <w:tcW w:w="2517" w:type="dxa"/>
            <w:gridSpan w:val="4"/>
            <w:tcBorders>
              <w:left w:val="nil"/>
              <w:right w:val="nil"/>
            </w:tcBorders>
            <w:vAlign w:val="bottom"/>
          </w:tcPr>
          <w:p w14:paraId="50CE5FB8" w14:textId="77777777" w:rsidR="00E97387" w:rsidRPr="008834D9" w:rsidRDefault="00E97387" w:rsidP="00C02C80">
            <w:pPr>
              <w:jc w:val="center"/>
              <w:rPr>
                <w:rFonts w:ascii="Calibri" w:hAnsi="Calibri"/>
                <w:color w:val="000000"/>
                <w:lang w:val="en-GB"/>
              </w:rPr>
            </w:pPr>
            <w:r w:rsidRPr="008834D9">
              <w:rPr>
                <w:rFonts w:ascii="Calibri" w:hAnsi="Calibri"/>
                <w:color w:val="000000"/>
                <w:lang w:val="en-GB"/>
              </w:rPr>
              <w:t>APX (Abs min</w:t>
            </w:r>
            <w:r w:rsidRPr="00453069">
              <w:rPr>
                <w:rFonts w:ascii="Calibri" w:hAnsi="Calibri"/>
                <w:color w:val="000000"/>
                <w:vertAlign w:val="superscript"/>
                <w:lang w:val="en-GB"/>
              </w:rPr>
              <w:t>-1</w:t>
            </w:r>
            <w:r w:rsidRPr="008834D9">
              <w:rPr>
                <w:rFonts w:ascii="Calibri" w:hAnsi="Calibri"/>
                <w:color w:val="000000"/>
                <w:lang w:val="en-GB"/>
              </w:rPr>
              <w:t xml:space="preserve"> mg</w:t>
            </w:r>
            <w:r w:rsidRPr="00453069">
              <w:rPr>
                <w:rFonts w:ascii="Calibri" w:hAnsi="Calibri"/>
                <w:color w:val="000000"/>
                <w:vertAlign w:val="superscript"/>
                <w:lang w:val="en-GB"/>
              </w:rPr>
              <w:t>-1</w:t>
            </w:r>
            <w:r w:rsidRPr="008834D9">
              <w:rPr>
                <w:rFonts w:ascii="Calibri" w:hAnsi="Calibri"/>
                <w:color w:val="000000"/>
                <w:lang w:val="en-GB"/>
              </w:rPr>
              <w:t xml:space="preserve"> protein)</w:t>
            </w:r>
          </w:p>
        </w:tc>
        <w:tc>
          <w:tcPr>
            <w:tcW w:w="2517" w:type="dxa"/>
            <w:gridSpan w:val="4"/>
            <w:tcBorders>
              <w:left w:val="nil"/>
              <w:right w:val="nil"/>
            </w:tcBorders>
            <w:vAlign w:val="bottom"/>
          </w:tcPr>
          <w:p w14:paraId="183AEE30" w14:textId="77777777" w:rsidR="00E97387" w:rsidRPr="00744CC3" w:rsidRDefault="00E97387" w:rsidP="00C02C80">
            <w:pPr>
              <w:jc w:val="center"/>
              <w:rPr>
                <w:rFonts w:ascii="Calibri" w:hAnsi="Calibri"/>
                <w:color w:val="000000"/>
                <w:lang w:val="en-GB"/>
              </w:rPr>
            </w:pPr>
            <w:r w:rsidRPr="00744CC3">
              <w:rPr>
                <w:rFonts w:ascii="Calibri" w:hAnsi="Calibri"/>
                <w:color w:val="000000"/>
                <w:lang w:val="en-GB"/>
              </w:rPr>
              <w:t xml:space="preserve">GR </w:t>
            </w:r>
            <w:r w:rsidRPr="008834D9">
              <w:rPr>
                <w:rFonts w:ascii="Calibri" w:hAnsi="Calibri"/>
                <w:color w:val="000000"/>
                <w:lang w:val="en-GB"/>
              </w:rPr>
              <w:t>(Abs min</w:t>
            </w:r>
            <w:r w:rsidRPr="00453069">
              <w:rPr>
                <w:rFonts w:ascii="Calibri" w:hAnsi="Calibri"/>
                <w:color w:val="000000"/>
                <w:vertAlign w:val="superscript"/>
                <w:lang w:val="en-GB"/>
              </w:rPr>
              <w:t>-1</w:t>
            </w:r>
            <w:r w:rsidRPr="008834D9">
              <w:rPr>
                <w:rFonts w:ascii="Calibri" w:hAnsi="Calibri"/>
                <w:color w:val="000000"/>
                <w:lang w:val="en-GB"/>
              </w:rPr>
              <w:t xml:space="preserve"> mg</w:t>
            </w:r>
            <w:r w:rsidRPr="00453069">
              <w:rPr>
                <w:rFonts w:ascii="Calibri" w:hAnsi="Calibri"/>
                <w:color w:val="000000"/>
                <w:vertAlign w:val="superscript"/>
                <w:lang w:val="en-GB"/>
              </w:rPr>
              <w:t>-1</w:t>
            </w:r>
            <w:r w:rsidRPr="008834D9">
              <w:rPr>
                <w:rFonts w:ascii="Calibri" w:hAnsi="Calibri"/>
                <w:color w:val="000000"/>
                <w:lang w:val="en-GB"/>
              </w:rPr>
              <w:t xml:space="preserve"> protein)</w:t>
            </w:r>
          </w:p>
        </w:tc>
        <w:tc>
          <w:tcPr>
            <w:tcW w:w="2669" w:type="dxa"/>
            <w:gridSpan w:val="4"/>
            <w:tcBorders>
              <w:left w:val="nil"/>
              <w:right w:val="nil"/>
            </w:tcBorders>
            <w:vAlign w:val="bottom"/>
          </w:tcPr>
          <w:p w14:paraId="27D060D6" w14:textId="77777777" w:rsidR="00E97387" w:rsidRPr="00744CC3" w:rsidRDefault="00E97387" w:rsidP="00C02C80">
            <w:pPr>
              <w:jc w:val="center"/>
              <w:rPr>
                <w:rFonts w:ascii="Calibri" w:hAnsi="Calibri"/>
                <w:color w:val="000000"/>
                <w:lang w:val="en-GB"/>
              </w:rPr>
            </w:pPr>
            <w:r>
              <w:rPr>
                <w:rFonts w:ascii="Calibri" w:hAnsi="Calibri"/>
                <w:color w:val="000000"/>
                <w:lang w:val="en-GB"/>
              </w:rPr>
              <w:t xml:space="preserve">GSHPx </w:t>
            </w:r>
            <w:r w:rsidRPr="008834D9">
              <w:rPr>
                <w:rFonts w:ascii="Calibri" w:hAnsi="Calibri"/>
                <w:color w:val="000000"/>
                <w:lang w:val="en-GB"/>
              </w:rPr>
              <w:t>(Abs min</w:t>
            </w:r>
            <w:r>
              <w:rPr>
                <w:rFonts w:ascii="Calibri" w:hAnsi="Calibri"/>
                <w:color w:val="000000"/>
                <w:vertAlign w:val="superscript"/>
                <w:lang w:val="en-GB"/>
              </w:rPr>
              <w:t>-</w:t>
            </w:r>
            <w:r w:rsidRPr="00453069">
              <w:rPr>
                <w:rFonts w:ascii="Calibri" w:hAnsi="Calibri"/>
                <w:color w:val="000000"/>
                <w:vertAlign w:val="superscript"/>
                <w:lang w:val="en-GB"/>
              </w:rPr>
              <w:t>1</w:t>
            </w:r>
            <w:r w:rsidRPr="008834D9">
              <w:rPr>
                <w:rFonts w:ascii="Calibri" w:hAnsi="Calibri"/>
                <w:color w:val="000000"/>
                <w:lang w:val="en-GB"/>
              </w:rPr>
              <w:t xml:space="preserve"> mg</w:t>
            </w:r>
            <w:r w:rsidRPr="00453069">
              <w:rPr>
                <w:rFonts w:ascii="Calibri" w:hAnsi="Calibri"/>
                <w:color w:val="000000"/>
                <w:vertAlign w:val="superscript"/>
                <w:lang w:val="en-GB"/>
              </w:rPr>
              <w:t>-1</w:t>
            </w:r>
            <w:r w:rsidRPr="008834D9">
              <w:rPr>
                <w:rFonts w:ascii="Calibri" w:hAnsi="Calibri"/>
                <w:color w:val="000000"/>
                <w:lang w:val="en-GB"/>
              </w:rPr>
              <w:t xml:space="preserve"> protein)</w:t>
            </w:r>
          </w:p>
        </w:tc>
      </w:tr>
      <w:tr w:rsidR="00E97387" w14:paraId="4A70AB11" w14:textId="77777777" w:rsidTr="00C02C80">
        <w:trPr>
          <w:gridAfter w:val="1"/>
          <w:wAfter w:w="30" w:type="dxa"/>
          <w:trHeight w:val="220"/>
          <w:jc w:val="center"/>
        </w:trPr>
        <w:tc>
          <w:tcPr>
            <w:tcW w:w="1094" w:type="dxa"/>
            <w:tcBorders>
              <w:left w:val="nil"/>
              <w:bottom w:val="single" w:sz="4" w:space="0" w:color="auto"/>
              <w:right w:val="nil"/>
            </w:tcBorders>
          </w:tcPr>
          <w:p w14:paraId="59DB5DF6" w14:textId="77777777" w:rsidR="00E97387" w:rsidRPr="00F30B60" w:rsidRDefault="00E97387" w:rsidP="00C02C80">
            <w:pPr>
              <w:jc w:val="center"/>
              <w:rPr>
                <w:lang w:val="en-GB"/>
              </w:rPr>
            </w:pPr>
          </w:p>
        </w:tc>
        <w:tc>
          <w:tcPr>
            <w:tcW w:w="1353" w:type="dxa"/>
            <w:gridSpan w:val="2"/>
            <w:tcBorders>
              <w:left w:val="nil"/>
              <w:bottom w:val="single" w:sz="4" w:space="0" w:color="auto"/>
              <w:right w:val="nil"/>
            </w:tcBorders>
          </w:tcPr>
          <w:p w14:paraId="4FB09231" w14:textId="77777777" w:rsidR="00E97387" w:rsidRDefault="00E97387" w:rsidP="00C02C80">
            <w:pPr>
              <w:jc w:val="center"/>
            </w:pPr>
            <w:r>
              <w:t>Grand Brix</w:t>
            </w:r>
          </w:p>
        </w:tc>
        <w:tc>
          <w:tcPr>
            <w:tcW w:w="1226" w:type="dxa"/>
            <w:gridSpan w:val="2"/>
            <w:tcBorders>
              <w:left w:val="nil"/>
              <w:bottom w:val="single" w:sz="4" w:space="0" w:color="auto"/>
              <w:right w:val="nil"/>
            </w:tcBorders>
          </w:tcPr>
          <w:p w14:paraId="43E53246" w14:textId="77777777" w:rsidR="00E97387" w:rsidRDefault="00E97387" w:rsidP="00C02C80">
            <w:pPr>
              <w:jc w:val="center"/>
            </w:pPr>
            <w:r>
              <w:t>Marmande</w:t>
            </w:r>
          </w:p>
        </w:tc>
        <w:tc>
          <w:tcPr>
            <w:tcW w:w="1257" w:type="dxa"/>
            <w:gridSpan w:val="2"/>
            <w:tcBorders>
              <w:left w:val="nil"/>
              <w:bottom w:val="single" w:sz="4" w:space="0" w:color="auto"/>
              <w:right w:val="nil"/>
            </w:tcBorders>
          </w:tcPr>
          <w:p w14:paraId="4AC6846A" w14:textId="77777777" w:rsidR="00E97387" w:rsidRDefault="00E97387" w:rsidP="00C02C80">
            <w:pPr>
              <w:jc w:val="center"/>
            </w:pPr>
            <w:r>
              <w:t>Grand Brix</w:t>
            </w:r>
          </w:p>
        </w:tc>
        <w:tc>
          <w:tcPr>
            <w:tcW w:w="1259" w:type="dxa"/>
            <w:gridSpan w:val="2"/>
            <w:tcBorders>
              <w:left w:val="nil"/>
              <w:bottom w:val="single" w:sz="4" w:space="0" w:color="auto"/>
              <w:right w:val="nil"/>
            </w:tcBorders>
          </w:tcPr>
          <w:p w14:paraId="3CD2C04F" w14:textId="77777777" w:rsidR="00E97387" w:rsidRDefault="00E97387" w:rsidP="00C02C80">
            <w:pPr>
              <w:jc w:val="center"/>
            </w:pPr>
            <w:r>
              <w:t>Marmande</w:t>
            </w:r>
          </w:p>
        </w:tc>
        <w:tc>
          <w:tcPr>
            <w:tcW w:w="1258" w:type="dxa"/>
            <w:gridSpan w:val="2"/>
            <w:tcBorders>
              <w:left w:val="nil"/>
              <w:bottom w:val="single" w:sz="4" w:space="0" w:color="auto"/>
              <w:right w:val="nil"/>
            </w:tcBorders>
          </w:tcPr>
          <w:p w14:paraId="7C285C74" w14:textId="77777777" w:rsidR="00E97387" w:rsidRDefault="00E97387" w:rsidP="00C02C80">
            <w:pPr>
              <w:jc w:val="center"/>
            </w:pPr>
            <w:r>
              <w:t>Grand Brix</w:t>
            </w:r>
          </w:p>
        </w:tc>
        <w:tc>
          <w:tcPr>
            <w:tcW w:w="1259" w:type="dxa"/>
            <w:gridSpan w:val="2"/>
            <w:tcBorders>
              <w:left w:val="nil"/>
              <w:bottom w:val="single" w:sz="4" w:space="0" w:color="auto"/>
              <w:right w:val="nil"/>
            </w:tcBorders>
          </w:tcPr>
          <w:p w14:paraId="336FD277" w14:textId="77777777" w:rsidR="00E97387" w:rsidRDefault="00E97387" w:rsidP="00C02C80">
            <w:pPr>
              <w:jc w:val="center"/>
            </w:pPr>
            <w:r>
              <w:t>Marmande</w:t>
            </w:r>
          </w:p>
        </w:tc>
        <w:tc>
          <w:tcPr>
            <w:tcW w:w="1258" w:type="dxa"/>
            <w:gridSpan w:val="2"/>
            <w:tcBorders>
              <w:left w:val="nil"/>
              <w:bottom w:val="single" w:sz="4" w:space="0" w:color="auto"/>
              <w:right w:val="nil"/>
            </w:tcBorders>
          </w:tcPr>
          <w:p w14:paraId="63E9F0AD" w14:textId="77777777" w:rsidR="00E97387" w:rsidRDefault="00E97387" w:rsidP="00C02C80">
            <w:pPr>
              <w:jc w:val="center"/>
            </w:pPr>
            <w:r>
              <w:t>Grand Brix</w:t>
            </w:r>
          </w:p>
        </w:tc>
        <w:tc>
          <w:tcPr>
            <w:tcW w:w="1259" w:type="dxa"/>
            <w:gridSpan w:val="2"/>
            <w:tcBorders>
              <w:left w:val="nil"/>
              <w:bottom w:val="single" w:sz="4" w:space="0" w:color="auto"/>
              <w:right w:val="nil"/>
            </w:tcBorders>
          </w:tcPr>
          <w:p w14:paraId="20C307B3" w14:textId="77777777" w:rsidR="00E97387" w:rsidRDefault="00E97387" w:rsidP="00C02C80">
            <w:pPr>
              <w:jc w:val="center"/>
            </w:pPr>
            <w:r>
              <w:t>Marmande</w:t>
            </w:r>
          </w:p>
        </w:tc>
        <w:tc>
          <w:tcPr>
            <w:tcW w:w="1258" w:type="dxa"/>
            <w:gridSpan w:val="2"/>
            <w:tcBorders>
              <w:left w:val="nil"/>
              <w:bottom w:val="single" w:sz="4" w:space="0" w:color="auto"/>
              <w:right w:val="nil"/>
            </w:tcBorders>
          </w:tcPr>
          <w:p w14:paraId="750B1240" w14:textId="77777777" w:rsidR="00E97387" w:rsidRDefault="00E97387" w:rsidP="00C02C80">
            <w:pPr>
              <w:jc w:val="center"/>
            </w:pPr>
            <w:r>
              <w:t>Grand Brix</w:t>
            </w:r>
          </w:p>
        </w:tc>
        <w:tc>
          <w:tcPr>
            <w:tcW w:w="1411" w:type="dxa"/>
            <w:gridSpan w:val="2"/>
            <w:tcBorders>
              <w:left w:val="nil"/>
              <w:bottom w:val="single" w:sz="4" w:space="0" w:color="auto"/>
              <w:right w:val="nil"/>
            </w:tcBorders>
          </w:tcPr>
          <w:p w14:paraId="44C8123E" w14:textId="77777777" w:rsidR="00E97387" w:rsidRDefault="00E97387" w:rsidP="00C02C80">
            <w:pPr>
              <w:jc w:val="center"/>
            </w:pPr>
            <w:r>
              <w:t>Marmande</w:t>
            </w:r>
          </w:p>
        </w:tc>
      </w:tr>
      <w:tr w:rsidR="00E97387" w:rsidRPr="00744CC3" w14:paraId="64BF7E9D" w14:textId="77777777" w:rsidTr="00C02C80">
        <w:trPr>
          <w:trHeight w:val="285"/>
          <w:jc w:val="center"/>
        </w:trPr>
        <w:tc>
          <w:tcPr>
            <w:tcW w:w="1296" w:type="dxa"/>
            <w:gridSpan w:val="2"/>
            <w:tcBorders>
              <w:top w:val="single" w:sz="4" w:space="0" w:color="auto"/>
              <w:left w:val="nil"/>
              <w:bottom w:val="nil"/>
              <w:right w:val="nil"/>
            </w:tcBorders>
          </w:tcPr>
          <w:p w14:paraId="5F5F7D25" w14:textId="77777777" w:rsidR="00E97387" w:rsidRDefault="00E97387" w:rsidP="00C02C80">
            <w:r>
              <w:t>Control</w:t>
            </w:r>
          </w:p>
        </w:tc>
        <w:tc>
          <w:tcPr>
            <w:tcW w:w="1300" w:type="dxa"/>
            <w:gridSpan w:val="2"/>
            <w:tcBorders>
              <w:top w:val="single" w:sz="4" w:space="0" w:color="auto"/>
              <w:left w:val="nil"/>
              <w:bottom w:val="nil"/>
              <w:right w:val="nil"/>
            </w:tcBorders>
          </w:tcPr>
          <w:p w14:paraId="6D50E9B4" w14:textId="77777777" w:rsidR="00E97387" w:rsidRPr="003B1BB7" w:rsidRDefault="00E97387" w:rsidP="00C02C80">
            <w:pPr>
              <w:jc w:val="center"/>
              <w:rPr>
                <w:vertAlign w:val="superscript"/>
              </w:rPr>
            </w:pPr>
            <w:r>
              <w:t>2.50</w:t>
            </w:r>
            <w:r w:rsidRPr="00920A5D">
              <w:t>±</w:t>
            </w:r>
            <w:r>
              <w:t>0.08</w:t>
            </w:r>
            <w:r>
              <w:rPr>
                <w:vertAlign w:val="superscript"/>
              </w:rPr>
              <w:t>b</w:t>
            </w:r>
            <w:r w:rsidRPr="007F1B5F">
              <w:rPr>
                <w:lang w:val="en-GB"/>
              </w:rPr>
              <w:t>†</w:t>
            </w:r>
          </w:p>
        </w:tc>
        <w:tc>
          <w:tcPr>
            <w:tcW w:w="1258" w:type="dxa"/>
            <w:gridSpan w:val="2"/>
            <w:tcBorders>
              <w:top w:val="single" w:sz="4" w:space="0" w:color="auto"/>
              <w:left w:val="nil"/>
              <w:bottom w:val="nil"/>
              <w:right w:val="nil"/>
            </w:tcBorders>
          </w:tcPr>
          <w:p w14:paraId="5422827E" w14:textId="77777777" w:rsidR="00E97387" w:rsidRPr="008703DC" w:rsidRDefault="00E97387" w:rsidP="00C02C80">
            <w:pPr>
              <w:jc w:val="center"/>
              <w:rPr>
                <w:vertAlign w:val="superscript"/>
              </w:rPr>
            </w:pPr>
            <w:r>
              <w:t>1.91</w:t>
            </w:r>
            <w:r w:rsidRPr="00920A5D">
              <w:t>±</w:t>
            </w:r>
            <w:r>
              <w:t>0.04</w:t>
            </w:r>
            <w:r>
              <w:rPr>
                <w:vertAlign w:val="superscript"/>
              </w:rPr>
              <w:t>b</w:t>
            </w:r>
          </w:p>
        </w:tc>
        <w:tc>
          <w:tcPr>
            <w:tcW w:w="1258" w:type="dxa"/>
            <w:gridSpan w:val="2"/>
            <w:tcBorders>
              <w:top w:val="single" w:sz="4" w:space="0" w:color="auto"/>
              <w:left w:val="nil"/>
              <w:bottom w:val="nil"/>
              <w:right w:val="nil"/>
            </w:tcBorders>
          </w:tcPr>
          <w:p w14:paraId="4AF50F63" w14:textId="77777777" w:rsidR="00E97387" w:rsidRPr="003B1BB7" w:rsidRDefault="00E97387" w:rsidP="00C02C80">
            <w:pPr>
              <w:jc w:val="center"/>
              <w:rPr>
                <w:vertAlign w:val="superscript"/>
              </w:rPr>
            </w:pPr>
            <w:r>
              <w:t>0.04</w:t>
            </w:r>
            <w:r w:rsidRPr="00920A5D">
              <w:t>±</w:t>
            </w:r>
            <w:r>
              <w:t>0.00</w:t>
            </w:r>
            <w:r>
              <w:rPr>
                <w:vertAlign w:val="superscript"/>
              </w:rPr>
              <w:t>a</w:t>
            </w:r>
          </w:p>
        </w:tc>
        <w:tc>
          <w:tcPr>
            <w:tcW w:w="1259" w:type="dxa"/>
            <w:gridSpan w:val="2"/>
            <w:tcBorders>
              <w:top w:val="single" w:sz="4" w:space="0" w:color="auto"/>
              <w:left w:val="nil"/>
              <w:bottom w:val="nil"/>
              <w:right w:val="nil"/>
            </w:tcBorders>
          </w:tcPr>
          <w:p w14:paraId="365C2D38" w14:textId="77777777" w:rsidR="00E97387" w:rsidRPr="00E8725F" w:rsidRDefault="00E97387" w:rsidP="00C02C80">
            <w:pPr>
              <w:jc w:val="center"/>
              <w:rPr>
                <w:vertAlign w:val="superscript"/>
              </w:rPr>
            </w:pPr>
            <w:r>
              <w:t>0.02</w:t>
            </w:r>
            <w:r w:rsidRPr="00920A5D">
              <w:t>±</w:t>
            </w:r>
            <w:r>
              <w:t>0.00</w:t>
            </w:r>
            <w:r>
              <w:rPr>
                <w:vertAlign w:val="superscript"/>
              </w:rPr>
              <w:t>a</w:t>
            </w:r>
          </w:p>
        </w:tc>
        <w:tc>
          <w:tcPr>
            <w:tcW w:w="1258" w:type="dxa"/>
            <w:gridSpan w:val="2"/>
            <w:tcBorders>
              <w:left w:val="nil"/>
              <w:bottom w:val="nil"/>
              <w:right w:val="nil"/>
            </w:tcBorders>
          </w:tcPr>
          <w:p w14:paraId="093F9889" w14:textId="77777777" w:rsidR="00E97387" w:rsidRPr="003B1BB7" w:rsidRDefault="00E97387" w:rsidP="00C02C80">
            <w:pPr>
              <w:jc w:val="center"/>
              <w:rPr>
                <w:vertAlign w:val="superscript"/>
              </w:rPr>
            </w:pPr>
            <w:r>
              <w:t>0.03</w:t>
            </w:r>
            <w:r w:rsidRPr="00920A5D">
              <w:t>±</w:t>
            </w:r>
            <w:r>
              <w:t>0.00</w:t>
            </w:r>
            <w:r>
              <w:rPr>
                <w:vertAlign w:val="superscript"/>
              </w:rPr>
              <w:t>b</w:t>
            </w:r>
          </w:p>
        </w:tc>
        <w:tc>
          <w:tcPr>
            <w:tcW w:w="1259" w:type="dxa"/>
            <w:gridSpan w:val="2"/>
            <w:tcBorders>
              <w:left w:val="nil"/>
              <w:bottom w:val="nil"/>
              <w:right w:val="nil"/>
            </w:tcBorders>
          </w:tcPr>
          <w:p w14:paraId="67CB756B" w14:textId="77777777" w:rsidR="00E97387" w:rsidRPr="00744CC3" w:rsidRDefault="00E97387" w:rsidP="00C02C80">
            <w:pPr>
              <w:jc w:val="center"/>
              <w:rPr>
                <w:vertAlign w:val="superscript"/>
              </w:rPr>
            </w:pPr>
            <w:r>
              <w:t>0.03</w:t>
            </w:r>
            <w:r w:rsidRPr="00920A5D">
              <w:t>±</w:t>
            </w:r>
            <w:r>
              <w:t>0.00</w:t>
            </w:r>
            <w:r>
              <w:rPr>
                <w:vertAlign w:val="superscript"/>
              </w:rPr>
              <w:t>b</w:t>
            </w:r>
          </w:p>
        </w:tc>
        <w:tc>
          <w:tcPr>
            <w:tcW w:w="1258" w:type="dxa"/>
            <w:gridSpan w:val="2"/>
            <w:tcBorders>
              <w:left w:val="nil"/>
              <w:bottom w:val="nil"/>
              <w:right w:val="nil"/>
            </w:tcBorders>
          </w:tcPr>
          <w:p w14:paraId="036465D0" w14:textId="77777777" w:rsidR="00E97387" w:rsidRPr="00BF3D26" w:rsidRDefault="00E97387" w:rsidP="00C02C80">
            <w:pPr>
              <w:jc w:val="center"/>
              <w:rPr>
                <w:vertAlign w:val="superscript"/>
              </w:rPr>
            </w:pPr>
            <w:r>
              <w:t>0.02</w:t>
            </w:r>
            <w:r w:rsidRPr="00920A5D">
              <w:t>±</w:t>
            </w:r>
            <w:r>
              <w:t>0.</w:t>
            </w:r>
            <w:r w:rsidRPr="00BF3D26">
              <w:t>00</w:t>
            </w:r>
            <w:r>
              <w:rPr>
                <w:vertAlign w:val="superscript"/>
              </w:rPr>
              <w:t>a</w:t>
            </w:r>
          </w:p>
        </w:tc>
        <w:tc>
          <w:tcPr>
            <w:tcW w:w="1259" w:type="dxa"/>
            <w:gridSpan w:val="2"/>
            <w:tcBorders>
              <w:left w:val="nil"/>
              <w:bottom w:val="nil"/>
              <w:right w:val="nil"/>
            </w:tcBorders>
          </w:tcPr>
          <w:p w14:paraId="3DA28B2B" w14:textId="77777777" w:rsidR="00E97387" w:rsidRPr="0055685D" w:rsidRDefault="00E97387" w:rsidP="00C02C80">
            <w:pPr>
              <w:jc w:val="center"/>
              <w:rPr>
                <w:vertAlign w:val="superscript"/>
              </w:rPr>
            </w:pPr>
            <w:r>
              <w:t>0,02</w:t>
            </w:r>
            <w:r w:rsidRPr="00920A5D">
              <w:t>±</w:t>
            </w:r>
            <w:r>
              <w:t>0,00</w:t>
            </w:r>
            <w:r>
              <w:rPr>
                <w:vertAlign w:val="superscript"/>
              </w:rPr>
              <w:t>a</w:t>
            </w:r>
          </w:p>
        </w:tc>
        <w:tc>
          <w:tcPr>
            <w:tcW w:w="1258" w:type="dxa"/>
            <w:gridSpan w:val="2"/>
            <w:tcBorders>
              <w:left w:val="nil"/>
              <w:bottom w:val="nil"/>
              <w:right w:val="nil"/>
            </w:tcBorders>
          </w:tcPr>
          <w:p w14:paraId="1FC1C9B7" w14:textId="77777777" w:rsidR="00E97387" w:rsidRPr="00EB03E2" w:rsidRDefault="00E97387" w:rsidP="00C02C80">
            <w:pPr>
              <w:jc w:val="center"/>
              <w:rPr>
                <w:vertAlign w:val="superscript"/>
              </w:rPr>
            </w:pPr>
            <w:r>
              <w:t>0,01</w:t>
            </w:r>
            <w:r w:rsidRPr="00920A5D">
              <w:t>±</w:t>
            </w:r>
            <w:r>
              <w:t>0,00</w:t>
            </w:r>
            <w:r>
              <w:rPr>
                <w:vertAlign w:val="superscript"/>
              </w:rPr>
              <w:t>b</w:t>
            </w:r>
          </w:p>
        </w:tc>
        <w:tc>
          <w:tcPr>
            <w:tcW w:w="1259" w:type="dxa"/>
            <w:gridSpan w:val="2"/>
            <w:tcBorders>
              <w:left w:val="nil"/>
              <w:bottom w:val="nil"/>
              <w:right w:val="nil"/>
            </w:tcBorders>
          </w:tcPr>
          <w:p w14:paraId="686423D5" w14:textId="77777777" w:rsidR="00E97387" w:rsidRPr="0055685D" w:rsidRDefault="00E97387" w:rsidP="00C02C80">
            <w:pPr>
              <w:jc w:val="center"/>
              <w:rPr>
                <w:vertAlign w:val="superscript"/>
              </w:rPr>
            </w:pPr>
            <w:r>
              <w:t>0,01</w:t>
            </w:r>
            <w:r w:rsidRPr="00920A5D">
              <w:t>±</w:t>
            </w:r>
            <w:r>
              <w:t>0,00</w:t>
            </w:r>
            <w:r>
              <w:rPr>
                <w:vertAlign w:val="superscript"/>
              </w:rPr>
              <w:t>b</w:t>
            </w:r>
          </w:p>
        </w:tc>
      </w:tr>
      <w:tr w:rsidR="00E97387" w:rsidRPr="00744CC3" w14:paraId="7D0358C5" w14:textId="77777777" w:rsidTr="00C02C80">
        <w:trPr>
          <w:trHeight w:val="270"/>
          <w:jc w:val="center"/>
        </w:trPr>
        <w:tc>
          <w:tcPr>
            <w:tcW w:w="1296" w:type="dxa"/>
            <w:gridSpan w:val="2"/>
            <w:tcBorders>
              <w:top w:val="nil"/>
              <w:left w:val="nil"/>
              <w:bottom w:val="nil"/>
              <w:right w:val="nil"/>
            </w:tcBorders>
          </w:tcPr>
          <w:p w14:paraId="21693DE1" w14:textId="77777777" w:rsidR="00E97387" w:rsidRDefault="00E97387" w:rsidP="00C02C80">
            <w:r>
              <w:t>Salinity</w:t>
            </w:r>
          </w:p>
        </w:tc>
        <w:tc>
          <w:tcPr>
            <w:tcW w:w="1300" w:type="dxa"/>
            <w:gridSpan w:val="2"/>
            <w:tcBorders>
              <w:top w:val="nil"/>
              <w:left w:val="nil"/>
              <w:bottom w:val="nil"/>
              <w:right w:val="nil"/>
            </w:tcBorders>
          </w:tcPr>
          <w:p w14:paraId="5D77A958" w14:textId="77777777" w:rsidR="00E97387" w:rsidRPr="003B1BB7" w:rsidRDefault="00E97387" w:rsidP="00C02C80">
            <w:pPr>
              <w:rPr>
                <w:vertAlign w:val="superscript"/>
              </w:rPr>
            </w:pPr>
            <w:r>
              <w:t>3.38</w:t>
            </w:r>
            <w:r w:rsidRPr="00920A5D">
              <w:t>±</w:t>
            </w:r>
            <w:r>
              <w:t>0.05</w:t>
            </w:r>
            <w:r>
              <w:rPr>
                <w:vertAlign w:val="superscript"/>
              </w:rPr>
              <w:t>a</w:t>
            </w:r>
          </w:p>
        </w:tc>
        <w:tc>
          <w:tcPr>
            <w:tcW w:w="1258" w:type="dxa"/>
            <w:gridSpan w:val="2"/>
            <w:tcBorders>
              <w:top w:val="nil"/>
              <w:left w:val="nil"/>
              <w:bottom w:val="nil"/>
              <w:right w:val="nil"/>
            </w:tcBorders>
          </w:tcPr>
          <w:p w14:paraId="52A86F2E" w14:textId="77777777" w:rsidR="00E97387" w:rsidRPr="008703DC" w:rsidRDefault="00E97387" w:rsidP="00C02C80">
            <w:pPr>
              <w:jc w:val="center"/>
              <w:rPr>
                <w:vertAlign w:val="superscript"/>
              </w:rPr>
            </w:pPr>
            <w:r>
              <w:t>2.63</w:t>
            </w:r>
            <w:r w:rsidRPr="00920A5D">
              <w:t>±</w:t>
            </w:r>
            <w:r>
              <w:t>0.04</w:t>
            </w:r>
            <w:r>
              <w:rPr>
                <w:vertAlign w:val="superscript"/>
              </w:rPr>
              <w:t>a</w:t>
            </w:r>
          </w:p>
        </w:tc>
        <w:tc>
          <w:tcPr>
            <w:tcW w:w="1258" w:type="dxa"/>
            <w:gridSpan w:val="2"/>
            <w:tcBorders>
              <w:top w:val="nil"/>
              <w:left w:val="nil"/>
              <w:bottom w:val="nil"/>
              <w:right w:val="nil"/>
            </w:tcBorders>
          </w:tcPr>
          <w:p w14:paraId="22BE2C3A" w14:textId="77777777" w:rsidR="00E97387" w:rsidRPr="003B1BB7" w:rsidRDefault="00E97387" w:rsidP="00C02C80">
            <w:pPr>
              <w:jc w:val="center"/>
              <w:rPr>
                <w:vertAlign w:val="superscript"/>
              </w:rPr>
            </w:pPr>
            <w:r>
              <w:t>0.01</w:t>
            </w:r>
            <w:r w:rsidRPr="00920A5D">
              <w:t>±</w:t>
            </w:r>
            <w:r>
              <w:t>0.00</w:t>
            </w:r>
            <w:r>
              <w:rPr>
                <w:vertAlign w:val="superscript"/>
              </w:rPr>
              <w:t>b</w:t>
            </w:r>
          </w:p>
        </w:tc>
        <w:tc>
          <w:tcPr>
            <w:tcW w:w="1259" w:type="dxa"/>
            <w:gridSpan w:val="2"/>
            <w:tcBorders>
              <w:top w:val="nil"/>
              <w:left w:val="nil"/>
              <w:bottom w:val="nil"/>
              <w:right w:val="nil"/>
            </w:tcBorders>
          </w:tcPr>
          <w:p w14:paraId="74B371DA" w14:textId="77777777" w:rsidR="00E97387" w:rsidRPr="00E8725F" w:rsidRDefault="00E97387" w:rsidP="00C02C80">
            <w:pPr>
              <w:jc w:val="center"/>
              <w:rPr>
                <w:vertAlign w:val="superscript"/>
              </w:rPr>
            </w:pPr>
            <w:r>
              <w:t>0.01</w:t>
            </w:r>
            <w:r w:rsidRPr="00920A5D">
              <w:t>±</w:t>
            </w:r>
            <w:r>
              <w:t>0.</w:t>
            </w:r>
            <w:r w:rsidRPr="00E8725F">
              <w:t>00</w:t>
            </w:r>
            <w:r>
              <w:rPr>
                <w:vertAlign w:val="superscript"/>
              </w:rPr>
              <w:t>b</w:t>
            </w:r>
          </w:p>
        </w:tc>
        <w:tc>
          <w:tcPr>
            <w:tcW w:w="1258" w:type="dxa"/>
            <w:gridSpan w:val="2"/>
            <w:tcBorders>
              <w:top w:val="nil"/>
              <w:left w:val="nil"/>
              <w:bottom w:val="nil"/>
              <w:right w:val="nil"/>
            </w:tcBorders>
          </w:tcPr>
          <w:p w14:paraId="2323AEA9" w14:textId="77777777" w:rsidR="00E97387" w:rsidRPr="003B1BB7" w:rsidRDefault="00E97387" w:rsidP="00C02C80">
            <w:pPr>
              <w:jc w:val="center"/>
              <w:rPr>
                <w:vertAlign w:val="superscript"/>
              </w:rPr>
            </w:pPr>
            <w:r>
              <w:t>0.04</w:t>
            </w:r>
            <w:r w:rsidRPr="00920A5D">
              <w:t>±</w:t>
            </w:r>
            <w:r>
              <w:t>0.00</w:t>
            </w:r>
            <w:r>
              <w:rPr>
                <w:vertAlign w:val="superscript"/>
              </w:rPr>
              <w:t>a</w:t>
            </w:r>
          </w:p>
        </w:tc>
        <w:tc>
          <w:tcPr>
            <w:tcW w:w="1259" w:type="dxa"/>
            <w:gridSpan w:val="2"/>
            <w:tcBorders>
              <w:top w:val="nil"/>
              <w:left w:val="nil"/>
              <w:bottom w:val="nil"/>
              <w:right w:val="nil"/>
            </w:tcBorders>
          </w:tcPr>
          <w:p w14:paraId="2AF0439E" w14:textId="77777777" w:rsidR="00E97387" w:rsidRPr="00744CC3" w:rsidRDefault="00E97387" w:rsidP="00C02C80">
            <w:pPr>
              <w:jc w:val="center"/>
              <w:rPr>
                <w:vertAlign w:val="superscript"/>
              </w:rPr>
            </w:pPr>
            <w:r>
              <w:t>0.07</w:t>
            </w:r>
            <w:r w:rsidRPr="00920A5D">
              <w:t>±</w:t>
            </w:r>
            <w:r>
              <w:t>0.00</w:t>
            </w:r>
            <w:r>
              <w:rPr>
                <w:vertAlign w:val="superscript"/>
              </w:rPr>
              <w:t>a</w:t>
            </w:r>
          </w:p>
        </w:tc>
        <w:tc>
          <w:tcPr>
            <w:tcW w:w="1258" w:type="dxa"/>
            <w:gridSpan w:val="2"/>
            <w:tcBorders>
              <w:top w:val="nil"/>
              <w:left w:val="nil"/>
              <w:bottom w:val="nil"/>
              <w:right w:val="nil"/>
            </w:tcBorders>
          </w:tcPr>
          <w:p w14:paraId="5E5EBD0B" w14:textId="77777777" w:rsidR="00E97387" w:rsidRPr="00BF3D26" w:rsidRDefault="00E97387" w:rsidP="00C02C80">
            <w:pPr>
              <w:jc w:val="center"/>
              <w:rPr>
                <w:vertAlign w:val="superscript"/>
              </w:rPr>
            </w:pPr>
            <w:r>
              <w:t>0.02</w:t>
            </w:r>
            <w:r w:rsidRPr="00920A5D">
              <w:t>±</w:t>
            </w:r>
            <w:r>
              <w:t>0.</w:t>
            </w:r>
            <w:r w:rsidRPr="00BF3D26">
              <w:t>00</w:t>
            </w:r>
            <w:r>
              <w:rPr>
                <w:vertAlign w:val="superscript"/>
              </w:rPr>
              <w:t>a</w:t>
            </w:r>
          </w:p>
        </w:tc>
        <w:tc>
          <w:tcPr>
            <w:tcW w:w="1259" w:type="dxa"/>
            <w:gridSpan w:val="2"/>
            <w:tcBorders>
              <w:top w:val="nil"/>
              <w:left w:val="nil"/>
              <w:bottom w:val="nil"/>
              <w:right w:val="nil"/>
            </w:tcBorders>
          </w:tcPr>
          <w:p w14:paraId="7387351F" w14:textId="77777777" w:rsidR="00E97387" w:rsidRPr="0055685D" w:rsidRDefault="00E97387" w:rsidP="00C02C80">
            <w:pPr>
              <w:jc w:val="center"/>
              <w:rPr>
                <w:vertAlign w:val="superscript"/>
              </w:rPr>
            </w:pPr>
            <w:r>
              <w:t>0,02</w:t>
            </w:r>
            <w:r w:rsidRPr="00920A5D">
              <w:t>±</w:t>
            </w:r>
            <w:r>
              <w:t>0,00</w:t>
            </w:r>
            <w:r>
              <w:rPr>
                <w:vertAlign w:val="superscript"/>
              </w:rPr>
              <w:t>a</w:t>
            </w:r>
          </w:p>
        </w:tc>
        <w:tc>
          <w:tcPr>
            <w:tcW w:w="1258" w:type="dxa"/>
            <w:gridSpan w:val="2"/>
            <w:tcBorders>
              <w:top w:val="nil"/>
              <w:left w:val="nil"/>
              <w:bottom w:val="nil"/>
              <w:right w:val="nil"/>
            </w:tcBorders>
          </w:tcPr>
          <w:p w14:paraId="250DD635" w14:textId="77777777" w:rsidR="00E97387" w:rsidRPr="00EB03E2" w:rsidRDefault="00E97387" w:rsidP="00C02C80">
            <w:pPr>
              <w:jc w:val="center"/>
              <w:rPr>
                <w:vertAlign w:val="superscript"/>
              </w:rPr>
            </w:pPr>
            <w:r>
              <w:t>0,02</w:t>
            </w:r>
            <w:r w:rsidRPr="00920A5D">
              <w:t>±</w:t>
            </w:r>
            <w:r>
              <w:t>0,00</w:t>
            </w:r>
            <w:r>
              <w:rPr>
                <w:vertAlign w:val="superscript"/>
              </w:rPr>
              <w:t>a</w:t>
            </w:r>
          </w:p>
        </w:tc>
        <w:tc>
          <w:tcPr>
            <w:tcW w:w="1259" w:type="dxa"/>
            <w:gridSpan w:val="2"/>
            <w:tcBorders>
              <w:top w:val="nil"/>
              <w:left w:val="nil"/>
              <w:bottom w:val="nil"/>
              <w:right w:val="nil"/>
            </w:tcBorders>
          </w:tcPr>
          <w:p w14:paraId="1EDF711E" w14:textId="77777777" w:rsidR="00E97387" w:rsidRPr="0055685D" w:rsidRDefault="00E97387" w:rsidP="00C02C80">
            <w:pPr>
              <w:jc w:val="center"/>
              <w:rPr>
                <w:vertAlign w:val="superscript"/>
              </w:rPr>
            </w:pPr>
            <w:r>
              <w:t>0,02</w:t>
            </w:r>
            <w:r w:rsidRPr="00920A5D">
              <w:t>±</w:t>
            </w:r>
            <w:r>
              <w:t>0,00</w:t>
            </w:r>
            <w:r>
              <w:rPr>
                <w:vertAlign w:val="superscript"/>
              </w:rPr>
              <w:t>a</w:t>
            </w:r>
          </w:p>
        </w:tc>
      </w:tr>
      <w:tr w:rsidR="00E97387" w:rsidRPr="008834D9" w14:paraId="5B34C222" w14:textId="77777777" w:rsidTr="00C02C80">
        <w:trPr>
          <w:trHeight w:val="410"/>
          <w:jc w:val="center"/>
        </w:trPr>
        <w:tc>
          <w:tcPr>
            <w:tcW w:w="1296" w:type="dxa"/>
            <w:gridSpan w:val="2"/>
            <w:tcBorders>
              <w:top w:val="nil"/>
              <w:left w:val="nil"/>
              <w:bottom w:val="nil"/>
              <w:right w:val="nil"/>
            </w:tcBorders>
          </w:tcPr>
          <w:p w14:paraId="04718BB6" w14:textId="77777777" w:rsidR="00E97387" w:rsidRDefault="00E97387" w:rsidP="00C02C80">
            <w:r>
              <w:t>P-valor</w:t>
            </w:r>
          </w:p>
        </w:tc>
        <w:tc>
          <w:tcPr>
            <w:tcW w:w="1300" w:type="dxa"/>
            <w:gridSpan w:val="2"/>
            <w:tcBorders>
              <w:top w:val="nil"/>
              <w:left w:val="nil"/>
              <w:bottom w:val="nil"/>
              <w:right w:val="nil"/>
            </w:tcBorders>
          </w:tcPr>
          <w:p w14:paraId="13096843" w14:textId="77777777" w:rsidR="00E97387" w:rsidRPr="008834D9" w:rsidRDefault="00E97387" w:rsidP="00C02C80">
            <w:pPr>
              <w:jc w:val="center"/>
            </w:pPr>
            <w:r>
              <w:t>***</w:t>
            </w:r>
            <w:r w:rsidRPr="007F1B5F">
              <w:rPr>
                <w:lang w:val="en-GB"/>
              </w:rPr>
              <w:t>§</w:t>
            </w:r>
          </w:p>
        </w:tc>
        <w:tc>
          <w:tcPr>
            <w:tcW w:w="1258" w:type="dxa"/>
            <w:gridSpan w:val="2"/>
            <w:tcBorders>
              <w:top w:val="nil"/>
              <w:left w:val="nil"/>
              <w:bottom w:val="nil"/>
              <w:right w:val="nil"/>
            </w:tcBorders>
          </w:tcPr>
          <w:p w14:paraId="6AF18D15" w14:textId="77777777" w:rsidR="00E97387" w:rsidRPr="008834D9" w:rsidRDefault="00E97387" w:rsidP="00C02C80">
            <w:pPr>
              <w:jc w:val="center"/>
            </w:pPr>
            <w:r>
              <w:t>***</w:t>
            </w:r>
          </w:p>
        </w:tc>
        <w:tc>
          <w:tcPr>
            <w:tcW w:w="1258" w:type="dxa"/>
            <w:gridSpan w:val="2"/>
            <w:tcBorders>
              <w:top w:val="nil"/>
              <w:left w:val="nil"/>
              <w:bottom w:val="nil"/>
              <w:right w:val="nil"/>
            </w:tcBorders>
          </w:tcPr>
          <w:p w14:paraId="4FBE480D" w14:textId="77777777" w:rsidR="00E97387" w:rsidRPr="008834D9" w:rsidRDefault="00E97387" w:rsidP="00C02C80">
            <w:pPr>
              <w:jc w:val="center"/>
            </w:pPr>
            <w:r>
              <w:t>***</w:t>
            </w:r>
          </w:p>
        </w:tc>
        <w:tc>
          <w:tcPr>
            <w:tcW w:w="1259" w:type="dxa"/>
            <w:gridSpan w:val="2"/>
            <w:tcBorders>
              <w:top w:val="nil"/>
              <w:left w:val="nil"/>
              <w:bottom w:val="nil"/>
              <w:right w:val="nil"/>
            </w:tcBorders>
          </w:tcPr>
          <w:p w14:paraId="51DF0A71" w14:textId="77777777" w:rsidR="00E97387" w:rsidRPr="008834D9" w:rsidRDefault="00E97387" w:rsidP="00C02C80">
            <w:pPr>
              <w:jc w:val="center"/>
            </w:pPr>
            <w:r>
              <w:t>***</w:t>
            </w:r>
          </w:p>
        </w:tc>
        <w:tc>
          <w:tcPr>
            <w:tcW w:w="1258" w:type="dxa"/>
            <w:gridSpan w:val="2"/>
            <w:tcBorders>
              <w:top w:val="nil"/>
              <w:left w:val="nil"/>
              <w:bottom w:val="nil"/>
              <w:right w:val="nil"/>
            </w:tcBorders>
          </w:tcPr>
          <w:p w14:paraId="74A06438" w14:textId="77777777" w:rsidR="00E97387" w:rsidRPr="008834D9" w:rsidRDefault="00E97387" w:rsidP="00C02C80">
            <w:pPr>
              <w:jc w:val="center"/>
            </w:pPr>
            <w:r>
              <w:t>***</w:t>
            </w:r>
          </w:p>
        </w:tc>
        <w:tc>
          <w:tcPr>
            <w:tcW w:w="1259" w:type="dxa"/>
            <w:gridSpan w:val="2"/>
            <w:tcBorders>
              <w:top w:val="nil"/>
              <w:left w:val="nil"/>
              <w:bottom w:val="nil"/>
              <w:right w:val="nil"/>
            </w:tcBorders>
          </w:tcPr>
          <w:p w14:paraId="4831AA03" w14:textId="77777777" w:rsidR="00E97387" w:rsidRPr="008834D9" w:rsidRDefault="00E97387" w:rsidP="00C02C80">
            <w:pPr>
              <w:jc w:val="center"/>
            </w:pPr>
            <w:r>
              <w:t>***</w:t>
            </w:r>
          </w:p>
        </w:tc>
        <w:tc>
          <w:tcPr>
            <w:tcW w:w="1258" w:type="dxa"/>
            <w:gridSpan w:val="2"/>
            <w:tcBorders>
              <w:top w:val="nil"/>
              <w:left w:val="nil"/>
              <w:bottom w:val="nil"/>
              <w:right w:val="nil"/>
            </w:tcBorders>
          </w:tcPr>
          <w:p w14:paraId="3453FDB2" w14:textId="77777777" w:rsidR="00E97387" w:rsidRPr="00744CC3" w:rsidRDefault="00E97387" w:rsidP="00C02C80">
            <w:pPr>
              <w:jc w:val="center"/>
            </w:pPr>
            <w:r>
              <w:t>NS</w:t>
            </w:r>
          </w:p>
        </w:tc>
        <w:tc>
          <w:tcPr>
            <w:tcW w:w="1259" w:type="dxa"/>
            <w:gridSpan w:val="2"/>
            <w:tcBorders>
              <w:top w:val="nil"/>
              <w:left w:val="nil"/>
              <w:bottom w:val="nil"/>
              <w:right w:val="nil"/>
            </w:tcBorders>
          </w:tcPr>
          <w:p w14:paraId="15386FE1" w14:textId="77777777" w:rsidR="00E97387" w:rsidRPr="00744CC3" w:rsidRDefault="00E97387" w:rsidP="00C02C80">
            <w:pPr>
              <w:jc w:val="center"/>
            </w:pPr>
            <w:r>
              <w:t>NS</w:t>
            </w:r>
          </w:p>
        </w:tc>
        <w:tc>
          <w:tcPr>
            <w:tcW w:w="1258" w:type="dxa"/>
            <w:gridSpan w:val="2"/>
            <w:tcBorders>
              <w:top w:val="nil"/>
              <w:left w:val="nil"/>
              <w:bottom w:val="nil"/>
              <w:right w:val="nil"/>
            </w:tcBorders>
          </w:tcPr>
          <w:p w14:paraId="3128D8E4" w14:textId="77777777" w:rsidR="00E97387" w:rsidRPr="00744CC3" w:rsidRDefault="00E97387" w:rsidP="00C02C80">
            <w:pPr>
              <w:jc w:val="center"/>
            </w:pPr>
            <w:r>
              <w:t>***</w:t>
            </w:r>
          </w:p>
        </w:tc>
        <w:tc>
          <w:tcPr>
            <w:tcW w:w="1259" w:type="dxa"/>
            <w:gridSpan w:val="2"/>
            <w:tcBorders>
              <w:top w:val="nil"/>
              <w:left w:val="nil"/>
              <w:bottom w:val="nil"/>
              <w:right w:val="nil"/>
            </w:tcBorders>
          </w:tcPr>
          <w:p w14:paraId="0715679E" w14:textId="77777777" w:rsidR="00E97387" w:rsidRPr="008834D9" w:rsidRDefault="00E97387" w:rsidP="00C02C80">
            <w:pPr>
              <w:jc w:val="center"/>
            </w:pPr>
            <w:r>
              <w:t>***</w:t>
            </w:r>
          </w:p>
        </w:tc>
      </w:tr>
      <w:tr w:rsidR="00E97387" w:rsidRPr="008834D9" w14:paraId="3D108EAC" w14:textId="77777777" w:rsidTr="00C02C80">
        <w:trPr>
          <w:trHeight w:val="155"/>
          <w:jc w:val="center"/>
        </w:trPr>
        <w:tc>
          <w:tcPr>
            <w:tcW w:w="1296" w:type="dxa"/>
            <w:gridSpan w:val="2"/>
            <w:tcBorders>
              <w:top w:val="nil"/>
              <w:left w:val="nil"/>
              <w:bottom w:val="nil"/>
              <w:right w:val="nil"/>
            </w:tcBorders>
          </w:tcPr>
          <w:p w14:paraId="120872DD" w14:textId="77777777" w:rsidR="00E97387" w:rsidRDefault="00E97387" w:rsidP="00C02C80"/>
        </w:tc>
        <w:tc>
          <w:tcPr>
            <w:tcW w:w="1300" w:type="dxa"/>
            <w:gridSpan w:val="2"/>
            <w:tcBorders>
              <w:top w:val="nil"/>
              <w:left w:val="nil"/>
              <w:bottom w:val="nil"/>
              <w:right w:val="nil"/>
            </w:tcBorders>
          </w:tcPr>
          <w:p w14:paraId="692B39F6" w14:textId="77777777" w:rsidR="00E97387" w:rsidRDefault="00E97387" w:rsidP="00C02C80">
            <w:pPr>
              <w:jc w:val="center"/>
            </w:pPr>
          </w:p>
        </w:tc>
        <w:tc>
          <w:tcPr>
            <w:tcW w:w="1258" w:type="dxa"/>
            <w:gridSpan w:val="2"/>
            <w:tcBorders>
              <w:top w:val="nil"/>
              <w:left w:val="nil"/>
              <w:bottom w:val="nil"/>
              <w:right w:val="nil"/>
            </w:tcBorders>
          </w:tcPr>
          <w:p w14:paraId="3A5B7C9E" w14:textId="77777777" w:rsidR="00E97387" w:rsidRDefault="00E97387" w:rsidP="00C02C80">
            <w:pPr>
              <w:jc w:val="center"/>
            </w:pPr>
          </w:p>
        </w:tc>
        <w:tc>
          <w:tcPr>
            <w:tcW w:w="1258" w:type="dxa"/>
            <w:gridSpan w:val="2"/>
            <w:tcBorders>
              <w:top w:val="nil"/>
              <w:left w:val="nil"/>
              <w:bottom w:val="nil"/>
              <w:right w:val="nil"/>
            </w:tcBorders>
          </w:tcPr>
          <w:p w14:paraId="62C8829A" w14:textId="77777777" w:rsidR="00E97387" w:rsidRDefault="00E97387" w:rsidP="00C02C80">
            <w:pPr>
              <w:jc w:val="center"/>
            </w:pPr>
          </w:p>
        </w:tc>
        <w:tc>
          <w:tcPr>
            <w:tcW w:w="1259" w:type="dxa"/>
            <w:gridSpan w:val="2"/>
            <w:tcBorders>
              <w:top w:val="nil"/>
              <w:left w:val="nil"/>
              <w:bottom w:val="nil"/>
              <w:right w:val="nil"/>
            </w:tcBorders>
          </w:tcPr>
          <w:p w14:paraId="4147398B" w14:textId="77777777" w:rsidR="00E97387" w:rsidRDefault="00E97387" w:rsidP="00C02C80">
            <w:pPr>
              <w:jc w:val="center"/>
            </w:pPr>
          </w:p>
        </w:tc>
        <w:tc>
          <w:tcPr>
            <w:tcW w:w="1258" w:type="dxa"/>
            <w:gridSpan w:val="2"/>
            <w:tcBorders>
              <w:top w:val="nil"/>
              <w:left w:val="nil"/>
              <w:bottom w:val="nil"/>
              <w:right w:val="nil"/>
            </w:tcBorders>
          </w:tcPr>
          <w:p w14:paraId="64775D0A" w14:textId="77777777" w:rsidR="00E97387" w:rsidRDefault="00E97387" w:rsidP="00C02C80">
            <w:pPr>
              <w:jc w:val="center"/>
            </w:pPr>
          </w:p>
        </w:tc>
        <w:tc>
          <w:tcPr>
            <w:tcW w:w="1259" w:type="dxa"/>
            <w:gridSpan w:val="2"/>
            <w:tcBorders>
              <w:top w:val="nil"/>
              <w:left w:val="nil"/>
              <w:bottom w:val="nil"/>
              <w:right w:val="nil"/>
            </w:tcBorders>
          </w:tcPr>
          <w:p w14:paraId="523936C7" w14:textId="77777777" w:rsidR="00E97387" w:rsidRDefault="00E97387" w:rsidP="00C02C80">
            <w:pPr>
              <w:jc w:val="center"/>
            </w:pPr>
          </w:p>
        </w:tc>
        <w:tc>
          <w:tcPr>
            <w:tcW w:w="1258" w:type="dxa"/>
            <w:gridSpan w:val="2"/>
            <w:tcBorders>
              <w:top w:val="nil"/>
              <w:left w:val="nil"/>
              <w:bottom w:val="nil"/>
              <w:right w:val="nil"/>
            </w:tcBorders>
          </w:tcPr>
          <w:p w14:paraId="77F74A94" w14:textId="77777777" w:rsidR="00E97387" w:rsidRDefault="00E97387" w:rsidP="00C02C80">
            <w:pPr>
              <w:jc w:val="center"/>
            </w:pPr>
          </w:p>
        </w:tc>
        <w:tc>
          <w:tcPr>
            <w:tcW w:w="1259" w:type="dxa"/>
            <w:gridSpan w:val="2"/>
            <w:tcBorders>
              <w:top w:val="nil"/>
              <w:left w:val="nil"/>
              <w:bottom w:val="nil"/>
              <w:right w:val="nil"/>
            </w:tcBorders>
          </w:tcPr>
          <w:p w14:paraId="64F50B3F" w14:textId="77777777" w:rsidR="00E97387" w:rsidRDefault="00E97387" w:rsidP="00C02C80">
            <w:pPr>
              <w:jc w:val="center"/>
            </w:pPr>
          </w:p>
        </w:tc>
        <w:tc>
          <w:tcPr>
            <w:tcW w:w="1258" w:type="dxa"/>
            <w:gridSpan w:val="2"/>
            <w:tcBorders>
              <w:top w:val="nil"/>
              <w:left w:val="nil"/>
              <w:bottom w:val="nil"/>
              <w:right w:val="nil"/>
            </w:tcBorders>
          </w:tcPr>
          <w:p w14:paraId="27BD56EA" w14:textId="77777777" w:rsidR="00E97387" w:rsidRDefault="00E97387" w:rsidP="00C02C80">
            <w:pPr>
              <w:jc w:val="center"/>
            </w:pPr>
          </w:p>
        </w:tc>
        <w:tc>
          <w:tcPr>
            <w:tcW w:w="1259" w:type="dxa"/>
            <w:gridSpan w:val="2"/>
            <w:tcBorders>
              <w:top w:val="nil"/>
              <w:left w:val="nil"/>
              <w:bottom w:val="nil"/>
              <w:right w:val="nil"/>
            </w:tcBorders>
          </w:tcPr>
          <w:p w14:paraId="25BC1F7C" w14:textId="77777777" w:rsidR="00E97387" w:rsidRDefault="00E97387" w:rsidP="00C02C80">
            <w:pPr>
              <w:jc w:val="center"/>
            </w:pPr>
          </w:p>
        </w:tc>
      </w:tr>
      <w:tr w:rsidR="00E97387" w:rsidRPr="008834D9" w14:paraId="00EC582C" w14:textId="77777777" w:rsidTr="00C02C80">
        <w:trPr>
          <w:trHeight w:val="317"/>
          <w:jc w:val="center"/>
        </w:trPr>
        <w:tc>
          <w:tcPr>
            <w:tcW w:w="1296" w:type="dxa"/>
            <w:gridSpan w:val="2"/>
            <w:tcBorders>
              <w:top w:val="nil"/>
              <w:left w:val="nil"/>
              <w:bottom w:val="nil"/>
              <w:right w:val="nil"/>
            </w:tcBorders>
          </w:tcPr>
          <w:p w14:paraId="3F3E1FEC" w14:textId="77777777" w:rsidR="00E97387" w:rsidRDefault="00E97387" w:rsidP="00C02C80">
            <w:r>
              <w:t>Grand Brix</w:t>
            </w:r>
          </w:p>
        </w:tc>
        <w:tc>
          <w:tcPr>
            <w:tcW w:w="2558" w:type="dxa"/>
            <w:gridSpan w:val="4"/>
            <w:tcBorders>
              <w:top w:val="nil"/>
              <w:left w:val="nil"/>
              <w:bottom w:val="nil"/>
              <w:right w:val="nil"/>
            </w:tcBorders>
          </w:tcPr>
          <w:p w14:paraId="4D5B667E" w14:textId="77777777" w:rsidR="00E97387" w:rsidRPr="008834D9" w:rsidRDefault="00E97387" w:rsidP="00C02C80">
            <w:pPr>
              <w:jc w:val="center"/>
            </w:pPr>
            <w:r>
              <w:t>2.85</w:t>
            </w:r>
            <w:r>
              <w:rPr>
                <w:vertAlign w:val="superscript"/>
              </w:rPr>
              <w:t>a</w:t>
            </w:r>
            <w:r w:rsidRPr="007F1B5F">
              <w:rPr>
                <w:lang w:val="en-GB"/>
              </w:rPr>
              <w:t>‡</w:t>
            </w:r>
          </w:p>
        </w:tc>
        <w:tc>
          <w:tcPr>
            <w:tcW w:w="2517" w:type="dxa"/>
            <w:gridSpan w:val="4"/>
            <w:tcBorders>
              <w:top w:val="nil"/>
              <w:left w:val="nil"/>
              <w:bottom w:val="nil"/>
              <w:right w:val="nil"/>
            </w:tcBorders>
          </w:tcPr>
          <w:p w14:paraId="4677CDBC" w14:textId="77777777" w:rsidR="00E97387" w:rsidRPr="008834D9" w:rsidRDefault="00E97387" w:rsidP="00C02C80">
            <w:pPr>
              <w:jc w:val="center"/>
            </w:pPr>
            <w:r>
              <w:t>0.02</w:t>
            </w:r>
            <w:r>
              <w:rPr>
                <w:vertAlign w:val="superscript"/>
              </w:rPr>
              <w:t>a</w:t>
            </w:r>
          </w:p>
        </w:tc>
        <w:tc>
          <w:tcPr>
            <w:tcW w:w="2517" w:type="dxa"/>
            <w:gridSpan w:val="4"/>
            <w:tcBorders>
              <w:top w:val="nil"/>
              <w:left w:val="nil"/>
              <w:bottom w:val="nil"/>
              <w:right w:val="nil"/>
            </w:tcBorders>
          </w:tcPr>
          <w:p w14:paraId="7D1C7697" w14:textId="77777777" w:rsidR="00E97387" w:rsidRPr="008834D9" w:rsidRDefault="00E97387" w:rsidP="00C02C80">
            <w:pPr>
              <w:jc w:val="center"/>
            </w:pPr>
            <w:r>
              <w:t>0.05</w:t>
            </w:r>
            <w:r>
              <w:rPr>
                <w:vertAlign w:val="superscript"/>
              </w:rPr>
              <w:t>b</w:t>
            </w:r>
          </w:p>
        </w:tc>
        <w:tc>
          <w:tcPr>
            <w:tcW w:w="2517" w:type="dxa"/>
            <w:gridSpan w:val="4"/>
            <w:tcBorders>
              <w:top w:val="nil"/>
              <w:left w:val="nil"/>
              <w:bottom w:val="nil"/>
              <w:right w:val="nil"/>
            </w:tcBorders>
          </w:tcPr>
          <w:p w14:paraId="47FE8221" w14:textId="77777777" w:rsidR="00E97387" w:rsidRPr="00744CC3" w:rsidRDefault="00E97387" w:rsidP="00C02C80">
            <w:pPr>
              <w:jc w:val="center"/>
            </w:pPr>
            <w:r>
              <w:t>0.02</w:t>
            </w:r>
            <w:r>
              <w:rPr>
                <w:vertAlign w:val="superscript"/>
              </w:rPr>
              <w:t>a</w:t>
            </w:r>
          </w:p>
        </w:tc>
        <w:tc>
          <w:tcPr>
            <w:tcW w:w="2517" w:type="dxa"/>
            <w:gridSpan w:val="4"/>
            <w:tcBorders>
              <w:top w:val="nil"/>
              <w:left w:val="nil"/>
              <w:bottom w:val="nil"/>
              <w:right w:val="nil"/>
            </w:tcBorders>
          </w:tcPr>
          <w:p w14:paraId="09D30ED3" w14:textId="77777777" w:rsidR="00E97387" w:rsidRPr="008834D9" w:rsidRDefault="00E97387" w:rsidP="00C02C80">
            <w:pPr>
              <w:jc w:val="center"/>
            </w:pPr>
            <w:r>
              <w:t>0.02</w:t>
            </w:r>
            <w:r>
              <w:rPr>
                <w:vertAlign w:val="superscript"/>
              </w:rPr>
              <w:t>b</w:t>
            </w:r>
          </w:p>
        </w:tc>
      </w:tr>
      <w:tr w:rsidR="00E97387" w:rsidRPr="008834D9" w14:paraId="5754CD18" w14:textId="77777777" w:rsidTr="00C02C80">
        <w:trPr>
          <w:trHeight w:val="280"/>
          <w:jc w:val="center"/>
        </w:trPr>
        <w:tc>
          <w:tcPr>
            <w:tcW w:w="1296" w:type="dxa"/>
            <w:gridSpan w:val="2"/>
            <w:tcBorders>
              <w:top w:val="nil"/>
              <w:left w:val="nil"/>
              <w:bottom w:val="nil"/>
              <w:right w:val="nil"/>
            </w:tcBorders>
          </w:tcPr>
          <w:p w14:paraId="05FF4736" w14:textId="77777777" w:rsidR="00E97387" w:rsidRDefault="00E97387" w:rsidP="00C02C80">
            <w:r>
              <w:t>Marmande</w:t>
            </w:r>
          </w:p>
        </w:tc>
        <w:tc>
          <w:tcPr>
            <w:tcW w:w="2558" w:type="dxa"/>
            <w:gridSpan w:val="4"/>
            <w:tcBorders>
              <w:top w:val="nil"/>
              <w:left w:val="nil"/>
              <w:bottom w:val="nil"/>
              <w:right w:val="nil"/>
            </w:tcBorders>
          </w:tcPr>
          <w:p w14:paraId="2D5B9113" w14:textId="77777777" w:rsidR="00E97387" w:rsidRPr="008834D9" w:rsidRDefault="00E97387" w:rsidP="00C02C80">
            <w:pPr>
              <w:jc w:val="center"/>
            </w:pPr>
            <w:r>
              <w:t>2.05</w:t>
            </w:r>
            <w:r>
              <w:rPr>
                <w:vertAlign w:val="superscript"/>
              </w:rPr>
              <w:t>b</w:t>
            </w:r>
          </w:p>
        </w:tc>
        <w:tc>
          <w:tcPr>
            <w:tcW w:w="2517" w:type="dxa"/>
            <w:gridSpan w:val="4"/>
            <w:tcBorders>
              <w:top w:val="nil"/>
              <w:left w:val="nil"/>
              <w:bottom w:val="nil"/>
              <w:right w:val="nil"/>
            </w:tcBorders>
          </w:tcPr>
          <w:p w14:paraId="2CD95C8E" w14:textId="77777777" w:rsidR="00E97387" w:rsidRPr="008834D9" w:rsidRDefault="00E97387" w:rsidP="00C02C80">
            <w:pPr>
              <w:jc w:val="center"/>
            </w:pPr>
            <w:r>
              <w:t>0.02</w:t>
            </w:r>
            <w:r>
              <w:rPr>
                <w:vertAlign w:val="superscript"/>
              </w:rPr>
              <w:t>a</w:t>
            </w:r>
          </w:p>
        </w:tc>
        <w:tc>
          <w:tcPr>
            <w:tcW w:w="2517" w:type="dxa"/>
            <w:gridSpan w:val="4"/>
            <w:tcBorders>
              <w:top w:val="nil"/>
              <w:left w:val="nil"/>
              <w:bottom w:val="nil"/>
              <w:right w:val="nil"/>
            </w:tcBorders>
          </w:tcPr>
          <w:p w14:paraId="29C07530" w14:textId="77777777" w:rsidR="00E97387" w:rsidRPr="008834D9" w:rsidRDefault="00E97387" w:rsidP="00C02C80">
            <w:pPr>
              <w:jc w:val="center"/>
            </w:pPr>
            <w:r>
              <w:t>0.07</w:t>
            </w:r>
            <w:r>
              <w:rPr>
                <w:vertAlign w:val="superscript"/>
              </w:rPr>
              <w:t>a</w:t>
            </w:r>
          </w:p>
        </w:tc>
        <w:tc>
          <w:tcPr>
            <w:tcW w:w="2517" w:type="dxa"/>
            <w:gridSpan w:val="4"/>
            <w:tcBorders>
              <w:top w:val="nil"/>
              <w:left w:val="nil"/>
              <w:bottom w:val="nil"/>
              <w:right w:val="nil"/>
            </w:tcBorders>
          </w:tcPr>
          <w:p w14:paraId="575C7A1B" w14:textId="77777777" w:rsidR="00E97387" w:rsidRPr="00744CC3" w:rsidRDefault="00E97387" w:rsidP="00C02C80">
            <w:pPr>
              <w:jc w:val="center"/>
            </w:pPr>
            <w:r>
              <w:t>0.02</w:t>
            </w:r>
            <w:r>
              <w:rPr>
                <w:vertAlign w:val="superscript"/>
              </w:rPr>
              <w:t>a</w:t>
            </w:r>
          </w:p>
        </w:tc>
        <w:tc>
          <w:tcPr>
            <w:tcW w:w="2517" w:type="dxa"/>
            <w:gridSpan w:val="4"/>
            <w:tcBorders>
              <w:top w:val="nil"/>
              <w:left w:val="nil"/>
              <w:bottom w:val="nil"/>
              <w:right w:val="nil"/>
            </w:tcBorders>
          </w:tcPr>
          <w:p w14:paraId="11C540D4" w14:textId="77777777" w:rsidR="00E97387" w:rsidRPr="008834D9" w:rsidRDefault="00E97387" w:rsidP="00C02C80">
            <w:pPr>
              <w:jc w:val="center"/>
            </w:pPr>
            <w:r>
              <w:t>0.03</w:t>
            </w:r>
            <w:r>
              <w:rPr>
                <w:vertAlign w:val="superscript"/>
              </w:rPr>
              <w:t>a</w:t>
            </w:r>
          </w:p>
        </w:tc>
      </w:tr>
      <w:tr w:rsidR="00E97387" w:rsidRPr="008834D9" w14:paraId="37A8F399" w14:textId="77777777" w:rsidTr="00C02C80">
        <w:trPr>
          <w:trHeight w:val="284"/>
          <w:jc w:val="center"/>
        </w:trPr>
        <w:tc>
          <w:tcPr>
            <w:tcW w:w="1296" w:type="dxa"/>
            <w:gridSpan w:val="2"/>
            <w:tcBorders>
              <w:top w:val="nil"/>
              <w:left w:val="nil"/>
              <w:bottom w:val="nil"/>
              <w:right w:val="nil"/>
            </w:tcBorders>
          </w:tcPr>
          <w:p w14:paraId="6B4D07E1" w14:textId="77777777" w:rsidR="00E97387" w:rsidRDefault="00E97387" w:rsidP="00C02C80">
            <w:r>
              <w:t>P-valor</w:t>
            </w:r>
          </w:p>
        </w:tc>
        <w:tc>
          <w:tcPr>
            <w:tcW w:w="2558" w:type="dxa"/>
            <w:gridSpan w:val="4"/>
            <w:tcBorders>
              <w:top w:val="nil"/>
              <w:left w:val="nil"/>
              <w:bottom w:val="nil"/>
              <w:right w:val="nil"/>
            </w:tcBorders>
          </w:tcPr>
          <w:p w14:paraId="05342DBD" w14:textId="77777777" w:rsidR="00E97387" w:rsidRPr="008834D9" w:rsidRDefault="00E97387" w:rsidP="00C02C80">
            <w:pPr>
              <w:jc w:val="center"/>
            </w:pPr>
            <w:r>
              <w:t>***</w:t>
            </w:r>
          </w:p>
        </w:tc>
        <w:tc>
          <w:tcPr>
            <w:tcW w:w="2517" w:type="dxa"/>
            <w:gridSpan w:val="4"/>
            <w:tcBorders>
              <w:top w:val="nil"/>
              <w:left w:val="nil"/>
              <w:bottom w:val="nil"/>
              <w:right w:val="nil"/>
            </w:tcBorders>
          </w:tcPr>
          <w:p w14:paraId="3DCB6DD3" w14:textId="77777777" w:rsidR="00E97387" w:rsidRPr="008834D9" w:rsidRDefault="00E97387" w:rsidP="00C02C80">
            <w:pPr>
              <w:jc w:val="center"/>
            </w:pPr>
            <w:r>
              <w:t>NS</w:t>
            </w:r>
          </w:p>
        </w:tc>
        <w:tc>
          <w:tcPr>
            <w:tcW w:w="2517" w:type="dxa"/>
            <w:gridSpan w:val="4"/>
            <w:tcBorders>
              <w:top w:val="nil"/>
              <w:left w:val="nil"/>
              <w:bottom w:val="nil"/>
              <w:right w:val="nil"/>
            </w:tcBorders>
          </w:tcPr>
          <w:p w14:paraId="4040FA0A" w14:textId="77777777" w:rsidR="00E97387" w:rsidRPr="008834D9" w:rsidRDefault="00E97387" w:rsidP="00C02C80">
            <w:pPr>
              <w:jc w:val="center"/>
            </w:pPr>
            <w:r>
              <w:t>***</w:t>
            </w:r>
          </w:p>
        </w:tc>
        <w:tc>
          <w:tcPr>
            <w:tcW w:w="2517" w:type="dxa"/>
            <w:gridSpan w:val="4"/>
            <w:tcBorders>
              <w:top w:val="nil"/>
              <w:left w:val="nil"/>
              <w:bottom w:val="nil"/>
              <w:right w:val="nil"/>
            </w:tcBorders>
          </w:tcPr>
          <w:p w14:paraId="17C528ED" w14:textId="77777777" w:rsidR="00E97387" w:rsidRDefault="00E97387" w:rsidP="00C02C80">
            <w:pPr>
              <w:jc w:val="center"/>
            </w:pPr>
            <w:r>
              <w:t>NS</w:t>
            </w:r>
          </w:p>
        </w:tc>
        <w:tc>
          <w:tcPr>
            <w:tcW w:w="2517" w:type="dxa"/>
            <w:gridSpan w:val="4"/>
            <w:tcBorders>
              <w:top w:val="nil"/>
              <w:left w:val="nil"/>
              <w:bottom w:val="nil"/>
              <w:right w:val="nil"/>
            </w:tcBorders>
          </w:tcPr>
          <w:p w14:paraId="01BFD708" w14:textId="77777777" w:rsidR="00E97387" w:rsidRPr="008834D9" w:rsidRDefault="00E97387" w:rsidP="00C02C80">
            <w:pPr>
              <w:jc w:val="center"/>
            </w:pPr>
            <w:r>
              <w:t>***</w:t>
            </w:r>
          </w:p>
        </w:tc>
      </w:tr>
      <w:tr w:rsidR="00E97387" w:rsidRPr="008834D9" w14:paraId="57E4CB13" w14:textId="77777777" w:rsidTr="00C02C80">
        <w:trPr>
          <w:trHeight w:val="410"/>
          <w:jc w:val="center"/>
        </w:trPr>
        <w:tc>
          <w:tcPr>
            <w:tcW w:w="1296" w:type="dxa"/>
            <w:gridSpan w:val="2"/>
            <w:tcBorders>
              <w:top w:val="nil"/>
              <w:left w:val="nil"/>
              <w:bottom w:val="nil"/>
              <w:right w:val="nil"/>
            </w:tcBorders>
          </w:tcPr>
          <w:p w14:paraId="6795F612" w14:textId="77777777" w:rsidR="00E97387" w:rsidRPr="00760990" w:rsidRDefault="00E97387" w:rsidP="00C02C80">
            <w:pPr>
              <w:rPr>
                <w:vertAlign w:val="subscript"/>
              </w:rPr>
            </w:pPr>
            <w:r>
              <w:t>LSD</w:t>
            </w:r>
            <w:r>
              <w:rPr>
                <w:vertAlign w:val="subscript"/>
              </w:rPr>
              <w:t>0.05</w:t>
            </w:r>
          </w:p>
        </w:tc>
        <w:tc>
          <w:tcPr>
            <w:tcW w:w="2558" w:type="dxa"/>
            <w:gridSpan w:val="4"/>
            <w:tcBorders>
              <w:top w:val="nil"/>
              <w:left w:val="nil"/>
              <w:bottom w:val="nil"/>
              <w:right w:val="nil"/>
            </w:tcBorders>
          </w:tcPr>
          <w:p w14:paraId="7F0DF7F0" w14:textId="77777777" w:rsidR="00E97387" w:rsidRPr="008834D9" w:rsidRDefault="00E97387" w:rsidP="00C02C80">
            <w:pPr>
              <w:jc w:val="center"/>
            </w:pPr>
            <w:r>
              <w:t>0.15</w:t>
            </w:r>
          </w:p>
        </w:tc>
        <w:tc>
          <w:tcPr>
            <w:tcW w:w="2517" w:type="dxa"/>
            <w:gridSpan w:val="4"/>
            <w:tcBorders>
              <w:top w:val="nil"/>
              <w:left w:val="nil"/>
              <w:bottom w:val="nil"/>
              <w:right w:val="nil"/>
            </w:tcBorders>
          </w:tcPr>
          <w:p w14:paraId="55EDA580" w14:textId="77777777" w:rsidR="00E97387" w:rsidRPr="008834D9" w:rsidRDefault="00E97387" w:rsidP="00C02C80">
            <w:pPr>
              <w:jc w:val="center"/>
            </w:pPr>
            <w:r>
              <w:t>0.00</w:t>
            </w:r>
          </w:p>
        </w:tc>
        <w:tc>
          <w:tcPr>
            <w:tcW w:w="2517" w:type="dxa"/>
            <w:gridSpan w:val="4"/>
            <w:tcBorders>
              <w:top w:val="nil"/>
              <w:left w:val="nil"/>
              <w:bottom w:val="nil"/>
              <w:right w:val="nil"/>
            </w:tcBorders>
          </w:tcPr>
          <w:p w14:paraId="18F30E52" w14:textId="77777777" w:rsidR="00E97387" w:rsidRPr="008834D9" w:rsidRDefault="00E97387" w:rsidP="00C02C80">
            <w:pPr>
              <w:jc w:val="center"/>
            </w:pPr>
            <w:r>
              <w:t>0.01</w:t>
            </w:r>
          </w:p>
        </w:tc>
        <w:tc>
          <w:tcPr>
            <w:tcW w:w="2517" w:type="dxa"/>
            <w:gridSpan w:val="4"/>
            <w:tcBorders>
              <w:top w:val="nil"/>
              <w:left w:val="nil"/>
              <w:bottom w:val="nil"/>
              <w:right w:val="nil"/>
            </w:tcBorders>
          </w:tcPr>
          <w:p w14:paraId="3F792C11" w14:textId="77777777" w:rsidR="00E97387" w:rsidRDefault="00E97387" w:rsidP="00C02C80">
            <w:pPr>
              <w:jc w:val="center"/>
            </w:pPr>
            <w:r>
              <w:t>0.00</w:t>
            </w:r>
          </w:p>
        </w:tc>
        <w:tc>
          <w:tcPr>
            <w:tcW w:w="2517" w:type="dxa"/>
            <w:gridSpan w:val="4"/>
            <w:tcBorders>
              <w:top w:val="nil"/>
              <w:left w:val="nil"/>
              <w:bottom w:val="nil"/>
              <w:right w:val="nil"/>
            </w:tcBorders>
          </w:tcPr>
          <w:p w14:paraId="269C5E92" w14:textId="77777777" w:rsidR="00E97387" w:rsidRPr="008834D9" w:rsidRDefault="00E97387" w:rsidP="00C02C80">
            <w:pPr>
              <w:jc w:val="center"/>
            </w:pPr>
            <w:r>
              <w:t>0.00</w:t>
            </w:r>
          </w:p>
        </w:tc>
      </w:tr>
    </w:tbl>
    <w:p w14:paraId="7F4F6F0A" w14:textId="77777777" w:rsidR="00E97387" w:rsidRDefault="00E97387" w:rsidP="00E97387">
      <w:pPr>
        <w:pStyle w:val="Sinespaciado"/>
        <w:jc w:val="both"/>
        <w:rPr>
          <w:lang w:val="en-GB"/>
        </w:rPr>
      </w:pPr>
      <w:r w:rsidRPr="007F1B5F">
        <w:rPr>
          <w:lang w:val="en-GB"/>
        </w:rPr>
        <w:t>†</w:t>
      </w:r>
      <w:r w:rsidRPr="00D92C1D">
        <w:rPr>
          <w:lang w:val="en-GB"/>
        </w:rPr>
        <w:t>Valu</w:t>
      </w:r>
      <w:r>
        <w:rPr>
          <w:lang w:val="en-GB"/>
        </w:rPr>
        <w:t xml:space="preserve">es are mean ± standard error (n= </w:t>
      </w:r>
      <w:r w:rsidRPr="00D92C1D">
        <w:rPr>
          <w:lang w:val="en-GB"/>
        </w:rPr>
        <w:t>9), the differences between means were compared with the minimum significant difference of Fisher test (LSD; P= 0.05).</w:t>
      </w:r>
    </w:p>
    <w:p w14:paraId="2563DC5A" w14:textId="77777777" w:rsidR="00E97387" w:rsidRDefault="00E97387" w:rsidP="00E97387">
      <w:pPr>
        <w:pStyle w:val="Sinespaciado"/>
        <w:jc w:val="both"/>
        <w:rPr>
          <w:lang w:val="en-GB"/>
        </w:rPr>
      </w:pPr>
      <w:r w:rsidRPr="007F1B5F">
        <w:rPr>
          <w:lang w:val="en-GB"/>
        </w:rPr>
        <w:t>‡</w:t>
      </w:r>
      <w:r>
        <w:rPr>
          <w:lang w:val="en-GB"/>
        </w:rPr>
        <w:t xml:space="preserve"> Values are means (control + salinity n= 18</w:t>
      </w:r>
      <w:r w:rsidRPr="007F1B5F">
        <w:rPr>
          <w:lang w:val="en-GB"/>
        </w:rPr>
        <w:t xml:space="preserve">) and differences between means </w:t>
      </w:r>
      <w:r>
        <w:rPr>
          <w:lang w:val="en-GB"/>
        </w:rPr>
        <w:t>were compared using LSD test (P= 0,</w:t>
      </w:r>
      <w:r w:rsidRPr="007F1B5F">
        <w:rPr>
          <w:lang w:val="en-GB"/>
        </w:rPr>
        <w:t>05).</w:t>
      </w:r>
    </w:p>
    <w:p w14:paraId="03093D25" w14:textId="77777777" w:rsidR="00E97387" w:rsidRDefault="00E97387" w:rsidP="00E97387">
      <w:pPr>
        <w:pStyle w:val="Sinespaciado"/>
        <w:jc w:val="both"/>
        <w:rPr>
          <w:lang w:val="en-GB"/>
        </w:rPr>
      </w:pPr>
      <w:r w:rsidRPr="007F1B5F">
        <w:rPr>
          <w:lang w:val="en-GB"/>
        </w:rPr>
        <w:t xml:space="preserve">§Levels of significance are represented by NS </w:t>
      </w:r>
      <w:r>
        <w:rPr>
          <w:lang w:val="en-GB"/>
        </w:rPr>
        <w:t>(non-significant) P&gt; 0.05; * P</w:t>
      </w:r>
      <w:r w:rsidRPr="007F1B5F">
        <w:rPr>
          <w:lang w:val="en-GB"/>
        </w:rPr>
        <w:t>&lt; 0,05; *</w:t>
      </w:r>
      <w:r>
        <w:rPr>
          <w:lang w:val="en-GB"/>
        </w:rPr>
        <w:t>*P</w:t>
      </w:r>
      <w:r w:rsidRPr="007F1B5F">
        <w:rPr>
          <w:lang w:val="en-GB"/>
        </w:rPr>
        <w:t>&lt; 0</w:t>
      </w:r>
      <w:r>
        <w:rPr>
          <w:lang w:val="en-GB"/>
        </w:rPr>
        <w:t>,</w:t>
      </w:r>
      <w:r w:rsidRPr="007F1B5F">
        <w:rPr>
          <w:lang w:val="en-GB"/>
        </w:rPr>
        <w:t xml:space="preserve">01 and </w:t>
      </w:r>
      <w:r>
        <w:rPr>
          <w:lang w:val="en-GB"/>
        </w:rPr>
        <w:t>**</w:t>
      </w:r>
      <w:r w:rsidRPr="007F1B5F">
        <w:rPr>
          <w:lang w:val="en-GB"/>
        </w:rPr>
        <w:t xml:space="preserve">* </w:t>
      </w:r>
      <w:r>
        <w:rPr>
          <w:lang w:val="en-GB"/>
        </w:rPr>
        <w:t>P&lt; 0,</w:t>
      </w:r>
      <w:r w:rsidRPr="007F1B5F">
        <w:rPr>
          <w:lang w:val="en-GB"/>
        </w:rPr>
        <w:t>001 relative to the control.</w:t>
      </w:r>
    </w:p>
    <w:p w14:paraId="147B5CC1" w14:textId="77777777" w:rsidR="00E97387" w:rsidRDefault="00E97387" w:rsidP="00E97387">
      <w:pPr>
        <w:jc w:val="both"/>
        <w:rPr>
          <w:rFonts w:ascii="Arial" w:hAnsi="Arial" w:cs="Arial"/>
          <w:sz w:val="24"/>
          <w:lang w:val="en-GB"/>
        </w:rPr>
      </w:pPr>
      <w:r>
        <w:rPr>
          <w:rFonts w:ascii="Arial" w:hAnsi="Arial" w:cs="Arial"/>
          <w:sz w:val="24"/>
          <w:lang w:val="en-GB"/>
        </w:rPr>
        <w:br w:type="page"/>
      </w:r>
    </w:p>
    <w:p w14:paraId="5BA22750" w14:textId="77777777" w:rsidR="00E97387" w:rsidRDefault="00E97387" w:rsidP="00E97387">
      <w:pPr>
        <w:spacing w:line="480" w:lineRule="auto"/>
        <w:jc w:val="both"/>
        <w:rPr>
          <w:rFonts w:ascii="Arial" w:hAnsi="Arial" w:cs="Arial"/>
          <w:sz w:val="24"/>
          <w:lang w:val="en-GB"/>
        </w:rPr>
        <w:sectPr w:rsidR="00E97387" w:rsidSect="00140028">
          <w:headerReference w:type="default" r:id="rId8"/>
          <w:footerReference w:type="default" r:id="rId9"/>
          <w:pgSz w:w="16838" w:h="11906" w:orient="landscape"/>
          <w:pgMar w:top="1701" w:right="1418" w:bottom="1701" w:left="1418" w:header="709" w:footer="709" w:gutter="0"/>
          <w:cols w:space="708"/>
          <w:docGrid w:linePitch="360"/>
        </w:sectPr>
      </w:pPr>
    </w:p>
    <w:p w14:paraId="76CB18AD"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lastRenderedPageBreak/>
        <w:t>4.4</w:t>
      </w:r>
      <w:r w:rsidRPr="00B634EE">
        <w:rPr>
          <w:rFonts w:ascii="Arial" w:hAnsi="Arial" w:cs="Arial"/>
          <w:sz w:val="24"/>
          <w:lang w:val="en-GB"/>
        </w:rPr>
        <w:t xml:space="preserve"> Non-enzymatic antioxidant systems </w:t>
      </w:r>
    </w:p>
    <w:p w14:paraId="687EA546"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For a complete assessment of the antioxidant response, an analysis was made of the concentrations of the different forms of AsA and GSH. Both the (ascorbate total) AsA</w:t>
      </w:r>
      <w:r w:rsidRPr="00B634EE">
        <w:rPr>
          <w:rFonts w:ascii="Arial" w:hAnsi="Arial" w:cs="Arial"/>
          <w:sz w:val="24"/>
          <w:vertAlign w:val="subscript"/>
          <w:lang w:val="en-GB"/>
        </w:rPr>
        <w:t>tot</w:t>
      </w:r>
      <w:r w:rsidRPr="00B634EE">
        <w:rPr>
          <w:rFonts w:ascii="Arial" w:hAnsi="Arial" w:cs="Arial"/>
          <w:sz w:val="24"/>
          <w:lang w:val="en-GB"/>
        </w:rPr>
        <w:t xml:space="preserve"> concentration and the (ascorbate reduced) AsA</w:t>
      </w:r>
      <w:r w:rsidRPr="00B634EE">
        <w:rPr>
          <w:rFonts w:ascii="Arial" w:hAnsi="Arial" w:cs="Arial"/>
          <w:sz w:val="24"/>
          <w:vertAlign w:val="subscript"/>
          <w:lang w:val="en-GB"/>
        </w:rPr>
        <w:t>red</w:t>
      </w:r>
      <w:r w:rsidRPr="00B634EE">
        <w:rPr>
          <w:rFonts w:ascii="Arial" w:hAnsi="Arial" w:cs="Arial"/>
          <w:sz w:val="24"/>
          <w:lang w:val="en-GB"/>
        </w:rPr>
        <w:t xml:space="preserve"> concentrations rose with the salinity treatment for Grand Brix. While in Marmande RAF there parameters ha</w:t>
      </w:r>
      <w:r>
        <w:rPr>
          <w:rFonts w:ascii="Arial" w:hAnsi="Arial" w:cs="Arial"/>
          <w:sz w:val="24"/>
          <w:lang w:val="en-GB"/>
        </w:rPr>
        <w:t>dn’t changed significant (Table 6</w:t>
      </w:r>
      <w:r w:rsidRPr="00B634EE">
        <w:rPr>
          <w:rFonts w:ascii="Arial" w:hAnsi="Arial" w:cs="Arial"/>
          <w:sz w:val="24"/>
          <w:lang w:val="en-GB"/>
        </w:rPr>
        <w:t xml:space="preserve">). </w:t>
      </w:r>
      <w:r>
        <w:rPr>
          <w:rFonts w:ascii="Arial" w:hAnsi="Arial" w:cs="Arial"/>
          <w:sz w:val="24"/>
          <w:lang w:val="en-GB"/>
        </w:rPr>
        <w:t>On</w:t>
      </w:r>
      <w:r w:rsidRPr="00B634EE">
        <w:rPr>
          <w:rFonts w:ascii="Arial" w:hAnsi="Arial" w:cs="Arial"/>
          <w:sz w:val="24"/>
          <w:lang w:val="en-GB"/>
        </w:rPr>
        <w:t xml:space="preserve"> </w:t>
      </w:r>
      <w:r>
        <w:rPr>
          <w:rFonts w:ascii="Arial" w:hAnsi="Arial" w:cs="Arial"/>
          <w:sz w:val="24"/>
          <w:lang w:val="en-GB"/>
        </w:rPr>
        <w:t xml:space="preserve">the </w:t>
      </w:r>
      <w:r w:rsidRPr="00B634EE">
        <w:rPr>
          <w:rFonts w:ascii="Arial" w:hAnsi="Arial" w:cs="Arial"/>
          <w:sz w:val="24"/>
          <w:lang w:val="en-GB"/>
        </w:rPr>
        <w:t>other hand, the ratio AsA</w:t>
      </w:r>
      <w:r w:rsidRPr="00B634EE">
        <w:rPr>
          <w:rFonts w:ascii="Arial" w:hAnsi="Arial" w:cs="Arial"/>
          <w:sz w:val="24"/>
          <w:vertAlign w:val="subscript"/>
          <w:lang w:val="en-GB"/>
        </w:rPr>
        <w:t>tot</w:t>
      </w:r>
      <w:r w:rsidRPr="00B634EE">
        <w:rPr>
          <w:rFonts w:ascii="Arial" w:hAnsi="Arial" w:cs="Arial"/>
          <w:sz w:val="24"/>
          <w:lang w:val="en-GB"/>
        </w:rPr>
        <w:t>/AsA</w:t>
      </w:r>
      <w:r w:rsidRPr="00B634EE">
        <w:rPr>
          <w:rFonts w:ascii="Arial" w:hAnsi="Arial" w:cs="Arial"/>
          <w:sz w:val="24"/>
          <w:vertAlign w:val="subscript"/>
          <w:lang w:val="en-GB"/>
        </w:rPr>
        <w:t>red</w:t>
      </w:r>
      <w:r w:rsidRPr="00B634EE">
        <w:rPr>
          <w:rFonts w:ascii="Arial" w:hAnsi="Arial" w:cs="Arial"/>
          <w:sz w:val="24"/>
          <w:lang w:val="en-GB"/>
        </w:rPr>
        <w:t xml:space="preserve"> reached its maximum value in the salinity treat</w:t>
      </w:r>
      <w:r>
        <w:rPr>
          <w:rFonts w:ascii="Arial" w:hAnsi="Arial" w:cs="Arial"/>
          <w:sz w:val="24"/>
          <w:lang w:val="en-GB"/>
        </w:rPr>
        <w:t>ment for both genotypes (Table 6</w:t>
      </w:r>
      <w:r w:rsidRPr="00B634EE">
        <w:rPr>
          <w:rFonts w:ascii="Arial" w:hAnsi="Arial" w:cs="Arial"/>
          <w:sz w:val="24"/>
          <w:lang w:val="en-GB"/>
        </w:rPr>
        <w:t>). Finally, differences were found between genotypes only for AsA</w:t>
      </w:r>
      <w:r w:rsidRPr="00B634EE">
        <w:rPr>
          <w:rFonts w:ascii="Arial" w:hAnsi="Arial" w:cs="Arial"/>
          <w:sz w:val="24"/>
          <w:vertAlign w:val="subscript"/>
          <w:lang w:val="en-GB"/>
        </w:rPr>
        <w:t>tot</w:t>
      </w:r>
      <w:r w:rsidRPr="00B634EE">
        <w:rPr>
          <w:rFonts w:ascii="Arial" w:hAnsi="Arial" w:cs="Arial"/>
          <w:sz w:val="24"/>
          <w:lang w:val="en-GB"/>
        </w:rPr>
        <w:t>, which prove</w:t>
      </w:r>
      <w:r>
        <w:rPr>
          <w:rFonts w:ascii="Arial" w:hAnsi="Arial" w:cs="Arial"/>
          <w:sz w:val="24"/>
          <w:lang w:val="en-GB"/>
        </w:rPr>
        <w:t>d greater in Grand Brix (Table 6</w:t>
      </w:r>
      <w:r w:rsidRPr="00B634EE">
        <w:rPr>
          <w:rFonts w:ascii="Arial" w:hAnsi="Arial" w:cs="Arial"/>
          <w:sz w:val="24"/>
          <w:lang w:val="en-GB"/>
        </w:rPr>
        <w:t>).</w:t>
      </w:r>
    </w:p>
    <w:p w14:paraId="5D975528" w14:textId="77777777" w:rsidR="00E97387" w:rsidRPr="00B634EE" w:rsidRDefault="00E97387" w:rsidP="00E97387">
      <w:pPr>
        <w:spacing w:line="480" w:lineRule="auto"/>
        <w:jc w:val="both"/>
        <w:rPr>
          <w:rFonts w:ascii="Arial" w:hAnsi="Arial" w:cs="Arial"/>
          <w:sz w:val="24"/>
          <w:lang w:val="en-GB"/>
        </w:rPr>
      </w:pPr>
    </w:p>
    <w:p w14:paraId="11AABA7F"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With respect to the forms of GSH, we found a decline after applying</w:t>
      </w:r>
      <w:r>
        <w:rPr>
          <w:rFonts w:ascii="Arial" w:hAnsi="Arial" w:cs="Arial"/>
          <w:sz w:val="24"/>
          <w:lang w:val="en-GB"/>
        </w:rPr>
        <w:t xml:space="preserve"> the salinity treatment (Table 7</w:t>
      </w:r>
      <w:r w:rsidRPr="00B634EE">
        <w:rPr>
          <w:rFonts w:ascii="Arial" w:hAnsi="Arial" w:cs="Arial"/>
          <w:sz w:val="24"/>
          <w:lang w:val="en-GB"/>
        </w:rPr>
        <w:t>). On comparing the genotypes, we found that the GSH</w:t>
      </w:r>
      <w:r w:rsidRPr="00B634EE">
        <w:rPr>
          <w:rFonts w:ascii="Arial" w:hAnsi="Arial" w:cs="Arial"/>
          <w:sz w:val="24"/>
          <w:vertAlign w:val="subscript"/>
          <w:lang w:val="en-GB"/>
        </w:rPr>
        <w:t>tot</w:t>
      </w:r>
      <w:r w:rsidRPr="00B634EE">
        <w:rPr>
          <w:rFonts w:ascii="Arial" w:hAnsi="Arial" w:cs="Arial"/>
          <w:sz w:val="24"/>
          <w:lang w:val="en-GB"/>
        </w:rPr>
        <w:t xml:space="preserve"> concentration was greater in Grand Brix, the ratio GSH</w:t>
      </w:r>
      <w:r w:rsidRPr="00B634EE">
        <w:rPr>
          <w:rFonts w:ascii="Arial" w:hAnsi="Arial" w:cs="Arial"/>
          <w:sz w:val="24"/>
          <w:vertAlign w:val="subscript"/>
          <w:lang w:val="en-GB"/>
        </w:rPr>
        <w:t>tot</w:t>
      </w:r>
      <w:r w:rsidRPr="00B634EE">
        <w:rPr>
          <w:rFonts w:ascii="Arial" w:hAnsi="Arial" w:cs="Arial"/>
          <w:sz w:val="24"/>
          <w:lang w:val="en-GB"/>
        </w:rPr>
        <w:t>/GSH</w:t>
      </w:r>
      <w:r w:rsidRPr="00B634EE">
        <w:rPr>
          <w:rFonts w:ascii="Arial" w:hAnsi="Arial" w:cs="Arial"/>
          <w:sz w:val="24"/>
          <w:vertAlign w:val="subscript"/>
          <w:lang w:val="en-GB"/>
        </w:rPr>
        <w:t>red</w:t>
      </w:r>
      <w:r w:rsidRPr="00B634EE">
        <w:rPr>
          <w:rFonts w:ascii="Arial" w:hAnsi="Arial" w:cs="Arial"/>
          <w:sz w:val="24"/>
          <w:lang w:val="en-GB"/>
        </w:rPr>
        <w:t xml:space="preserve"> was higher in Marmande RAF, and no significant differences appeared for GSH</w:t>
      </w:r>
      <w:r w:rsidRPr="00B634EE">
        <w:rPr>
          <w:rFonts w:ascii="Arial" w:hAnsi="Arial" w:cs="Arial"/>
          <w:sz w:val="24"/>
          <w:vertAlign w:val="subscript"/>
          <w:lang w:val="en-GB"/>
        </w:rPr>
        <w:t>red</w:t>
      </w:r>
      <w:r>
        <w:rPr>
          <w:rFonts w:ascii="Arial" w:hAnsi="Arial" w:cs="Arial"/>
          <w:sz w:val="24"/>
          <w:lang w:val="en-GB"/>
        </w:rPr>
        <w:t xml:space="preserve"> (Table 7</w:t>
      </w:r>
      <w:r w:rsidRPr="00B634EE">
        <w:rPr>
          <w:rFonts w:ascii="Arial" w:hAnsi="Arial" w:cs="Arial"/>
          <w:sz w:val="24"/>
          <w:lang w:val="en-GB"/>
        </w:rPr>
        <w:t>).</w:t>
      </w:r>
    </w:p>
    <w:p w14:paraId="5DC1613E" w14:textId="77777777" w:rsidR="00E97387" w:rsidRDefault="00E97387" w:rsidP="00E97387">
      <w:pPr>
        <w:spacing w:line="480" w:lineRule="auto"/>
        <w:jc w:val="both"/>
        <w:rPr>
          <w:rFonts w:ascii="Arial" w:hAnsi="Arial" w:cs="Arial"/>
          <w:sz w:val="24"/>
          <w:lang w:val="en-GB"/>
        </w:rPr>
      </w:pPr>
    </w:p>
    <w:p w14:paraId="5EBC6FD2" w14:textId="77777777" w:rsidR="00E97387" w:rsidRDefault="00E97387" w:rsidP="00E97387">
      <w:pPr>
        <w:spacing w:line="480" w:lineRule="auto"/>
        <w:jc w:val="both"/>
        <w:rPr>
          <w:rFonts w:ascii="Arial" w:hAnsi="Arial" w:cs="Arial"/>
          <w:sz w:val="24"/>
          <w:lang w:val="en-GB"/>
        </w:rPr>
      </w:pPr>
    </w:p>
    <w:p w14:paraId="7E1AC57E" w14:textId="77777777" w:rsidR="00E97387" w:rsidRDefault="00E97387" w:rsidP="00E97387">
      <w:pPr>
        <w:spacing w:line="480" w:lineRule="auto"/>
        <w:jc w:val="both"/>
        <w:rPr>
          <w:rFonts w:ascii="Arial" w:hAnsi="Arial" w:cs="Arial"/>
          <w:sz w:val="24"/>
          <w:lang w:val="en-GB"/>
        </w:rPr>
      </w:pPr>
    </w:p>
    <w:p w14:paraId="64177CCA" w14:textId="77777777" w:rsidR="00E97387" w:rsidRDefault="00E97387" w:rsidP="00E97387">
      <w:pPr>
        <w:spacing w:line="480" w:lineRule="auto"/>
        <w:jc w:val="both"/>
        <w:rPr>
          <w:rFonts w:ascii="Arial" w:hAnsi="Arial" w:cs="Arial"/>
          <w:sz w:val="24"/>
          <w:lang w:val="en-GB"/>
        </w:rPr>
      </w:pPr>
    </w:p>
    <w:p w14:paraId="741B41B3" w14:textId="77777777" w:rsidR="00E97387" w:rsidRDefault="00E97387" w:rsidP="00E97387">
      <w:pPr>
        <w:spacing w:line="480" w:lineRule="auto"/>
        <w:jc w:val="both"/>
        <w:rPr>
          <w:rFonts w:ascii="Arial" w:hAnsi="Arial" w:cs="Arial"/>
          <w:sz w:val="24"/>
          <w:lang w:val="en-GB"/>
        </w:rPr>
      </w:pPr>
    </w:p>
    <w:p w14:paraId="54B45495" w14:textId="77777777" w:rsidR="00E97387" w:rsidRDefault="00E97387" w:rsidP="00E97387">
      <w:pPr>
        <w:spacing w:line="480" w:lineRule="auto"/>
        <w:jc w:val="both"/>
        <w:rPr>
          <w:rFonts w:ascii="Arial" w:hAnsi="Arial" w:cs="Arial"/>
          <w:sz w:val="24"/>
          <w:lang w:val="en-GB"/>
        </w:rPr>
      </w:pPr>
    </w:p>
    <w:p w14:paraId="251DA8FA" w14:textId="77777777" w:rsidR="00E97387" w:rsidRDefault="00E97387" w:rsidP="00E97387">
      <w:pPr>
        <w:spacing w:line="480" w:lineRule="auto"/>
        <w:jc w:val="both"/>
        <w:rPr>
          <w:rFonts w:ascii="Arial" w:hAnsi="Arial" w:cs="Arial"/>
          <w:sz w:val="24"/>
          <w:lang w:val="en-GB"/>
        </w:rPr>
      </w:pPr>
    </w:p>
    <w:p w14:paraId="7DE85848" w14:textId="77777777" w:rsidR="00E97387" w:rsidRDefault="00E97387" w:rsidP="00E97387">
      <w:pPr>
        <w:spacing w:line="480" w:lineRule="auto"/>
        <w:jc w:val="both"/>
        <w:rPr>
          <w:rFonts w:ascii="Arial" w:hAnsi="Arial" w:cs="Arial"/>
          <w:sz w:val="24"/>
          <w:lang w:val="en-GB"/>
        </w:rPr>
      </w:pPr>
    </w:p>
    <w:p w14:paraId="558FBDB6" w14:textId="77777777" w:rsidR="00E97387" w:rsidRPr="00B27A33" w:rsidRDefault="00E97387" w:rsidP="00E97387">
      <w:pPr>
        <w:pStyle w:val="Sinespaciado"/>
        <w:jc w:val="both"/>
        <w:rPr>
          <w:b/>
          <w:lang w:val="en-GB"/>
        </w:rPr>
      </w:pPr>
      <w:r>
        <w:rPr>
          <w:b/>
          <w:lang w:val="en-GB"/>
        </w:rPr>
        <w:lastRenderedPageBreak/>
        <w:t>Table 6</w:t>
      </w:r>
      <w:r w:rsidRPr="00B27A33">
        <w:rPr>
          <w:b/>
          <w:lang w:val="en-GB"/>
        </w:rPr>
        <w:t>:</w:t>
      </w:r>
      <w:r>
        <w:rPr>
          <w:b/>
          <w:lang w:val="en-GB"/>
        </w:rPr>
        <w:t xml:space="preserve"> </w:t>
      </w:r>
      <w:r w:rsidRPr="00CF2A10">
        <w:rPr>
          <w:lang w:val="en-GB"/>
        </w:rPr>
        <w:t>Effect of saline and alkaline treatments in the concentration of AsA</w:t>
      </w:r>
      <w:r w:rsidRPr="00CF2A10">
        <w:rPr>
          <w:vertAlign w:val="subscript"/>
          <w:lang w:val="en-GB"/>
        </w:rPr>
        <w:t>tot</w:t>
      </w:r>
      <w:r w:rsidRPr="00CF2A10">
        <w:rPr>
          <w:lang w:val="en-GB"/>
        </w:rPr>
        <w:t>, AsA</w:t>
      </w:r>
      <w:r w:rsidRPr="00CF2A10">
        <w:rPr>
          <w:vertAlign w:val="subscript"/>
          <w:lang w:val="en-GB"/>
        </w:rPr>
        <w:t>red</w:t>
      </w:r>
      <w:r w:rsidRPr="00CF2A10">
        <w:rPr>
          <w:lang w:val="en-GB"/>
        </w:rPr>
        <w:t xml:space="preserve"> and AsA</w:t>
      </w:r>
      <w:r w:rsidRPr="00CF2A10">
        <w:rPr>
          <w:vertAlign w:val="subscript"/>
          <w:lang w:val="en-GB"/>
        </w:rPr>
        <w:t>tot</w:t>
      </w:r>
      <w:r w:rsidRPr="00CF2A10">
        <w:rPr>
          <w:lang w:val="en-GB"/>
        </w:rPr>
        <w:t>/AsA</w:t>
      </w:r>
      <w:r w:rsidRPr="00CF2A10">
        <w:rPr>
          <w:vertAlign w:val="subscript"/>
          <w:lang w:val="en-GB"/>
        </w:rPr>
        <w:t>red</w:t>
      </w:r>
      <w:r w:rsidRPr="00CF2A10">
        <w:rPr>
          <w:lang w:val="en-GB"/>
        </w:rPr>
        <w:t xml:space="preserve"> ratio in plants of </w:t>
      </w:r>
      <w:r w:rsidRPr="00CF2A10">
        <w:rPr>
          <w:i/>
          <w:lang w:val="en-GB"/>
        </w:rPr>
        <w:t>Solanum lycopersicum</w:t>
      </w:r>
      <w:r w:rsidRPr="00CF2A10">
        <w:rPr>
          <w:lang w:val="en-GB"/>
        </w:rPr>
        <w:t xml:space="preserve"> cv. Grand Brix and cv. Marmande RAF</w:t>
      </w:r>
    </w:p>
    <w:tbl>
      <w:tblPr>
        <w:tblStyle w:val="Tablaconcuadrcula"/>
        <w:tblW w:w="0" w:type="auto"/>
        <w:jc w:val="center"/>
        <w:tblLook w:val="04A0" w:firstRow="1" w:lastRow="0" w:firstColumn="1" w:lastColumn="0" w:noHBand="0" w:noVBand="1"/>
      </w:tblPr>
      <w:tblGrid>
        <w:gridCol w:w="1205"/>
        <w:gridCol w:w="1293"/>
        <w:gridCol w:w="1204"/>
        <w:gridCol w:w="1197"/>
        <w:gridCol w:w="1204"/>
        <w:gridCol w:w="1197"/>
        <w:gridCol w:w="1204"/>
      </w:tblGrid>
      <w:tr w:rsidR="00E97387" w:rsidRPr="005400D9" w14:paraId="1A931780" w14:textId="77777777" w:rsidTr="00C02C80">
        <w:trPr>
          <w:jc w:val="center"/>
        </w:trPr>
        <w:tc>
          <w:tcPr>
            <w:tcW w:w="1208" w:type="dxa"/>
            <w:vMerge w:val="restart"/>
            <w:tcBorders>
              <w:left w:val="nil"/>
              <w:right w:val="nil"/>
            </w:tcBorders>
          </w:tcPr>
          <w:p w14:paraId="066DDD31" w14:textId="77777777" w:rsidR="00E97387" w:rsidRPr="00F25193" w:rsidRDefault="00E97387" w:rsidP="00C02C80">
            <w:pPr>
              <w:rPr>
                <w:lang w:val="en-GB"/>
              </w:rPr>
            </w:pPr>
          </w:p>
        </w:tc>
        <w:tc>
          <w:tcPr>
            <w:tcW w:w="2497" w:type="dxa"/>
            <w:gridSpan w:val="2"/>
            <w:tcBorders>
              <w:left w:val="nil"/>
              <w:right w:val="nil"/>
            </w:tcBorders>
            <w:vAlign w:val="bottom"/>
          </w:tcPr>
          <w:p w14:paraId="3FCB4DC2" w14:textId="77777777" w:rsidR="00E97387" w:rsidRPr="00D14356" w:rsidRDefault="00E97387" w:rsidP="00C02C80">
            <w:pPr>
              <w:jc w:val="center"/>
              <w:rPr>
                <w:rFonts w:ascii="Calibri" w:hAnsi="Calibri"/>
                <w:color w:val="000000"/>
              </w:rPr>
            </w:pPr>
            <w:r>
              <w:rPr>
                <w:rFonts w:ascii="Calibri" w:hAnsi="Calibri"/>
                <w:color w:val="000000"/>
              </w:rPr>
              <w:t>Total AsA (mg g</w:t>
            </w:r>
            <w:r>
              <w:rPr>
                <w:rFonts w:ascii="Calibri" w:hAnsi="Calibri"/>
                <w:color w:val="000000"/>
                <w:vertAlign w:val="superscript"/>
              </w:rPr>
              <w:t>-1</w:t>
            </w:r>
            <w:r>
              <w:rPr>
                <w:rFonts w:ascii="Calibri" w:hAnsi="Calibri"/>
                <w:color w:val="000000"/>
              </w:rPr>
              <w:t xml:space="preserve"> FW)</w:t>
            </w:r>
          </w:p>
        </w:tc>
        <w:tc>
          <w:tcPr>
            <w:tcW w:w="2498" w:type="dxa"/>
            <w:gridSpan w:val="2"/>
            <w:tcBorders>
              <w:left w:val="nil"/>
              <w:right w:val="nil"/>
            </w:tcBorders>
            <w:vAlign w:val="bottom"/>
          </w:tcPr>
          <w:p w14:paraId="7572E4B7" w14:textId="77777777" w:rsidR="00E97387" w:rsidRPr="00AB277A" w:rsidRDefault="00E97387" w:rsidP="00C02C80">
            <w:pPr>
              <w:jc w:val="center"/>
              <w:rPr>
                <w:rFonts w:ascii="Calibri" w:hAnsi="Calibri"/>
                <w:color w:val="000000"/>
                <w:lang w:val="en-GB"/>
              </w:rPr>
            </w:pPr>
            <w:r w:rsidRPr="00AB277A">
              <w:rPr>
                <w:rFonts w:ascii="Calibri" w:hAnsi="Calibri"/>
                <w:color w:val="000000"/>
                <w:lang w:val="en-GB"/>
              </w:rPr>
              <w:t>Reduced AsA (mg g</w:t>
            </w:r>
            <w:r w:rsidRPr="00AB277A">
              <w:rPr>
                <w:rFonts w:ascii="Calibri" w:hAnsi="Calibri"/>
                <w:color w:val="000000"/>
                <w:vertAlign w:val="superscript"/>
                <w:lang w:val="en-GB"/>
              </w:rPr>
              <w:t>-1</w:t>
            </w:r>
            <w:r w:rsidRPr="00AB277A">
              <w:rPr>
                <w:rFonts w:ascii="Calibri" w:hAnsi="Calibri"/>
                <w:color w:val="000000"/>
                <w:lang w:val="en-GB"/>
              </w:rPr>
              <w:t xml:space="preserve"> FW)</w:t>
            </w:r>
          </w:p>
        </w:tc>
        <w:tc>
          <w:tcPr>
            <w:tcW w:w="2517" w:type="dxa"/>
            <w:gridSpan w:val="2"/>
            <w:tcBorders>
              <w:left w:val="nil"/>
              <w:right w:val="nil"/>
            </w:tcBorders>
            <w:vAlign w:val="bottom"/>
          </w:tcPr>
          <w:p w14:paraId="53BD2722" w14:textId="77777777" w:rsidR="00E97387" w:rsidRPr="00AB277A" w:rsidRDefault="00E97387" w:rsidP="00C02C80">
            <w:pPr>
              <w:jc w:val="center"/>
              <w:rPr>
                <w:rFonts w:ascii="Calibri" w:hAnsi="Calibri"/>
                <w:color w:val="000000"/>
                <w:lang w:val="en-GB"/>
              </w:rPr>
            </w:pPr>
            <w:r w:rsidRPr="00AB277A">
              <w:rPr>
                <w:rFonts w:ascii="Calibri" w:hAnsi="Calibri"/>
                <w:color w:val="000000"/>
                <w:lang w:val="en-GB"/>
              </w:rPr>
              <w:t>AsAtot/AsAred (mg g</w:t>
            </w:r>
            <w:r w:rsidRPr="00AB277A">
              <w:rPr>
                <w:rFonts w:ascii="Calibri" w:hAnsi="Calibri"/>
                <w:color w:val="000000"/>
                <w:vertAlign w:val="superscript"/>
                <w:lang w:val="en-GB"/>
              </w:rPr>
              <w:t>-1</w:t>
            </w:r>
            <w:r w:rsidRPr="00AB277A">
              <w:rPr>
                <w:rFonts w:ascii="Calibri" w:hAnsi="Calibri"/>
                <w:color w:val="000000"/>
                <w:lang w:val="en-GB"/>
              </w:rPr>
              <w:t xml:space="preserve"> FW)</w:t>
            </w:r>
          </w:p>
        </w:tc>
      </w:tr>
      <w:tr w:rsidR="00E97387" w14:paraId="1EA63F9C" w14:textId="77777777" w:rsidTr="00C02C80">
        <w:trPr>
          <w:jc w:val="center"/>
        </w:trPr>
        <w:tc>
          <w:tcPr>
            <w:tcW w:w="1208" w:type="dxa"/>
            <w:vMerge/>
            <w:tcBorders>
              <w:left w:val="nil"/>
              <w:bottom w:val="single" w:sz="4" w:space="0" w:color="auto"/>
              <w:right w:val="nil"/>
            </w:tcBorders>
          </w:tcPr>
          <w:p w14:paraId="17F93C4E" w14:textId="77777777" w:rsidR="00E97387" w:rsidRPr="00F30B60" w:rsidRDefault="00E97387" w:rsidP="00C02C80">
            <w:pPr>
              <w:rPr>
                <w:lang w:val="en-GB"/>
              </w:rPr>
            </w:pPr>
          </w:p>
        </w:tc>
        <w:tc>
          <w:tcPr>
            <w:tcW w:w="1289" w:type="dxa"/>
            <w:tcBorders>
              <w:left w:val="nil"/>
              <w:bottom w:val="single" w:sz="4" w:space="0" w:color="auto"/>
              <w:right w:val="nil"/>
            </w:tcBorders>
          </w:tcPr>
          <w:p w14:paraId="4F8B35A8" w14:textId="77777777" w:rsidR="00E97387" w:rsidRDefault="00E97387" w:rsidP="00C02C80">
            <w:pPr>
              <w:jc w:val="center"/>
            </w:pPr>
            <w:r>
              <w:t>Grand Brix</w:t>
            </w:r>
          </w:p>
        </w:tc>
        <w:tc>
          <w:tcPr>
            <w:tcW w:w="1208" w:type="dxa"/>
            <w:tcBorders>
              <w:left w:val="nil"/>
              <w:bottom w:val="single" w:sz="4" w:space="0" w:color="auto"/>
              <w:right w:val="nil"/>
            </w:tcBorders>
          </w:tcPr>
          <w:p w14:paraId="2A964626" w14:textId="77777777" w:rsidR="00E97387" w:rsidRDefault="00E97387" w:rsidP="00C02C80">
            <w:pPr>
              <w:jc w:val="center"/>
            </w:pPr>
            <w:r>
              <w:t>Marmande</w:t>
            </w:r>
          </w:p>
        </w:tc>
        <w:tc>
          <w:tcPr>
            <w:tcW w:w="1290" w:type="dxa"/>
            <w:tcBorders>
              <w:left w:val="nil"/>
              <w:bottom w:val="single" w:sz="4" w:space="0" w:color="auto"/>
              <w:right w:val="nil"/>
            </w:tcBorders>
          </w:tcPr>
          <w:p w14:paraId="620DEAA8" w14:textId="77777777" w:rsidR="00E97387" w:rsidRDefault="00E97387" w:rsidP="00C02C80">
            <w:pPr>
              <w:jc w:val="center"/>
            </w:pPr>
            <w:r>
              <w:t>Grand Brix</w:t>
            </w:r>
          </w:p>
        </w:tc>
        <w:tc>
          <w:tcPr>
            <w:tcW w:w="1208" w:type="dxa"/>
            <w:tcBorders>
              <w:left w:val="nil"/>
              <w:bottom w:val="single" w:sz="4" w:space="0" w:color="auto"/>
              <w:right w:val="nil"/>
            </w:tcBorders>
          </w:tcPr>
          <w:p w14:paraId="4AF01A7A" w14:textId="77777777" w:rsidR="00E97387" w:rsidRDefault="00E97387" w:rsidP="00C02C80">
            <w:pPr>
              <w:jc w:val="center"/>
            </w:pPr>
            <w:r>
              <w:t>Marmande</w:t>
            </w:r>
          </w:p>
        </w:tc>
        <w:tc>
          <w:tcPr>
            <w:tcW w:w="1308" w:type="dxa"/>
            <w:tcBorders>
              <w:left w:val="nil"/>
              <w:bottom w:val="single" w:sz="4" w:space="0" w:color="auto"/>
              <w:right w:val="nil"/>
            </w:tcBorders>
          </w:tcPr>
          <w:p w14:paraId="7834A64A" w14:textId="77777777" w:rsidR="00E97387" w:rsidRDefault="00E97387" w:rsidP="00C02C80">
            <w:pPr>
              <w:jc w:val="center"/>
            </w:pPr>
            <w:r>
              <w:t>Grand Brix</w:t>
            </w:r>
          </w:p>
        </w:tc>
        <w:tc>
          <w:tcPr>
            <w:tcW w:w="1209" w:type="dxa"/>
            <w:tcBorders>
              <w:left w:val="nil"/>
              <w:bottom w:val="single" w:sz="4" w:space="0" w:color="auto"/>
              <w:right w:val="nil"/>
            </w:tcBorders>
          </w:tcPr>
          <w:p w14:paraId="16DC5B46" w14:textId="77777777" w:rsidR="00E97387" w:rsidRDefault="00E97387" w:rsidP="00C02C80">
            <w:pPr>
              <w:jc w:val="center"/>
            </w:pPr>
            <w:r>
              <w:t>Marmande</w:t>
            </w:r>
          </w:p>
        </w:tc>
      </w:tr>
      <w:tr w:rsidR="00E97387" w:rsidRPr="008834D9" w14:paraId="312520CA" w14:textId="77777777" w:rsidTr="00C02C80">
        <w:trPr>
          <w:jc w:val="center"/>
        </w:trPr>
        <w:tc>
          <w:tcPr>
            <w:tcW w:w="1208" w:type="dxa"/>
            <w:tcBorders>
              <w:top w:val="single" w:sz="4" w:space="0" w:color="auto"/>
              <w:left w:val="nil"/>
              <w:bottom w:val="nil"/>
              <w:right w:val="nil"/>
            </w:tcBorders>
          </w:tcPr>
          <w:p w14:paraId="6AE2F978" w14:textId="77777777" w:rsidR="00E97387" w:rsidRDefault="00E97387" w:rsidP="00C02C80">
            <w:r>
              <w:t>Control</w:t>
            </w:r>
          </w:p>
        </w:tc>
        <w:tc>
          <w:tcPr>
            <w:tcW w:w="1289" w:type="dxa"/>
            <w:tcBorders>
              <w:top w:val="single" w:sz="4" w:space="0" w:color="auto"/>
              <w:left w:val="nil"/>
              <w:bottom w:val="nil"/>
              <w:right w:val="nil"/>
            </w:tcBorders>
          </w:tcPr>
          <w:p w14:paraId="20895A78" w14:textId="77777777" w:rsidR="00E97387" w:rsidRPr="00EB03E2" w:rsidRDefault="00E97387" w:rsidP="00C02C80">
            <w:pPr>
              <w:jc w:val="center"/>
              <w:rPr>
                <w:vertAlign w:val="superscript"/>
              </w:rPr>
            </w:pPr>
            <w:r>
              <w:t>0.09</w:t>
            </w:r>
            <w:r w:rsidRPr="00920A5D">
              <w:t>±</w:t>
            </w:r>
            <w:r>
              <w:t>0.00</w:t>
            </w:r>
            <w:r>
              <w:rPr>
                <w:vertAlign w:val="superscript"/>
              </w:rPr>
              <w:t>b</w:t>
            </w:r>
            <w:r w:rsidRPr="007F1B5F">
              <w:rPr>
                <w:lang w:val="en-GB"/>
              </w:rPr>
              <w:t>†</w:t>
            </w:r>
          </w:p>
        </w:tc>
        <w:tc>
          <w:tcPr>
            <w:tcW w:w="1208" w:type="dxa"/>
            <w:tcBorders>
              <w:top w:val="single" w:sz="4" w:space="0" w:color="auto"/>
              <w:left w:val="nil"/>
              <w:bottom w:val="nil"/>
              <w:right w:val="nil"/>
            </w:tcBorders>
          </w:tcPr>
          <w:p w14:paraId="50607A65" w14:textId="77777777" w:rsidR="00E97387" w:rsidRPr="00CF5100" w:rsidRDefault="00E97387" w:rsidP="00C02C80">
            <w:pPr>
              <w:jc w:val="center"/>
              <w:rPr>
                <w:vertAlign w:val="superscript"/>
              </w:rPr>
            </w:pPr>
            <w:r>
              <w:t>0.10</w:t>
            </w:r>
            <w:r w:rsidRPr="00920A5D">
              <w:t>±</w:t>
            </w:r>
            <w:r>
              <w:t>0.00</w:t>
            </w:r>
            <w:r>
              <w:rPr>
                <w:vertAlign w:val="superscript"/>
              </w:rPr>
              <w:t>a</w:t>
            </w:r>
          </w:p>
        </w:tc>
        <w:tc>
          <w:tcPr>
            <w:tcW w:w="1290" w:type="dxa"/>
            <w:tcBorders>
              <w:top w:val="single" w:sz="4" w:space="0" w:color="auto"/>
              <w:left w:val="nil"/>
              <w:bottom w:val="nil"/>
              <w:right w:val="nil"/>
            </w:tcBorders>
          </w:tcPr>
          <w:p w14:paraId="20445580" w14:textId="77777777" w:rsidR="00E97387" w:rsidRPr="00EB03E2" w:rsidRDefault="00E97387" w:rsidP="00C02C80">
            <w:pPr>
              <w:jc w:val="center"/>
              <w:rPr>
                <w:vertAlign w:val="superscript"/>
              </w:rPr>
            </w:pPr>
            <w:r>
              <w:t>0.01</w:t>
            </w:r>
            <w:r w:rsidRPr="00920A5D">
              <w:t>±</w:t>
            </w:r>
            <w:r>
              <w:t>0.</w:t>
            </w:r>
            <w:r w:rsidRPr="00EB03E2">
              <w:t>00</w:t>
            </w:r>
            <w:r>
              <w:rPr>
                <w:vertAlign w:val="superscript"/>
              </w:rPr>
              <w:t>b</w:t>
            </w:r>
          </w:p>
        </w:tc>
        <w:tc>
          <w:tcPr>
            <w:tcW w:w="1208" w:type="dxa"/>
            <w:tcBorders>
              <w:top w:val="single" w:sz="4" w:space="0" w:color="auto"/>
              <w:left w:val="nil"/>
              <w:bottom w:val="nil"/>
              <w:right w:val="nil"/>
            </w:tcBorders>
          </w:tcPr>
          <w:p w14:paraId="7890DD0C" w14:textId="77777777" w:rsidR="00E97387" w:rsidRPr="008703DC" w:rsidRDefault="00E97387" w:rsidP="00C02C80">
            <w:pPr>
              <w:jc w:val="center"/>
              <w:rPr>
                <w:vertAlign w:val="superscript"/>
              </w:rPr>
            </w:pPr>
            <w:r>
              <w:t>0.02</w:t>
            </w:r>
            <w:r w:rsidRPr="00920A5D">
              <w:t>±</w:t>
            </w:r>
            <w:r>
              <w:t>0.</w:t>
            </w:r>
            <w:r w:rsidRPr="00CF5100">
              <w:t>00</w:t>
            </w:r>
            <w:r>
              <w:rPr>
                <w:vertAlign w:val="superscript"/>
              </w:rPr>
              <w:t>a</w:t>
            </w:r>
          </w:p>
        </w:tc>
        <w:tc>
          <w:tcPr>
            <w:tcW w:w="1308" w:type="dxa"/>
            <w:tcBorders>
              <w:left w:val="nil"/>
              <w:bottom w:val="nil"/>
              <w:right w:val="nil"/>
            </w:tcBorders>
          </w:tcPr>
          <w:p w14:paraId="687D157C" w14:textId="77777777" w:rsidR="00E97387" w:rsidRPr="00500A8C" w:rsidRDefault="00E97387" w:rsidP="00C02C80">
            <w:pPr>
              <w:jc w:val="center"/>
              <w:rPr>
                <w:vertAlign w:val="superscript"/>
              </w:rPr>
            </w:pPr>
            <w:r>
              <w:t>5.88</w:t>
            </w:r>
            <w:r w:rsidRPr="00920A5D">
              <w:t>±</w:t>
            </w:r>
            <w:r>
              <w:t>0.18</w:t>
            </w:r>
            <w:r>
              <w:rPr>
                <w:vertAlign w:val="superscript"/>
              </w:rPr>
              <w:t>b</w:t>
            </w:r>
          </w:p>
        </w:tc>
        <w:tc>
          <w:tcPr>
            <w:tcW w:w="1209" w:type="dxa"/>
            <w:tcBorders>
              <w:left w:val="nil"/>
              <w:bottom w:val="nil"/>
              <w:right w:val="nil"/>
            </w:tcBorders>
          </w:tcPr>
          <w:p w14:paraId="21AE2744" w14:textId="77777777" w:rsidR="00E97387" w:rsidRPr="001724AD" w:rsidRDefault="00E97387" w:rsidP="00C02C80">
            <w:pPr>
              <w:jc w:val="center"/>
              <w:rPr>
                <w:vertAlign w:val="superscript"/>
              </w:rPr>
            </w:pPr>
            <w:r>
              <w:t>7.15</w:t>
            </w:r>
            <w:r w:rsidRPr="00920A5D">
              <w:t>±</w:t>
            </w:r>
            <w:r>
              <w:t>0.09</w:t>
            </w:r>
            <w:r>
              <w:rPr>
                <w:vertAlign w:val="superscript"/>
              </w:rPr>
              <w:t>b</w:t>
            </w:r>
          </w:p>
        </w:tc>
      </w:tr>
      <w:tr w:rsidR="00E97387" w:rsidRPr="008834D9" w14:paraId="5805B340" w14:textId="77777777" w:rsidTr="00C02C80">
        <w:trPr>
          <w:jc w:val="center"/>
        </w:trPr>
        <w:tc>
          <w:tcPr>
            <w:tcW w:w="1208" w:type="dxa"/>
            <w:tcBorders>
              <w:top w:val="nil"/>
              <w:left w:val="nil"/>
              <w:bottom w:val="nil"/>
              <w:right w:val="nil"/>
            </w:tcBorders>
          </w:tcPr>
          <w:p w14:paraId="7867AAFD" w14:textId="77777777" w:rsidR="00E97387" w:rsidRDefault="00E97387" w:rsidP="00C02C80">
            <w:r>
              <w:t>Salinity</w:t>
            </w:r>
          </w:p>
        </w:tc>
        <w:tc>
          <w:tcPr>
            <w:tcW w:w="1289" w:type="dxa"/>
            <w:tcBorders>
              <w:top w:val="nil"/>
              <w:left w:val="nil"/>
              <w:bottom w:val="nil"/>
              <w:right w:val="nil"/>
            </w:tcBorders>
          </w:tcPr>
          <w:p w14:paraId="3C17A24C" w14:textId="77777777" w:rsidR="00E97387" w:rsidRPr="00EB03E2" w:rsidRDefault="00E97387" w:rsidP="00C02C80">
            <w:pPr>
              <w:rPr>
                <w:vertAlign w:val="superscript"/>
              </w:rPr>
            </w:pPr>
            <w:r>
              <w:t>0.12</w:t>
            </w:r>
            <w:r w:rsidRPr="00920A5D">
              <w:t>±</w:t>
            </w:r>
            <w:r>
              <w:t>0.00</w:t>
            </w:r>
            <w:r>
              <w:rPr>
                <w:vertAlign w:val="superscript"/>
              </w:rPr>
              <w:t>a</w:t>
            </w:r>
          </w:p>
        </w:tc>
        <w:tc>
          <w:tcPr>
            <w:tcW w:w="1208" w:type="dxa"/>
            <w:tcBorders>
              <w:top w:val="nil"/>
              <w:left w:val="nil"/>
              <w:bottom w:val="nil"/>
              <w:right w:val="nil"/>
            </w:tcBorders>
          </w:tcPr>
          <w:p w14:paraId="71BA1725" w14:textId="77777777" w:rsidR="00E97387" w:rsidRPr="00CF5100" w:rsidRDefault="00E97387" w:rsidP="00C02C80">
            <w:pPr>
              <w:jc w:val="center"/>
              <w:rPr>
                <w:vertAlign w:val="superscript"/>
              </w:rPr>
            </w:pPr>
            <w:r>
              <w:t>0.10</w:t>
            </w:r>
            <w:r w:rsidRPr="00920A5D">
              <w:t>±</w:t>
            </w:r>
            <w:r>
              <w:t>0.00</w:t>
            </w:r>
            <w:r>
              <w:rPr>
                <w:vertAlign w:val="superscript"/>
              </w:rPr>
              <w:t>a</w:t>
            </w:r>
          </w:p>
        </w:tc>
        <w:tc>
          <w:tcPr>
            <w:tcW w:w="1290" w:type="dxa"/>
            <w:tcBorders>
              <w:top w:val="nil"/>
              <w:left w:val="nil"/>
              <w:bottom w:val="nil"/>
              <w:right w:val="nil"/>
            </w:tcBorders>
          </w:tcPr>
          <w:p w14:paraId="0B16E8F8" w14:textId="77777777" w:rsidR="00E97387" w:rsidRPr="00EB03E2" w:rsidRDefault="00E97387" w:rsidP="00C02C80">
            <w:pPr>
              <w:jc w:val="center"/>
              <w:rPr>
                <w:vertAlign w:val="superscript"/>
              </w:rPr>
            </w:pPr>
            <w:r>
              <w:t>0.02</w:t>
            </w:r>
            <w:r w:rsidRPr="00920A5D">
              <w:t>±</w:t>
            </w:r>
            <w:r>
              <w:t>0.00</w:t>
            </w:r>
            <w:r>
              <w:rPr>
                <w:vertAlign w:val="superscript"/>
              </w:rPr>
              <w:t>a</w:t>
            </w:r>
          </w:p>
        </w:tc>
        <w:tc>
          <w:tcPr>
            <w:tcW w:w="1208" w:type="dxa"/>
            <w:tcBorders>
              <w:top w:val="nil"/>
              <w:left w:val="nil"/>
              <w:bottom w:val="nil"/>
              <w:right w:val="nil"/>
            </w:tcBorders>
          </w:tcPr>
          <w:p w14:paraId="08F435C2" w14:textId="77777777" w:rsidR="00E97387" w:rsidRPr="008703DC" w:rsidRDefault="00E97387" w:rsidP="00C02C80">
            <w:pPr>
              <w:jc w:val="center"/>
              <w:rPr>
                <w:vertAlign w:val="superscript"/>
              </w:rPr>
            </w:pPr>
            <w:r>
              <w:t>0.02</w:t>
            </w:r>
            <w:r w:rsidRPr="00920A5D">
              <w:t>±</w:t>
            </w:r>
            <w:r>
              <w:t>0.00</w:t>
            </w:r>
            <w:r>
              <w:rPr>
                <w:vertAlign w:val="superscript"/>
              </w:rPr>
              <w:t>a</w:t>
            </w:r>
          </w:p>
        </w:tc>
        <w:tc>
          <w:tcPr>
            <w:tcW w:w="1308" w:type="dxa"/>
            <w:tcBorders>
              <w:top w:val="nil"/>
              <w:left w:val="nil"/>
              <w:bottom w:val="nil"/>
              <w:right w:val="nil"/>
            </w:tcBorders>
          </w:tcPr>
          <w:p w14:paraId="1BBF07C7" w14:textId="77777777" w:rsidR="00E97387" w:rsidRPr="00500A8C" w:rsidRDefault="00E97387" w:rsidP="00C02C80">
            <w:pPr>
              <w:jc w:val="center"/>
              <w:rPr>
                <w:vertAlign w:val="superscript"/>
              </w:rPr>
            </w:pPr>
            <w:r>
              <w:t>7.36</w:t>
            </w:r>
            <w:r w:rsidRPr="00920A5D">
              <w:t>±</w:t>
            </w:r>
            <w:r>
              <w:t>0.21</w:t>
            </w:r>
            <w:r>
              <w:rPr>
                <w:vertAlign w:val="superscript"/>
              </w:rPr>
              <w:t>a</w:t>
            </w:r>
          </w:p>
        </w:tc>
        <w:tc>
          <w:tcPr>
            <w:tcW w:w="1209" w:type="dxa"/>
            <w:tcBorders>
              <w:top w:val="nil"/>
              <w:left w:val="nil"/>
              <w:bottom w:val="nil"/>
              <w:right w:val="nil"/>
            </w:tcBorders>
          </w:tcPr>
          <w:p w14:paraId="0A9A2EE5" w14:textId="77777777" w:rsidR="00E97387" w:rsidRPr="001724AD" w:rsidRDefault="00E97387" w:rsidP="00C02C80">
            <w:pPr>
              <w:jc w:val="center"/>
              <w:rPr>
                <w:vertAlign w:val="superscript"/>
              </w:rPr>
            </w:pPr>
            <w:r>
              <w:t>7.74</w:t>
            </w:r>
            <w:r w:rsidRPr="00920A5D">
              <w:t>±</w:t>
            </w:r>
            <w:r>
              <w:t>0.22</w:t>
            </w:r>
            <w:r>
              <w:rPr>
                <w:vertAlign w:val="superscript"/>
              </w:rPr>
              <w:t>a</w:t>
            </w:r>
          </w:p>
        </w:tc>
      </w:tr>
      <w:tr w:rsidR="00E97387" w:rsidRPr="00F30B60" w14:paraId="4CBE83AF" w14:textId="77777777" w:rsidTr="00C02C80">
        <w:trPr>
          <w:jc w:val="center"/>
        </w:trPr>
        <w:tc>
          <w:tcPr>
            <w:tcW w:w="1208" w:type="dxa"/>
            <w:tcBorders>
              <w:top w:val="nil"/>
              <w:left w:val="nil"/>
              <w:bottom w:val="nil"/>
              <w:right w:val="nil"/>
            </w:tcBorders>
          </w:tcPr>
          <w:p w14:paraId="6DBA7098" w14:textId="77777777" w:rsidR="00E97387" w:rsidRDefault="00E97387" w:rsidP="00C02C80">
            <w:r>
              <w:t>P-valor</w:t>
            </w:r>
          </w:p>
        </w:tc>
        <w:tc>
          <w:tcPr>
            <w:tcW w:w="1289" w:type="dxa"/>
            <w:tcBorders>
              <w:top w:val="nil"/>
              <w:left w:val="nil"/>
              <w:bottom w:val="nil"/>
              <w:right w:val="nil"/>
            </w:tcBorders>
          </w:tcPr>
          <w:p w14:paraId="247E68F6" w14:textId="77777777" w:rsidR="00E97387" w:rsidRPr="00744CC3" w:rsidRDefault="00E97387" w:rsidP="00C02C80">
            <w:pPr>
              <w:jc w:val="center"/>
            </w:pPr>
            <w:r>
              <w:t>***</w:t>
            </w:r>
            <w:r w:rsidRPr="007F1B5F">
              <w:rPr>
                <w:lang w:val="en-GB"/>
              </w:rPr>
              <w:t>§</w:t>
            </w:r>
          </w:p>
        </w:tc>
        <w:tc>
          <w:tcPr>
            <w:tcW w:w="1208" w:type="dxa"/>
            <w:tcBorders>
              <w:top w:val="nil"/>
              <w:left w:val="nil"/>
              <w:bottom w:val="nil"/>
              <w:right w:val="nil"/>
            </w:tcBorders>
          </w:tcPr>
          <w:p w14:paraId="208D7505" w14:textId="77777777" w:rsidR="00E97387" w:rsidRPr="00744CC3" w:rsidRDefault="00E97387" w:rsidP="00C02C80">
            <w:pPr>
              <w:jc w:val="center"/>
            </w:pPr>
            <w:r>
              <w:t>NS</w:t>
            </w:r>
          </w:p>
        </w:tc>
        <w:tc>
          <w:tcPr>
            <w:tcW w:w="1290" w:type="dxa"/>
            <w:tcBorders>
              <w:top w:val="nil"/>
              <w:left w:val="nil"/>
              <w:bottom w:val="nil"/>
              <w:right w:val="nil"/>
            </w:tcBorders>
          </w:tcPr>
          <w:p w14:paraId="6DCEF783" w14:textId="77777777" w:rsidR="00E97387" w:rsidRPr="00744CC3" w:rsidRDefault="00E97387" w:rsidP="00C02C80">
            <w:pPr>
              <w:jc w:val="center"/>
            </w:pPr>
            <w:r>
              <w:t>***</w:t>
            </w:r>
          </w:p>
        </w:tc>
        <w:tc>
          <w:tcPr>
            <w:tcW w:w="1208" w:type="dxa"/>
            <w:tcBorders>
              <w:top w:val="nil"/>
              <w:left w:val="nil"/>
              <w:bottom w:val="nil"/>
              <w:right w:val="nil"/>
            </w:tcBorders>
          </w:tcPr>
          <w:p w14:paraId="37FA4D5C" w14:textId="77777777" w:rsidR="00E97387" w:rsidRPr="00744CC3" w:rsidRDefault="00E97387" w:rsidP="00C02C80">
            <w:pPr>
              <w:jc w:val="center"/>
            </w:pPr>
            <w:r>
              <w:t>NS</w:t>
            </w:r>
          </w:p>
        </w:tc>
        <w:tc>
          <w:tcPr>
            <w:tcW w:w="1308" w:type="dxa"/>
            <w:tcBorders>
              <w:top w:val="nil"/>
              <w:left w:val="nil"/>
              <w:bottom w:val="nil"/>
              <w:right w:val="nil"/>
            </w:tcBorders>
          </w:tcPr>
          <w:p w14:paraId="18768423" w14:textId="77777777" w:rsidR="00E97387" w:rsidRPr="00FF696C" w:rsidRDefault="00E97387" w:rsidP="00C02C80">
            <w:pPr>
              <w:jc w:val="center"/>
            </w:pPr>
            <w:r>
              <w:t>***</w:t>
            </w:r>
          </w:p>
        </w:tc>
        <w:tc>
          <w:tcPr>
            <w:tcW w:w="1209" w:type="dxa"/>
            <w:tcBorders>
              <w:top w:val="nil"/>
              <w:left w:val="nil"/>
              <w:bottom w:val="nil"/>
              <w:right w:val="nil"/>
            </w:tcBorders>
          </w:tcPr>
          <w:p w14:paraId="15B7F1A8" w14:textId="77777777" w:rsidR="00E97387" w:rsidRPr="00FF696C" w:rsidRDefault="00E97387" w:rsidP="00C02C80">
            <w:pPr>
              <w:jc w:val="center"/>
            </w:pPr>
            <w:r>
              <w:t>***</w:t>
            </w:r>
          </w:p>
        </w:tc>
      </w:tr>
      <w:tr w:rsidR="00E97387" w:rsidRPr="00F30B60" w14:paraId="59CF0757" w14:textId="77777777" w:rsidTr="00C02C80">
        <w:trPr>
          <w:jc w:val="center"/>
        </w:trPr>
        <w:tc>
          <w:tcPr>
            <w:tcW w:w="1208" w:type="dxa"/>
            <w:tcBorders>
              <w:top w:val="nil"/>
              <w:left w:val="nil"/>
              <w:bottom w:val="nil"/>
              <w:right w:val="nil"/>
            </w:tcBorders>
          </w:tcPr>
          <w:p w14:paraId="43CEBF9E" w14:textId="77777777" w:rsidR="00E97387" w:rsidRDefault="00E97387" w:rsidP="00C02C80"/>
        </w:tc>
        <w:tc>
          <w:tcPr>
            <w:tcW w:w="1289" w:type="dxa"/>
            <w:tcBorders>
              <w:top w:val="nil"/>
              <w:left w:val="nil"/>
              <w:bottom w:val="nil"/>
              <w:right w:val="nil"/>
            </w:tcBorders>
          </w:tcPr>
          <w:p w14:paraId="6D99F194" w14:textId="77777777" w:rsidR="00E97387" w:rsidRDefault="00E97387" w:rsidP="00C02C80">
            <w:pPr>
              <w:jc w:val="center"/>
            </w:pPr>
          </w:p>
        </w:tc>
        <w:tc>
          <w:tcPr>
            <w:tcW w:w="1208" w:type="dxa"/>
            <w:tcBorders>
              <w:top w:val="nil"/>
              <w:left w:val="nil"/>
              <w:bottom w:val="nil"/>
              <w:right w:val="nil"/>
            </w:tcBorders>
          </w:tcPr>
          <w:p w14:paraId="45D5AB28" w14:textId="77777777" w:rsidR="00E97387" w:rsidRDefault="00E97387" w:rsidP="00C02C80">
            <w:pPr>
              <w:jc w:val="center"/>
            </w:pPr>
          </w:p>
        </w:tc>
        <w:tc>
          <w:tcPr>
            <w:tcW w:w="1290" w:type="dxa"/>
            <w:tcBorders>
              <w:top w:val="nil"/>
              <w:left w:val="nil"/>
              <w:bottom w:val="nil"/>
              <w:right w:val="nil"/>
            </w:tcBorders>
          </w:tcPr>
          <w:p w14:paraId="3114090E" w14:textId="77777777" w:rsidR="00E97387" w:rsidRDefault="00E97387" w:rsidP="00C02C80">
            <w:pPr>
              <w:jc w:val="center"/>
            </w:pPr>
          </w:p>
        </w:tc>
        <w:tc>
          <w:tcPr>
            <w:tcW w:w="1208" w:type="dxa"/>
            <w:tcBorders>
              <w:top w:val="nil"/>
              <w:left w:val="nil"/>
              <w:bottom w:val="nil"/>
              <w:right w:val="nil"/>
            </w:tcBorders>
          </w:tcPr>
          <w:p w14:paraId="68AC2AA9" w14:textId="77777777" w:rsidR="00E97387" w:rsidRDefault="00E97387" w:rsidP="00C02C80">
            <w:pPr>
              <w:jc w:val="center"/>
            </w:pPr>
          </w:p>
        </w:tc>
        <w:tc>
          <w:tcPr>
            <w:tcW w:w="1308" w:type="dxa"/>
            <w:tcBorders>
              <w:top w:val="nil"/>
              <w:left w:val="nil"/>
              <w:bottom w:val="nil"/>
              <w:right w:val="nil"/>
            </w:tcBorders>
          </w:tcPr>
          <w:p w14:paraId="2FED87A9" w14:textId="77777777" w:rsidR="00E97387" w:rsidRDefault="00E97387" w:rsidP="00C02C80">
            <w:pPr>
              <w:jc w:val="center"/>
            </w:pPr>
          </w:p>
        </w:tc>
        <w:tc>
          <w:tcPr>
            <w:tcW w:w="1209" w:type="dxa"/>
            <w:tcBorders>
              <w:top w:val="nil"/>
              <w:left w:val="nil"/>
              <w:bottom w:val="nil"/>
              <w:right w:val="nil"/>
            </w:tcBorders>
          </w:tcPr>
          <w:p w14:paraId="467A384F" w14:textId="77777777" w:rsidR="00E97387" w:rsidRDefault="00E97387" w:rsidP="00C02C80">
            <w:pPr>
              <w:jc w:val="center"/>
            </w:pPr>
          </w:p>
        </w:tc>
      </w:tr>
      <w:tr w:rsidR="00E97387" w14:paraId="4BFA7026" w14:textId="77777777" w:rsidTr="00C02C80">
        <w:trPr>
          <w:jc w:val="center"/>
        </w:trPr>
        <w:tc>
          <w:tcPr>
            <w:tcW w:w="1208" w:type="dxa"/>
            <w:tcBorders>
              <w:top w:val="nil"/>
              <w:left w:val="nil"/>
              <w:bottom w:val="nil"/>
              <w:right w:val="nil"/>
            </w:tcBorders>
          </w:tcPr>
          <w:p w14:paraId="765969DF" w14:textId="77777777" w:rsidR="00E97387" w:rsidRDefault="00E97387" w:rsidP="00C02C80">
            <w:r>
              <w:t>Grand Brix</w:t>
            </w:r>
          </w:p>
        </w:tc>
        <w:tc>
          <w:tcPr>
            <w:tcW w:w="2497" w:type="dxa"/>
            <w:gridSpan w:val="2"/>
            <w:tcBorders>
              <w:top w:val="nil"/>
              <w:left w:val="nil"/>
              <w:bottom w:val="nil"/>
              <w:right w:val="nil"/>
            </w:tcBorders>
          </w:tcPr>
          <w:p w14:paraId="5F3F84F9" w14:textId="77777777" w:rsidR="00E97387" w:rsidRPr="00744CC3" w:rsidRDefault="00E97387" w:rsidP="00C02C80">
            <w:pPr>
              <w:jc w:val="center"/>
            </w:pPr>
            <w:r>
              <w:t>0.11</w:t>
            </w:r>
            <w:r>
              <w:rPr>
                <w:vertAlign w:val="superscript"/>
              </w:rPr>
              <w:t>a</w:t>
            </w:r>
            <w:r w:rsidRPr="007F1B5F">
              <w:rPr>
                <w:lang w:val="en-GB"/>
              </w:rPr>
              <w:t>‡</w:t>
            </w:r>
          </w:p>
        </w:tc>
        <w:tc>
          <w:tcPr>
            <w:tcW w:w="2498" w:type="dxa"/>
            <w:gridSpan w:val="2"/>
            <w:tcBorders>
              <w:top w:val="nil"/>
              <w:left w:val="nil"/>
              <w:bottom w:val="nil"/>
              <w:right w:val="nil"/>
            </w:tcBorders>
          </w:tcPr>
          <w:p w14:paraId="22DD3321" w14:textId="77777777" w:rsidR="00E97387" w:rsidRPr="00744CC3" w:rsidRDefault="00E97387" w:rsidP="00C02C80">
            <w:pPr>
              <w:jc w:val="center"/>
            </w:pPr>
            <w:r>
              <w:t>0.03</w:t>
            </w:r>
            <w:r>
              <w:rPr>
                <w:vertAlign w:val="superscript"/>
              </w:rPr>
              <w:t>a</w:t>
            </w:r>
          </w:p>
        </w:tc>
        <w:tc>
          <w:tcPr>
            <w:tcW w:w="2517" w:type="dxa"/>
            <w:gridSpan w:val="2"/>
            <w:tcBorders>
              <w:top w:val="nil"/>
              <w:left w:val="nil"/>
              <w:bottom w:val="nil"/>
              <w:right w:val="nil"/>
            </w:tcBorders>
          </w:tcPr>
          <w:p w14:paraId="1AFF3755" w14:textId="77777777" w:rsidR="00E97387" w:rsidRPr="00FF696C" w:rsidRDefault="00E97387" w:rsidP="00C02C80">
            <w:pPr>
              <w:jc w:val="center"/>
            </w:pPr>
            <w:r>
              <w:t>5.91</w:t>
            </w:r>
            <w:r>
              <w:rPr>
                <w:vertAlign w:val="superscript"/>
              </w:rPr>
              <w:t>a</w:t>
            </w:r>
          </w:p>
        </w:tc>
      </w:tr>
      <w:tr w:rsidR="00E97387" w14:paraId="4772E643" w14:textId="77777777" w:rsidTr="00C02C80">
        <w:trPr>
          <w:jc w:val="center"/>
        </w:trPr>
        <w:tc>
          <w:tcPr>
            <w:tcW w:w="1208" w:type="dxa"/>
            <w:tcBorders>
              <w:top w:val="nil"/>
              <w:left w:val="nil"/>
              <w:bottom w:val="nil"/>
              <w:right w:val="nil"/>
            </w:tcBorders>
          </w:tcPr>
          <w:p w14:paraId="61AD4B74" w14:textId="77777777" w:rsidR="00E97387" w:rsidRDefault="00E97387" w:rsidP="00C02C80">
            <w:r>
              <w:t>Marmande</w:t>
            </w:r>
          </w:p>
        </w:tc>
        <w:tc>
          <w:tcPr>
            <w:tcW w:w="2497" w:type="dxa"/>
            <w:gridSpan w:val="2"/>
            <w:tcBorders>
              <w:top w:val="nil"/>
              <w:left w:val="nil"/>
              <w:bottom w:val="nil"/>
              <w:right w:val="nil"/>
            </w:tcBorders>
          </w:tcPr>
          <w:p w14:paraId="50347F53" w14:textId="77777777" w:rsidR="00E97387" w:rsidRPr="00744CC3" w:rsidRDefault="00E97387" w:rsidP="00C02C80">
            <w:pPr>
              <w:jc w:val="center"/>
            </w:pPr>
            <w:r>
              <w:t>0.10</w:t>
            </w:r>
            <w:r>
              <w:rPr>
                <w:vertAlign w:val="superscript"/>
              </w:rPr>
              <w:t>b</w:t>
            </w:r>
          </w:p>
        </w:tc>
        <w:tc>
          <w:tcPr>
            <w:tcW w:w="2498" w:type="dxa"/>
            <w:gridSpan w:val="2"/>
            <w:tcBorders>
              <w:top w:val="nil"/>
              <w:left w:val="nil"/>
              <w:bottom w:val="nil"/>
              <w:right w:val="nil"/>
            </w:tcBorders>
          </w:tcPr>
          <w:p w14:paraId="0905795C" w14:textId="77777777" w:rsidR="00E97387" w:rsidRPr="00744CC3" w:rsidRDefault="00E97387" w:rsidP="00C02C80">
            <w:pPr>
              <w:jc w:val="center"/>
            </w:pPr>
            <w:r>
              <w:t>0.03</w:t>
            </w:r>
            <w:r>
              <w:rPr>
                <w:vertAlign w:val="superscript"/>
              </w:rPr>
              <w:t>a</w:t>
            </w:r>
          </w:p>
        </w:tc>
        <w:tc>
          <w:tcPr>
            <w:tcW w:w="2517" w:type="dxa"/>
            <w:gridSpan w:val="2"/>
            <w:tcBorders>
              <w:top w:val="nil"/>
              <w:left w:val="nil"/>
              <w:bottom w:val="nil"/>
              <w:right w:val="nil"/>
            </w:tcBorders>
          </w:tcPr>
          <w:p w14:paraId="320D689C" w14:textId="77777777" w:rsidR="00E97387" w:rsidRPr="00FF696C" w:rsidRDefault="00E97387" w:rsidP="00C02C80">
            <w:pPr>
              <w:jc w:val="center"/>
            </w:pPr>
            <w:r>
              <w:t>6.10</w:t>
            </w:r>
            <w:r>
              <w:rPr>
                <w:vertAlign w:val="superscript"/>
              </w:rPr>
              <w:t>a</w:t>
            </w:r>
          </w:p>
        </w:tc>
      </w:tr>
      <w:tr w:rsidR="00E97387" w14:paraId="521EF4B4" w14:textId="77777777" w:rsidTr="00C02C80">
        <w:trPr>
          <w:jc w:val="center"/>
        </w:trPr>
        <w:tc>
          <w:tcPr>
            <w:tcW w:w="1208" w:type="dxa"/>
            <w:tcBorders>
              <w:top w:val="nil"/>
              <w:left w:val="nil"/>
              <w:bottom w:val="nil"/>
              <w:right w:val="nil"/>
            </w:tcBorders>
          </w:tcPr>
          <w:p w14:paraId="1DF87E05" w14:textId="77777777" w:rsidR="00E97387" w:rsidRDefault="00E97387" w:rsidP="00C02C80">
            <w:r>
              <w:t>P-valor</w:t>
            </w:r>
          </w:p>
        </w:tc>
        <w:tc>
          <w:tcPr>
            <w:tcW w:w="2497" w:type="dxa"/>
            <w:gridSpan w:val="2"/>
            <w:tcBorders>
              <w:top w:val="nil"/>
              <w:left w:val="nil"/>
              <w:bottom w:val="nil"/>
              <w:right w:val="nil"/>
            </w:tcBorders>
          </w:tcPr>
          <w:p w14:paraId="61074BF3" w14:textId="77777777" w:rsidR="00E97387" w:rsidRPr="008834D9" w:rsidRDefault="00E97387" w:rsidP="00C02C80">
            <w:pPr>
              <w:jc w:val="center"/>
            </w:pPr>
            <w:r>
              <w:t>**</w:t>
            </w:r>
          </w:p>
        </w:tc>
        <w:tc>
          <w:tcPr>
            <w:tcW w:w="2498" w:type="dxa"/>
            <w:gridSpan w:val="2"/>
            <w:tcBorders>
              <w:top w:val="nil"/>
              <w:left w:val="nil"/>
              <w:bottom w:val="nil"/>
              <w:right w:val="nil"/>
            </w:tcBorders>
          </w:tcPr>
          <w:p w14:paraId="6FF983B7" w14:textId="77777777" w:rsidR="00E97387" w:rsidRPr="008834D9" w:rsidRDefault="00E97387" w:rsidP="00C02C80">
            <w:pPr>
              <w:jc w:val="center"/>
            </w:pPr>
            <w:r>
              <w:t>NS</w:t>
            </w:r>
          </w:p>
        </w:tc>
        <w:tc>
          <w:tcPr>
            <w:tcW w:w="2517" w:type="dxa"/>
            <w:gridSpan w:val="2"/>
            <w:tcBorders>
              <w:top w:val="nil"/>
              <w:left w:val="nil"/>
              <w:bottom w:val="nil"/>
              <w:right w:val="nil"/>
            </w:tcBorders>
          </w:tcPr>
          <w:p w14:paraId="523EE689" w14:textId="77777777" w:rsidR="00E97387" w:rsidRDefault="00E97387" w:rsidP="00C02C80">
            <w:pPr>
              <w:jc w:val="center"/>
            </w:pPr>
            <w:r>
              <w:t>NS</w:t>
            </w:r>
          </w:p>
        </w:tc>
      </w:tr>
      <w:tr w:rsidR="00E97387" w14:paraId="4F281E10" w14:textId="77777777" w:rsidTr="00C02C80">
        <w:trPr>
          <w:jc w:val="center"/>
        </w:trPr>
        <w:tc>
          <w:tcPr>
            <w:tcW w:w="1208" w:type="dxa"/>
            <w:tcBorders>
              <w:top w:val="nil"/>
              <w:left w:val="nil"/>
              <w:bottom w:val="nil"/>
              <w:right w:val="nil"/>
            </w:tcBorders>
          </w:tcPr>
          <w:p w14:paraId="089E7C8E" w14:textId="77777777" w:rsidR="00E97387" w:rsidRPr="00760990" w:rsidRDefault="00E97387" w:rsidP="00C02C80">
            <w:pPr>
              <w:rPr>
                <w:vertAlign w:val="subscript"/>
              </w:rPr>
            </w:pPr>
            <w:r>
              <w:t>LSD</w:t>
            </w:r>
            <w:r>
              <w:rPr>
                <w:vertAlign w:val="subscript"/>
              </w:rPr>
              <w:t>0.05</w:t>
            </w:r>
          </w:p>
        </w:tc>
        <w:tc>
          <w:tcPr>
            <w:tcW w:w="2497" w:type="dxa"/>
            <w:gridSpan w:val="2"/>
            <w:tcBorders>
              <w:top w:val="nil"/>
              <w:left w:val="nil"/>
              <w:bottom w:val="nil"/>
              <w:right w:val="nil"/>
            </w:tcBorders>
          </w:tcPr>
          <w:p w14:paraId="431CFAEC" w14:textId="77777777" w:rsidR="00E97387" w:rsidRPr="008834D9" w:rsidRDefault="00E97387" w:rsidP="00C02C80">
            <w:pPr>
              <w:jc w:val="center"/>
            </w:pPr>
            <w:r>
              <w:t>0.00</w:t>
            </w:r>
          </w:p>
        </w:tc>
        <w:tc>
          <w:tcPr>
            <w:tcW w:w="2498" w:type="dxa"/>
            <w:gridSpan w:val="2"/>
            <w:tcBorders>
              <w:top w:val="nil"/>
              <w:left w:val="nil"/>
              <w:bottom w:val="nil"/>
              <w:right w:val="nil"/>
            </w:tcBorders>
          </w:tcPr>
          <w:p w14:paraId="49D3176F" w14:textId="77777777" w:rsidR="00E97387" w:rsidRPr="008834D9" w:rsidRDefault="00E97387" w:rsidP="00C02C80">
            <w:pPr>
              <w:jc w:val="center"/>
            </w:pPr>
            <w:r>
              <w:t>0.00</w:t>
            </w:r>
          </w:p>
        </w:tc>
        <w:tc>
          <w:tcPr>
            <w:tcW w:w="2517" w:type="dxa"/>
            <w:gridSpan w:val="2"/>
            <w:tcBorders>
              <w:top w:val="nil"/>
              <w:left w:val="nil"/>
              <w:bottom w:val="nil"/>
              <w:right w:val="nil"/>
            </w:tcBorders>
          </w:tcPr>
          <w:p w14:paraId="4236E626" w14:textId="77777777" w:rsidR="00E97387" w:rsidRDefault="00E97387" w:rsidP="00C02C80">
            <w:pPr>
              <w:jc w:val="center"/>
            </w:pPr>
            <w:r>
              <w:t>0.42</w:t>
            </w:r>
          </w:p>
        </w:tc>
      </w:tr>
    </w:tbl>
    <w:p w14:paraId="511638FB" w14:textId="77777777" w:rsidR="00E97387" w:rsidRDefault="00E97387" w:rsidP="00E97387">
      <w:pPr>
        <w:pStyle w:val="Sinespaciado"/>
        <w:rPr>
          <w:lang w:val="en-GB"/>
        </w:rPr>
      </w:pPr>
    </w:p>
    <w:p w14:paraId="5C94E7F9" w14:textId="77777777" w:rsidR="00E97387" w:rsidRPr="00B27A33" w:rsidRDefault="00E97387" w:rsidP="00E97387">
      <w:pPr>
        <w:pStyle w:val="Sinespaciado"/>
        <w:jc w:val="both"/>
        <w:rPr>
          <w:b/>
          <w:lang w:val="en-GB"/>
        </w:rPr>
      </w:pPr>
      <w:r>
        <w:rPr>
          <w:b/>
          <w:lang w:val="en-GB"/>
        </w:rPr>
        <w:t>Table 7</w:t>
      </w:r>
      <w:r w:rsidRPr="00B27A33">
        <w:rPr>
          <w:b/>
          <w:lang w:val="en-GB"/>
        </w:rPr>
        <w:t>:</w:t>
      </w:r>
      <w:r>
        <w:rPr>
          <w:b/>
          <w:lang w:val="en-GB"/>
        </w:rPr>
        <w:t xml:space="preserve"> </w:t>
      </w:r>
      <w:r w:rsidRPr="00B63846">
        <w:rPr>
          <w:lang w:val="en-GB"/>
        </w:rPr>
        <w:t>Effect of saline and alkaline treatments in the concentration of GSH</w:t>
      </w:r>
      <w:r w:rsidRPr="00B63846">
        <w:rPr>
          <w:vertAlign w:val="subscript"/>
          <w:lang w:val="en-GB"/>
        </w:rPr>
        <w:t>tot</w:t>
      </w:r>
      <w:r w:rsidRPr="00B63846">
        <w:rPr>
          <w:lang w:val="en-GB"/>
        </w:rPr>
        <w:t>, GSH</w:t>
      </w:r>
      <w:r w:rsidRPr="00B63846">
        <w:rPr>
          <w:vertAlign w:val="subscript"/>
          <w:lang w:val="en-GB"/>
        </w:rPr>
        <w:t>red</w:t>
      </w:r>
      <w:r w:rsidRPr="00B63846">
        <w:rPr>
          <w:lang w:val="en-GB"/>
        </w:rPr>
        <w:t xml:space="preserve"> and GSH</w:t>
      </w:r>
      <w:r w:rsidRPr="00B63846">
        <w:rPr>
          <w:vertAlign w:val="subscript"/>
          <w:lang w:val="en-GB"/>
        </w:rPr>
        <w:t>tot</w:t>
      </w:r>
      <w:r w:rsidRPr="00B63846">
        <w:rPr>
          <w:lang w:val="en-GB"/>
        </w:rPr>
        <w:t>/GSH</w:t>
      </w:r>
      <w:r w:rsidRPr="00B63846">
        <w:rPr>
          <w:vertAlign w:val="subscript"/>
          <w:lang w:val="en-GB"/>
        </w:rPr>
        <w:t>red</w:t>
      </w:r>
      <w:r w:rsidRPr="00B63846">
        <w:rPr>
          <w:lang w:val="en-GB"/>
        </w:rPr>
        <w:t xml:space="preserve"> ratio in plants of </w:t>
      </w:r>
      <w:r w:rsidRPr="00B63846">
        <w:rPr>
          <w:i/>
          <w:lang w:val="en-GB"/>
        </w:rPr>
        <w:t>Solanum lycopersicum</w:t>
      </w:r>
      <w:r w:rsidRPr="00B63846">
        <w:rPr>
          <w:lang w:val="en-GB"/>
        </w:rPr>
        <w:t xml:space="preserve"> cv. Grand Brix and cv. Marmande RAF</w:t>
      </w:r>
    </w:p>
    <w:tbl>
      <w:tblPr>
        <w:tblStyle w:val="Tablaconcuadrcula"/>
        <w:tblW w:w="0" w:type="auto"/>
        <w:jc w:val="center"/>
        <w:tblLook w:val="04A0" w:firstRow="1" w:lastRow="0" w:firstColumn="1" w:lastColumn="0" w:noHBand="0" w:noVBand="1"/>
      </w:tblPr>
      <w:tblGrid>
        <w:gridCol w:w="1206"/>
        <w:gridCol w:w="1289"/>
        <w:gridCol w:w="1205"/>
        <w:gridCol w:w="1197"/>
        <w:gridCol w:w="1205"/>
        <w:gridCol w:w="1197"/>
        <w:gridCol w:w="1205"/>
      </w:tblGrid>
      <w:tr w:rsidR="00E97387" w:rsidRPr="005400D9" w14:paraId="44410D67" w14:textId="77777777" w:rsidTr="00C02C80">
        <w:trPr>
          <w:jc w:val="center"/>
        </w:trPr>
        <w:tc>
          <w:tcPr>
            <w:tcW w:w="1208" w:type="dxa"/>
            <w:vMerge w:val="restart"/>
            <w:tcBorders>
              <w:left w:val="nil"/>
              <w:right w:val="nil"/>
            </w:tcBorders>
          </w:tcPr>
          <w:p w14:paraId="57941FC9" w14:textId="77777777" w:rsidR="00E97387" w:rsidRPr="00D14356" w:rsidRDefault="00E97387" w:rsidP="00C02C80">
            <w:pPr>
              <w:rPr>
                <w:lang w:val="en-GB"/>
              </w:rPr>
            </w:pPr>
          </w:p>
        </w:tc>
        <w:tc>
          <w:tcPr>
            <w:tcW w:w="2523" w:type="dxa"/>
            <w:gridSpan w:val="2"/>
            <w:tcBorders>
              <w:left w:val="nil"/>
              <w:right w:val="nil"/>
            </w:tcBorders>
            <w:vAlign w:val="bottom"/>
          </w:tcPr>
          <w:p w14:paraId="6894442C" w14:textId="77777777" w:rsidR="00E97387" w:rsidRPr="00AB277A" w:rsidRDefault="00E97387" w:rsidP="00C02C80">
            <w:pPr>
              <w:jc w:val="center"/>
              <w:rPr>
                <w:rFonts w:ascii="Calibri" w:hAnsi="Calibri"/>
                <w:color w:val="000000"/>
                <w:lang w:val="en-GB"/>
              </w:rPr>
            </w:pPr>
            <w:r w:rsidRPr="00AB277A">
              <w:rPr>
                <w:rFonts w:ascii="Calibri" w:hAnsi="Calibri"/>
                <w:color w:val="000000"/>
                <w:lang w:val="en-GB"/>
              </w:rPr>
              <w:t>Total GSH (mg g</w:t>
            </w:r>
            <w:r w:rsidRPr="00AB277A">
              <w:rPr>
                <w:rFonts w:ascii="Calibri" w:hAnsi="Calibri"/>
                <w:color w:val="000000"/>
                <w:vertAlign w:val="superscript"/>
                <w:lang w:val="en-GB"/>
              </w:rPr>
              <w:t>-1</w:t>
            </w:r>
            <w:r w:rsidRPr="00AB277A">
              <w:rPr>
                <w:rFonts w:ascii="Calibri" w:hAnsi="Calibri"/>
                <w:color w:val="000000"/>
                <w:lang w:val="en-GB"/>
              </w:rPr>
              <w:t xml:space="preserve"> FW)</w:t>
            </w:r>
          </w:p>
        </w:tc>
        <w:tc>
          <w:tcPr>
            <w:tcW w:w="2469" w:type="dxa"/>
            <w:gridSpan w:val="2"/>
            <w:tcBorders>
              <w:left w:val="nil"/>
              <w:right w:val="nil"/>
            </w:tcBorders>
            <w:vAlign w:val="bottom"/>
          </w:tcPr>
          <w:p w14:paraId="1B084A3E" w14:textId="77777777" w:rsidR="00E97387" w:rsidRPr="00AB277A" w:rsidRDefault="00E97387" w:rsidP="00C02C80">
            <w:pPr>
              <w:jc w:val="center"/>
              <w:rPr>
                <w:rFonts w:ascii="Calibri" w:hAnsi="Calibri"/>
                <w:color w:val="000000"/>
                <w:lang w:val="en-GB"/>
              </w:rPr>
            </w:pPr>
            <w:r w:rsidRPr="00AB277A">
              <w:rPr>
                <w:rFonts w:ascii="Calibri" w:hAnsi="Calibri"/>
                <w:color w:val="000000"/>
                <w:lang w:val="en-GB"/>
              </w:rPr>
              <w:t>Reduced GSH</w:t>
            </w:r>
            <w:r>
              <w:rPr>
                <w:rFonts w:ascii="Calibri" w:hAnsi="Calibri"/>
                <w:color w:val="000000"/>
                <w:lang w:val="en-GB"/>
              </w:rPr>
              <w:t xml:space="preserve"> </w:t>
            </w:r>
            <w:r w:rsidRPr="00AB277A">
              <w:rPr>
                <w:rFonts w:ascii="Calibri" w:hAnsi="Calibri"/>
                <w:color w:val="000000"/>
                <w:lang w:val="en-GB"/>
              </w:rPr>
              <w:t>(mg g</w:t>
            </w:r>
            <w:r w:rsidRPr="00AB277A">
              <w:rPr>
                <w:rFonts w:ascii="Calibri" w:hAnsi="Calibri"/>
                <w:color w:val="000000"/>
                <w:vertAlign w:val="superscript"/>
                <w:lang w:val="en-GB"/>
              </w:rPr>
              <w:t>-1</w:t>
            </w:r>
            <w:r w:rsidRPr="00AB277A">
              <w:rPr>
                <w:rFonts w:ascii="Calibri" w:hAnsi="Calibri"/>
                <w:color w:val="000000"/>
                <w:lang w:val="en-GB"/>
              </w:rPr>
              <w:t xml:space="preserve"> FW)</w:t>
            </w:r>
          </w:p>
        </w:tc>
        <w:tc>
          <w:tcPr>
            <w:tcW w:w="2520" w:type="dxa"/>
            <w:gridSpan w:val="2"/>
            <w:tcBorders>
              <w:left w:val="nil"/>
              <w:right w:val="nil"/>
            </w:tcBorders>
            <w:vAlign w:val="bottom"/>
          </w:tcPr>
          <w:p w14:paraId="2814E279" w14:textId="77777777" w:rsidR="00E97387" w:rsidRPr="00AB277A" w:rsidRDefault="00E97387" w:rsidP="00C02C80">
            <w:pPr>
              <w:jc w:val="center"/>
              <w:rPr>
                <w:rFonts w:ascii="Calibri" w:hAnsi="Calibri"/>
                <w:color w:val="000000"/>
                <w:lang w:val="en-GB"/>
              </w:rPr>
            </w:pPr>
            <w:r w:rsidRPr="00AB277A">
              <w:rPr>
                <w:rFonts w:ascii="Calibri" w:hAnsi="Calibri"/>
                <w:color w:val="000000"/>
                <w:lang w:val="en-GB"/>
              </w:rPr>
              <w:t>GSHtot/GSHred (mg g</w:t>
            </w:r>
            <w:r w:rsidRPr="00AB277A">
              <w:rPr>
                <w:rFonts w:ascii="Calibri" w:hAnsi="Calibri"/>
                <w:color w:val="000000"/>
                <w:vertAlign w:val="superscript"/>
                <w:lang w:val="en-GB"/>
              </w:rPr>
              <w:t>-1</w:t>
            </w:r>
            <w:r w:rsidRPr="00AB277A">
              <w:rPr>
                <w:rFonts w:ascii="Calibri" w:hAnsi="Calibri"/>
                <w:color w:val="000000"/>
                <w:lang w:val="en-GB"/>
              </w:rPr>
              <w:t xml:space="preserve"> FW)</w:t>
            </w:r>
          </w:p>
        </w:tc>
      </w:tr>
      <w:tr w:rsidR="00E97387" w14:paraId="64A5105D" w14:textId="77777777" w:rsidTr="00C02C80">
        <w:trPr>
          <w:jc w:val="center"/>
        </w:trPr>
        <w:tc>
          <w:tcPr>
            <w:tcW w:w="1208" w:type="dxa"/>
            <w:vMerge/>
            <w:tcBorders>
              <w:left w:val="nil"/>
              <w:bottom w:val="single" w:sz="4" w:space="0" w:color="auto"/>
              <w:right w:val="nil"/>
            </w:tcBorders>
          </w:tcPr>
          <w:p w14:paraId="0EAC1345" w14:textId="77777777" w:rsidR="00E97387" w:rsidRPr="00F30B60" w:rsidRDefault="00E97387" w:rsidP="00C02C80">
            <w:pPr>
              <w:rPr>
                <w:lang w:val="en-GB"/>
              </w:rPr>
            </w:pPr>
          </w:p>
        </w:tc>
        <w:tc>
          <w:tcPr>
            <w:tcW w:w="1282" w:type="dxa"/>
            <w:tcBorders>
              <w:left w:val="nil"/>
              <w:bottom w:val="single" w:sz="4" w:space="0" w:color="auto"/>
              <w:right w:val="nil"/>
            </w:tcBorders>
          </w:tcPr>
          <w:p w14:paraId="7A6BF24A" w14:textId="77777777" w:rsidR="00E97387" w:rsidRDefault="00E97387" w:rsidP="00C02C80">
            <w:pPr>
              <w:jc w:val="center"/>
            </w:pPr>
            <w:r>
              <w:t>Grand Brix</w:t>
            </w:r>
          </w:p>
        </w:tc>
        <w:tc>
          <w:tcPr>
            <w:tcW w:w="1241" w:type="dxa"/>
            <w:tcBorders>
              <w:left w:val="nil"/>
              <w:bottom w:val="single" w:sz="4" w:space="0" w:color="auto"/>
              <w:right w:val="nil"/>
            </w:tcBorders>
          </w:tcPr>
          <w:p w14:paraId="1A3AF1E1" w14:textId="77777777" w:rsidR="00E97387" w:rsidRDefault="00E97387" w:rsidP="00C02C80">
            <w:pPr>
              <w:jc w:val="center"/>
            </w:pPr>
            <w:r>
              <w:t>Marmande</w:t>
            </w:r>
          </w:p>
        </w:tc>
        <w:tc>
          <w:tcPr>
            <w:tcW w:w="1229" w:type="dxa"/>
            <w:tcBorders>
              <w:left w:val="nil"/>
              <w:bottom w:val="single" w:sz="4" w:space="0" w:color="auto"/>
              <w:right w:val="nil"/>
            </w:tcBorders>
          </w:tcPr>
          <w:p w14:paraId="625DF4EA" w14:textId="77777777" w:rsidR="00E97387" w:rsidRDefault="00E97387" w:rsidP="00C02C80">
            <w:pPr>
              <w:jc w:val="center"/>
            </w:pPr>
            <w:r>
              <w:t>Grand Brix</w:t>
            </w:r>
          </w:p>
        </w:tc>
        <w:tc>
          <w:tcPr>
            <w:tcW w:w="1240" w:type="dxa"/>
            <w:tcBorders>
              <w:left w:val="nil"/>
              <w:bottom w:val="single" w:sz="4" w:space="0" w:color="auto"/>
              <w:right w:val="nil"/>
            </w:tcBorders>
          </w:tcPr>
          <w:p w14:paraId="4989AD58" w14:textId="77777777" w:rsidR="00E97387" w:rsidRDefault="00E97387" w:rsidP="00C02C80">
            <w:pPr>
              <w:jc w:val="center"/>
            </w:pPr>
            <w:r>
              <w:t>Marmande</w:t>
            </w:r>
          </w:p>
        </w:tc>
        <w:tc>
          <w:tcPr>
            <w:tcW w:w="1229" w:type="dxa"/>
            <w:tcBorders>
              <w:left w:val="nil"/>
              <w:bottom w:val="single" w:sz="4" w:space="0" w:color="auto"/>
              <w:right w:val="nil"/>
            </w:tcBorders>
          </w:tcPr>
          <w:p w14:paraId="41CBD7DE" w14:textId="77777777" w:rsidR="00E97387" w:rsidRDefault="00E97387" w:rsidP="00C02C80">
            <w:pPr>
              <w:jc w:val="center"/>
            </w:pPr>
            <w:r>
              <w:t>Grand Brix</w:t>
            </w:r>
          </w:p>
        </w:tc>
        <w:tc>
          <w:tcPr>
            <w:tcW w:w="1291" w:type="dxa"/>
            <w:tcBorders>
              <w:left w:val="nil"/>
              <w:bottom w:val="single" w:sz="4" w:space="0" w:color="auto"/>
              <w:right w:val="nil"/>
            </w:tcBorders>
          </w:tcPr>
          <w:p w14:paraId="442543C1" w14:textId="77777777" w:rsidR="00E97387" w:rsidRDefault="00E97387" w:rsidP="00C02C80">
            <w:pPr>
              <w:jc w:val="center"/>
            </w:pPr>
            <w:r>
              <w:t>Marmande</w:t>
            </w:r>
          </w:p>
        </w:tc>
      </w:tr>
      <w:tr w:rsidR="00E97387" w:rsidRPr="008834D9" w14:paraId="2D795C0C" w14:textId="77777777" w:rsidTr="00C02C80">
        <w:trPr>
          <w:jc w:val="center"/>
        </w:trPr>
        <w:tc>
          <w:tcPr>
            <w:tcW w:w="1208" w:type="dxa"/>
            <w:tcBorders>
              <w:top w:val="single" w:sz="4" w:space="0" w:color="auto"/>
              <w:left w:val="nil"/>
              <w:bottom w:val="nil"/>
              <w:right w:val="nil"/>
            </w:tcBorders>
          </w:tcPr>
          <w:p w14:paraId="2B71A40A" w14:textId="77777777" w:rsidR="00E97387" w:rsidRDefault="00E97387" w:rsidP="00C02C80">
            <w:r>
              <w:t>Control</w:t>
            </w:r>
          </w:p>
        </w:tc>
        <w:tc>
          <w:tcPr>
            <w:tcW w:w="1282" w:type="dxa"/>
            <w:tcBorders>
              <w:top w:val="single" w:sz="4" w:space="0" w:color="auto"/>
              <w:left w:val="nil"/>
              <w:bottom w:val="nil"/>
              <w:right w:val="nil"/>
            </w:tcBorders>
          </w:tcPr>
          <w:p w14:paraId="41AEEED2" w14:textId="77777777" w:rsidR="00E97387" w:rsidRPr="001724AD" w:rsidRDefault="00E97387" w:rsidP="00C02C80">
            <w:pPr>
              <w:jc w:val="center"/>
              <w:rPr>
                <w:vertAlign w:val="superscript"/>
              </w:rPr>
            </w:pPr>
            <w:r>
              <w:t>0,27</w:t>
            </w:r>
            <w:r w:rsidRPr="00920A5D">
              <w:t>±</w:t>
            </w:r>
            <w:r>
              <w:t>0,00</w:t>
            </w:r>
            <w:r>
              <w:rPr>
                <w:vertAlign w:val="superscript"/>
              </w:rPr>
              <w:t>a</w:t>
            </w:r>
            <w:r w:rsidRPr="007F1B5F">
              <w:rPr>
                <w:lang w:val="en-GB"/>
              </w:rPr>
              <w:t>†</w:t>
            </w:r>
          </w:p>
        </w:tc>
        <w:tc>
          <w:tcPr>
            <w:tcW w:w="1241" w:type="dxa"/>
            <w:tcBorders>
              <w:top w:val="single" w:sz="4" w:space="0" w:color="auto"/>
              <w:left w:val="nil"/>
              <w:bottom w:val="nil"/>
              <w:right w:val="nil"/>
            </w:tcBorders>
          </w:tcPr>
          <w:p w14:paraId="6F0CCA4C" w14:textId="77777777" w:rsidR="00E97387" w:rsidRPr="00BD146B" w:rsidRDefault="00E97387" w:rsidP="00C02C80">
            <w:pPr>
              <w:jc w:val="center"/>
              <w:rPr>
                <w:vertAlign w:val="superscript"/>
              </w:rPr>
            </w:pPr>
            <w:r>
              <w:t>0,25</w:t>
            </w:r>
            <w:r w:rsidRPr="00920A5D">
              <w:t>±</w:t>
            </w:r>
            <w:r>
              <w:t>0,00</w:t>
            </w:r>
            <w:r>
              <w:rPr>
                <w:vertAlign w:val="superscript"/>
              </w:rPr>
              <w:t>a</w:t>
            </w:r>
          </w:p>
        </w:tc>
        <w:tc>
          <w:tcPr>
            <w:tcW w:w="1229" w:type="dxa"/>
            <w:tcBorders>
              <w:top w:val="single" w:sz="4" w:space="0" w:color="auto"/>
              <w:left w:val="nil"/>
              <w:bottom w:val="nil"/>
              <w:right w:val="nil"/>
            </w:tcBorders>
          </w:tcPr>
          <w:p w14:paraId="58B9C7E9" w14:textId="77777777" w:rsidR="00E97387" w:rsidRPr="001724AD" w:rsidRDefault="00E97387" w:rsidP="00C02C80">
            <w:pPr>
              <w:jc w:val="center"/>
              <w:rPr>
                <w:vertAlign w:val="superscript"/>
              </w:rPr>
            </w:pPr>
            <w:r>
              <w:t>0,18</w:t>
            </w:r>
            <w:r w:rsidRPr="00920A5D">
              <w:t>±</w:t>
            </w:r>
            <w:r>
              <w:t>0,00</w:t>
            </w:r>
            <w:r>
              <w:rPr>
                <w:vertAlign w:val="superscript"/>
              </w:rPr>
              <w:t>a</w:t>
            </w:r>
          </w:p>
        </w:tc>
        <w:tc>
          <w:tcPr>
            <w:tcW w:w="1240" w:type="dxa"/>
            <w:tcBorders>
              <w:top w:val="single" w:sz="4" w:space="0" w:color="auto"/>
              <w:left w:val="nil"/>
              <w:bottom w:val="nil"/>
              <w:right w:val="nil"/>
            </w:tcBorders>
          </w:tcPr>
          <w:p w14:paraId="6A370AB0" w14:textId="77777777" w:rsidR="00E97387" w:rsidRPr="00BD146B" w:rsidRDefault="00E97387" w:rsidP="00C02C80">
            <w:pPr>
              <w:jc w:val="center"/>
              <w:rPr>
                <w:vertAlign w:val="superscript"/>
              </w:rPr>
            </w:pPr>
            <w:r>
              <w:t>0,18</w:t>
            </w:r>
            <w:r w:rsidRPr="00920A5D">
              <w:t>±</w:t>
            </w:r>
            <w:r>
              <w:t>0,01</w:t>
            </w:r>
            <w:r>
              <w:rPr>
                <w:vertAlign w:val="superscript"/>
              </w:rPr>
              <w:t>a</w:t>
            </w:r>
          </w:p>
        </w:tc>
        <w:tc>
          <w:tcPr>
            <w:tcW w:w="1229" w:type="dxa"/>
            <w:tcBorders>
              <w:left w:val="nil"/>
              <w:bottom w:val="nil"/>
              <w:right w:val="nil"/>
            </w:tcBorders>
          </w:tcPr>
          <w:p w14:paraId="5CA1E1FF" w14:textId="77777777" w:rsidR="00E97387" w:rsidRPr="001724AD" w:rsidRDefault="00E97387" w:rsidP="00C02C80">
            <w:pPr>
              <w:jc w:val="center"/>
              <w:rPr>
                <w:vertAlign w:val="superscript"/>
              </w:rPr>
            </w:pPr>
            <w:r>
              <w:t>1,47</w:t>
            </w:r>
            <w:r w:rsidRPr="00920A5D">
              <w:t>±</w:t>
            </w:r>
            <w:r>
              <w:t>0,01</w:t>
            </w:r>
            <w:r>
              <w:rPr>
                <w:vertAlign w:val="superscript"/>
              </w:rPr>
              <w:t>a</w:t>
            </w:r>
          </w:p>
        </w:tc>
        <w:tc>
          <w:tcPr>
            <w:tcW w:w="1291" w:type="dxa"/>
            <w:tcBorders>
              <w:left w:val="nil"/>
              <w:bottom w:val="nil"/>
              <w:right w:val="nil"/>
            </w:tcBorders>
          </w:tcPr>
          <w:p w14:paraId="4967C83B" w14:textId="77777777" w:rsidR="00E97387" w:rsidRPr="00E41FF0" w:rsidRDefault="00E97387" w:rsidP="00C02C80">
            <w:pPr>
              <w:jc w:val="center"/>
              <w:rPr>
                <w:vertAlign w:val="superscript"/>
              </w:rPr>
            </w:pPr>
            <w:r>
              <w:t>1,46</w:t>
            </w:r>
            <w:r w:rsidRPr="00920A5D">
              <w:t>±</w:t>
            </w:r>
            <w:r>
              <w:t>0,01</w:t>
            </w:r>
            <w:r>
              <w:rPr>
                <w:vertAlign w:val="superscript"/>
              </w:rPr>
              <w:t>a</w:t>
            </w:r>
          </w:p>
        </w:tc>
      </w:tr>
      <w:tr w:rsidR="00E97387" w:rsidRPr="008834D9" w14:paraId="7377EFB5" w14:textId="77777777" w:rsidTr="00C02C80">
        <w:trPr>
          <w:jc w:val="center"/>
        </w:trPr>
        <w:tc>
          <w:tcPr>
            <w:tcW w:w="1208" w:type="dxa"/>
            <w:tcBorders>
              <w:top w:val="nil"/>
              <w:left w:val="nil"/>
              <w:bottom w:val="nil"/>
              <w:right w:val="nil"/>
            </w:tcBorders>
          </w:tcPr>
          <w:p w14:paraId="23CCFF52" w14:textId="77777777" w:rsidR="00E97387" w:rsidRDefault="00E97387" w:rsidP="00C02C80">
            <w:r>
              <w:t>Salinity</w:t>
            </w:r>
          </w:p>
        </w:tc>
        <w:tc>
          <w:tcPr>
            <w:tcW w:w="1282" w:type="dxa"/>
            <w:tcBorders>
              <w:top w:val="nil"/>
              <w:left w:val="nil"/>
              <w:bottom w:val="nil"/>
              <w:right w:val="nil"/>
            </w:tcBorders>
          </w:tcPr>
          <w:p w14:paraId="0A6BA0CB" w14:textId="77777777" w:rsidR="00E97387" w:rsidRPr="001724AD" w:rsidRDefault="00E97387" w:rsidP="00C02C80">
            <w:pPr>
              <w:rPr>
                <w:vertAlign w:val="superscript"/>
              </w:rPr>
            </w:pPr>
            <w:r>
              <w:t>0,12</w:t>
            </w:r>
            <w:r w:rsidRPr="00920A5D">
              <w:t>±</w:t>
            </w:r>
            <w:r w:rsidRPr="001724AD">
              <w:t>0,00</w:t>
            </w:r>
            <w:r>
              <w:rPr>
                <w:vertAlign w:val="superscript"/>
              </w:rPr>
              <w:t>b</w:t>
            </w:r>
          </w:p>
        </w:tc>
        <w:tc>
          <w:tcPr>
            <w:tcW w:w="1241" w:type="dxa"/>
            <w:tcBorders>
              <w:top w:val="nil"/>
              <w:left w:val="nil"/>
              <w:bottom w:val="nil"/>
              <w:right w:val="nil"/>
            </w:tcBorders>
          </w:tcPr>
          <w:p w14:paraId="5E044178" w14:textId="77777777" w:rsidR="00E97387" w:rsidRPr="00BD146B" w:rsidRDefault="00E97387" w:rsidP="00C02C80">
            <w:pPr>
              <w:jc w:val="center"/>
              <w:rPr>
                <w:vertAlign w:val="superscript"/>
              </w:rPr>
            </w:pPr>
            <w:r>
              <w:t>0,11</w:t>
            </w:r>
            <w:r w:rsidRPr="00920A5D">
              <w:t>±</w:t>
            </w:r>
            <w:r>
              <w:t>0,00</w:t>
            </w:r>
            <w:r>
              <w:rPr>
                <w:vertAlign w:val="superscript"/>
              </w:rPr>
              <w:t>b</w:t>
            </w:r>
          </w:p>
        </w:tc>
        <w:tc>
          <w:tcPr>
            <w:tcW w:w="1229" w:type="dxa"/>
            <w:tcBorders>
              <w:top w:val="nil"/>
              <w:left w:val="nil"/>
              <w:bottom w:val="nil"/>
              <w:right w:val="nil"/>
            </w:tcBorders>
          </w:tcPr>
          <w:p w14:paraId="64507B7F" w14:textId="77777777" w:rsidR="00E97387" w:rsidRPr="001724AD" w:rsidRDefault="00E97387" w:rsidP="00C02C80">
            <w:pPr>
              <w:jc w:val="center"/>
              <w:rPr>
                <w:vertAlign w:val="superscript"/>
              </w:rPr>
            </w:pPr>
            <w:r>
              <w:t>0,08</w:t>
            </w:r>
            <w:r w:rsidRPr="00920A5D">
              <w:t>±</w:t>
            </w:r>
            <w:r>
              <w:t>0,01</w:t>
            </w:r>
            <w:r>
              <w:rPr>
                <w:vertAlign w:val="superscript"/>
              </w:rPr>
              <w:t>b</w:t>
            </w:r>
          </w:p>
        </w:tc>
        <w:tc>
          <w:tcPr>
            <w:tcW w:w="1240" w:type="dxa"/>
            <w:tcBorders>
              <w:top w:val="nil"/>
              <w:left w:val="nil"/>
              <w:bottom w:val="nil"/>
              <w:right w:val="nil"/>
            </w:tcBorders>
          </w:tcPr>
          <w:p w14:paraId="7E9EAE58" w14:textId="77777777" w:rsidR="00E97387" w:rsidRPr="00BD146B" w:rsidRDefault="00E97387" w:rsidP="00C02C80">
            <w:pPr>
              <w:jc w:val="center"/>
              <w:rPr>
                <w:vertAlign w:val="superscript"/>
              </w:rPr>
            </w:pPr>
            <w:r>
              <w:t>0,08</w:t>
            </w:r>
            <w:r w:rsidRPr="00920A5D">
              <w:t>±</w:t>
            </w:r>
            <w:r>
              <w:t>0,00</w:t>
            </w:r>
            <w:r>
              <w:rPr>
                <w:vertAlign w:val="superscript"/>
              </w:rPr>
              <w:t>b</w:t>
            </w:r>
          </w:p>
        </w:tc>
        <w:tc>
          <w:tcPr>
            <w:tcW w:w="1229" w:type="dxa"/>
            <w:tcBorders>
              <w:top w:val="nil"/>
              <w:left w:val="nil"/>
              <w:bottom w:val="nil"/>
              <w:right w:val="nil"/>
            </w:tcBorders>
          </w:tcPr>
          <w:p w14:paraId="289365CC" w14:textId="77777777" w:rsidR="00E97387" w:rsidRPr="001724AD" w:rsidRDefault="00E97387" w:rsidP="00C02C80">
            <w:pPr>
              <w:jc w:val="center"/>
              <w:rPr>
                <w:vertAlign w:val="superscript"/>
              </w:rPr>
            </w:pPr>
            <w:r>
              <w:t>1,28</w:t>
            </w:r>
            <w:r w:rsidRPr="00920A5D">
              <w:t>±</w:t>
            </w:r>
            <w:r>
              <w:t>0,01</w:t>
            </w:r>
            <w:r>
              <w:rPr>
                <w:vertAlign w:val="superscript"/>
              </w:rPr>
              <w:t>b</w:t>
            </w:r>
          </w:p>
        </w:tc>
        <w:tc>
          <w:tcPr>
            <w:tcW w:w="1291" w:type="dxa"/>
            <w:tcBorders>
              <w:top w:val="nil"/>
              <w:left w:val="nil"/>
              <w:bottom w:val="nil"/>
              <w:right w:val="nil"/>
            </w:tcBorders>
          </w:tcPr>
          <w:p w14:paraId="39B51874" w14:textId="77777777" w:rsidR="00E97387" w:rsidRPr="00E41FF0" w:rsidRDefault="00E97387" w:rsidP="00C02C80">
            <w:pPr>
              <w:jc w:val="center"/>
              <w:rPr>
                <w:vertAlign w:val="superscript"/>
              </w:rPr>
            </w:pPr>
            <w:r>
              <w:t>1,39</w:t>
            </w:r>
            <w:r w:rsidRPr="00920A5D">
              <w:t>±</w:t>
            </w:r>
            <w:r>
              <w:t>0,02</w:t>
            </w:r>
            <w:r>
              <w:rPr>
                <w:vertAlign w:val="superscript"/>
              </w:rPr>
              <w:t>b</w:t>
            </w:r>
          </w:p>
        </w:tc>
      </w:tr>
      <w:tr w:rsidR="00E97387" w:rsidRPr="00F30B60" w14:paraId="0B4BE32A" w14:textId="77777777" w:rsidTr="00C02C80">
        <w:trPr>
          <w:jc w:val="center"/>
        </w:trPr>
        <w:tc>
          <w:tcPr>
            <w:tcW w:w="1208" w:type="dxa"/>
            <w:tcBorders>
              <w:top w:val="nil"/>
              <w:left w:val="nil"/>
              <w:bottom w:val="nil"/>
              <w:right w:val="nil"/>
            </w:tcBorders>
          </w:tcPr>
          <w:p w14:paraId="5B33DD3A" w14:textId="77777777" w:rsidR="00E97387" w:rsidRDefault="00E97387" w:rsidP="00C02C80">
            <w:r>
              <w:t>P-valor</w:t>
            </w:r>
          </w:p>
        </w:tc>
        <w:tc>
          <w:tcPr>
            <w:tcW w:w="1282" w:type="dxa"/>
            <w:tcBorders>
              <w:top w:val="nil"/>
              <w:left w:val="nil"/>
              <w:bottom w:val="nil"/>
              <w:right w:val="nil"/>
            </w:tcBorders>
          </w:tcPr>
          <w:p w14:paraId="6FBAD841" w14:textId="77777777" w:rsidR="00E97387" w:rsidRPr="00FF696C" w:rsidRDefault="00E97387" w:rsidP="00C02C80">
            <w:pPr>
              <w:jc w:val="center"/>
            </w:pPr>
            <w:r>
              <w:t>***</w:t>
            </w:r>
            <w:r w:rsidRPr="007F1B5F">
              <w:rPr>
                <w:lang w:val="en-GB"/>
              </w:rPr>
              <w:t>§</w:t>
            </w:r>
          </w:p>
        </w:tc>
        <w:tc>
          <w:tcPr>
            <w:tcW w:w="1241" w:type="dxa"/>
            <w:tcBorders>
              <w:top w:val="nil"/>
              <w:left w:val="nil"/>
              <w:bottom w:val="nil"/>
              <w:right w:val="nil"/>
            </w:tcBorders>
          </w:tcPr>
          <w:p w14:paraId="6E071BD0" w14:textId="77777777" w:rsidR="00E97387" w:rsidRPr="00FF696C" w:rsidRDefault="00E97387" w:rsidP="00C02C80">
            <w:pPr>
              <w:jc w:val="center"/>
            </w:pPr>
            <w:r>
              <w:t>***</w:t>
            </w:r>
          </w:p>
        </w:tc>
        <w:tc>
          <w:tcPr>
            <w:tcW w:w="1229" w:type="dxa"/>
            <w:tcBorders>
              <w:top w:val="nil"/>
              <w:left w:val="nil"/>
              <w:bottom w:val="nil"/>
              <w:right w:val="nil"/>
            </w:tcBorders>
          </w:tcPr>
          <w:p w14:paraId="21C2F17A" w14:textId="77777777" w:rsidR="00E97387" w:rsidRPr="00FF696C" w:rsidRDefault="00E97387" w:rsidP="00C02C80">
            <w:pPr>
              <w:jc w:val="center"/>
            </w:pPr>
            <w:r>
              <w:t>***</w:t>
            </w:r>
          </w:p>
        </w:tc>
        <w:tc>
          <w:tcPr>
            <w:tcW w:w="1240" w:type="dxa"/>
            <w:tcBorders>
              <w:top w:val="nil"/>
              <w:left w:val="nil"/>
              <w:bottom w:val="nil"/>
              <w:right w:val="nil"/>
            </w:tcBorders>
          </w:tcPr>
          <w:p w14:paraId="4EB692FC" w14:textId="77777777" w:rsidR="00E97387" w:rsidRPr="00FF696C" w:rsidRDefault="00E97387" w:rsidP="00C02C80">
            <w:pPr>
              <w:jc w:val="center"/>
            </w:pPr>
            <w:r>
              <w:t>***</w:t>
            </w:r>
          </w:p>
        </w:tc>
        <w:tc>
          <w:tcPr>
            <w:tcW w:w="1229" w:type="dxa"/>
            <w:tcBorders>
              <w:top w:val="nil"/>
              <w:left w:val="nil"/>
              <w:bottom w:val="nil"/>
              <w:right w:val="nil"/>
            </w:tcBorders>
          </w:tcPr>
          <w:p w14:paraId="4D31BA31" w14:textId="77777777" w:rsidR="00E97387" w:rsidRPr="00FF696C" w:rsidRDefault="00E97387" w:rsidP="00C02C80">
            <w:pPr>
              <w:jc w:val="center"/>
            </w:pPr>
            <w:r>
              <w:t>***</w:t>
            </w:r>
          </w:p>
        </w:tc>
        <w:tc>
          <w:tcPr>
            <w:tcW w:w="1291" w:type="dxa"/>
            <w:tcBorders>
              <w:top w:val="nil"/>
              <w:left w:val="nil"/>
              <w:bottom w:val="nil"/>
              <w:right w:val="nil"/>
            </w:tcBorders>
          </w:tcPr>
          <w:p w14:paraId="07C0D22E" w14:textId="77777777" w:rsidR="00E97387" w:rsidRPr="00FF696C" w:rsidRDefault="00E97387" w:rsidP="00C02C80">
            <w:pPr>
              <w:jc w:val="center"/>
            </w:pPr>
            <w:r>
              <w:t>**</w:t>
            </w:r>
          </w:p>
        </w:tc>
      </w:tr>
      <w:tr w:rsidR="00E97387" w:rsidRPr="00F30B60" w14:paraId="4FD0CCCC" w14:textId="77777777" w:rsidTr="00C02C80">
        <w:trPr>
          <w:jc w:val="center"/>
        </w:trPr>
        <w:tc>
          <w:tcPr>
            <w:tcW w:w="1208" w:type="dxa"/>
            <w:tcBorders>
              <w:top w:val="nil"/>
              <w:left w:val="nil"/>
              <w:bottom w:val="nil"/>
              <w:right w:val="nil"/>
            </w:tcBorders>
          </w:tcPr>
          <w:p w14:paraId="79567B6D" w14:textId="77777777" w:rsidR="00E97387" w:rsidRDefault="00E97387" w:rsidP="00C02C80"/>
        </w:tc>
        <w:tc>
          <w:tcPr>
            <w:tcW w:w="1282" w:type="dxa"/>
            <w:tcBorders>
              <w:top w:val="nil"/>
              <w:left w:val="nil"/>
              <w:bottom w:val="nil"/>
              <w:right w:val="nil"/>
            </w:tcBorders>
          </w:tcPr>
          <w:p w14:paraId="05C9F525" w14:textId="77777777" w:rsidR="00E97387" w:rsidRDefault="00E97387" w:rsidP="00C02C80">
            <w:pPr>
              <w:jc w:val="center"/>
            </w:pPr>
          </w:p>
        </w:tc>
        <w:tc>
          <w:tcPr>
            <w:tcW w:w="1241" w:type="dxa"/>
            <w:tcBorders>
              <w:top w:val="nil"/>
              <w:left w:val="nil"/>
              <w:bottom w:val="nil"/>
              <w:right w:val="nil"/>
            </w:tcBorders>
          </w:tcPr>
          <w:p w14:paraId="2FCE3953" w14:textId="77777777" w:rsidR="00E97387" w:rsidRDefault="00E97387" w:rsidP="00C02C80">
            <w:pPr>
              <w:jc w:val="center"/>
            </w:pPr>
          </w:p>
        </w:tc>
        <w:tc>
          <w:tcPr>
            <w:tcW w:w="1229" w:type="dxa"/>
            <w:tcBorders>
              <w:top w:val="nil"/>
              <w:left w:val="nil"/>
              <w:bottom w:val="nil"/>
              <w:right w:val="nil"/>
            </w:tcBorders>
          </w:tcPr>
          <w:p w14:paraId="1579F76D" w14:textId="77777777" w:rsidR="00E97387" w:rsidRDefault="00E97387" w:rsidP="00C02C80">
            <w:pPr>
              <w:jc w:val="center"/>
            </w:pPr>
          </w:p>
        </w:tc>
        <w:tc>
          <w:tcPr>
            <w:tcW w:w="1240" w:type="dxa"/>
            <w:tcBorders>
              <w:top w:val="nil"/>
              <w:left w:val="nil"/>
              <w:bottom w:val="nil"/>
              <w:right w:val="nil"/>
            </w:tcBorders>
          </w:tcPr>
          <w:p w14:paraId="0315D503" w14:textId="77777777" w:rsidR="00E97387" w:rsidRDefault="00E97387" w:rsidP="00C02C80">
            <w:pPr>
              <w:jc w:val="center"/>
            </w:pPr>
          </w:p>
        </w:tc>
        <w:tc>
          <w:tcPr>
            <w:tcW w:w="1229" w:type="dxa"/>
            <w:tcBorders>
              <w:top w:val="nil"/>
              <w:left w:val="nil"/>
              <w:bottom w:val="nil"/>
              <w:right w:val="nil"/>
            </w:tcBorders>
          </w:tcPr>
          <w:p w14:paraId="77998158" w14:textId="77777777" w:rsidR="00E97387" w:rsidRDefault="00E97387" w:rsidP="00C02C80">
            <w:pPr>
              <w:jc w:val="center"/>
            </w:pPr>
          </w:p>
        </w:tc>
        <w:tc>
          <w:tcPr>
            <w:tcW w:w="1291" w:type="dxa"/>
            <w:tcBorders>
              <w:top w:val="nil"/>
              <w:left w:val="nil"/>
              <w:bottom w:val="nil"/>
              <w:right w:val="nil"/>
            </w:tcBorders>
          </w:tcPr>
          <w:p w14:paraId="57040215" w14:textId="77777777" w:rsidR="00E97387" w:rsidRDefault="00E97387" w:rsidP="00C02C80">
            <w:pPr>
              <w:jc w:val="center"/>
            </w:pPr>
          </w:p>
        </w:tc>
      </w:tr>
      <w:tr w:rsidR="00E97387" w14:paraId="0870F6B5" w14:textId="77777777" w:rsidTr="00C02C80">
        <w:trPr>
          <w:jc w:val="center"/>
        </w:trPr>
        <w:tc>
          <w:tcPr>
            <w:tcW w:w="1208" w:type="dxa"/>
            <w:tcBorders>
              <w:top w:val="nil"/>
              <w:left w:val="nil"/>
              <w:bottom w:val="nil"/>
              <w:right w:val="nil"/>
            </w:tcBorders>
          </w:tcPr>
          <w:p w14:paraId="184DA0E7" w14:textId="77777777" w:rsidR="00E97387" w:rsidRDefault="00E97387" w:rsidP="00C02C80">
            <w:r>
              <w:t>Grand Brix</w:t>
            </w:r>
          </w:p>
        </w:tc>
        <w:tc>
          <w:tcPr>
            <w:tcW w:w="2523" w:type="dxa"/>
            <w:gridSpan w:val="2"/>
            <w:tcBorders>
              <w:top w:val="nil"/>
              <w:left w:val="nil"/>
              <w:bottom w:val="nil"/>
              <w:right w:val="nil"/>
            </w:tcBorders>
          </w:tcPr>
          <w:p w14:paraId="75227BE1" w14:textId="77777777" w:rsidR="00E97387" w:rsidRPr="00FF696C" w:rsidRDefault="00E97387" w:rsidP="00C02C80">
            <w:pPr>
              <w:jc w:val="center"/>
            </w:pPr>
            <w:r>
              <w:t>0,20</w:t>
            </w:r>
            <w:r>
              <w:rPr>
                <w:vertAlign w:val="superscript"/>
              </w:rPr>
              <w:t>a</w:t>
            </w:r>
            <w:r w:rsidRPr="007F1B5F">
              <w:rPr>
                <w:lang w:val="en-GB"/>
              </w:rPr>
              <w:t>‡</w:t>
            </w:r>
          </w:p>
        </w:tc>
        <w:tc>
          <w:tcPr>
            <w:tcW w:w="2469" w:type="dxa"/>
            <w:gridSpan w:val="2"/>
            <w:tcBorders>
              <w:top w:val="nil"/>
              <w:left w:val="nil"/>
              <w:bottom w:val="nil"/>
              <w:right w:val="nil"/>
            </w:tcBorders>
          </w:tcPr>
          <w:p w14:paraId="46F76F42" w14:textId="77777777" w:rsidR="00E97387" w:rsidRPr="00FF696C" w:rsidRDefault="00E97387" w:rsidP="00C02C80">
            <w:pPr>
              <w:jc w:val="center"/>
            </w:pPr>
            <w:r>
              <w:t>0,13</w:t>
            </w:r>
            <w:r>
              <w:rPr>
                <w:vertAlign w:val="superscript"/>
              </w:rPr>
              <w:t>a</w:t>
            </w:r>
          </w:p>
        </w:tc>
        <w:tc>
          <w:tcPr>
            <w:tcW w:w="2520" w:type="dxa"/>
            <w:gridSpan w:val="2"/>
            <w:tcBorders>
              <w:top w:val="nil"/>
              <w:left w:val="nil"/>
              <w:bottom w:val="nil"/>
              <w:right w:val="nil"/>
            </w:tcBorders>
          </w:tcPr>
          <w:p w14:paraId="1D740F05" w14:textId="77777777" w:rsidR="00E97387" w:rsidRPr="00FF696C" w:rsidRDefault="00E97387" w:rsidP="00C02C80">
            <w:pPr>
              <w:jc w:val="center"/>
            </w:pPr>
            <w:r>
              <w:t>1,38</w:t>
            </w:r>
            <w:r>
              <w:rPr>
                <w:vertAlign w:val="superscript"/>
              </w:rPr>
              <w:t>b</w:t>
            </w:r>
          </w:p>
        </w:tc>
      </w:tr>
      <w:tr w:rsidR="00E97387" w14:paraId="187858D2" w14:textId="77777777" w:rsidTr="00C02C80">
        <w:trPr>
          <w:jc w:val="center"/>
        </w:trPr>
        <w:tc>
          <w:tcPr>
            <w:tcW w:w="1208" w:type="dxa"/>
            <w:tcBorders>
              <w:top w:val="nil"/>
              <w:left w:val="nil"/>
              <w:bottom w:val="nil"/>
              <w:right w:val="nil"/>
            </w:tcBorders>
          </w:tcPr>
          <w:p w14:paraId="70B52098" w14:textId="77777777" w:rsidR="00E97387" w:rsidRDefault="00E97387" w:rsidP="00C02C80">
            <w:r>
              <w:t>Marmande</w:t>
            </w:r>
          </w:p>
        </w:tc>
        <w:tc>
          <w:tcPr>
            <w:tcW w:w="2523" w:type="dxa"/>
            <w:gridSpan w:val="2"/>
            <w:tcBorders>
              <w:top w:val="nil"/>
              <w:left w:val="nil"/>
              <w:bottom w:val="nil"/>
              <w:right w:val="nil"/>
            </w:tcBorders>
          </w:tcPr>
          <w:p w14:paraId="6FB052D0" w14:textId="77777777" w:rsidR="00E97387" w:rsidRPr="00FF696C" w:rsidRDefault="00E97387" w:rsidP="00C02C80">
            <w:pPr>
              <w:jc w:val="center"/>
            </w:pPr>
            <w:r>
              <w:t>0,18</w:t>
            </w:r>
            <w:r>
              <w:rPr>
                <w:vertAlign w:val="superscript"/>
              </w:rPr>
              <w:t>b</w:t>
            </w:r>
          </w:p>
        </w:tc>
        <w:tc>
          <w:tcPr>
            <w:tcW w:w="2469" w:type="dxa"/>
            <w:gridSpan w:val="2"/>
            <w:tcBorders>
              <w:top w:val="nil"/>
              <w:left w:val="nil"/>
              <w:bottom w:val="nil"/>
              <w:right w:val="nil"/>
            </w:tcBorders>
          </w:tcPr>
          <w:p w14:paraId="5A65EF78" w14:textId="77777777" w:rsidR="00E97387" w:rsidRPr="00FF696C" w:rsidRDefault="00E97387" w:rsidP="00C02C80">
            <w:pPr>
              <w:jc w:val="center"/>
            </w:pPr>
            <w:r>
              <w:t>0,13</w:t>
            </w:r>
            <w:r>
              <w:rPr>
                <w:vertAlign w:val="superscript"/>
              </w:rPr>
              <w:t>a</w:t>
            </w:r>
          </w:p>
        </w:tc>
        <w:tc>
          <w:tcPr>
            <w:tcW w:w="2520" w:type="dxa"/>
            <w:gridSpan w:val="2"/>
            <w:tcBorders>
              <w:top w:val="nil"/>
              <w:left w:val="nil"/>
              <w:bottom w:val="nil"/>
              <w:right w:val="nil"/>
            </w:tcBorders>
          </w:tcPr>
          <w:p w14:paraId="13A0BCD1" w14:textId="77777777" w:rsidR="00E97387" w:rsidRPr="00FF696C" w:rsidRDefault="00E97387" w:rsidP="00C02C80">
            <w:pPr>
              <w:jc w:val="center"/>
            </w:pPr>
            <w:r>
              <w:t>1,43</w:t>
            </w:r>
            <w:r>
              <w:rPr>
                <w:vertAlign w:val="superscript"/>
              </w:rPr>
              <w:t>a</w:t>
            </w:r>
          </w:p>
        </w:tc>
      </w:tr>
      <w:tr w:rsidR="00E97387" w14:paraId="5B14D519" w14:textId="77777777" w:rsidTr="00C02C80">
        <w:trPr>
          <w:jc w:val="center"/>
        </w:trPr>
        <w:tc>
          <w:tcPr>
            <w:tcW w:w="1208" w:type="dxa"/>
            <w:tcBorders>
              <w:top w:val="nil"/>
              <w:left w:val="nil"/>
              <w:bottom w:val="nil"/>
              <w:right w:val="nil"/>
            </w:tcBorders>
          </w:tcPr>
          <w:p w14:paraId="5BF44149" w14:textId="77777777" w:rsidR="00E97387" w:rsidRDefault="00E97387" w:rsidP="00C02C80">
            <w:r>
              <w:t>P-valor</w:t>
            </w:r>
          </w:p>
        </w:tc>
        <w:tc>
          <w:tcPr>
            <w:tcW w:w="2523" w:type="dxa"/>
            <w:gridSpan w:val="2"/>
            <w:tcBorders>
              <w:top w:val="nil"/>
              <w:left w:val="nil"/>
              <w:bottom w:val="nil"/>
              <w:right w:val="nil"/>
            </w:tcBorders>
          </w:tcPr>
          <w:p w14:paraId="447974EC" w14:textId="77777777" w:rsidR="00E97387" w:rsidRPr="008834D9" w:rsidRDefault="00E97387" w:rsidP="00C02C80">
            <w:pPr>
              <w:jc w:val="center"/>
            </w:pPr>
            <w:r>
              <w:t>**</w:t>
            </w:r>
          </w:p>
        </w:tc>
        <w:tc>
          <w:tcPr>
            <w:tcW w:w="2469" w:type="dxa"/>
            <w:gridSpan w:val="2"/>
            <w:tcBorders>
              <w:top w:val="nil"/>
              <w:left w:val="nil"/>
              <w:bottom w:val="nil"/>
              <w:right w:val="nil"/>
            </w:tcBorders>
          </w:tcPr>
          <w:p w14:paraId="02874EB1" w14:textId="77777777" w:rsidR="00E97387" w:rsidRPr="008834D9" w:rsidRDefault="00E97387" w:rsidP="00C02C80">
            <w:pPr>
              <w:jc w:val="center"/>
            </w:pPr>
            <w:r>
              <w:t>NS</w:t>
            </w:r>
          </w:p>
        </w:tc>
        <w:tc>
          <w:tcPr>
            <w:tcW w:w="2520" w:type="dxa"/>
            <w:gridSpan w:val="2"/>
            <w:tcBorders>
              <w:top w:val="nil"/>
              <w:left w:val="nil"/>
              <w:bottom w:val="nil"/>
              <w:right w:val="nil"/>
            </w:tcBorders>
          </w:tcPr>
          <w:p w14:paraId="1BE27E52" w14:textId="77777777" w:rsidR="00E97387" w:rsidRPr="008834D9" w:rsidRDefault="00E97387" w:rsidP="00C02C80">
            <w:pPr>
              <w:jc w:val="center"/>
            </w:pPr>
            <w:r>
              <w:t>***</w:t>
            </w:r>
          </w:p>
        </w:tc>
      </w:tr>
      <w:tr w:rsidR="00E97387" w14:paraId="2D2724F9" w14:textId="77777777" w:rsidTr="00C02C80">
        <w:trPr>
          <w:jc w:val="center"/>
        </w:trPr>
        <w:tc>
          <w:tcPr>
            <w:tcW w:w="1208" w:type="dxa"/>
            <w:tcBorders>
              <w:top w:val="nil"/>
              <w:left w:val="nil"/>
              <w:bottom w:val="nil"/>
              <w:right w:val="nil"/>
            </w:tcBorders>
          </w:tcPr>
          <w:p w14:paraId="49401199" w14:textId="77777777" w:rsidR="00E97387" w:rsidRPr="00760990" w:rsidRDefault="00E97387" w:rsidP="00C02C80">
            <w:pPr>
              <w:rPr>
                <w:vertAlign w:val="subscript"/>
              </w:rPr>
            </w:pPr>
            <w:r>
              <w:t>LSD</w:t>
            </w:r>
            <w:r>
              <w:rPr>
                <w:vertAlign w:val="subscript"/>
              </w:rPr>
              <w:t>0.05</w:t>
            </w:r>
          </w:p>
        </w:tc>
        <w:tc>
          <w:tcPr>
            <w:tcW w:w="2523" w:type="dxa"/>
            <w:gridSpan w:val="2"/>
            <w:tcBorders>
              <w:top w:val="nil"/>
              <w:left w:val="nil"/>
              <w:bottom w:val="nil"/>
              <w:right w:val="nil"/>
            </w:tcBorders>
          </w:tcPr>
          <w:p w14:paraId="39EFFB8A" w14:textId="77777777" w:rsidR="00E97387" w:rsidRPr="008834D9" w:rsidRDefault="00E97387" w:rsidP="00C02C80">
            <w:pPr>
              <w:jc w:val="center"/>
            </w:pPr>
            <w:r>
              <w:t>0,01</w:t>
            </w:r>
          </w:p>
        </w:tc>
        <w:tc>
          <w:tcPr>
            <w:tcW w:w="2469" w:type="dxa"/>
            <w:gridSpan w:val="2"/>
            <w:tcBorders>
              <w:top w:val="nil"/>
              <w:left w:val="nil"/>
              <w:bottom w:val="nil"/>
              <w:right w:val="nil"/>
            </w:tcBorders>
          </w:tcPr>
          <w:p w14:paraId="4691B89F" w14:textId="77777777" w:rsidR="00E97387" w:rsidRPr="008834D9" w:rsidRDefault="00E97387" w:rsidP="00C02C80">
            <w:pPr>
              <w:jc w:val="center"/>
            </w:pPr>
            <w:r>
              <w:t>0,01</w:t>
            </w:r>
          </w:p>
        </w:tc>
        <w:tc>
          <w:tcPr>
            <w:tcW w:w="2520" w:type="dxa"/>
            <w:gridSpan w:val="2"/>
            <w:tcBorders>
              <w:top w:val="nil"/>
              <w:left w:val="nil"/>
              <w:bottom w:val="nil"/>
              <w:right w:val="nil"/>
            </w:tcBorders>
          </w:tcPr>
          <w:p w14:paraId="5F647D48" w14:textId="77777777" w:rsidR="00E97387" w:rsidRPr="008834D9" w:rsidRDefault="00E97387" w:rsidP="00C02C80">
            <w:pPr>
              <w:jc w:val="center"/>
            </w:pPr>
            <w:r>
              <w:t>0,04</w:t>
            </w:r>
          </w:p>
        </w:tc>
      </w:tr>
    </w:tbl>
    <w:p w14:paraId="51C23AEC" w14:textId="77777777" w:rsidR="00E97387" w:rsidRDefault="00E97387" w:rsidP="00E97387">
      <w:pPr>
        <w:pStyle w:val="Sinespaciado"/>
        <w:jc w:val="both"/>
        <w:rPr>
          <w:lang w:val="en-GB"/>
        </w:rPr>
      </w:pPr>
      <w:r w:rsidRPr="007F1B5F">
        <w:rPr>
          <w:lang w:val="en-GB"/>
        </w:rPr>
        <w:t>†</w:t>
      </w:r>
      <w:r w:rsidRPr="00D92C1D">
        <w:rPr>
          <w:lang w:val="en-GB"/>
        </w:rPr>
        <w:t>Valu</w:t>
      </w:r>
      <w:r>
        <w:rPr>
          <w:lang w:val="en-GB"/>
        </w:rPr>
        <w:t xml:space="preserve">es are mean ± standard error (n= </w:t>
      </w:r>
      <w:r w:rsidRPr="00D92C1D">
        <w:rPr>
          <w:lang w:val="en-GB"/>
        </w:rPr>
        <w:t>9), the differences between means were compared with the minimum significant difference of Fisher test (LSD; P= 0.05).</w:t>
      </w:r>
    </w:p>
    <w:p w14:paraId="235B611A" w14:textId="77777777" w:rsidR="00E97387" w:rsidRDefault="00E97387" w:rsidP="00E97387">
      <w:pPr>
        <w:pStyle w:val="Sinespaciado"/>
        <w:jc w:val="both"/>
        <w:rPr>
          <w:lang w:val="en-GB"/>
        </w:rPr>
      </w:pPr>
      <w:r w:rsidRPr="007F1B5F">
        <w:rPr>
          <w:lang w:val="en-GB"/>
        </w:rPr>
        <w:t>‡</w:t>
      </w:r>
      <w:r>
        <w:rPr>
          <w:lang w:val="en-GB"/>
        </w:rPr>
        <w:t xml:space="preserve"> Values are means (control + salinity n= 18</w:t>
      </w:r>
      <w:r w:rsidRPr="007F1B5F">
        <w:rPr>
          <w:lang w:val="en-GB"/>
        </w:rPr>
        <w:t xml:space="preserve">) and differences between means </w:t>
      </w:r>
      <w:r>
        <w:rPr>
          <w:lang w:val="en-GB"/>
        </w:rPr>
        <w:t>were compared using LSD test (P= 0,</w:t>
      </w:r>
      <w:r w:rsidRPr="007F1B5F">
        <w:rPr>
          <w:lang w:val="en-GB"/>
        </w:rPr>
        <w:t>05).</w:t>
      </w:r>
    </w:p>
    <w:p w14:paraId="03A8F578" w14:textId="77777777" w:rsidR="00E97387" w:rsidRDefault="00E97387" w:rsidP="00E97387">
      <w:pPr>
        <w:pStyle w:val="Sinespaciado"/>
        <w:jc w:val="both"/>
        <w:rPr>
          <w:lang w:val="en-GB"/>
        </w:rPr>
      </w:pPr>
      <w:r w:rsidRPr="007F1B5F">
        <w:rPr>
          <w:lang w:val="en-GB"/>
        </w:rPr>
        <w:t xml:space="preserve">§Levels of significance are represented by NS </w:t>
      </w:r>
      <w:r>
        <w:rPr>
          <w:lang w:val="en-GB"/>
        </w:rPr>
        <w:t>(non-significant) P&gt; 0.05; * P</w:t>
      </w:r>
      <w:r w:rsidRPr="007F1B5F">
        <w:rPr>
          <w:lang w:val="en-GB"/>
        </w:rPr>
        <w:t>&lt; 0,05; *</w:t>
      </w:r>
      <w:r>
        <w:rPr>
          <w:lang w:val="en-GB"/>
        </w:rPr>
        <w:t>*P</w:t>
      </w:r>
      <w:r w:rsidRPr="007F1B5F">
        <w:rPr>
          <w:lang w:val="en-GB"/>
        </w:rPr>
        <w:t>&lt; 0</w:t>
      </w:r>
      <w:r>
        <w:rPr>
          <w:lang w:val="en-GB"/>
        </w:rPr>
        <w:t>,</w:t>
      </w:r>
      <w:r w:rsidRPr="007F1B5F">
        <w:rPr>
          <w:lang w:val="en-GB"/>
        </w:rPr>
        <w:t xml:space="preserve">01 and </w:t>
      </w:r>
      <w:r>
        <w:rPr>
          <w:lang w:val="en-GB"/>
        </w:rPr>
        <w:t>**</w:t>
      </w:r>
      <w:r w:rsidRPr="007F1B5F">
        <w:rPr>
          <w:lang w:val="en-GB"/>
        </w:rPr>
        <w:t xml:space="preserve">* </w:t>
      </w:r>
      <w:r>
        <w:rPr>
          <w:lang w:val="en-GB"/>
        </w:rPr>
        <w:t>P&lt; 0,</w:t>
      </w:r>
      <w:r w:rsidRPr="007F1B5F">
        <w:rPr>
          <w:lang w:val="en-GB"/>
        </w:rPr>
        <w:t>001 relative to the control.</w:t>
      </w:r>
    </w:p>
    <w:p w14:paraId="03DDB9F7" w14:textId="77777777" w:rsidR="00E97387" w:rsidRDefault="00E97387" w:rsidP="00E97387">
      <w:pPr>
        <w:pStyle w:val="Sinespaciado"/>
        <w:jc w:val="both"/>
        <w:rPr>
          <w:lang w:val="en-GB"/>
        </w:rPr>
      </w:pPr>
    </w:p>
    <w:p w14:paraId="6C33E323" w14:textId="77777777" w:rsidR="00E97387" w:rsidRDefault="00E97387" w:rsidP="00E97387">
      <w:pPr>
        <w:spacing w:line="480" w:lineRule="auto"/>
        <w:jc w:val="both"/>
        <w:rPr>
          <w:rFonts w:ascii="Arial" w:hAnsi="Arial" w:cs="Arial"/>
          <w:sz w:val="24"/>
          <w:lang w:val="en-GB"/>
        </w:rPr>
      </w:pPr>
    </w:p>
    <w:p w14:paraId="1D9DAE94"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4.5</w:t>
      </w:r>
      <w:r w:rsidRPr="00B634EE">
        <w:rPr>
          <w:rFonts w:ascii="Arial" w:hAnsi="Arial" w:cs="Arial"/>
          <w:sz w:val="24"/>
          <w:lang w:val="en-GB"/>
        </w:rPr>
        <w:t xml:space="preserve"> Antioxidant test</w:t>
      </w:r>
    </w:p>
    <w:p w14:paraId="453F16CB"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lastRenderedPageBreak/>
        <w:t>The antioxidant test in general presented increases for the stress tr</w:t>
      </w:r>
      <w:r>
        <w:rPr>
          <w:rFonts w:ascii="Arial" w:hAnsi="Arial" w:cs="Arial"/>
          <w:sz w:val="24"/>
          <w:lang w:val="en-GB"/>
        </w:rPr>
        <w:t>eatment in both genotypes (</w:t>
      </w:r>
      <w:r w:rsidRPr="00B634EE">
        <w:rPr>
          <w:rFonts w:ascii="Arial" w:hAnsi="Arial" w:cs="Arial"/>
          <w:sz w:val="24"/>
          <w:lang w:val="en-GB"/>
        </w:rPr>
        <w:t>Fig</w:t>
      </w:r>
      <w:r>
        <w:rPr>
          <w:rFonts w:ascii="Arial" w:hAnsi="Arial" w:cs="Arial"/>
          <w:sz w:val="24"/>
          <w:lang w:val="en-GB"/>
        </w:rPr>
        <w:t>ure</w:t>
      </w:r>
      <w:r w:rsidRPr="00B634EE">
        <w:rPr>
          <w:rFonts w:ascii="Arial" w:hAnsi="Arial" w:cs="Arial"/>
          <w:sz w:val="24"/>
          <w:lang w:val="en-GB"/>
        </w:rPr>
        <w:t xml:space="preserve"> 2), the DPPH test reflecting the mos</w:t>
      </w:r>
      <w:r>
        <w:rPr>
          <w:rFonts w:ascii="Arial" w:hAnsi="Arial" w:cs="Arial"/>
          <w:sz w:val="24"/>
          <w:lang w:val="en-GB"/>
        </w:rPr>
        <w:t>t significant differences (</w:t>
      </w:r>
      <w:r w:rsidRPr="00B634EE">
        <w:rPr>
          <w:rFonts w:ascii="Arial" w:hAnsi="Arial" w:cs="Arial"/>
          <w:sz w:val="24"/>
          <w:lang w:val="en-GB"/>
        </w:rPr>
        <w:t>Fig</w:t>
      </w:r>
      <w:r>
        <w:rPr>
          <w:rFonts w:ascii="Arial" w:hAnsi="Arial" w:cs="Arial"/>
          <w:sz w:val="24"/>
          <w:lang w:val="en-GB"/>
        </w:rPr>
        <w:t>ure</w:t>
      </w:r>
      <w:r w:rsidRPr="00B634EE">
        <w:rPr>
          <w:rFonts w:ascii="Arial" w:hAnsi="Arial" w:cs="Arial"/>
          <w:sz w:val="24"/>
          <w:lang w:val="en-GB"/>
        </w:rPr>
        <w:t xml:space="preserve"> 2A; P&lt;0.001). Grand Brix showed the highest levels for the DPPH and TEAC tests (Fig</w:t>
      </w:r>
      <w:r>
        <w:rPr>
          <w:rFonts w:ascii="Arial" w:hAnsi="Arial" w:cs="Arial"/>
          <w:sz w:val="24"/>
          <w:lang w:val="en-GB"/>
        </w:rPr>
        <w:t>ure 2</w:t>
      </w:r>
      <w:r w:rsidRPr="00B634EE">
        <w:rPr>
          <w:rFonts w:ascii="Arial" w:hAnsi="Arial" w:cs="Arial"/>
          <w:sz w:val="24"/>
          <w:lang w:val="en-GB"/>
        </w:rPr>
        <w:t xml:space="preserve">A1 and </w:t>
      </w:r>
      <w:r>
        <w:rPr>
          <w:rFonts w:ascii="Arial" w:hAnsi="Arial" w:cs="Arial"/>
          <w:sz w:val="24"/>
          <w:lang w:val="en-GB"/>
        </w:rPr>
        <w:t>2</w:t>
      </w:r>
      <w:r w:rsidRPr="00B634EE">
        <w:rPr>
          <w:rFonts w:ascii="Arial" w:hAnsi="Arial" w:cs="Arial"/>
          <w:sz w:val="24"/>
          <w:lang w:val="en-GB"/>
        </w:rPr>
        <w:t>D1; P&lt;0.001) while Marmande RAF reached the highest values for</w:t>
      </w:r>
      <w:r>
        <w:rPr>
          <w:rFonts w:ascii="Arial" w:hAnsi="Arial" w:cs="Arial"/>
          <w:sz w:val="24"/>
          <w:lang w:val="en-GB"/>
        </w:rPr>
        <w:t xml:space="preserve"> FRAP and reducing power (</w:t>
      </w:r>
      <w:r w:rsidRPr="00B634EE">
        <w:rPr>
          <w:rFonts w:ascii="Arial" w:hAnsi="Arial" w:cs="Arial"/>
          <w:sz w:val="24"/>
          <w:lang w:val="en-GB"/>
        </w:rPr>
        <w:t>Fig</w:t>
      </w:r>
      <w:r>
        <w:rPr>
          <w:rFonts w:ascii="Arial" w:hAnsi="Arial" w:cs="Arial"/>
          <w:sz w:val="24"/>
          <w:lang w:val="en-GB"/>
        </w:rPr>
        <w:t>ure 2</w:t>
      </w:r>
      <w:r w:rsidRPr="00B634EE">
        <w:rPr>
          <w:rFonts w:ascii="Arial" w:hAnsi="Arial" w:cs="Arial"/>
          <w:sz w:val="24"/>
          <w:lang w:val="en-GB"/>
        </w:rPr>
        <w:t xml:space="preserve">B1 and </w:t>
      </w:r>
      <w:r>
        <w:rPr>
          <w:rFonts w:ascii="Arial" w:hAnsi="Arial" w:cs="Arial"/>
          <w:sz w:val="24"/>
          <w:lang w:val="en-GB"/>
        </w:rPr>
        <w:t>2</w:t>
      </w:r>
      <w:r w:rsidRPr="00B634EE">
        <w:rPr>
          <w:rFonts w:ascii="Arial" w:hAnsi="Arial" w:cs="Arial"/>
          <w:sz w:val="24"/>
          <w:lang w:val="en-GB"/>
        </w:rPr>
        <w:t>C1; P&lt;0.001)</w:t>
      </w:r>
    </w:p>
    <w:p w14:paraId="205A37F9" w14:textId="77777777" w:rsidR="00E97387" w:rsidRDefault="00E97387" w:rsidP="00E97387">
      <w:pPr>
        <w:spacing w:line="480" w:lineRule="auto"/>
        <w:jc w:val="both"/>
        <w:rPr>
          <w:rFonts w:ascii="Arial" w:hAnsi="Arial" w:cs="Arial"/>
          <w:sz w:val="24"/>
          <w:lang w:val="en-GB"/>
        </w:rPr>
      </w:pPr>
      <w:r>
        <w:rPr>
          <w:b/>
          <w:noProof/>
          <w:lang w:eastAsia="es-ES_tradnl"/>
        </w:rPr>
        <w:drawing>
          <wp:inline distT="0" distB="0" distL="0" distR="0" wp14:anchorId="42C2AA07" wp14:editId="4101AB28">
            <wp:extent cx="5405650" cy="3855720"/>
            <wp:effectExtent l="0" t="0" r="5080" b="0"/>
            <wp:docPr id="4" name="Imagen 4" descr="Gráf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10;&#10;Descripción generada automáticamente"/>
                    <pic:cNvPicPr>
                      <a:picLocks noChangeAspect="1" noChangeArrowheads="1"/>
                    </pic:cNvPicPr>
                  </pic:nvPicPr>
                  <pic:blipFill rotWithShape="1">
                    <a:blip r:embed="rId10">
                      <a:extLst>
                        <a:ext uri="{28A0092B-C50C-407E-A947-70E740481C1C}">
                          <a14:useLocalDpi xmlns:a14="http://schemas.microsoft.com/office/drawing/2010/main" val="0"/>
                        </a:ext>
                      </a:extLst>
                    </a:blip>
                    <a:srcRect l="424" t="1964" r="788" b="-1"/>
                    <a:stretch/>
                  </pic:blipFill>
                  <pic:spPr bwMode="auto">
                    <a:xfrm>
                      <a:off x="0" y="0"/>
                      <a:ext cx="5414529" cy="3862053"/>
                    </a:xfrm>
                    <a:prstGeom prst="rect">
                      <a:avLst/>
                    </a:prstGeom>
                    <a:noFill/>
                    <a:ln>
                      <a:noFill/>
                    </a:ln>
                    <a:extLst>
                      <a:ext uri="{53640926-AAD7-44D8-BBD7-CCE9431645EC}">
                        <a14:shadowObscured xmlns:a14="http://schemas.microsoft.com/office/drawing/2010/main"/>
                      </a:ext>
                    </a:extLst>
                  </pic:spPr>
                </pic:pic>
              </a:graphicData>
            </a:graphic>
          </wp:inline>
        </w:drawing>
      </w:r>
    </w:p>
    <w:p w14:paraId="40221736" w14:textId="77777777" w:rsidR="00E97387" w:rsidRPr="00CB4542" w:rsidRDefault="00E97387" w:rsidP="00E97387">
      <w:pPr>
        <w:spacing w:line="240" w:lineRule="auto"/>
        <w:jc w:val="both"/>
        <w:rPr>
          <w:rFonts w:ascii="Arial" w:hAnsi="Arial" w:cs="Arial"/>
          <w:sz w:val="18"/>
          <w:lang w:val="en-GB"/>
        </w:rPr>
      </w:pPr>
      <w:r w:rsidRPr="00CB4542">
        <w:rPr>
          <w:rFonts w:ascii="Arial" w:hAnsi="Arial" w:cs="Arial"/>
          <w:b/>
          <w:sz w:val="18"/>
          <w:lang w:val="en-GB"/>
        </w:rPr>
        <w:t xml:space="preserve">Figure 2: </w:t>
      </w:r>
      <w:r w:rsidRPr="00CB4542">
        <w:rPr>
          <w:rFonts w:ascii="Arial" w:hAnsi="Arial" w:cs="Arial"/>
          <w:sz w:val="18"/>
          <w:lang w:val="en-GB"/>
        </w:rPr>
        <w:t>Effect of saline treatment in the antioxidant test DPPH expressed as % g</w:t>
      </w:r>
      <w:r w:rsidRPr="00CB4542">
        <w:rPr>
          <w:rFonts w:ascii="Arial" w:hAnsi="Arial" w:cs="Arial"/>
          <w:sz w:val="18"/>
          <w:vertAlign w:val="superscript"/>
          <w:lang w:val="en-GB"/>
        </w:rPr>
        <w:t>-1</w:t>
      </w:r>
      <w:r w:rsidRPr="00CB4542">
        <w:rPr>
          <w:rFonts w:ascii="Arial" w:hAnsi="Arial" w:cs="Arial"/>
          <w:sz w:val="18"/>
          <w:lang w:val="en-GB"/>
        </w:rPr>
        <w:t xml:space="preserve"> FW (A),</w:t>
      </w:r>
      <w:r>
        <w:rPr>
          <w:rFonts w:ascii="Arial" w:hAnsi="Arial" w:cs="Arial"/>
          <w:sz w:val="18"/>
          <w:lang w:val="en-GB"/>
        </w:rPr>
        <w:t xml:space="preserve"> </w:t>
      </w:r>
      <w:r w:rsidRPr="00CB4542">
        <w:rPr>
          <w:rFonts w:ascii="Arial" w:hAnsi="Arial" w:cs="Arial"/>
          <w:sz w:val="18"/>
          <w:lang w:val="en-GB"/>
        </w:rPr>
        <w:t>Reducing power expressed</w:t>
      </w:r>
      <w:r>
        <w:rPr>
          <w:rFonts w:ascii="Arial" w:hAnsi="Arial" w:cs="Arial"/>
          <w:sz w:val="18"/>
          <w:lang w:val="en-GB"/>
        </w:rPr>
        <w:t xml:space="preserve"> </w:t>
      </w:r>
      <w:r w:rsidRPr="00CB4542">
        <w:rPr>
          <w:rFonts w:ascii="Arial" w:hAnsi="Arial" w:cs="Arial"/>
          <w:sz w:val="18"/>
          <w:lang w:val="en-GB"/>
        </w:rPr>
        <w:t>as% of</w:t>
      </w:r>
      <w:r>
        <w:rPr>
          <w:rFonts w:ascii="Arial" w:hAnsi="Arial" w:cs="Arial"/>
          <w:sz w:val="18"/>
          <w:lang w:val="en-GB"/>
        </w:rPr>
        <w:t xml:space="preserve"> </w:t>
      </w:r>
      <w:r w:rsidRPr="00CB4542">
        <w:rPr>
          <w:rFonts w:ascii="Arial" w:hAnsi="Arial" w:cs="Arial"/>
          <w:sz w:val="18"/>
          <w:lang w:val="en-GB"/>
        </w:rPr>
        <w:t>ascorbic</w:t>
      </w:r>
      <w:r>
        <w:rPr>
          <w:rFonts w:ascii="Arial" w:hAnsi="Arial" w:cs="Arial"/>
          <w:sz w:val="18"/>
          <w:lang w:val="en-GB"/>
        </w:rPr>
        <w:t xml:space="preserve"> </w:t>
      </w:r>
      <w:r w:rsidRPr="00CB4542">
        <w:rPr>
          <w:rFonts w:ascii="Arial" w:hAnsi="Arial" w:cs="Arial"/>
          <w:sz w:val="18"/>
          <w:lang w:val="en-GB"/>
        </w:rPr>
        <w:t>acid</w:t>
      </w:r>
      <w:r>
        <w:rPr>
          <w:rFonts w:ascii="Arial" w:hAnsi="Arial" w:cs="Arial"/>
          <w:sz w:val="18"/>
          <w:lang w:val="en-GB"/>
        </w:rPr>
        <w:t xml:space="preserve"> </w:t>
      </w:r>
      <w:r w:rsidRPr="00CB4542">
        <w:rPr>
          <w:rFonts w:ascii="Arial" w:hAnsi="Arial" w:cs="Arial"/>
          <w:sz w:val="18"/>
          <w:lang w:val="en-GB"/>
        </w:rPr>
        <w:t>(1 mM)</w:t>
      </w:r>
      <w:r>
        <w:rPr>
          <w:rFonts w:ascii="Arial" w:hAnsi="Arial" w:cs="Arial"/>
          <w:sz w:val="18"/>
          <w:lang w:val="en-GB"/>
        </w:rPr>
        <w:t xml:space="preserve"> </w:t>
      </w:r>
      <w:r w:rsidRPr="00CB4542">
        <w:rPr>
          <w:rFonts w:ascii="Arial" w:hAnsi="Arial" w:cs="Arial"/>
          <w:sz w:val="18"/>
          <w:lang w:val="en-GB"/>
        </w:rPr>
        <w:t>equivalent activity g</w:t>
      </w:r>
      <w:r w:rsidRPr="00CB4542">
        <w:rPr>
          <w:rFonts w:ascii="Arial" w:hAnsi="Arial" w:cs="Arial"/>
          <w:sz w:val="18"/>
          <w:vertAlign w:val="superscript"/>
          <w:lang w:val="en-GB"/>
        </w:rPr>
        <w:t>-1</w:t>
      </w:r>
      <w:r w:rsidRPr="00CB4542">
        <w:rPr>
          <w:rFonts w:ascii="Arial" w:hAnsi="Arial" w:cs="Arial"/>
          <w:sz w:val="18"/>
          <w:lang w:val="en-GB"/>
        </w:rPr>
        <w:t xml:space="preserve"> FW (B), FRAP expressed as mg Fe(SO</w:t>
      </w:r>
      <w:r w:rsidRPr="00CB4542">
        <w:rPr>
          <w:rFonts w:ascii="Arial" w:hAnsi="Arial" w:cs="Arial"/>
          <w:sz w:val="18"/>
          <w:vertAlign w:val="subscript"/>
          <w:lang w:val="en-GB"/>
        </w:rPr>
        <w:t>4</w:t>
      </w:r>
      <w:r w:rsidRPr="00CB4542">
        <w:rPr>
          <w:rFonts w:ascii="Arial" w:hAnsi="Arial" w:cs="Arial"/>
          <w:sz w:val="18"/>
          <w:lang w:val="en-GB"/>
        </w:rPr>
        <w:t>) g</w:t>
      </w:r>
      <w:r w:rsidRPr="00CB4542">
        <w:rPr>
          <w:rFonts w:ascii="Arial" w:hAnsi="Arial" w:cs="Arial"/>
          <w:sz w:val="18"/>
          <w:vertAlign w:val="superscript"/>
          <w:lang w:val="en-GB"/>
        </w:rPr>
        <w:t>-1</w:t>
      </w:r>
      <w:r w:rsidRPr="00CB4542">
        <w:rPr>
          <w:rFonts w:ascii="Arial" w:hAnsi="Arial" w:cs="Arial"/>
          <w:sz w:val="18"/>
          <w:lang w:val="en-GB"/>
        </w:rPr>
        <w:t xml:space="preserve"> FW (C) and TEAC expressed as mmol</w:t>
      </w:r>
      <w:r>
        <w:rPr>
          <w:rFonts w:ascii="Arial" w:hAnsi="Arial" w:cs="Arial"/>
          <w:sz w:val="18"/>
          <w:lang w:val="en-GB"/>
        </w:rPr>
        <w:t xml:space="preserve"> </w:t>
      </w:r>
      <w:r w:rsidRPr="00CB4542">
        <w:rPr>
          <w:rFonts w:ascii="Arial" w:hAnsi="Arial" w:cs="Arial"/>
          <w:sz w:val="18"/>
          <w:lang w:val="en-GB"/>
        </w:rPr>
        <w:t>Trolox equivalent (TE) g</w:t>
      </w:r>
      <w:r w:rsidRPr="00CB4542">
        <w:rPr>
          <w:rFonts w:ascii="Arial" w:hAnsi="Arial" w:cs="Arial"/>
          <w:sz w:val="18"/>
          <w:vertAlign w:val="superscript"/>
          <w:lang w:val="en-GB"/>
        </w:rPr>
        <w:t>-1</w:t>
      </w:r>
      <w:r w:rsidRPr="00CB4542">
        <w:rPr>
          <w:rFonts w:ascii="Arial" w:hAnsi="Arial" w:cs="Arial"/>
          <w:sz w:val="18"/>
          <w:lang w:val="en-GB"/>
        </w:rPr>
        <w:t xml:space="preserve"> FW. (D) in plants of Solanum lycopersicum cv.Grand Brix and cv.Marmande RAF. The columns Values are mean ± standard error (n= 9), the differences between means were compared with the minimum significant difference of Fisher test (LSD; P= 0.05). A1, B1, C1 and D1 Values are means (control + salinity n= 18) and differences between means were compared using LSD test (P= 0.05). Levels of significance are represented by NS (non-significant) P&gt; 0.05; * P&lt; 0.05; ** P&lt; 0.01 and *** P&lt; 0.001 relative to the control.</w:t>
      </w:r>
    </w:p>
    <w:p w14:paraId="76E13E97" w14:textId="77777777" w:rsidR="00E97387" w:rsidRDefault="00E97387" w:rsidP="00E97387">
      <w:pPr>
        <w:spacing w:line="480" w:lineRule="auto"/>
        <w:jc w:val="both"/>
        <w:rPr>
          <w:rFonts w:ascii="Arial" w:hAnsi="Arial" w:cs="Arial"/>
          <w:sz w:val="24"/>
          <w:lang w:val="en-GB"/>
        </w:rPr>
      </w:pPr>
    </w:p>
    <w:p w14:paraId="3A2B2E1A" w14:textId="77777777" w:rsidR="00E97387" w:rsidRPr="00B634EE" w:rsidRDefault="00E97387" w:rsidP="00E97387">
      <w:pPr>
        <w:spacing w:line="480" w:lineRule="auto"/>
        <w:jc w:val="both"/>
        <w:rPr>
          <w:rFonts w:ascii="Arial" w:hAnsi="Arial" w:cs="Arial"/>
          <w:sz w:val="24"/>
          <w:lang w:val="en-GB"/>
        </w:rPr>
      </w:pPr>
      <w:r>
        <w:rPr>
          <w:rFonts w:ascii="Arial" w:hAnsi="Arial" w:cs="Arial"/>
          <w:sz w:val="24"/>
          <w:lang w:val="en-GB"/>
        </w:rPr>
        <w:t>4</w:t>
      </w:r>
      <w:r w:rsidRPr="00B634EE">
        <w:rPr>
          <w:rFonts w:ascii="Arial" w:hAnsi="Arial" w:cs="Arial"/>
          <w:sz w:val="24"/>
          <w:lang w:val="en-GB"/>
        </w:rPr>
        <w:t>.</w:t>
      </w:r>
      <w:r>
        <w:rPr>
          <w:rFonts w:ascii="Arial" w:hAnsi="Arial" w:cs="Arial"/>
          <w:sz w:val="24"/>
          <w:lang w:val="en-GB"/>
        </w:rPr>
        <w:t>6</w:t>
      </w:r>
      <w:r w:rsidRPr="00B634EE">
        <w:rPr>
          <w:rFonts w:ascii="Arial" w:hAnsi="Arial" w:cs="Arial"/>
          <w:sz w:val="24"/>
          <w:lang w:val="en-GB"/>
        </w:rPr>
        <w:t xml:space="preserve"> Phytohormone profile</w:t>
      </w:r>
    </w:p>
    <w:p w14:paraId="2594700B" w14:textId="77777777" w:rsidR="00E97387" w:rsidRPr="00B634EE" w:rsidRDefault="00E97387" w:rsidP="00E97387">
      <w:pPr>
        <w:spacing w:line="480" w:lineRule="auto"/>
        <w:jc w:val="both"/>
        <w:rPr>
          <w:rFonts w:ascii="Arial" w:hAnsi="Arial" w:cs="Arial"/>
          <w:sz w:val="24"/>
          <w:lang w:val="en-GB"/>
        </w:rPr>
      </w:pPr>
      <w:r w:rsidRPr="00B634EE">
        <w:rPr>
          <w:rFonts w:ascii="Arial" w:hAnsi="Arial" w:cs="Arial"/>
          <w:sz w:val="24"/>
          <w:lang w:val="en-GB"/>
        </w:rPr>
        <w:lastRenderedPageBreak/>
        <w:t>In our experiment, the cv. Grand Brix showed in the saline treatment a clear increase of hormones concentration related to growth (IAA, tZ, iP and GA</w:t>
      </w:r>
      <w:r w:rsidRPr="00B634EE">
        <w:rPr>
          <w:rFonts w:ascii="Arial" w:hAnsi="Arial" w:cs="Arial"/>
          <w:sz w:val="24"/>
          <w:vertAlign w:val="subscript"/>
          <w:lang w:val="en-GB"/>
        </w:rPr>
        <w:t>4</w:t>
      </w:r>
      <w:r w:rsidRPr="00B634EE">
        <w:rPr>
          <w:rFonts w:ascii="Arial" w:hAnsi="Arial" w:cs="Arial"/>
          <w:sz w:val="24"/>
          <w:lang w:val="en-GB"/>
        </w:rPr>
        <w:t>). In the case of GA4 was detected only</w:t>
      </w:r>
      <w:r>
        <w:rPr>
          <w:rFonts w:ascii="Arial" w:hAnsi="Arial" w:cs="Arial"/>
          <w:sz w:val="24"/>
          <w:lang w:val="en-GB"/>
        </w:rPr>
        <w:t xml:space="preserve"> in the saline treatment (Table </w:t>
      </w:r>
      <w:r w:rsidRPr="00B634EE">
        <w:rPr>
          <w:rFonts w:ascii="Arial" w:hAnsi="Arial" w:cs="Arial"/>
          <w:sz w:val="24"/>
          <w:lang w:val="en-GB"/>
        </w:rPr>
        <w:t>3). In the cv. Marmande RAF, although also registered an increase in tZ and iP hormones concentration in saline treatment, the IAA and GA</w:t>
      </w:r>
      <w:r w:rsidRPr="00B634EE">
        <w:rPr>
          <w:rFonts w:ascii="Arial" w:hAnsi="Arial" w:cs="Arial"/>
          <w:sz w:val="24"/>
          <w:vertAlign w:val="subscript"/>
          <w:lang w:val="en-GB"/>
        </w:rPr>
        <w:t>4</w:t>
      </w:r>
      <w:r>
        <w:rPr>
          <w:rFonts w:ascii="Arial" w:hAnsi="Arial" w:cs="Arial"/>
          <w:sz w:val="24"/>
          <w:lang w:val="en-GB"/>
        </w:rPr>
        <w:t xml:space="preserve"> hormones were not detected (T</w:t>
      </w:r>
      <w:r w:rsidRPr="00B634EE">
        <w:rPr>
          <w:rFonts w:ascii="Arial" w:hAnsi="Arial" w:cs="Arial"/>
          <w:sz w:val="24"/>
          <w:lang w:val="en-GB"/>
        </w:rPr>
        <w:t>able</w:t>
      </w:r>
      <w:r>
        <w:rPr>
          <w:rFonts w:ascii="Arial" w:hAnsi="Arial" w:cs="Arial"/>
          <w:sz w:val="24"/>
          <w:lang w:val="en-GB"/>
        </w:rPr>
        <w:t xml:space="preserve"> </w:t>
      </w:r>
      <w:r w:rsidRPr="00B634EE">
        <w:rPr>
          <w:rFonts w:ascii="Arial" w:hAnsi="Arial" w:cs="Arial"/>
          <w:sz w:val="24"/>
          <w:lang w:val="en-GB"/>
        </w:rPr>
        <w:t>3). On the other hand, the comparative study of genotypes showed that the cv. Marmande RAF presented higher concentrations of the hormones iP a</w:t>
      </w:r>
      <w:r>
        <w:rPr>
          <w:rFonts w:ascii="Arial" w:hAnsi="Arial" w:cs="Arial"/>
          <w:sz w:val="24"/>
          <w:lang w:val="en-GB"/>
        </w:rPr>
        <w:t>nd tZ than the cv. Grand Brix (T</w:t>
      </w:r>
      <w:r w:rsidRPr="00B634EE">
        <w:rPr>
          <w:rFonts w:ascii="Arial" w:hAnsi="Arial" w:cs="Arial"/>
          <w:sz w:val="24"/>
          <w:lang w:val="en-GB"/>
        </w:rPr>
        <w:t>able</w:t>
      </w:r>
      <w:r>
        <w:rPr>
          <w:rFonts w:ascii="Arial" w:hAnsi="Arial" w:cs="Arial"/>
          <w:sz w:val="24"/>
          <w:lang w:val="en-GB"/>
        </w:rPr>
        <w:t xml:space="preserve"> </w:t>
      </w:r>
      <w:r w:rsidRPr="00B634EE">
        <w:rPr>
          <w:rFonts w:ascii="Arial" w:hAnsi="Arial" w:cs="Arial"/>
          <w:sz w:val="24"/>
          <w:lang w:val="en-GB"/>
        </w:rPr>
        <w:t>3).</w:t>
      </w:r>
    </w:p>
    <w:p w14:paraId="4A9B0C3E"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Regarding stress-related hormones the cv. Grand Brix presented a significant increase for the </w:t>
      </w:r>
      <w:r>
        <w:rPr>
          <w:rFonts w:ascii="Arial" w:hAnsi="Arial" w:cs="Arial"/>
          <w:sz w:val="24"/>
          <w:lang w:val="en-GB"/>
        </w:rPr>
        <w:t>concentration of the hormones</w:t>
      </w:r>
      <w:r w:rsidRPr="00B634EE">
        <w:rPr>
          <w:rFonts w:ascii="Arial" w:hAnsi="Arial" w:cs="Arial"/>
          <w:sz w:val="24"/>
          <w:lang w:val="en-GB"/>
        </w:rPr>
        <w:t xml:space="preserve"> ABA and SA while for the hormones ACC and JA concentrations presented a dec</w:t>
      </w:r>
      <w:r>
        <w:rPr>
          <w:rFonts w:ascii="Arial" w:hAnsi="Arial" w:cs="Arial"/>
          <w:sz w:val="24"/>
          <w:lang w:val="en-GB"/>
        </w:rPr>
        <w:t>rease in the saline treatment (T</w:t>
      </w:r>
      <w:r w:rsidRPr="00B634EE">
        <w:rPr>
          <w:rFonts w:ascii="Arial" w:hAnsi="Arial" w:cs="Arial"/>
          <w:sz w:val="24"/>
          <w:lang w:val="en-GB"/>
        </w:rPr>
        <w:t>able</w:t>
      </w:r>
      <w:r>
        <w:rPr>
          <w:rFonts w:ascii="Arial" w:hAnsi="Arial" w:cs="Arial"/>
          <w:sz w:val="24"/>
          <w:lang w:val="en-GB"/>
        </w:rPr>
        <w:t xml:space="preserve"> </w:t>
      </w:r>
      <w:r w:rsidRPr="00B634EE">
        <w:rPr>
          <w:rFonts w:ascii="Arial" w:hAnsi="Arial" w:cs="Arial"/>
          <w:sz w:val="24"/>
          <w:lang w:val="en-GB"/>
        </w:rPr>
        <w:t>4). The cv. Marmande RAF showed an increase in all stress hormones concentration (ABA, ACC, JA and SA) in the saline treatment but the increase in JA conc</w:t>
      </w:r>
      <w:r>
        <w:rPr>
          <w:rFonts w:ascii="Arial" w:hAnsi="Arial" w:cs="Arial"/>
          <w:sz w:val="24"/>
          <w:lang w:val="en-GB"/>
        </w:rPr>
        <w:t>entration was not significant (T</w:t>
      </w:r>
      <w:r w:rsidRPr="00B634EE">
        <w:rPr>
          <w:rFonts w:ascii="Arial" w:hAnsi="Arial" w:cs="Arial"/>
          <w:sz w:val="24"/>
          <w:lang w:val="en-GB"/>
        </w:rPr>
        <w:t>able</w:t>
      </w:r>
      <w:r>
        <w:rPr>
          <w:rFonts w:ascii="Arial" w:hAnsi="Arial" w:cs="Arial"/>
          <w:sz w:val="24"/>
          <w:lang w:val="en-GB"/>
        </w:rPr>
        <w:t xml:space="preserve"> </w:t>
      </w:r>
      <w:r w:rsidRPr="00B634EE">
        <w:rPr>
          <w:rFonts w:ascii="Arial" w:hAnsi="Arial" w:cs="Arial"/>
          <w:sz w:val="24"/>
          <w:lang w:val="en-GB"/>
        </w:rPr>
        <w:t>4). The comparative study revealed that the cv. Grand Brix registered higher concentrations of ACC, JA and SA hormones, whereas Marmande RAF present</w:t>
      </w:r>
      <w:r>
        <w:rPr>
          <w:rFonts w:ascii="Arial" w:hAnsi="Arial" w:cs="Arial"/>
          <w:sz w:val="24"/>
          <w:lang w:val="en-GB"/>
        </w:rPr>
        <w:t>ed a higher ABA concentration (T</w:t>
      </w:r>
      <w:r w:rsidRPr="00B634EE">
        <w:rPr>
          <w:rFonts w:ascii="Arial" w:hAnsi="Arial" w:cs="Arial"/>
          <w:sz w:val="24"/>
          <w:lang w:val="en-GB"/>
        </w:rPr>
        <w:t>able</w:t>
      </w:r>
      <w:r>
        <w:rPr>
          <w:rFonts w:ascii="Arial" w:hAnsi="Arial" w:cs="Arial"/>
          <w:sz w:val="24"/>
          <w:lang w:val="en-GB"/>
        </w:rPr>
        <w:t xml:space="preserve"> </w:t>
      </w:r>
      <w:r w:rsidRPr="00B634EE">
        <w:rPr>
          <w:rFonts w:ascii="Arial" w:hAnsi="Arial" w:cs="Arial"/>
          <w:sz w:val="24"/>
          <w:lang w:val="en-GB"/>
        </w:rPr>
        <w:t>4).</w:t>
      </w:r>
    </w:p>
    <w:p w14:paraId="393193D8" w14:textId="77777777" w:rsidR="00E97387" w:rsidRDefault="00E97387" w:rsidP="00E97387">
      <w:pPr>
        <w:rPr>
          <w:rFonts w:ascii="Arial" w:hAnsi="Arial" w:cs="Arial"/>
          <w:sz w:val="24"/>
          <w:lang w:val="en-GB"/>
        </w:rPr>
      </w:pPr>
      <w:r>
        <w:rPr>
          <w:rFonts w:ascii="Arial" w:hAnsi="Arial" w:cs="Arial"/>
          <w:sz w:val="24"/>
          <w:lang w:val="en-GB"/>
        </w:rPr>
        <w:br w:type="page"/>
      </w:r>
    </w:p>
    <w:p w14:paraId="3E019FD5" w14:textId="77777777" w:rsidR="00E97387" w:rsidRDefault="00E97387" w:rsidP="00E97387">
      <w:pPr>
        <w:spacing w:line="480" w:lineRule="auto"/>
        <w:jc w:val="both"/>
        <w:rPr>
          <w:rFonts w:ascii="Arial" w:hAnsi="Arial" w:cs="Arial"/>
          <w:sz w:val="24"/>
          <w:lang w:val="en-GB"/>
        </w:rPr>
        <w:sectPr w:rsidR="00E97387" w:rsidSect="00140028">
          <w:headerReference w:type="default" r:id="rId11"/>
          <w:footerReference w:type="default" r:id="rId12"/>
          <w:pgSz w:w="11906" w:h="16838"/>
          <w:pgMar w:top="1417" w:right="1701" w:bottom="1417" w:left="1701" w:header="708" w:footer="708" w:gutter="0"/>
          <w:cols w:space="708"/>
          <w:docGrid w:linePitch="360"/>
        </w:sectPr>
      </w:pPr>
    </w:p>
    <w:p w14:paraId="5F5D8A77" w14:textId="77777777" w:rsidR="00E97387" w:rsidRPr="00D92C1D" w:rsidRDefault="00E97387" w:rsidP="00E97387">
      <w:pPr>
        <w:pStyle w:val="Sinespaciado"/>
        <w:jc w:val="both"/>
        <w:rPr>
          <w:b/>
          <w:lang w:val="en-US"/>
        </w:rPr>
      </w:pPr>
      <w:r>
        <w:rPr>
          <w:b/>
          <w:sz w:val="24"/>
          <w:lang w:val="en-US"/>
        </w:rPr>
        <w:lastRenderedPageBreak/>
        <w:t>Table 3</w:t>
      </w:r>
      <w:r w:rsidRPr="00B10512">
        <w:rPr>
          <w:b/>
          <w:sz w:val="24"/>
          <w:lang w:val="en-US"/>
        </w:rPr>
        <w:t>:</w:t>
      </w:r>
      <w:r w:rsidRPr="00C022E6">
        <w:rPr>
          <w:sz w:val="24"/>
          <w:lang w:val="en-GB"/>
        </w:rPr>
        <w:t xml:space="preserve"> </w:t>
      </w:r>
      <w:r w:rsidRPr="00D92C1D">
        <w:rPr>
          <w:lang w:val="en-GB"/>
        </w:rPr>
        <w:t>Effect of saline treatment in the conce</w:t>
      </w:r>
      <w:r>
        <w:rPr>
          <w:lang w:val="en-GB"/>
        </w:rPr>
        <w:t xml:space="preserve">ntration of </w:t>
      </w:r>
      <w:r w:rsidRPr="00F0196B">
        <w:rPr>
          <w:lang w:val="en-GB"/>
        </w:rPr>
        <w:t>indole-3-acetic acid</w:t>
      </w:r>
      <w:r>
        <w:rPr>
          <w:lang w:val="en-GB"/>
        </w:rPr>
        <w:t xml:space="preserve"> (IAA), Trans-Zeatine (tZ), </w:t>
      </w:r>
      <w:r w:rsidRPr="00F0196B">
        <w:rPr>
          <w:lang w:val="en-GB"/>
        </w:rPr>
        <w:t>isopentenyl adenine</w:t>
      </w:r>
      <w:r>
        <w:rPr>
          <w:lang w:val="en-GB"/>
        </w:rPr>
        <w:t xml:space="preserve"> (iP) and G</w:t>
      </w:r>
      <w:r w:rsidRPr="00F0196B">
        <w:rPr>
          <w:lang w:val="en-GB"/>
        </w:rPr>
        <w:t xml:space="preserve">ibberellin </w:t>
      </w:r>
      <w:r>
        <w:rPr>
          <w:lang w:val="en-GB"/>
        </w:rPr>
        <w:t>A</w:t>
      </w:r>
      <w:r w:rsidRPr="00F0196B">
        <w:rPr>
          <w:lang w:val="en-GB"/>
        </w:rPr>
        <w:t>4</w:t>
      </w:r>
      <w:r>
        <w:rPr>
          <w:lang w:val="en-GB"/>
        </w:rPr>
        <w:t xml:space="preserve"> (GA4)</w:t>
      </w:r>
      <w:r w:rsidRPr="00D92C1D">
        <w:rPr>
          <w:lang w:val="en-GB"/>
        </w:rPr>
        <w:t xml:space="preserve"> in plants of </w:t>
      </w:r>
      <w:r w:rsidRPr="00D92C1D">
        <w:rPr>
          <w:i/>
          <w:lang w:val="en-GB"/>
        </w:rPr>
        <w:t>Solanum lycopersicum</w:t>
      </w:r>
      <w:r w:rsidRPr="00D92C1D">
        <w:rPr>
          <w:lang w:val="en-GB"/>
        </w:rPr>
        <w:t xml:space="preserve"> cv. Grand Brix and cv. Marmande RAF</w:t>
      </w:r>
    </w:p>
    <w:tbl>
      <w:tblPr>
        <w:tblStyle w:val="Tablaconcuadrcula"/>
        <w:tblW w:w="0" w:type="auto"/>
        <w:tblLook w:val="04A0" w:firstRow="1" w:lastRow="0" w:firstColumn="1" w:lastColumn="0" w:noHBand="0" w:noVBand="1"/>
      </w:tblPr>
      <w:tblGrid>
        <w:gridCol w:w="1488"/>
        <w:gridCol w:w="1528"/>
        <w:gridCol w:w="1516"/>
        <w:gridCol w:w="1547"/>
        <w:gridCol w:w="1704"/>
        <w:gridCol w:w="1632"/>
        <w:gridCol w:w="1560"/>
        <w:gridCol w:w="1510"/>
        <w:gridCol w:w="1517"/>
      </w:tblGrid>
      <w:tr w:rsidR="00E97387" w:rsidRPr="003061A6" w14:paraId="4C295A59" w14:textId="77777777" w:rsidTr="00C02C80">
        <w:tc>
          <w:tcPr>
            <w:tcW w:w="1524" w:type="dxa"/>
            <w:vMerge w:val="restart"/>
            <w:tcBorders>
              <w:left w:val="nil"/>
              <w:right w:val="nil"/>
            </w:tcBorders>
          </w:tcPr>
          <w:p w14:paraId="2295DA23" w14:textId="77777777" w:rsidR="00E97387" w:rsidRPr="006004F9" w:rsidRDefault="00E97387" w:rsidP="00C02C80">
            <w:pPr>
              <w:rPr>
                <w:lang w:val="en-GB"/>
              </w:rPr>
            </w:pPr>
          </w:p>
        </w:tc>
        <w:tc>
          <w:tcPr>
            <w:tcW w:w="3112" w:type="dxa"/>
            <w:gridSpan w:val="2"/>
            <w:tcBorders>
              <w:left w:val="nil"/>
              <w:right w:val="nil"/>
            </w:tcBorders>
          </w:tcPr>
          <w:p w14:paraId="69DE418F" w14:textId="77777777" w:rsidR="00E97387" w:rsidRPr="00425896" w:rsidRDefault="00E97387" w:rsidP="00C02C80">
            <w:pPr>
              <w:jc w:val="center"/>
            </w:pPr>
            <w:r>
              <w:t>IAA (ng g</w:t>
            </w:r>
            <w:r>
              <w:rPr>
                <w:vertAlign w:val="superscript"/>
              </w:rPr>
              <w:t>-1</w:t>
            </w:r>
            <w:r>
              <w:t>)</w:t>
            </w:r>
          </w:p>
        </w:tc>
        <w:tc>
          <w:tcPr>
            <w:tcW w:w="3177" w:type="dxa"/>
            <w:gridSpan w:val="2"/>
            <w:tcBorders>
              <w:left w:val="nil"/>
              <w:right w:val="nil"/>
            </w:tcBorders>
          </w:tcPr>
          <w:p w14:paraId="0E860AC8" w14:textId="77777777" w:rsidR="00E97387" w:rsidRPr="000B17A7" w:rsidRDefault="00E97387" w:rsidP="00C02C80">
            <w:pPr>
              <w:jc w:val="center"/>
            </w:pPr>
            <w:r>
              <w:t>tZ (ng g</w:t>
            </w:r>
            <w:r>
              <w:rPr>
                <w:vertAlign w:val="superscript"/>
              </w:rPr>
              <w:t>-1</w:t>
            </w:r>
            <w:r>
              <w:t>)</w:t>
            </w:r>
          </w:p>
        </w:tc>
        <w:tc>
          <w:tcPr>
            <w:tcW w:w="3297" w:type="dxa"/>
            <w:gridSpan w:val="2"/>
            <w:tcBorders>
              <w:left w:val="nil"/>
              <w:right w:val="nil"/>
            </w:tcBorders>
          </w:tcPr>
          <w:p w14:paraId="4758497C" w14:textId="77777777" w:rsidR="00E97387" w:rsidRPr="000B17A7" w:rsidRDefault="00E97387" w:rsidP="00C02C80">
            <w:pPr>
              <w:jc w:val="center"/>
            </w:pPr>
            <w:r>
              <w:t>iP (ng g</w:t>
            </w:r>
            <w:r>
              <w:rPr>
                <w:vertAlign w:val="superscript"/>
              </w:rPr>
              <w:t>-1</w:t>
            </w:r>
            <w:r>
              <w:t>)</w:t>
            </w:r>
          </w:p>
        </w:tc>
        <w:tc>
          <w:tcPr>
            <w:tcW w:w="3108" w:type="dxa"/>
            <w:gridSpan w:val="2"/>
            <w:tcBorders>
              <w:left w:val="nil"/>
              <w:right w:val="nil"/>
            </w:tcBorders>
          </w:tcPr>
          <w:p w14:paraId="2108080B" w14:textId="77777777" w:rsidR="00E97387" w:rsidRPr="000B17A7" w:rsidRDefault="00E97387" w:rsidP="00C02C80">
            <w:pPr>
              <w:jc w:val="center"/>
            </w:pPr>
            <w:r>
              <w:t>GA4 (ng g</w:t>
            </w:r>
            <w:r>
              <w:rPr>
                <w:vertAlign w:val="superscript"/>
              </w:rPr>
              <w:t>-1</w:t>
            </w:r>
            <w:r>
              <w:t>)</w:t>
            </w:r>
          </w:p>
        </w:tc>
      </w:tr>
      <w:tr w:rsidR="00E97387" w14:paraId="408AB169" w14:textId="77777777" w:rsidTr="00C02C80">
        <w:tc>
          <w:tcPr>
            <w:tcW w:w="1524" w:type="dxa"/>
            <w:vMerge/>
            <w:tcBorders>
              <w:left w:val="nil"/>
              <w:bottom w:val="single" w:sz="4" w:space="0" w:color="auto"/>
              <w:right w:val="nil"/>
            </w:tcBorders>
          </w:tcPr>
          <w:p w14:paraId="697BE5B1" w14:textId="77777777" w:rsidR="00E97387" w:rsidRPr="00F30B60" w:rsidRDefault="00E97387" w:rsidP="00C02C80">
            <w:pPr>
              <w:rPr>
                <w:lang w:val="en-GB"/>
              </w:rPr>
            </w:pPr>
          </w:p>
        </w:tc>
        <w:tc>
          <w:tcPr>
            <w:tcW w:w="1556" w:type="dxa"/>
            <w:tcBorders>
              <w:left w:val="nil"/>
              <w:bottom w:val="single" w:sz="4" w:space="0" w:color="auto"/>
              <w:right w:val="nil"/>
            </w:tcBorders>
          </w:tcPr>
          <w:p w14:paraId="51279D94" w14:textId="77777777" w:rsidR="00E97387" w:rsidRDefault="00E97387" w:rsidP="00C02C80">
            <w:pPr>
              <w:jc w:val="center"/>
            </w:pPr>
            <w:r>
              <w:t>Grand Brix</w:t>
            </w:r>
          </w:p>
        </w:tc>
        <w:tc>
          <w:tcPr>
            <w:tcW w:w="1556" w:type="dxa"/>
            <w:tcBorders>
              <w:left w:val="nil"/>
              <w:bottom w:val="single" w:sz="4" w:space="0" w:color="auto"/>
              <w:right w:val="nil"/>
            </w:tcBorders>
          </w:tcPr>
          <w:p w14:paraId="77D50E47" w14:textId="77777777" w:rsidR="00E97387" w:rsidRDefault="00E97387" w:rsidP="00C02C80">
            <w:pPr>
              <w:jc w:val="center"/>
            </w:pPr>
            <w:r>
              <w:t>Marmande</w:t>
            </w:r>
          </w:p>
        </w:tc>
        <w:tc>
          <w:tcPr>
            <w:tcW w:w="1558" w:type="dxa"/>
            <w:tcBorders>
              <w:left w:val="nil"/>
              <w:bottom w:val="single" w:sz="4" w:space="0" w:color="auto"/>
              <w:right w:val="nil"/>
            </w:tcBorders>
          </w:tcPr>
          <w:p w14:paraId="4391BFFD" w14:textId="77777777" w:rsidR="00E97387" w:rsidRDefault="00E97387" w:rsidP="00C02C80">
            <w:pPr>
              <w:jc w:val="center"/>
            </w:pPr>
            <w:r>
              <w:t>Grand Brix</w:t>
            </w:r>
          </w:p>
        </w:tc>
        <w:tc>
          <w:tcPr>
            <w:tcW w:w="1619" w:type="dxa"/>
            <w:tcBorders>
              <w:left w:val="nil"/>
              <w:bottom w:val="single" w:sz="4" w:space="0" w:color="auto"/>
              <w:right w:val="nil"/>
            </w:tcBorders>
          </w:tcPr>
          <w:p w14:paraId="497F330A" w14:textId="77777777" w:rsidR="00E97387" w:rsidRDefault="00E97387" w:rsidP="00C02C80">
            <w:pPr>
              <w:jc w:val="center"/>
            </w:pPr>
            <w:r>
              <w:t>Marmande</w:t>
            </w:r>
          </w:p>
        </w:tc>
        <w:tc>
          <w:tcPr>
            <w:tcW w:w="1690" w:type="dxa"/>
            <w:tcBorders>
              <w:left w:val="nil"/>
              <w:bottom w:val="single" w:sz="4" w:space="0" w:color="auto"/>
              <w:right w:val="nil"/>
            </w:tcBorders>
          </w:tcPr>
          <w:p w14:paraId="2FD5D037" w14:textId="77777777" w:rsidR="00E97387" w:rsidRDefault="00E97387" w:rsidP="00C02C80">
            <w:pPr>
              <w:jc w:val="center"/>
            </w:pPr>
            <w:r>
              <w:t>Grand Brix</w:t>
            </w:r>
          </w:p>
        </w:tc>
        <w:tc>
          <w:tcPr>
            <w:tcW w:w="1607" w:type="dxa"/>
            <w:tcBorders>
              <w:left w:val="nil"/>
              <w:bottom w:val="single" w:sz="4" w:space="0" w:color="auto"/>
              <w:right w:val="nil"/>
            </w:tcBorders>
          </w:tcPr>
          <w:p w14:paraId="38A18FB1" w14:textId="77777777" w:rsidR="00E97387" w:rsidRDefault="00E97387" w:rsidP="00C02C80">
            <w:pPr>
              <w:jc w:val="center"/>
            </w:pPr>
            <w:r>
              <w:t>Marmande</w:t>
            </w:r>
          </w:p>
        </w:tc>
        <w:tc>
          <w:tcPr>
            <w:tcW w:w="1551" w:type="dxa"/>
            <w:tcBorders>
              <w:left w:val="nil"/>
              <w:bottom w:val="single" w:sz="4" w:space="0" w:color="auto"/>
              <w:right w:val="nil"/>
            </w:tcBorders>
          </w:tcPr>
          <w:p w14:paraId="29125E9B" w14:textId="77777777" w:rsidR="00E97387" w:rsidRDefault="00E97387" w:rsidP="00C02C80">
            <w:pPr>
              <w:jc w:val="center"/>
            </w:pPr>
            <w:r>
              <w:t>Grand Brix</w:t>
            </w:r>
          </w:p>
        </w:tc>
        <w:tc>
          <w:tcPr>
            <w:tcW w:w="1557" w:type="dxa"/>
            <w:tcBorders>
              <w:left w:val="nil"/>
              <w:bottom w:val="single" w:sz="4" w:space="0" w:color="auto"/>
              <w:right w:val="nil"/>
            </w:tcBorders>
          </w:tcPr>
          <w:p w14:paraId="40C429F7" w14:textId="77777777" w:rsidR="00E97387" w:rsidRDefault="00E97387" w:rsidP="00C02C80">
            <w:pPr>
              <w:jc w:val="center"/>
            </w:pPr>
            <w:r>
              <w:t>Marmande</w:t>
            </w:r>
          </w:p>
        </w:tc>
      </w:tr>
      <w:tr w:rsidR="00E97387" w:rsidRPr="00996826" w14:paraId="54861E6F" w14:textId="77777777" w:rsidTr="00C02C80">
        <w:tc>
          <w:tcPr>
            <w:tcW w:w="1524" w:type="dxa"/>
            <w:tcBorders>
              <w:top w:val="single" w:sz="4" w:space="0" w:color="auto"/>
              <w:left w:val="nil"/>
              <w:bottom w:val="nil"/>
              <w:right w:val="nil"/>
            </w:tcBorders>
          </w:tcPr>
          <w:p w14:paraId="23C4EA54" w14:textId="77777777" w:rsidR="00E97387" w:rsidRDefault="00E97387" w:rsidP="00C02C80">
            <w:r>
              <w:t>Control</w:t>
            </w:r>
          </w:p>
        </w:tc>
        <w:tc>
          <w:tcPr>
            <w:tcW w:w="1556" w:type="dxa"/>
            <w:tcBorders>
              <w:top w:val="single" w:sz="4" w:space="0" w:color="auto"/>
              <w:left w:val="nil"/>
              <w:bottom w:val="nil"/>
              <w:right w:val="nil"/>
            </w:tcBorders>
          </w:tcPr>
          <w:p w14:paraId="545E628B" w14:textId="77777777" w:rsidR="00E97387" w:rsidRPr="00BE224C" w:rsidRDefault="00E97387" w:rsidP="00C02C80">
            <w:pPr>
              <w:jc w:val="center"/>
            </w:pPr>
            <w:r>
              <w:t>0.86</w:t>
            </w:r>
            <w:r w:rsidRPr="00920A5D">
              <w:t>±</w:t>
            </w:r>
            <w:r>
              <w:t>0.14</w:t>
            </w:r>
            <w:r>
              <w:rPr>
                <w:vertAlign w:val="superscript"/>
              </w:rPr>
              <w:t>b</w:t>
            </w:r>
            <w:r w:rsidRPr="007F1B5F">
              <w:rPr>
                <w:lang w:val="en-GB"/>
              </w:rPr>
              <w:t>†</w:t>
            </w:r>
          </w:p>
        </w:tc>
        <w:tc>
          <w:tcPr>
            <w:tcW w:w="1556" w:type="dxa"/>
            <w:tcBorders>
              <w:top w:val="single" w:sz="4" w:space="0" w:color="auto"/>
              <w:left w:val="nil"/>
              <w:bottom w:val="nil"/>
              <w:right w:val="nil"/>
            </w:tcBorders>
          </w:tcPr>
          <w:p w14:paraId="43F75A05" w14:textId="77777777" w:rsidR="00E97387" w:rsidRPr="00DA44DD" w:rsidRDefault="00E97387" w:rsidP="00C02C80">
            <w:pPr>
              <w:jc w:val="center"/>
            </w:pPr>
            <w:r>
              <w:t>NF</w:t>
            </w:r>
          </w:p>
        </w:tc>
        <w:tc>
          <w:tcPr>
            <w:tcW w:w="1558" w:type="dxa"/>
            <w:tcBorders>
              <w:top w:val="single" w:sz="4" w:space="0" w:color="auto"/>
              <w:left w:val="nil"/>
              <w:bottom w:val="nil"/>
              <w:right w:val="nil"/>
            </w:tcBorders>
          </w:tcPr>
          <w:p w14:paraId="03453E66" w14:textId="77777777" w:rsidR="00E97387" w:rsidRPr="00101753" w:rsidRDefault="00E97387" w:rsidP="00C02C80">
            <w:pPr>
              <w:jc w:val="center"/>
              <w:rPr>
                <w:vertAlign w:val="superscript"/>
              </w:rPr>
            </w:pPr>
            <w:r>
              <w:t>379.72</w:t>
            </w:r>
            <w:r w:rsidRPr="00920A5D">
              <w:t>±</w:t>
            </w:r>
            <w:r>
              <w:t>1.12</w:t>
            </w:r>
            <w:r>
              <w:rPr>
                <w:vertAlign w:val="superscript"/>
              </w:rPr>
              <w:t>b</w:t>
            </w:r>
          </w:p>
        </w:tc>
        <w:tc>
          <w:tcPr>
            <w:tcW w:w="1619" w:type="dxa"/>
            <w:tcBorders>
              <w:top w:val="single" w:sz="4" w:space="0" w:color="auto"/>
              <w:left w:val="nil"/>
              <w:bottom w:val="nil"/>
              <w:right w:val="nil"/>
            </w:tcBorders>
          </w:tcPr>
          <w:p w14:paraId="12777499" w14:textId="77777777" w:rsidR="00E97387" w:rsidRPr="000017D8" w:rsidRDefault="00E97387" w:rsidP="00C02C80">
            <w:pPr>
              <w:jc w:val="center"/>
              <w:rPr>
                <w:vertAlign w:val="superscript"/>
              </w:rPr>
            </w:pPr>
            <w:r>
              <w:t>921.31</w:t>
            </w:r>
            <w:r w:rsidRPr="00920A5D">
              <w:t>±</w:t>
            </w:r>
            <w:r>
              <w:t>32.00</w:t>
            </w:r>
            <w:r>
              <w:rPr>
                <w:vertAlign w:val="superscript"/>
              </w:rPr>
              <w:t>b</w:t>
            </w:r>
          </w:p>
        </w:tc>
        <w:tc>
          <w:tcPr>
            <w:tcW w:w="1690" w:type="dxa"/>
            <w:tcBorders>
              <w:left w:val="nil"/>
              <w:bottom w:val="nil"/>
              <w:right w:val="nil"/>
            </w:tcBorders>
          </w:tcPr>
          <w:p w14:paraId="0BC0C523" w14:textId="77777777" w:rsidR="00E97387" w:rsidRPr="00DA44DD" w:rsidRDefault="00E97387" w:rsidP="00C02C80">
            <w:pPr>
              <w:jc w:val="center"/>
              <w:rPr>
                <w:vertAlign w:val="superscript"/>
              </w:rPr>
            </w:pPr>
            <w:r>
              <w:t>0.28</w:t>
            </w:r>
            <w:r w:rsidRPr="00920A5D">
              <w:t>±</w:t>
            </w:r>
            <w:r w:rsidRPr="00DA44DD">
              <w:t>0</w:t>
            </w:r>
            <w:r>
              <w:t>.</w:t>
            </w:r>
            <w:r w:rsidRPr="00DA44DD">
              <w:t>04</w:t>
            </w:r>
            <w:r>
              <w:rPr>
                <w:vertAlign w:val="superscript"/>
              </w:rPr>
              <w:t>b</w:t>
            </w:r>
          </w:p>
        </w:tc>
        <w:tc>
          <w:tcPr>
            <w:tcW w:w="1607" w:type="dxa"/>
            <w:tcBorders>
              <w:left w:val="nil"/>
              <w:bottom w:val="nil"/>
              <w:right w:val="nil"/>
            </w:tcBorders>
          </w:tcPr>
          <w:p w14:paraId="7D5798FE" w14:textId="77777777" w:rsidR="00E97387" w:rsidRPr="000017D8" w:rsidRDefault="00E97387" w:rsidP="00C02C80">
            <w:pPr>
              <w:jc w:val="center"/>
              <w:rPr>
                <w:vertAlign w:val="superscript"/>
              </w:rPr>
            </w:pPr>
            <w:r>
              <w:t>2.46</w:t>
            </w:r>
            <w:r w:rsidRPr="00920A5D">
              <w:t>±</w:t>
            </w:r>
            <w:r>
              <w:t>0.11</w:t>
            </w:r>
            <w:r>
              <w:rPr>
                <w:vertAlign w:val="superscript"/>
              </w:rPr>
              <w:t>b</w:t>
            </w:r>
          </w:p>
        </w:tc>
        <w:tc>
          <w:tcPr>
            <w:tcW w:w="1551" w:type="dxa"/>
            <w:tcBorders>
              <w:left w:val="nil"/>
              <w:bottom w:val="nil"/>
              <w:right w:val="nil"/>
            </w:tcBorders>
          </w:tcPr>
          <w:p w14:paraId="24953AD7" w14:textId="77777777" w:rsidR="00E97387" w:rsidRPr="00101753" w:rsidRDefault="00E97387" w:rsidP="00C02C80">
            <w:pPr>
              <w:jc w:val="center"/>
            </w:pPr>
            <w:r>
              <w:t>NF</w:t>
            </w:r>
          </w:p>
        </w:tc>
        <w:tc>
          <w:tcPr>
            <w:tcW w:w="1557" w:type="dxa"/>
            <w:tcBorders>
              <w:left w:val="nil"/>
              <w:bottom w:val="nil"/>
              <w:right w:val="nil"/>
            </w:tcBorders>
          </w:tcPr>
          <w:p w14:paraId="0BFF199C" w14:textId="77777777" w:rsidR="00E97387" w:rsidRPr="00101753" w:rsidRDefault="00E97387" w:rsidP="00C02C80">
            <w:pPr>
              <w:jc w:val="center"/>
            </w:pPr>
            <w:r>
              <w:t>NF</w:t>
            </w:r>
          </w:p>
        </w:tc>
      </w:tr>
      <w:tr w:rsidR="00E97387" w:rsidRPr="00996826" w14:paraId="139A858C" w14:textId="77777777" w:rsidTr="00C02C80">
        <w:tc>
          <w:tcPr>
            <w:tcW w:w="1524" w:type="dxa"/>
            <w:tcBorders>
              <w:top w:val="nil"/>
              <w:left w:val="nil"/>
              <w:bottom w:val="nil"/>
              <w:right w:val="nil"/>
            </w:tcBorders>
          </w:tcPr>
          <w:p w14:paraId="384A5AF9" w14:textId="77777777" w:rsidR="00E97387" w:rsidRDefault="00E97387" w:rsidP="00C02C80">
            <w:r>
              <w:t>Salinity</w:t>
            </w:r>
          </w:p>
        </w:tc>
        <w:tc>
          <w:tcPr>
            <w:tcW w:w="1556" w:type="dxa"/>
            <w:tcBorders>
              <w:top w:val="nil"/>
              <w:left w:val="nil"/>
              <w:bottom w:val="nil"/>
              <w:right w:val="nil"/>
            </w:tcBorders>
          </w:tcPr>
          <w:p w14:paraId="1790C359" w14:textId="77777777" w:rsidR="00E97387" w:rsidRPr="00DA44DD" w:rsidRDefault="00E97387" w:rsidP="00C02C80">
            <w:pPr>
              <w:rPr>
                <w:vertAlign w:val="superscript"/>
              </w:rPr>
            </w:pPr>
            <w:r>
              <w:t xml:space="preserve">   1.38</w:t>
            </w:r>
            <w:r w:rsidRPr="00920A5D">
              <w:t>±</w:t>
            </w:r>
            <w:r>
              <w:t>0.08</w:t>
            </w:r>
            <w:r>
              <w:rPr>
                <w:vertAlign w:val="superscript"/>
              </w:rPr>
              <w:t>a</w:t>
            </w:r>
          </w:p>
        </w:tc>
        <w:tc>
          <w:tcPr>
            <w:tcW w:w="1556" w:type="dxa"/>
            <w:tcBorders>
              <w:top w:val="nil"/>
              <w:left w:val="nil"/>
              <w:bottom w:val="nil"/>
              <w:right w:val="nil"/>
            </w:tcBorders>
          </w:tcPr>
          <w:p w14:paraId="27A2EC59" w14:textId="77777777" w:rsidR="00E97387" w:rsidRPr="00DA44DD" w:rsidRDefault="00E97387" w:rsidP="00C02C80">
            <w:pPr>
              <w:jc w:val="center"/>
            </w:pPr>
            <w:r>
              <w:t>NF</w:t>
            </w:r>
          </w:p>
        </w:tc>
        <w:tc>
          <w:tcPr>
            <w:tcW w:w="1558" w:type="dxa"/>
            <w:tcBorders>
              <w:top w:val="nil"/>
              <w:left w:val="nil"/>
              <w:bottom w:val="nil"/>
              <w:right w:val="nil"/>
            </w:tcBorders>
          </w:tcPr>
          <w:p w14:paraId="3051E2F5" w14:textId="77777777" w:rsidR="00E97387" w:rsidRPr="00101753" w:rsidRDefault="00E97387" w:rsidP="00C02C80">
            <w:pPr>
              <w:jc w:val="center"/>
              <w:rPr>
                <w:vertAlign w:val="superscript"/>
              </w:rPr>
            </w:pPr>
            <w:r>
              <w:t>715.25</w:t>
            </w:r>
            <w:r w:rsidRPr="00920A5D">
              <w:t>±</w:t>
            </w:r>
            <w:r>
              <w:t>7.98</w:t>
            </w:r>
            <w:r>
              <w:rPr>
                <w:vertAlign w:val="superscript"/>
              </w:rPr>
              <w:t>a</w:t>
            </w:r>
          </w:p>
        </w:tc>
        <w:tc>
          <w:tcPr>
            <w:tcW w:w="1619" w:type="dxa"/>
            <w:tcBorders>
              <w:top w:val="nil"/>
              <w:left w:val="nil"/>
              <w:bottom w:val="nil"/>
              <w:right w:val="nil"/>
            </w:tcBorders>
          </w:tcPr>
          <w:p w14:paraId="507C9590" w14:textId="77777777" w:rsidR="00E97387" w:rsidRPr="000017D8" w:rsidRDefault="00E97387" w:rsidP="00C02C80">
            <w:pPr>
              <w:jc w:val="center"/>
              <w:rPr>
                <w:vertAlign w:val="superscript"/>
              </w:rPr>
            </w:pPr>
            <w:r w:rsidRPr="000017D8">
              <w:t>1213</w:t>
            </w:r>
            <w:r>
              <w:t>.</w:t>
            </w:r>
            <w:r w:rsidRPr="000017D8">
              <w:t>41</w:t>
            </w:r>
            <w:r w:rsidRPr="00920A5D">
              <w:t>±</w:t>
            </w:r>
            <w:r>
              <w:t>25.49</w:t>
            </w:r>
            <w:r>
              <w:rPr>
                <w:vertAlign w:val="superscript"/>
              </w:rPr>
              <w:t>a</w:t>
            </w:r>
          </w:p>
        </w:tc>
        <w:tc>
          <w:tcPr>
            <w:tcW w:w="1690" w:type="dxa"/>
            <w:tcBorders>
              <w:top w:val="nil"/>
              <w:left w:val="nil"/>
              <w:bottom w:val="nil"/>
              <w:right w:val="nil"/>
            </w:tcBorders>
          </w:tcPr>
          <w:p w14:paraId="568296DE" w14:textId="77777777" w:rsidR="00E97387" w:rsidRPr="00DA44DD" w:rsidRDefault="00E97387" w:rsidP="00C02C80">
            <w:pPr>
              <w:jc w:val="center"/>
              <w:rPr>
                <w:vertAlign w:val="superscript"/>
              </w:rPr>
            </w:pPr>
            <w:r>
              <w:t>0.74</w:t>
            </w:r>
            <w:r w:rsidRPr="00920A5D">
              <w:t>±</w:t>
            </w:r>
            <w:r w:rsidRPr="00DA44DD">
              <w:t>0</w:t>
            </w:r>
            <w:r>
              <w:t>.</w:t>
            </w:r>
            <w:r w:rsidRPr="00DA44DD">
              <w:t>0</w:t>
            </w:r>
            <w:r>
              <w:t>3</w:t>
            </w:r>
            <w:r>
              <w:rPr>
                <w:vertAlign w:val="superscript"/>
              </w:rPr>
              <w:t>a</w:t>
            </w:r>
          </w:p>
        </w:tc>
        <w:tc>
          <w:tcPr>
            <w:tcW w:w="1607" w:type="dxa"/>
            <w:tcBorders>
              <w:top w:val="nil"/>
              <w:left w:val="nil"/>
              <w:bottom w:val="nil"/>
              <w:right w:val="nil"/>
            </w:tcBorders>
          </w:tcPr>
          <w:p w14:paraId="6AE2AF84" w14:textId="77777777" w:rsidR="00E97387" w:rsidRPr="000017D8" w:rsidRDefault="00E97387" w:rsidP="00C02C80">
            <w:pPr>
              <w:jc w:val="center"/>
              <w:rPr>
                <w:vertAlign w:val="superscript"/>
              </w:rPr>
            </w:pPr>
            <w:r>
              <w:t>6.87</w:t>
            </w:r>
            <w:r w:rsidRPr="00920A5D">
              <w:t>±</w:t>
            </w:r>
            <w:r>
              <w:t>0.21</w:t>
            </w:r>
            <w:r>
              <w:rPr>
                <w:vertAlign w:val="superscript"/>
              </w:rPr>
              <w:t>a</w:t>
            </w:r>
          </w:p>
        </w:tc>
        <w:tc>
          <w:tcPr>
            <w:tcW w:w="1551" w:type="dxa"/>
            <w:tcBorders>
              <w:top w:val="nil"/>
              <w:left w:val="nil"/>
              <w:bottom w:val="nil"/>
              <w:right w:val="nil"/>
            </w:tcBorders>
          </w:tcPr>
          <w:p w14:paraId="1574583C" w14:textId="77777777" w:rsidR="00E97387" w:rsidRPr="00DA44DD" w:rsidRDefault="00E97387" w:rsidP="00C02C80">
            <w:pPr>
              <w:jc w:val="center"/>
              <w:rPr>
                <w:vertAlign w:val="superscript"/>
              </w:rPr>
            </w:pPr>
            <w:r>
              <w:t>0.26</w:t>
            </w:r>
            <w:r w:rsidRPr="00920A5D">
              <w:t>±</w:t>
            </w:r>
            <w:r>
              <w:t>0.14</w:t>
            </w:r>
            <w:r>
              <w:rPr>
                <w:vertAlign w:val="superscript"/>
              </w:rPr>
              <w:t>a</w:t>
            </w:r>
          </w:p>
        </w:tc>
        <w:tc>
          <w:tcPr>
            <w:tcW w:w="1557" w:type="dxa"/>
            <w:tcBorders>
              <w:top w:val="nil"/>
              <w:left w:val="nil"/>
              <w:bottom w:val="nil"/>
              <w:right w:val="nil"/>
            </w:tcBorders>
          </w:tcPr>
          <w:p w14:paraId="2B69C440" w14:textId="77777777" w:rsidR="00E97387" w:rsidRPr="00101753" w:rsidRDefault="00E97387" w:rsidP="00C02C80">
            <w:pPr>
              <w:jc w:val="center"/>
            </w:pPr>
            <w:r>
              <w:t>NF</w:t>
            </w:r>
          </w:p>
        </w:tc>
      </w:tr>
      <w:tr w:rsidR="00E97387" w:rsidRPr="00996826" w14:paraId="1F45C073" w14:textId="77777777" w:rsidTr="00C02C80">
        <w:tc>
          <w:tcPr>
            <w:tcW w:w="1524" w:type="dxa"/>
            <w:tcBorders>
              <w:top w:val="nil"/>
              <w:left w:val="nil"/>
              <w:bottom w:val="nil"/>
              <w:right w:val="nil"/>
            </w:tcBorders>
          </w:tcPr>
          <w:p w14:paraId="2A020B7A" w14:textId="77777777" w:rsidR="00E97387" w:rsidRDefault="00E97387" w:rsidP="00C02C80">
            <w:r>
              <w:t>P-value</w:t>
            </w:r>
          </w:p>
        </w:tc>
        <w:tc>
          <w:tcPr>
            <w:tcW w:w="1556" w:type="dxa"/>
            <w:tcBorders>
              <w:top w:val="nil"/>
              <w:left w:val="nil"/>
              <w:bottom w:val="nil"/>
              <w:right w:val="nil"/>
            </w:tcBorders>
          </w:tcPr>
          <w:p w14:paraId="2B7F02F7" w14:textId="77777777" w:rsidR="00E97387" w:rsidRPr="00DA44DD" w:rsidRDefault="00E97387" w:rsidP="00C02C80">
            <w:pPr>
              <w:jc w:val="center"/>
            </w:pPr>
            <w:r>
              <w:t>*</w:t>
            </w:r>
            <w:r w:rsidRPr="007F1B5F">
              <w:rPr>
                <w:lang w:val="en-GB"/>
              </w:rPr>
              <w:t>§</w:t>
            </w:r>
          </w:p>
        </w:tc>
        <w:tc>
          <w:tcPr>
            <w:tcW w:w="1556" w:type="dxa"/>
            <w:tcBorders>
              <w:top w:val="nil"/>
              <w:left w:val="nil"/>
              <w:bottom w:val="nil"/>
              <w:right w:val="nil"/>
            </w:tcBorders>
          </w:tcPr>
          <w:p w14:paraId="42A187AF" w14:textId="77777777" w:rsidR="00E97387" w:rsidRPr="00DA44DD" w:rsidRDefault="00E97387" w:rsidP="00C02C80">
            <w:pPr>
              <w:jc w:val="center"/>
            </w:pPr>
            <w:r>
              <w:t>-</w:t>
            </w:r>
          </w:p>
        </w:tc>
        <w:tc>
          <w:tcPr>
            <w:tcW w:w="1558" w:type="dxa"/>
            <w:tcBorders>
              <w:top w:val="nil"/>
              <w:left w:val="nil"/>
              <w:bottom w:val="nil"/>
              <w:right w:val="nil"/>
            </w:tcBorders>
          </w:tcPr>
          <w:p w14:paraId="49DF2921" w14:textId="77777777" w:rsidR="00E97387" w:rsidRPr="00101753" w:rsidRDefault="00E97387" w:rsidP="00C02C80">
            <w:pPr>
              <w:jc w:val="center"/>
            </w:pPr>
            <w:r>
              <w:t>***</w:t>
            </w:r>
          </w:p>
        </w:tc>
        <w:tc>
          <w:tcPr>
            <w:tcW w:w="1619" w:type="dxa"/>
            <w:tcBorders>
              <w:top w:val="nil"/>
              <w:left w:val="nil"/>
              <w:bottom w:val="nil"/>
              <w:right w:val="nil"/>
            </w:tcBorders>
          </w:tcPr>
          <w:p w14:paraId="1139A7B0" w14:textId="77777777" w:rsidR="00E97387" w:rsidRPr="00101753" w:rsidRDefault="00E97387" w:rsidP="00C02C80">
            <w:pPr>
              <w:jc w:val="center"/>
            </w:pPr>
            <w:r>
              <w:t>**</w:t>
            </w:r>
          </w:p>
        </w:tc>
        <w:tc>
          <w:tcPr>
            <w:tcW w:w="1690" w:type="dxa"/>
            <w:tcBorders>
              <w:top w:val="nil"/>
              <w:left w:val="nil"/>
              <w:bottom w:val="nil"/>
              <w:right w:val="nil"/>
            </w:tcBorders>
          </w:tcPr>
          <w:p w14:paraId="6BE2D676" w14:textId="77777777" w:rsidR="00E97387" w:rsidRPr="008834D9" w:rsidRDefault="00E97387" w:rsidP="00C02C80">
            <w:pPr>
              <w:jc w:val="center"/>
            </w:pPr>
            <w:r>
              <w:t>***</w:t>
            </w:r>
          </w:p>
        </w:tc>
        <w:tc>
          <w:tcPr>
            <w:tcW w:w="1607" w:type="dxa"/>
            <w:tcBorders>
              <w:top w:val="nil"/>
              <w:left w:val="nil"/>
              <w:bottom w:val="nil"/>
              <w:right w:val="nil"/>
            </w:tcBorders>
          </w:tcPr>
          <w:p w14:paraId="784A70AA" w14:textId="77777777" w:rsidR="00E97387" w:rsidRPr="008834D9" w:rsidRDefault="00E97387" w:rsidP="00C02C80">
            <w:pPr>
              <w:jc w:val="center"/>
            </w:pPr>
            <w:r>
              <w:t>***</w:t>
            </w:r>
          </w:p>
        </w:tc>
        <w:tc>
          <w:tcPr>
            <w:tcW w:w="1551" w:type="dxa"/>
            <w:tcBorders>
              <w:top w:val="nil"/>
              <w:left w:val="nil"/>
              <w:bottom w:val="nil"/>
              <w:right w:val="nil"/>
            </w:tcBorders>
          </w:tcPr>
          <w:p w14:paraId="5AD11714" w14:textId="77777777" w:rsidR="00E97387" w:rsidRPr="008834D9" w:rsidRDefault="00E97387" w:rsidP="00C02C80">
            <w:pPr>
              <w:jc w:val="center"/>
            </w:pPr>
            <w:r>
              <w:t>-</w:t>
            </w:r>
          </w:p>
        </w:tc>
        <w:tc>
          <w:tcPr>
            <w:tcW w:w="1557" w:type="dxa"/>
            <w:tcBorders>
              <w:top w:val="nil"/>
              <w:left w:val="nil"/>
              <w:bottom w:val="nil"/>
              <w:right w:val="nil"/>
            </w:tcBorders>
          </w:tcPr>
          <w:p w14:paraId="226F34B5" w14:textId="77777777" w:rsidR="00E97387" w:rsidRPr="008834D9" w:rsidRDefault="00E97387" w:rsidP="00C02C80">
            <w:pPr>
              <w:jc w:val="center"/>
            </w:pPr>
            <w:r>
              <w:t>-</w:t>
            </w:r>
          </w:p>
        </w:tc>
      </w:tr>
      <w:tr w:rsidR="00E97387" w:rsidRPr="00996826" w14:paraId="317D0E29" w14:textId="77777777" w:rsidTr="00C02C80">
        <w:tc>
          <w:tcPr>
            <w:tcW w:w="1524" w:type="dxa"/>
            <w:tcBorders>
              <w:top w:val="nil"/>
              <w:left w:val="nil"/>
              <w:bottom w:val="nil"/>
              <w:right w:val="nil"/>
            </w:tcBorders>
          </w:tcPr>
          <w:p w14:paraId="51F4B433" w14:textId="77777777" w:rsidR="00E97387" w:rsidRDefault="00E97387" w:rsidP="00C02C80"/>
        </w:tc>
        <w:tc>
          <w:tcPr>
            <w:tcW w:w="1556" w:type="dxa"/>
            <w:tcBorders>
              <w:top w:val="nil"/>
              <w:left w:val="nil"/>
              <w:bottom w:val="nil"/>
              <w:right w:val="nil"/>
            </w:tcBorders>
          </w:tcPr>
          <w:p w14:paraId="33B1D9C0" w14:textId="77777777" w:rsidR="00E97387" w:rsidRPr="00996826" w:rsidRDefault="00E97387" w:rsidP="00C02C80">
            <w:pPr>
              <w:jc w:val="center"/>
            </w:pPr>
          </w:p>
        </w:tc>
        <w:tc>
          <w:tcPr>
            <w:tcW w:w="1556" w:type="dxa"/>
            <w:tcBorders>
              <w:top w:val="nil"/>
              <w:left w:val="nil"/>
              <w:bottom w:val="nil"/>
              <w:right w:val="nil"/>
            </w:tcBorders>
          </w:tcPr>
          <w:p w14:paraId="48FB70B1" w14:textId="77777777" w:rsidR="00E97387" w:rsidRPr="00996826" w:rsidRDefault="00E97387" w:rsidP="00C02C80">
            <w:pPr>
              <w:jc w:val="center"/>
            </w:pPr>
          </w:p>
        </w:tc>
        <w:tc>
          <w:tcPr>
            <w:tcW w:w="1558" w:type="dxa"/>
            <w:tcBorders>
              <w:top w:val="nil"/>
              <w:left w:val="nil"/>
              <w:bottom w:val="nil"/>
              <w:right w:val="nil"/>
            </w:tcBorders>
          </w:tcPr>
          <w:p w14:paraId="711F1D40" w14:textId="77777777" w:rsidR="00E97387" w:rsidRPr="00996826" w:rsidRDefault="00E97387" w:rsidP="00C02C80">
            <w:pPr>
              <w:jc w:val="center"/>
            </w:pPr>
          </w:p>
        </w:tc>
        <w:tc>
          <w:tcPr>
            <w:tcW w:w="1619" w:type="dxa"/>
            <w:tcBorders>
              <w:top w:val="nil"/>
              <w:left w:val="nil"/>
              <w:bottom w:val="nil"/>
              <w:right w:val="nil"/>
            </w:tcBorders>
          </w:tcPr>
          <w:p w14:paraId="51B2101E" w14:textId="77777777" w:rsidR="00E97387" w:rsidRPr="00996826" w:rsidRDefault="00E97387" w:rsidP="00C02C80">
            <w:pPr>
              <w:jc w:val="center"/>
            </w:pPr>
          </w:p>
        </w:tc>
        <w:tc>
          <w:tcPr>
            <w:tcW w:w="1690" w:type="dxa"/>
            <w:tcBorders>
              <w:top w:val="nil"/>
              <w:left w:val="nil"/>
              <w:bottom w:val="nil"/>
              <w:right w:val="nil"/>
            </w:tcBorders>
          </w:tcPr>
          <w:p w14:paraId="37213015" w14:textId="77777777" w:rsidR="00E97387" w:rsidRPr="00996826" w:rsidRDefault="00E97387" w:rsidP="00C02C80">
            <w:pPr>
              <w:jc w:val="center"/>
            </w:pPr>
          </w:p>
        </w:tc>
        <w:tc>
          <w:tcPr>
            <w:tcW w:w="1607" w:type="dxa"/>
            <w:tcBorders>
              <w:top w:val="nil"/>
              <w:left w:val="nil"/>
              <w:bottom w:val="nil"/>
              <w:right w:val="nil"/>
            </w:tcBorders>
          </w:tcPr>
          <w:p w14:paraId="0F3E5FA9" w14:textId="77777777" w:rsidR="00E97387" w:rsidRPr="00996826" w:rsidRDefault="00E97387" w:rsidP="00C02C80">
            <w:pPr>
              <w:jc w:val="center"/>
            </w:pPr>
          </w:p>
        </w:tc>
        <w:tc>
          <w:tcPr>
            <w:tcW w:w="1551" w:type="dxa"/>
            <w:tcBorders>
              <w:top w:val="nil"/>
              <w:left w:val="nil"/>
              <w:bottom w:val="nil"/>
              <w:right w:val="nil"/>
            </w:tcBorders>
          </w:tcPr>
          <w:p w14:paraId="66E89B8D" w14:textId="77777777" w:rsidR="00E97387" w:rsidRPr="00996826" w:rsidRDefault="00E97387" w:rsidP="00C02C80">
            <w:pPr>
              <w:jc w:val="center"/>
            </w:pPr>
          </w:p>
        </w:tc>
        <w:tc>
          <w:tcPr>
            <w:tcW w:w="1557" w:type="dxa"/>
            <w:tcBorders>
              <w:top w:val="nil"/>
              <w:left w:val="nil"/>
              <w:bottom w:val="nil"/>
              <w:right w:val="nil"/>
            </w:tcBorders>
          </w:tcPr>
          <w:p w14:paraId="04A4632B" w14:textId="77777777" w:rsidR="00E97387" w:rsidRPr="00996826" w:rsidRDefault="00E97387" w:rsidP="00C02C80">
            <w:pPr>
              <w:jc w:val="center"/>
            </w:pPr>
          </w:p>
        </w:tc>
      </w:tr>
      <w:tr w:rsidR="00E97387" w:rsidRPr="00996826" w14:paraId="6393F685" w14:textId="77777777" w:rsidTr="00C02C80">
        <w:tc>
          <w:tcPr>
            <w:tcW w:w="1524" w:type="dxa"/>
            <w:tcBorders>
              <w:top w:val="nil"/>
              <w:left w:val="nil"/>
              <w:bottom w:val="nil"/>
              <w:right w:val="nil"/>
            </w:tcBorders>
          </w:tcPr>
          <w:p w14:paraId="259514CF" w14:textId="77777777" w:rsidR="00E97387" w:rsidRDefault="00E97387" w:rsidP="00C02C80">
            <w:r>
              <w:t>Grand Brix</w:t>
            </w:r>
          </w:p>
        </w:tc>
        <w:tc>
          <w:tcPr>
            <w:tcW w:w="3112" w:type="dxa"/>
            <w:gridSpan w:val="2"/>
            <w:vMerge w:val="restart"/>
            <w:tcBorders>
              <w:top w:val="nil"/>
              <w:left w:val="nil"/>
              <w:bottom w:val="nil"/>
              <w:right w:val="nil"/>
            </w:tcBorders>
          </w:tcPr>
          <w:p w14:paraId="634C21D6" w14:textId="77777777" w:rsidR="00E97387" w:rsidRDefault="00E97387" w:rsidP="00C02C80">
            <w:pPr>
              <w:jc w:val="center"/>
            </w:pPr>
            <w:r>
              <w:t>-</w:t>
            </w:r>
          </w:p>
          <w:p w14:paraId="7ABB0A5F" w14:textId="77777777" w:rsidR="00E97387" w:rsidRDefault="00E97387" w:rsidP="00C02C80">
            <w:pPr>
              <w:jc w:val="center"/>
            </w:pPr>
            <w:r>
              <w:t>-</w:t>
            </w:r>
          </w:p>
          <w:p w14:paraId="7489D379" w14:textId="77777777" w:rsidR="00E97387" w:rsidRDefault="00E97387" w:rsidP="00C02C80">
            <w:pPr>
              <w:jc w:val="center"/>
            </w:pPr>
            <w:r>
              <w:t>-</w:t>
            </w:r>
          </w:p>
          <w:p w14:paraId="6682B7A0" w14:textId="77777777" w:rsidR="00E97387" w:rsidRPr="00996826" w:rsidRDefault="00E97387" w:rsidP="00C02C80">
            <w:pPr>
              <w:jc w:val="center"/>
            </w:pPr>
            <w:r>
              <w:t>-</w:t>
            </w:r>
          </w:p>
        </w:tc>
        <w:tc>
          <w:tcPr>
            <w:tcW w:w="3177" w:type="dxa"/>
            <w:gridSpan w:val="2"/>
            <w:vMerge w:val="restart"/>
            <w:tcBorders>
              <w:top w:val="nil"/>
              <w:left w:val="nil"/>
              <w:bottom w:val="nil"/>
              <w:right w:val="nil"/>
            </w:tcBorders>
          </w:tcPr>
          <w:p w14:paraId="3FCB59E7" w14:textId="77777777" w:rsidR="00E97387" w:rsidRPr="0089278C" w:rsidRDefault="00E97387" w:rsidP="00C02C80">
            <w:pPr>
              <w:jc w:val="center"/>
            </w:pPr>
            <w:r>
              <w:t>547.48</w:t>
            </w:r>
            <w:r>
              <w:rPr>
                <w:vertAlign w:val="superscript"/>
              </w:rPr>
              <w:t>b</w:t>
            </w:r>
            <w:r w:rsidRPr="007F1B5F">
              <w:rPr>
                <w:lang w:val="en-GB"/>
              </w:rPr>
              <w:t>‡</w:t>
            </w:r>
          </w:p>
          <w:p w14:paraId="7744D885" w14:textId="77777777" w:rsidR="00E97387" w:rsidRPr="00561F2F" w:rsidRDefault="00E97387" w:rsidP="00C02C80">
            <w:pPr>
              <w:jc w:val="center"/>
              <w:rPr>
                <w:vertAlign w:val="superscript"/>
              </w:rPr>
            </w:pPr>
            <w:r w:rsidRPr="00561F2F">
              <w:t>1067</w:t>
            </w:r>
            <w:r>
              <w:t>.</w:t>
            </w:r>
            <w:r w:rsidRPr="00561F2F">
              <w:t>36</w:t>
            </w:r>
            <w:r>
              <w:rPr>
                <w:vertAlign w:val="superscript"/>
              </w:rPr>
              <w:t>a</w:t>
            </w:r>
          </w:p>
          <w:p w14:paraId="27334BD9" w14:textId="77777777" w:rsidR="00E97387" w:rsidRDefault="00E97387" w:rsidP="00C02C80">
            <w:pPr>
              <w:jc w:val="center"/>
            </w:pPr>
            <w:r>
              <w:t>***</w:t>
            </w:r>
          </w:p>
          <w:p w14:paraId="75F17C1A" w14:textId="77777777" w:rsidR="00E97387" w:rsidRPr="00996826" w:rsidRDefault="00E97387" w:rsidP="00C02C80">
            <w:pPr>
              <w:jc w:val="center"/>
            </w:pPr>
            <w:r>
              <w:t>47.38</w:t>
            </w:r>
          </w:p>
        </w:tc>
        <w:tc>
          <w:tcPr>
            <w:tcW w:w="3297" w:type="dxa"/>
            <w:gridSpan w:val="2"/>
            <w:vMerge w:val="restart"/>
            <w:tcBorders>
              <w:top w:val="nil"/>
              <w:left w:val="nil"/>
              <w:bottom w:val="nil"/>
              <w:right w:val="nil"/>
            </w:tcBorders>
          </w:tcPr>
          <w:p w14:paraId="4C32DB18" w14:textId="77777777" w:rsidR="00E97387" w:rsidRPr="00561F2F" w:rsidRDefault="00E97387" w:rsidP="00C02C80">
            <w:pPr>
              <w:jc w:val="center"/>
              <w:rPr>
                <w:vertAlign w:val="superscript"/>
              </w:rPr>
            </w:pPr>
            <w:r>
              <w:t>0.51</w:t>
            </w:r>
            <w:r>
              <w:rPr>
                <w:vertAlign w:val="superscript"/>
              </w:rPr>
              <w:t>b</w:t>
            </w:r>
          </w:p>
          <w:p w14:paraId="560C060D" w14:textId="77777777" w:rsidR="00E97387" w:rsidRPr="00561F2F" w:rsidRDefault="00E97387" w:rsidP="00C02C80">
            <w:pPr>
              <w:jc w:val="center"/>
              <w:rPr>
                <w:vertAlign w:val="superscript"/>
              </w:rPr>
            </w:pPr>
            <w:r>
              <w:t>4.66</w:t>
            </w:r>
            <w:r>
              <w:rPr>
                <w:vertAlign w:val="superscript"/>
              </w:rPr>
              <w:t>a</w:t>
            </w:r>
          </w:p>
          <w:p w14:paraId="265114DD" w14:textId="77777777" w:rsidR="00E97387" w:rsidRDefault="00E97387" w:rsidP="00C02C80">
            <w:pPr>
              <w:jc w:val="center"/>
            </w:pPr>
            <w:r>
              <w:t>***</w:t>
            </w:r>
          </w:p>
          <w:p w14:paraId="0F9A2A98" w14:textId="77777777" w:rsidR="00E97387" w:rsidRPr="00996826" w:rsidRDefault="00E97387" w:rsidP="00C02C80">
            <w:pPr>
              <w:jc w:val="center"/>
            </w:pPr>
            <w:r>
              <w:t>1.51</w:t>
            </w:r>
          </w:p>
        </w:tc>
        <w:tc>
          <w:tcPr>
            <w:tcW w:w="3108" w:type="dxa"/>
            <w:gridSpan w:val="2"/>
            <w:vMerge w:val="restart"/>
            <w:tcBorders>
              <w:top w:val="nil"/>
              <w:left w:val="nil"/>
              <w:bottom w:val="nil"/>
              <w:right w:val="nil"/>
            </w:tcBorders>
          </w:tcPr>
          <w:p w14:paraId="2860C790" w14:textId="77777777" w:rsidR="00E97387" w:rsidRDefault="00E97387" w:rsidP="00C02C80">
            <w:pPr>
              <w:jc w:val="center"/>
            </w:pPr>
            <w:r>
              <w:t>-</w:t>
            </w:r>
          </w:p>
          <w:p w14:paraId="23D49796" w14:textId="77777777" w:rsidR="00E97387" w:rsidRDefault="00E97387" w:rsidP="00C02C80">
            <w:pPr>
              <w:jc w:val="center"/>
            </w:pPr>
            <w:r>
              <w:t>-</w:t>
            </w:r>
          </w:p>
          <w:p w14:paraId="2DC818C7" w14:textId="77777777" w:rsidR="00E97387" w:rsidRDefault="00E97387" w:rsidP="00C02C80">
            <w:pPr>
              <w:jc w:val="center"/>
            </w:pPr>
            <w:r>
              <w:t>-</w:t>
            </w:r>
          </w:p>
          <w:p w14:paraId="706B687A" w14:textId="77777777" w:rsidR="00E97387" w:rsidRPr="00996826" w:rsidRDefault="00E97387" w:rsidP="00C02C80">
            <w:pPr>
              <w:jc w:val="center"/>
            </w:pPr>
            <w:r>
              <w:t>-</w:t>
            </w:r>
          </w:p>
        </w:tc>
      </w:tr>
      <w:tr w:rsidR="00E97387" w14:paraId="3B330FBC" w14:textId="77777777" w:rsidTr="00C02C80">
        <w:tc>
          <w:tcPr>
            <w:tcW w:w="1524" w:type="dxa"/>
            <w:tcBorders>
              <w:top w:val="nil"/>
              <w:left w:val="nil"/>
              <w:bottom w:val="nil"/>
              <w:right w:val="nil"/>
            </w:tcBorders>
          </w:tcPr>
          <w:p w14:paraId="3E65433A" w14:textId="77777777" w:rsidR="00E97387" w:rsidRDefault="00E97387" w:rsidP="00C02C80">
            <w:r>
              <w:t>Marmande</w:t>
            </w:r>
          </w:p>
        </w:tc>
        <w:tc>
          <w:tcPr>
            <w:tcW w:w="3112" w:type="dxa"/>
            <w:gridSpan w:val="2"/>
            <w:vMerge/>
            <w:tcBorders>
              <w:top w:val="nil"/>
              <w:left w:val="nil"/>
              <w:bottom w:val="nil"/>
              <w:right w:val="nil"/>
            </w:tcBorders>
          </w:tcPr>
          <w:p w14:paraId="4DD0EC06" w14:textId="77777777" w:rsidR="00E97387" w:rsidRDefault="00E97387" w:rsidP="00C02C80">
            <w:pPr>
              <w:jc w:val="center"/>
            </w:pPr>
          </w:p>
        </w:tc>
        <w:tc>
          <w:tcPr>
            <w:tcW w:w="3177" w:type="dxa"/>
            <w:gridSpan w:val="2"/>
            <w:vMerge/>
            <w:tcBorders>
              <w:top w:val="nil"/>
              <w:left w:val="nil"/>
              <w:bottom w:val="nil"/>
              <w:right w:val="nil"/>
            </w:tcBorders>
          </w:tcPr>
          <w:p w14:paraId="62FB87DB" w14:textId="77777777" w:rsidR="00E97387" w:rsidRPr="004F7C16" w:rsidRDefault="00E97387" w:rsidP="00C02C80">
            <w:pPr>
              <w:jc w:val="center"/>
            </w:pPr>
          </w:p>
        </w:tc>
        <w:tc>
          <w:tcPr>
            <w:tcW w:w="3297" w:type="dxa"/>
            <w:gridSpan w:val="2"/>
            <w:vMerge/>
            <w:tcBorders>
              <w:top w:val="nil"/>
              <w:left w:val="nil"/>
              <w:bottom w:val="nil"/>
              <w:right w:val="nil"/>
            </w:tcBorders>
          </w:tcPr>
          <w:p w14:paraId="6697C90D" w14:textId="77777777" w:rsidR="00E97387" w:rsidRPr="004F7C16" w:rsidRDefault="00E97387" w:rsidP="00C02C80">
            <w:pPr>
              <w:jc w:val="center"/>
            </w:pPr>
          </w:p>
        </w:tc>
        <w:tc>
          <w:tcPr>
            <w:tcW w:w="3108" w:type="dxa"/>
            <w:gridSpan w:val="2"/>
            <w:vMerge/>
            <w:tcBorders>
              <w:top w:val="nil"/>
              <w:left w:val="nil"/>
              <w:bottom w:val="nil"/>
              <w:right w:val="nil"/>
            </w:tcBorders>
          </w:tcPr>
          <w:p w14:paraId="6808F886" w14:textId="77777777" w:rsidR="00E97387" w:rsidRPr="004F7C16" w:rsidRDefault="00E97387" w:rsidP="00C02C80">
            <w:pPr>
              <w:jc w:val="center"/>
            </w:pPr>
          </w:p>
        </w:tc>
      </w:tr>
      <w:tr w:rsidR="00E97387" w14:paraId="5972781F" w14:textId="77777777" w:rsidTr="00C02C80">
        <w:tc>
          <w:tcPr>
            <w:tcW w:w="1524" w:type="dxa"/>
            <w:tcBorders>
              <w:top w:val="nil"/>
              <w:left w:val="nil"/>
              <w:bottom w:val="nil"/>
              <w:right w:val="nil"/>
            </w:tcBorders>
          </w:tcPr>
          <w:p w14:paraId="30EF7E15" w14:textId="77777777" w:rsidR="00E97387" w:rsidRDefault="00E97387" w:rsidP="00C02C80">
            <w:r>
              <w:t>P-value</w:t>
            </w:r>
          </w:p>
        </w:tc>
        <w:tc>
          <w:tcPr>
            <w:tcW w:w="3112" w:type="dxa"/>
            <w:gridSpan w:val="2"/>
            <w:vMerge/>
            <w:tcBorders>
              <w:top w:val="nil"/>
              <w:left w:val="nil"/>
              <w:bottom w:val="nil"/>
              <w:right w:val="nil"/>
            </w:tcBorders>
          </w:tcPr>
          <w:p w14:paraId="6EC4BCD9" w14:textId="77777777" w:rsidR="00E97387" w:rsidRDefault="00E97387" w:rsidP="00C02C80">
            <w:pPr>
              <w:jc w:val="center"/>
            </w:pPr>
          </w:p>
        </w:tc>
        <w:tc>
          <w:tcPr>
            <w:tcW w:w="3177" w:type="dxa"/>
            <w:gridSpan w:val="2"/>
            <w:vMerge/>
            <w:tcBorders>
              <w:top w:val="nil"/>
              <w:left w:val="nil"/>
              <w:bottom w:val="nil"/>
              <w:right w:val="nil"/>
            </w:tcBorders>
          </w:tcPr>
          <w:p w14:paraId="0C8DCD24" w14:textId="77777777" w:rsidR="00E97387" w:rsidRPr="004F7C16" w:rsidRDefault="00E97387" w:rsidP="00C02C80">
            <w:pPr>
              <w:jc w:val="center"/>
            </w:pPr>
          </w:p>
        </w:tc>
        <w:tc>
          <w:tcPr>
            <w:tcW w:w="3297" w:type="dxa"/>
            <w:gridSpan w:val="2"/>
            <w:vMerge/>
            <w:tcBorders>
              <w:top w:val="nil"/>
              <w:left w:val="nil"/>
              <w:bottom w:val="nil"/>
              <w:right w:val="nil"/>
            </w:tcBorders>
          </w:tcPr>
          <w:p w14:paraId="37039EBE" w14:textId="77777777" w:rsidR="00E97387" w:rsidRPr="004F7C16" w:rsidRDefault="00E97387" w:rsidP="00C02C80">
            <w:pPr>
              <w:jc w:val="center"/>
            </w:pPr>
          </w:p>
        </w:tc>
        <w:tc>
          <w:tcPr>
            <w:tcW w:w="3108" w:type="dxa"/>
            <w:gridSpan w:val="2"/>
            <w:vMerge/>
            <w:tcBorders>
              <w:top w:val="nil"/>
              <w:left w:val="nil"/>
              <w:bottom w:val="nil"/>
              <w:right w:val="nil"/>
            </w:tcBorders>
          </w:tcPr>
          <w:p w14:paraId="20EDAF80" w14:textId="77777777" w:rsidR="00E97387" w:rsidRPr="004F7C16" w:rsidRDefault="00E97387" w:rsidP="00C02C80">
            <w:pPr>
              <w:jc w:val="center"/>
            </w:pPr>
          </w:p>
        </w:tc>
      </w:tr>
      <w:tr w:rsidR="00E97387" w14:paraId="16551B26" w14:textId="77777777" w:rsidTr="00C02C80">
        <w:tc>
          <w:tcPr>
            <w:tcW w:w="1524" w:type="dxa"/>
            <w:tcBorders>
              <w:top w:val="nil"/>
              <w:left w:val="nil"/>
              <w:bottom w:val="nil"/>
              <w:right w:val="nil"/>
            </w:tcBorders>
          </w:tcPr>
          <w:p w14:paraId="17772710" w14:textId="77777777" w:rsidR="00E97387" w:rsidRPr="00760990" w:rsidRDefault="00E97387" w:rsidP="00C02C80">
            <w:pPr>
              <w:rPr>
                <w:vertAlign w:val="subscript"/>
              </w:rPr>
            </w:pPr>
            <w:r>
              <w:t>LSD</w:t>
            </w:r>
            <w:r>
              <w:rPr>
                <w:vertAlign w:val="subscript"/>
              </w:rPr>
              <w:t>0.05</w:t>
            </w:r>
          </w:p>
        </w:tc>
        <w:tc>
          <w:tcPr>
            <w:tcW w:w="3112" w:type="dxa"/>
            <w:gridSpan w:val="2"/>
            <w:vMerge/>
            <w:tcBorders>
              <w:top w:val="nil"/>
              <w:left w:val="nil"/>
              <w:bottom w:val="nil"/>
              <w:right w:val="nil"/>
            </w:tcBorders>
          </w:tcPr>
          <w:p w14:paraId="51225692" w14:textId="77777777" w:rsidR="00E97387" w:rsidRDefault="00E97387" w:rsidP="00C02C80">
            <w:pPr>
              <w:jc w:val="center"/>
            </w:pPr>
          </w:p>
        </w:tc>
        <w:tc>
          <w:tcPr>
            <w:tcW w:w="3177" w:type="dxa"/>
            <w:gridSpan w:val="2"/>
            <w:vMerge/>
            <w:tcBorders>
              <w:top w:val="nil"/>
              <w:left w:val="nil"/>
              <w:bottom w:val="nil"/>
              <w:right w:val="nil"/>
            </w:tcBorders>
          </w:tcPr>
          <w:p w14:paraId="2D5FFD00" w14:textId="77777777" w:rsidR="00E97387" w:rsidRPr="004F7C16" w:rsidRDefault="00E97387" w:rsidP="00C02C80">
            <w:pPr>
              <w:jc w:val="center"/>
            </w:pPr>
          </w:p>
        </w:tc>
        <w:tc>
          <w:tcPr>
            <w:tcW w:w="3297" w:type="dxa"/>
            <w:gridSpan w:val="2"/>
            <w:vMerge/>
            <w:tcBorders>
              <w:top w:val="nil"/>
              <w:left w:val="nil"/>
              <w:bottom w:val="nil"/>
              <w:right w:val="nil"/>
            </w:tcBorders>
          </w:tcPr>
          <w:p w14:paraId="5679BA4C" w14:textId="77777777" w:rsidR="00E97387" w:rsidRPr="004F7C16" w:rsidRDefault="00E97387" w:rsidP="00C02C80">
            <w:pPr>
              <w:jc w:val="center"/>
            </w:pPr>
          </w:p>
        </w:tc>
        <w:tc>
          <w:tcPr>
            <w:tcW w:w="3108" w:type="dxa"/>
            <w:gridSpan w:val="2"/>
            <w:vMerge/>
            <w:tcBorders>
              <w:top w:val="nil"/>
              <w:left w:val="nil"/>
              <w:bottom w:val="nil"/>
              <w:right w:val="nil"/>
            </w:tcBorders>
          </w:tcPr>
          <w:p w14:paraId="16ECD286" w14:textId="77777777" w:rsidR="00E97387" w:rsidRPr="004F7C16" w:rsidRDefault="00E97387" w:rsidP="00C02C80">
            <w:pPr>
              <w:jc w:val="center"/>
            </w:pPr>
          </w:p>
        </w:tc>
      </w:tr>
    </w:tbl>
    <w:p w14:paraId="59FF4AAF" w14:textId="77777777" w:rsidR="00E97387" w:rsidRDefault="00E97387" w:rsidP="00E97387">
      <w:pPr>
        <w:pStyle w:val="Sinespaciado"/>
        <w:rPr>
          <w:b/>
          <w:sz w:val="24"/>
          <w:lang w:val="en-US"/>
        </w:rPr>
      </w:pPr>
    </w:p>
    <w:p w14:paraId="31E0F929" w14:textId="77777777" w:rsidR="00E97387" w:rsidRPr="00F0196B" w:rsidRDefault="00E97387" w:rsidP="00E97387">
      <w:pPr>
        <w:pStyle w:val="Sinespaciado"/>
        <w:jc w:val="both"/>
        <w:rPr>
          <w:b/>
          <w:lang w:val="en-US"/>
        </w:rPr>
      </w:pPr>
      <w:r w:rsidRPr="00B10512">
        <w:rPr>
          <w:b/>
          <w:sz w:val="24"/>
          <w:lang w:val="en-US"/>
        </w:rPr>
        <w:t xml:space="preserve">Table </w:t>
      </w:r>
      <w:r>
        <w:rPr>
          <w:b/>
          <w:sz w:val="24"/>
          <w:lang w:val="en-US"/>
        </w:rPr>
        <w:t>4</w:t>
      </w:r>
      <w:r w:rsidRPr="00B10512">
        <w:rPr>
          <w:b/>
          <w:sz w:val="24"/>
          <w:lang w:val="en-US"/>
        </w:rPr>
        <w:t>:</w:t>
      </w:r>
      <w:r w:rsidRPr="00C022E6">
        <w:rPr>
          <w:sz w:val="24"/>
          <w:lang w:val="en-GB"/>
        </w:rPr>
        <w:t xml:space="preserve"> </w:t>
      </w:r>
      <w:r w:rsidRPr="00D92C1D">
        <w:rPr>
          <w:lang w:val="en-GB"/>
        </w:rPr>
        <w:t>Effect of saline treatment in the conce</w:t>
      </w:r>
      <w:r>
        <w:rPr>
          <w:lang w:val="en-GB"/>
        </w:rPr>
        <w:t xml:space="preserve">ntration of </w:t>
      </w:r>
      <w:r w:rsidRPr="00F0196B">
        <w:rPr>
          <w:lang w:val="en-GB"/>
        </w:rPr>
        <w:t>abscisic acid</w:t>
      </w:r>
      <w:r>
        <w:rPr>
          <w:lang w:val="en-GB"/>
        </w:rPr>
        <w:t xml:space="preserve"> (ABA),</w:t>
      </w:r>
      <w:r w:rsidRPr="0013490D">
        <w:rPr>
          <w:lang w:val="en-GB"/>
        </w:rPr>
        <w:t xml:space="preserve"> </w:t>
      </w:r>
      <w:r w:rsidRPr="00F0196B">
        <w:rPr>
          <w:lang w:val="en-GB"/>
        </w:rPr>
        <w:t>aminocyclopropane-1-carboxylic acid</w:t>
      </w:r>
      <w:r>
        <w:rPr>
          <w:lang w:val="en-GB"/>
        </w:rPr>
        <w:t xml:space="preserve"> (ACC), jasmonic acid (JA) and salicylic acid (SA)</w:t>
      </w:r>
      <w:r w:rsidRPr="00D92C1D">
        <w:rPr>
          <w:lang w:val="en-GB"/>
        </w:rPr>
        <w:t xml:space="preserve"> in plants of </w:t>
      </w:r>
      <w:r w:rsidRPr="00D92C1D">
        <w:rPr>
          <w:i/>
          <w:lang w:val="en-GB"/>
        </w:rPr>
        <w:t>Solanum lycopersicum</w:t>
      </w:r>
      <w:r w:rsidRPr="00D92C1D">
        <w:rPr>
          <w:lang w:val="en-GB"/>
        </w:rPr>
        <w:t xml:space="preserve"> cv. Grand Brix and cv. Marmande RAF</w:t>
      </w:r>
    </w:p>
    <w:tbl>
      <w:tblPr>
        <w:tblStyle w:val="Tablaconcuadrcula"/>
        <w:tblW w:w="0" w:type="auto"/>
        <w:tblLook w:val="04A0" w:firstRow="1" w:lastRow="0" w:firstColumn="1" w:lastColumn="0" w:noHBand="0" w:noVBand="1"/>
      </w:tblPr>
      <w:tblGrid>
        <w:gridCol w:w="1426"/>
        <w:gridCol w:w="1573"/>
        <w:gridCol w:w="1518"/>
        <w:gridCol w:w="1484"/>
        <w:gridCol w:w="1453"/>
        <w:gridCol w:w="1655"/>
        <w:gridCol w:w="1481"/>
        <w:gridCol w:w="1708"/>
        <w:gridCol w:w="1704"/>
      </w:tblGrid>
      <w:tr w:rsidR="00E97387" w:rsidRPr="003061A6" w14:paraId="54538744" w14:textId="77777777" w:rsidTr="00C02C80">
        <w:tc>
          <w:tcPr>
            <w:tcW w:w="1473" w:type="dxa"/>
            <w:vMerge w:val="restart"/>
            <w:tcBorders>
              <w:left w:val="nil"/>
              <w:right w:val="nil"/>
            </w:tcBorders>
          </w:tcPr>
          <w:p w14:paraId="1EC36EB7" w14:textId="77777777" w:rsidR="00E97387" w:rsidRPr="00F0196B" w:rsidRDefault="00E97387" w:rsidP="00C02C80">
            <w:pPr>
              <w:rPr>
                <w:lang w:val="en-GB"/>
              </w:rPr>
            </w:pPr>
          </w:p>
        </w:tc>
        <w:tc>
          <w:tcPr>
            <w:tcW w:w="3075" w:type="dxa"/>
            <w:gridSpan w:val="2"/>
            <w:tcBorders>
              <w:left w:val="nil"/>
              <w:right w:val="nil"/>
            </w:tcBorders>
            <w:vAlign w:val="bottom"/>
          </w:tcPr>
          <w:p w14:paraId="4A7B2DA2" w14:textId="77777777" w:rsidR="00E97387" w:rsidRDefault="00E97387" w:rsidP="00C02C80">
            <w:pPr>
              <w:jc w:val="center"/>
              <w:rPr>
                <w:rFonts w:ascii="Calibri" w:hAnsi="Calibri"/>
                <w:color w:val="000000"/>
              </w:rPr>
            </w:pPr>
            <w:r>
              <w:rPr>
                <w:rFonts w:ascii="Calibri" w:hAnsi="Calibri"/>
                <w:color w:val="000000"/>
              </w:rPr>
              <w:t xml:space="preserve">ABA </w:t>
            </w:r>
            <w:r>
              <w:t>(ng g</w:t>
            </w:r>
            <w:r>
              <w:rPr>
                <w:vertAlign w:val="superscript"/>
              </w:rPr>
              <w:t>-1</w:t>
            </w:r>
            <w:r>
              <w:t>)</w:t>
            </w:r>
          </w:p>
        </w:tc>
        <w:tc>
          <w:tcPr>
            <w:tcW w:w="3024" w:type="dxa"/>
            <w:gridSpan w:val="2"/>
            <w:tcBorders>
              <w:left w:val="nil"/>
              <w:right w:val="nil"/>
            </w:tcBorders>
            <w:vAlign w:val="bottom"/>
          </w:tcPr>
          <w:p w14:paraId="729280CE" w14:textId="77777777" w:rsidR="00E97387" w:rsidRDefault="00E97387" w:rsidP="00C02C80">
            <w:pPr>
              <w:jc w:val="center"/>
              <w:rPr>
                <w:rFonts w:ascii="Calibri" w:hAnsi="Calibri"/>
                <w:color w:val="000000"/>
              </w:rPr>
            </w:pPr>
            <w:r>
              <w:rPr>
                <w:rFonts w:ascii="Calibri" w:hAnsi="Calibri"/>
                <w:color w:val="000000"/>
              </w:rPr>
              <w:t xml:space="preserve">ACC </w:t>
            </w:r>
            <w:r>
              <w:t>(ng g</w:t>
            </w:r>
            <w:r>
              <w:rPr>
                <w:vertAlign w:val="superscript"/>
              </w:rPr>
              <w:t>-1</w:t>
            </w:r>
            <w:r>
              <w:t>)</w:t>
            </w:r>
          </w:p>
        </w:tc>
        <w:tc>
          <w:tcPr>
            <w:tcW w:w="3185" w:type="dxa"/>
            <w:gridSpan w:val="2"/>
            <w:tcBorders>
              <w:left w:val="nil"/>
              <w:right w:val="nil"/>
            </w:tcBorders>
            <w:vAlign w:val="bottom"/>
          </w:tcPr>
          <w:p w14:paraId="796460AF" w14:textId="77777777" w:rsidR="00E97387" w:rsidRDefault="00E97387" w:rsidP="00C02C80">
            <w:pPr>
              <w:jc w:val="center"/>
              <w:rPr>
                <w:rFonts w:ascii="Calibri" w:hAnsi="Calibri"/>
                <w:color w:val="000000"/>
              </w:rPr>
            </w:pPr>
            <w:r>
              <w:rPr>
                <w:rFonts w:ascii="Calibri" w:hAnsi="Calibri"/>
                <w:color w:val="000000"/>
              </w:rPr>
              <w:t xml:space="preserve">JA </w:t>
            </w:r>
            <w:r>
              <w:t>(ng g</w:t>
            </w:r>
            <w:r>
              <w:rPr>
                <w:vertAlign w:val="superscript"/>
              </w:rPr>
              <w:t>-1</w:t>
            </w:r>
            <w:r>
              <w:t>)</w:t>
            </w:r>
          </w:p>
        </w:tc>
        <w:tc>
          <w:tcPr>
            <w:tcW w:w="3135" w:type="dxa"/>
            <w:gridSpan w:val="2"/>
            <w:tcBorders>
              <w:left w:val="nil"/>
              <w:right w:val="nil"/>
            </w:tcBorders>
            <w:vAlign w:val="bottom"/>
          </w:tcPr>
          <w:p w14:paraId="1ADE1189" w14:textId="77777777" w:rsidR="00E97387" w:rsidRDefault="00E97387" w:rsidP="00C02C80">
            <w:pPr>
              <w:jc w:val="center"/>
              <w:rPr>
                <w:rFonts w:ascii="Calibri" w:hAnsi="Calibri"/>
                <w:color w:val="000000"/>
              </w:rPr>
            </w:pPr>
            <w:r>
              <w:rPr>
                <w:rFonts w:ascii="Calibri" w:hAnsi="Calibri"/>
                <w:color w:val="000000"/>
              </w:rPr>
              <w:t xml:space="preserve">SA </w:t>
            </w:r>
            <w:r>
              <w:t>(ng g</w:t>
            </w:r>
            <w:r>
              <w:rPr>
                <w:vertAlign w:val="superscript"/>
              </w:rPr>
              <w:t>-1</w:t>
            </w:r>
            <w:r>
              <w:t>)</w:t>
            </w:r>
          </w:p>
        </w:tc>
      </w:tr>
      <w:tr w:rsidR="00E97387" w14:paraId="68684A87" w14:textId="77777777" w:rsidTr="00C02C80">
        <w:tc>
          <w:tcPr>
            <w:tcW w:w="1473" w:type="dxa"/>
            <w:vMerge/>
            <w:tcBorders>
              <w:left w:val="nil"/>
              <w:bottom w:val="single" w:sz="4" w:space="0" w:color="auto"/>
              <w:right w:val="nil"/>
            </w:tcBorders>
          </w:tcPr>
          <w:p w14:paraId="23791505" w14:textId="77777777" w:rsidR="00E97387" w:rsidRPr="00F30B60" w:rsidRDefault="00E97387" w:rsidP="00C02C80">
            <w:pPr>
              <w:rPr>
                <w:lang w:val="en-GB"/>
              </w:rPr>
            </w:pPr>
          </w:p>
        </w:tc>
        <w:tc>
          <w:tcPr>
            <w:tcW w:w="1546" w:type="dxa"/>
            <w:tcBorders>
              <w:left w:val="nil"/>
              <w:bottom w:val="single" w:sz="4" w:space="0" w:color="auto"/>
              <w:right w:val="nil"/>
            </w:tcBorders>
          </w:tcPr>
          <w:p w14:paraId="77282812" w14:textId="77777777" w:rsidR="00E97387" w:rsidRDefault="00E97387" w:rsidP="00C02C80">
            <w:pPr>
              <w:jc w:val="center"/>
            </w:pPr>
            <w:r>
              <w:t>Grand Brix</w:t>
            </w:r>
          </w:p>
        </w:tc>
        <w:tc>
          <w:tcPr>
            <w:tcW w:w="1529" w:type="dxa"/>
            <w:tcBorders>
              <w:left w:val="nil"/>
              <w:bottom w:val="single" w:sz="4" w:space="0" w:color="auto"/>
              <w:right w:val="nil"/>
            </w:tcBorders>
          </w:tcPr>
          <w:p w14:paraId="5A9630C6" w14:textId="77777777" w:rsidR="00E97387" w:rsidRDefault="00E97387" w:rsidP="00C02C80">
            <w:pPr>
              <w:jc w:val="center"/>
            </w:pPr>
            <w:r>
              <w:t>Marmande</w:t>
            </w:r>
          </w:p>
        </w:tc>
        <w:tc>
          <w:tcPr>
            <w:tcW w:w="1518" w:type="dxa"/>
            <w:tcBorders>
              <w:left w:val="nil"/>
              <w:bottom w:val="single" w:sz="4" w:space="0" w:color="auto"/>
              <w:right w:val="nil"/>
            </w:tcBorders>
          </w:tcPr>
          <w:p w14:paraId="4EDA0E0B" w14:textId="77777777" w:rsidR="00E97387" w:rsidRDefault="00E97387" w:rsidP="00C02C80">
            <w:pPr>
              <w:jc w:val="center"/>
            </w:pPr>
            <w:r>
              <w:t>Grand Brix</w:t>
            </w:r>
          </w:p>
        </w:tc>
        <w:tc>
          <w:tcPr>
            <w:tcW w:w="1506" w:type="dxa"/>
            <w:tcBorders>
              <w:left w:val="nil"/>
              <w:bottom w:val="single" w:sz="4" w:space="0" w:color="auto"/>
              <w:right w:val="nil"/>
            </w:tcBorders>
          </w:tcPr>
          <w:p w14:paraId="1E59AE57" w14:textId="77777777" w:rsidR="00E97387" w:rsidRDefault="00E97387" w:rsidP="00C02C80">
            <w:pPr>
              <w:jc w:val="center"/>
            </w:pPr>
            <w:r>
              <w:t>Marmande</w:t>
            </w:r>
          </w:p>
        </w:tc>
        <w:tc>
          <w:tcPr>
            <w:tcW w:w="1671" w:type="dxa"/>
            <w:tcBorders>
              <w:left w:val="nil"/>
              <w:bottom w:val="single" w:sz="4" w:space="0" w:color="auto"/>
              <w:right w:val="nil"/>
            </w:tcBorders>
          </w:tcPr>
          <w:p w14:paraId="7181FA1F" w14:textId="77777777" w:rsidR="00E97387" w:rsidRDefault="00E97387" w:rsidP="00C02C80">
            <w:pPr>
              <w:jc w:val="center"/>
            </w:pPr>
            <w:r>
              <w:t>Grand Brix</w:t>
            </w:r>
          </w:p>
        </w:tc>
        <w:tc>
          <w:tcPr>
            <w:tcW w:w="1514" w:type="dxa"/>
            <w:tcBorders>
              <w:left w:val="nil"/>
              <w:bottom w:val="single" w:sz="4" w:space="0" w:color="auto"/>
              <w:right w:val="nil"/>
            </w:tcBorders>
          </w:tcPr>
          <w:p w14:paraId="22657225" w14:textId="77777777" w:rsidR="00E97387" w:rsidRDefault="00E97387" w:rsidP="00C02C80">
            <w:pPr>
              <w:jc w:val="center"/>
            </w:pPr>
            <w:r>
              <w:t>Marmande</w:t>
            </w:r>
          </w:p>
        </w:tc>
        <w:tc>
          <w:tcPr>
            <w:tcW w:w="1626" w:type="dxa"/>
            <w:tcBorders>
              <w:left w:val="nil"/>
              <w:bottom w:val="single" w:sz="4" w:space="0" w:color="auto"/>
              <w:right w:val="nil"/>
            </w:tcBorders>
          </w:tcPr>
          <w:p w14:paraId="28D8CB16" w14:textId="77777777" w:rsidR="00E97387" w:rsidRDefault="00E97387" w:rsidP="00C02C80">
            <w:pPr>
              <w:jc w:val="center"/>
            </w:pPr>
            <w:r>
              <w:t>Grand Brix</w:t>
            </w:r>
          </w:p>
        </w:tc>
        <w:tc>
          <w:tcPr>
            <w:tcW w:w="1509" w:type="dxa"/>
            <w:tcBorders>
              <w:left w:val="nil"/>
              <w:bottom w:val="single" w:sz="4" w:space="0" w:color="auto"/>
              <w:right w:val="nil"/>
            </w:tcBorders>
          </w:tcPr>
          <w:p w14:paraId="1FF3D613" w14:textId="77777777" w:rsidR="00E97387" w:rsidRDefault="00E97387" w:rsidP="00C02C80">
            <w:pPr>
              <w:jc w:val="center"/>
            </w:pPr>
            <w:r>
              <w:t>Marmande</w:t>
            </w:r>
          </w:p>
        </w:tc>
      </w:tr>
      <w:tr w:rsidR="00E97387" w:rsidRPr="002E2FC6" w14:paraId="7EBA5DD8" w14:textId="77777777" w:rsidTr="00C02C80">
        <w:tc>
          <w:tcPr>
            <w:tcW w:w="1473" w:type="dxa"/>
            <w:tcBorders>
              <w:top w:val="single" w:sz="4" w:space="0" w:color="auto"/>
              <w:left w:val="nil"/>
              <w:bottom w:val="nil"/>
              <w:right w:val="nil"/>
            </w:tcBorders>
          </w:tcPr>
          <w:p w14:paraId="03FFFCA8" w14:textId="77777777" w:rsidR="00E97387" w:rsidRDefault="00E97387" w:rsidP="00C02C80">
            <w:r>
              <w:t>Control</w:t>
            </w:r>
          </w:p>
        </w:tc>
        <w:tc>
          <w:tcPr>
            <w:tcW w:w="1546" w:type="dxa"/>
            <w:tcBorders>
              <w:top w:val="single" w:sz="4" w:space="0" w:color="auto"/>
              <w:left w:val="nil"/>
              <w:bottom w:val="nil"/>
              <w:right w:val="nil"/>
            </w:tcBorders>
          </w:tcPr>
          <w:p w14:paraId="0E8C63D2" w14:textId="77777777" w:rsidR="00E97387" w:rsidRPr="002B761C" w:rsidRDefault="00E97387" w:rsidP="00C02C80">
            <w:pPr>
              <w:jc w:val="center"/>
              <w:rPr>
                <w:vertAlign w:val="superscript"/>
              </w:rPr>
            </w:pPr>
            <w:r>
              <w:t>369.29</w:t>
            </w:r>
            <w:r w:rsidRPr="00920A5D">
              <w:t>±</w:t>
            </w:r>
            <w:r>
              <w:t>9.47</w:t>
            </w:r>
            <w:r>
              <w:rPr>
                <w:vertAlign w:val="superscript"/>
              </w:rPr>
              <w:t>b</w:t>
            </w:r>
            <w:r w:rsidRPr="007F1B5F">
              <w:rPr>
                <w:lang w:val="en-GB"/>
              </w:rPr>
              <w:t>†</w:t>
            </w:r>
          </w:p>
        </w:tc>
        <w:tc>
          <w:tcPr>
            <w:tcW w:w="1529" w:type="dxa"/>
            <w:tcBorders>
              <w:top w:val="single" w:sz="4" w:space="0" w:color="auto"/>
              <w:left w:val="nil"/>
              <w:bottom w:val="nil"/>
              <w:right w:val="nil"/>
            </w:tcBorders>
          </w:tcPr>
          <w:p w14:paraId="3ADE17E7" w14:textId="77777777" w:rsidR="00E97387" w:rsidRPr="000017D8" w:rsidRDefault="00E97387" w:rsidP="00C02C80">
            <w:pPr>
              <w:jc w:val="center"/>
              <w:rPr>
                <w:vertAlign w:val="superscript"/>
              </w:rPr>
            </w:pPr>
            <w:r>
              <w:t>507.74</w:t>
            </w:r>
            <w:r w:rsidRPr="00920A5D">
              <w:t>±</w:t>
            </w:r>
            <w:r>
              <w:t>0.81</w:t>
            </w:r>
            <w:r>
              <w:rPr>
                <w:vertAlign w:val="superscript"/>
              </w:rPr>
              <w:t>b</w:t>
            </w:r>
          </w:p>
        </w:tc>
        <w:tc>
          <w:tcPr>
            <w:tcW w:w="1518" w:type="dxa"/>
            <w:tcBorders>
              <w:top w:val="single" w:sz="4" w:space="0" w:color="auto"/>
              <w:left w:val="nil"/>
              <w:bottom w:val="nil"/>
              <w:right w:val="nil"/>
            </w:tcBorders>
          </w:tcPr>
          <w:p w14:paraId="7547BDA0" w14:textId="77777777" w:rsidR="00E97387" w:rsidRPr="00BE224C" w:rsidRDefault="00E97387" w:rsidP="00C02C80">
            <w:pPr>
              <w:jc w:val="center"/>
            </w:pPr>
            <w:r>
              <w:t>18.55</w:t>
            </w:r>
            <w:r w:rsidRPr="00920A5D">
              <w:t>±</w:t>
            </w:r>
            <w:r w:rsidRPr="00101753">
              <w:t>2</w:t>
            </w:r>
            <w:r>
              <w:t>.</w:t>
            </w:r>
            <w:r w:rsidRPr="00101753">
              <w:t>76</w:t>
            </w:r>
            <w:r>
              <w:rPr>
                <w:vertAlign w:val="superscript"/>
              </w:rPr>
              <w:t>a</w:t>
            </w:r>
          </w:p>
        </w:tc>
        <w:tc>
          <w:tcPr>
            <w:tcW w:w="1506" w:type="dxa"/>
            <w:tcBorders>
              <w:top w:val="single" w:sz="4" w:space="0" w:color="auto"/>
              <w:left w:val="nil"/>
              <w:bottom w:val="nil"/>
              <w:right w:val="nil"/>
            </w:tcBorders>
          </w:tcPr>
          <w:p w14:paraId="5C42929E" w14:textId="77777777" w:rsidR="00E97387" w:rsidRPr="00787566" w:rsidRDefault="00E97387" w:rsidP="00C02C80">
            <w:pPr>
              <w:jc w:val="center"/>
              <w:rPr>
                <w:vertAlign w:val="superscript"/>
              </w:rPr>
            </w:pPr>
            <w:r>
              <w:t>3.70</w:t>
            </w:r>
            <w:r w:rsidRPr="00920A5D">
              <w:t>±</w:t>
            </w:r>
            <w:r w:rsidRPr="00787566">
              <w:t>0</w:t>
            </w:r>
            <w:r>
              <w:t>.</w:t>
            </w:r>
            <w:r w:rsidRPr="00787566">
              <w:t>23</w:t>
            </w:r>
            <w:r>
              <w:rPr>
                <w:vertAlign w:val="superscript"/>
              </w:rPr>
              <w:t>b</w:t>
            </w:r>
          </w:p>
        </w:tc>
        <w:tc>
          <w:tcPr>
            <w:tcW w:w="1671" w:type="dxa"/>
            <w:tcBorders>
              <w:left w:val="nil"/>
              <w:bottom w:val="nil"/>
              <w:right w:val="nil"/>
            </w:tcBorders>
          </w:tcPr>
          <w:p w14:paraId="00FF9C08" w14:textId="77777777" w:rsidR="00E97387" w:rsidRPr="00F929AE" w:rsidRDefault="00E97387" w:rsidP="00C02C80">
            <w:pPr>
              <w:jc w:val="center"/>
              <w:rPr>
                <w:vertAlign w:val="superscript"/>
              </w:rPr>
            </w:pPr>
            <w:r w:rsidRPr="002B761C">
              <w:t>580</w:t>
            </w:r>
            <w:r>
              <w:t>.</w:t>
            </w:r>
            <w:r w:rsidRPr="002B761C">
              <w:t>12</w:t>
            </w:r>
            <w:r w:rsidRPr="00920A5D">
              <w:t>±</w:t>
            </w:r>
            <w:r>
              <w:t>16.66</w:t>
            </w:r>
            <w:r>
              <w:rPr>
                <w:vertAlign w:val="superscript"/>
              </w:rPr>
              <w:t>a</w:t>
            </w:r>
          </w:p>
        </w:tc>
        <w:tc>
          <w:tcPr>
            <w:tcW w:w="1514" w:type="dxa"/>
            <w:tcBorders>
              <w:left w:val="nil"/>
              <w:bottom w:val="nil"/>
              <w:right w:val="nil"/>
            </w:tcBorders>
          </w:tcPr>
          <w:p w14:paraId="69119035" w14:textId="77777777" w:rsidR="00E97387" w:rsidRPr="000017D8" w:rsidRDefault="00E97387" w:rsidP="00C02C80">
            <w:pPr>
              <w:jc w:val="center"/>
              <w:rPr>
                <w:vertAlign w:val="superscript"/>
              </w:rPr>
            </w:pPr>
            <w:r>
              <w:t>70.87</w:t>
            </w:r>
            <w:r w:rsidRPr="00920A5D">
              <w:t>±</w:t>
            </w:r>
            <w:r>
              <w:t>2.53</w:t>
            </w:r>
            <w:r>
              <w:rPr>
                <w:vertAlign w:val="superscript"/>
              </w:rPr>
              <w:t>a</w:t>
            </w:r>
          </w:p>
        </w:tc>
        <w:tc>
          <w:tcPr>
            <w:tcW w:w="1626" w:type="dxa"/>
            <w:tcBorders>
              <w:left w:val="nil"/>
              <w:bottom w:val="nil"/>
              <w:right w:val="nil"/>
            </w:tcBorders>
          </w:tcPr>
          <w:p w14:paraId="61D62F06" w14:textId="77777777" w:rsidR="00E97387" w:rsidRPr="00F929AE" w:rsidRDefault="00E97387" w:rsidP="00C02C80">
            <w:pPr>
              <w:jc w:val="center"/>
              <w:rPr>
                <w:vertAlign w:val="superscript"/>
              </w:rPr>
            </w:pPr>
            <w:r w:rsidRPr="00F929AE">
              <w:t>4048</w:t>
            </w:r>
            <w:r>
              <w:t>.</w:t>
            </w:r>
            <w:r w:rsidRPr="00F929AE">
              <w:t>37</w:t>
            </w:r>
            <w:r w:rsidRPr="00920A5D">
              <w:t>±</w:t>
            </w:r>
            <w:r>
              <w:t>40.92</w:t>
            </w:r>
            <w:r>
              <w:rPr>
                <w:vertAlign w:val="superscript"/>
              </w:rPr>
              <w:t>b</w:t>
            </w:r>
          </w:p>
        </w:tc>
        <w:tc>
          <w:tcPr>
            <w:tcW w:w="1509" w:type="dxa"/>
            <w:tcBorders>
              <w:left w:val="nil"/>
              <w:bottom w:val="nil"/>
              <w:right w:val="nil"/>
            </w:tcBorders>
          </w:tcPr>
          <w:p w14:paraId="70D6E274" w14:textId="77777777" w:rsidR="00E97387" w:rsidRPr="009D3562" w:rsidRDefault="00E97387" w:rsidP="00C02C80">
            <w:pPr>
              <w:jc w:val="center"/>
              <w:rPr>
                <w:vertAlign w:val="superscript"/>
              </w:rPr>
            </w:pPr>
            <w:r>
              <w:t>650.19</w:t>
            </w:r>
            <w:r w:rsidRPr="00920A5D">
              <w:t>±</w:t>
            </w:r>
            <w:r>
              <w:t>10.42</w:t>
            </w:r>
            <w:r>
              <w:rPr>
                <w:vertAlign w:val="superscript"/>
              </w:rPr>
              <w:t>b</w:t>
            </w:r>
          </w:p>
        </w:tc>
      </w:tr>
      <w:tr w:rsidR="00E97387" w:rsidRPr="002E2FC6" w14:paraId="5D224E3B" w14:textId="77777777" w:rsidTr="00C02C80">
        <w:tc>
          <w:tcPr>
            <w:tcW w:w="1473" w:type="dxa"/>
            <w:tcBorders>
              <w:top w:val="nil"/>
              <w:left w:val="nil"/>
              <w:bottom w:val="nil"/>
              <w:right w:val="nil"/>
            </w:tcBorders>
          </w:tcPr>
          <w:p w14:paraId="4EAF2247" w14:textId="77777777" w:rsidR="00E97387" w:rsidRDefault="00E97387" w:rsidP="00C02C80">
            <w:r>
              <w:t>Salinity</w:t>
            </w:r>
          </w:p>
        </w:tc>
        <w:tc>
          <w:tcPr>
            <w:tcW w:w="1546" w:type="dxa"/>
            <w:tcBorders>
              <w:top w:val="nil"/>
              <w:left w:val="nil"/>
              <w:bottom w:val="nil"/>
              <w:right w:val="nil"/>
            </w:tcBorders>
          </w:tcPr>
          <w:p w14:paraId="2FC2CC8B" w14:textId="77777777" w:rsidR="00E97387" w:rsidRPr="002B761C" w:rsidRDefault="00E97387" w:rsidP="00C02C80">
            <w:pPr>
              <w:rPr>
                <w:vertAlign w:val="superscript"/>
              </w:rPr>
            </w:pPr>
            <w:r>
              <w:t xml:space="preserve"> 602.56</w:t>
            </w:r>
            <w:r w:rsidRPr="00920A5D">
              <w:t>±</w:t>
            </w:r>
            <w:r>
              <w:t>0.58</w:t>
            </w:r>
            <w:r>
              <w:rPr>
                <w:vertAlign w:val="superscript"/>
              </w:rPr>
              <w:t>a</w:t>
            </w:r>
          </w:p>
        </w:tc>
        <w:tc>
          <w:tcPr>
            <w:tcW w:w="1529" w:type="dxa"/>
            <w:tcBorders>
              <w:top w:val="nil"/>
              <w:left w:val="nil"/>
              <w:bottom w:val="nil"/>
              <w:right w:val="nil"/>
            </w:tcBorders>
          </w:tcPr>
          <w:p w14:paraId="5F2DC6A9" w14:textId="77777777" w:rsidR="00E97387" w:rsidRPr="000017D8" w:rsidRDefault="00E97387" w:rsidP="00C02C80">
            <w:pPr>
              <w:jc w:val="center"/>
              <w:rPr>
                <w:vertAlign w:val="superscript"/>
              </w:rPr>
            </w:pPr>
            <w:r>
              <w:t>568.02</w:t>
            </w:r>
            <w:r w:rsidRPr="00920A5D">
              <w:t>±</w:t>
            </w:r>
            <w:r>
              <w:t>1.56</w:t>
            </w:r>
            <w:r>
              <w:rPr>
                <w:vertAlign w:val="superscript"/>
              </w:rPr>
              <w:t>a</w:t>
            </w:r>
          </w:p>
        </w:tc>
        <w:tc>
          <w:tcPr>
            <w:tcW w:w="1518" w:type="dxa"/>
            <w:tcBorders>
              <w:top w:val="nil"/>
              <w:left w:val="nil"/>
              <w:bottom w:val="nil"/>
              <w:right w:val="nil"/>
            </w:tcBorders>
          </w:tcPr>
          <w:p w14:paraId="7A2B3D3F" w14:textId="77777777" w:rsidR="00E97387" w:rsidRPr="00101753" w:rsidRDefault="00E97387" w:rsidP="00C02C80">
            <w:pPr>
              <w:jc w:val="center"/>
              <w:rPr>
                <w:vertAlign w:val="superscript"/>
              </w:rPr>
            </w:pPr>
            <w:r>
              <w:t>9.33</w:t>
            </w:r>
            <w:r w:rsidRPr="00920A5D">
              <w:t>±</w:t>
            </w:r>
            <w:r>
              <w:t>2.60</w:t>
            </w:r>
            <w:r>
              <w:rPr>
                <w:vertAlign w:val="superscript"/>
              </w:rPr>
              <w:t>b</w:t>
            </w:r>
          </w:p>
        </w:tc>
        <w:tc>
          <w:tcPr>
            <w:tcW w:w="1506" w:type="dxa"/>
            <w:tcBorders>
              <w:top w:val="nil"/>
              <w:left w:val="nil"/>
              <w:bottom w:val="nil"/>
              <w:right w:val="nil"/>
            </w:tcBorders>
          </w:tcPr>
          <w:p w14:paraId="67D9A3C1" w14:textId="77777777" w:rsidR="00E97387" w:rsidRPr="00787566" w:rsidRDefault="00E97387" w:rsidP="00C02C80">
            <w:pPr>
              <w:jc w:val="center"/>
              <w:rPr>
                <w:vertAlign w:val="superscript"/>
              </w:rPr>
            </w:pPr>
            <w:r>
              <w:t>5.56</w:t>
            </w:r>
            <w:r w:rsidRPr="00920A5D">
              <w:t>±</w:t>
            </w:r>
            <w:r w:rsidRPr="00787566">
              <w:t>1</w:t>
            </w:r>
            <w:r>
              <w:t>.</w:t>
            </w:r>
            <w:r w:rsidRPr="00787566">
              <w:t>1</w:t>
            </w:r>
            <w:r>
              <w:t>8</w:t>
            </w:r>
            <w:r>
              <w:rPr>
                <w:vertAlign w:val="superscript"/>
              </w:rPr>
              <w:t>a</w:t>
            </w:r>
          </w:p>
        </w:tc>
        <w:tc>
          <w:tcPr>
            <w:tcW w:w="1671" w:type="dxa"/>
            <w:tcBorders>
              <w:top w:val="nil"/>
              <w:left w:val="nil"/>
              <w:bottom w:val="nil"/>
              <w:right w:val="nil"/>
            </w:tcBorders>
          </w:tcPr>
          <w:p w14:paraId="236C0559" w14:textId="77777777" w:rsidR="00E97387" w:rsidRPr="00F929AE" w:rsidRDefault="00E97387" w:rsidP="00C02C80">
            <w:pPr>
              <w:jc w:val="center"/>
              <w:rPr>
                <w:vertAlign w:val="superscript"/>
              </w:rPr>
            </w:pPr>
            <w:r>
              <w:t>345.03</w:t>
            </w:r>
            <w:r w:rsidRPr="00920A5D">
              <w:t>±</w:t>
            </w:r>
            <w:r>
              <w:t>10.18</w:t>
            </w:r>
            <w:r>
              <w:rPr>
                <w:vertAlign w:val="superscript"/>
              </w:rPr>
              <w:t>b</w:t>
            </w:r>
          </w:p>
        </w:tc>
        <w:tc>
          <w:tcPr>
            <w:tcW w:w="1514" w:type="dxa"/>
            <w:tcBorders>
              <w:top w:val="nil"/>
              <w:left w:val="nil"/>
              <w:bottom w:val="nil"/>
              <w:right w:val="nil"/>
            </w:tcBorders>
          </w:tcPr>
          <w:p w14:paraId="0215DFD5" w14:textId="77777777" w:rsidR="00E97387" w:rsidRPr="000017D8" w:rsidRDefault="00E97387" w:rsidP="00C02C80">
            <w:pPr>
              <w:jc w:val="center"/>
              <w:rPr>
                <w:vertAlign w:val="superscript"/>
              </w:rPr>
            </w:pPr>
            <w:r>
              <w:t>80.39</w:t>
            </w:r>
            <w:r w:rsidRPr="00920A5D">
              <w:t>±</w:t>
            </w:r>
            <w:r>
              <w:t>4.82</w:t>
            </w:r>
            <w:r>
              <w:rPr>
                <w:vertAlign w:val="superscript"/>
              </w:rPr>
              <w:t>a</w:t>
            </w:r>
          </w:p>
        </w:tc>
        <w:tc>
          <w:tcPr>
            <w:tcW w:w="1626" w:type="dxa"/>
            <w:tcBorders>
              <w:top w:val="nil"/>
              <w:left w:val="nil"/>
              <w:bottom w:val="nil"/>
              <w:right w:val="nil"/>
            </w:tcBorders>
          </w:tcPr>
          <w:p w14:paraId="1C38A035" w14:textId="77777777" w:rsidR="00E97387" w:rsidRPr="00F929AE" w:rsidRDefault="00E97387" w:rsidP="00C02C80">
            <w:pPr>
              <w:jc w:val="center"/>
              <w:rPr>
                <w:vertAlign w:val="superscript"/>
              </w:rPr>
            </w:pPr>
            <w:r w:rsidRPr="00F929AE">
              <w:t>14338</w:t>
            </w:r>
            <w:r>
              <w:t>.</w:t>
            </w:r>
            <w:r w:rsidRPr="00F929AE">
              <w:t>3</w:t>
            </w:r>
            <w:r w:rsidRPr="00920A5D">
              <w:t>±</w:t>
            </w:r>
            <w:r>
              <w:t>99.75</w:t>
            </w:r>
            <w:r>
              <w:rPr>
                <w:vertAlign w:val="superscript"/>
              </w:rPr>
              <w:t>a</w:t>
            </w:r>
          </w:p>
        </w:tc>
        <w:tc>
          <w:tcPr>
            <w:tcW w:w="1509" w:type="dxa"/>
            <w:tcBorders>
              <w:top w:val="nil"/>
              <w:left w:val="nil"/>
              <w:bottom w:val="nil"/>
              <w:right w:val="nil"/>
            </w:tcBorders>
          </w:tcPr>
          <w:p w14:paraId="4366E314" w14:textId="77777777" w:rsidR="00E97387" w:rsidRPr="009D3562" w:rsidRDefault="00E97387" w:rsidP="00C02C80">
            <w:pPr>
              <w:jc w:val="center"/>
              <w:rPr>
                <w:vertAlign w:val="superscript"/>
              </w:rPr>
            </w:pPr>
            <w:r w:rsidRPr="000017D8">
              <w:t>1797</w:t>
            </w:r>
            <w:r>
              <w:t>.</w:t>
            </w:r>
            <w:r w:rsidRPr="000017D8">
              <w:t>71</w:t>
            </w:r>
            <w:r w:rsidRPr="00920A5D">
              <w:t>±</w:t>
            </w:r>
            <w:r>
              <w:t>13.82</w:t>
            </w:r>
            <w:r>
              <w:rPr>
                <w:vertAlign w:val="superscript"/>
              </w:rPr>
              <w:t>a</w:t>
            </w:r>
          </w:p>
        </w:tc>
      </w:tr>
      <w:tr w:rsidR="00E97387" w14:paraId="3B909B92" w14:textId="77777777" w:rsidTr="00C02C80">
        <w:tc>
          <w:tcPr>
            <w:tcW w:w="1473" w:type="dxa"/>
            <w:tcBorders>
              <w:top w:val="nil"/>
              <w:left w:val="nil"/>
              <w:bottom w:val="nil"/>
              <w:right w:val="nil"/>
            </w:tcBorders>
          </w:tcPr>
          <w:p w14:paraId="082010B8" w14:textId="77777777" w:rsidR="00E97387" w:rsidRDefault="00E97387" w:rsidP="00C02C80">
            <w:r>
              <w:t>P-value</w:t>
            </w:r>
          </w:p>
        </w:tc>
        <w:tc>
          <w:tcPr>
            <w:tcW w:w="1546" w:type="dxa"/>
            <w:tcBorders>
              <w:top w:val="nil"/>
              <w:left w:val="nil"/>
              <w:bottom w:val="nil"/>
              <w:right w:val="nil"/>
            </w:tcBorders>
          </w:tcPr>
          <w:p w14:paraId="512E09CE" w14:textId="77777777" w:rsidR="00E97387" w:rsidRPr="00DA44DD" w:rsidRDefault="00E97387" w:rsidP="00C02C80">
            <w:pPr>
              <w:jc w:val="center"/>
            </w:pPr>
            <w:r>
              <w:t>***</w:t>
            </w:r>
            <w:r w:rsidRPr="007F1B5F">
              <w:rPr>
                <w:lang w:val="en-GB"/>
              </w:rPr>
              <w:t>§</w:t>
            </w:r>
          </w:p>
        </w:tc>
        <w:tc>
          <w:tcPr>
            <w:tcW w:w="1529" w:type="dxa"/>
            <w:tcBorders>
              <w:top w:val="nil"/>
              <w:left w:val="nil"/>
              <w:bottom w:val="nil"/>
              <w:right w:val="nil"/>
            </w:tcBorders>
          </w:tcPr>
          <w:p w14:paraId="6E3B0F0E" w14:textId="77777777" w:rsidR="00E97387" w:rsidRPr="00DA44DD" w:rsidRDefault="00E97387" w:rsidP="00C02C80">
            <w:pPr>
              <w:jc w:val="center"/>
            </w:pPr>
            <w:r>
              <w:t>***</w:t>
            </w:r>
          </w:p>
        </w:tc>
        <w:tc>
          <w:tcPr>
            <w:tcW w:w="1518" w:type="dxa"/>
            <w:tcBorders>
              <w:top w:val="nil"/>
              <w:left w:val="nil"/>
              <w:bottom w:val="nil"/>
              <w:right w:val="nil"/>
            </w:tcBorders>
          </w:tcPr>
          <w:p w14:paraId="6ABD8983" w14:textId="77777777" w:rsidR="00E97387" w:rsidRPr="00101753" w:rsidRDefault="00E97387" w:rsidP="00C02C80">
            <w:pPr>
              <w:jc w:val="center"/>
            </w:pPr>
            <w:r>
              <w:t>**</w:t>
            </w:r>
          </w:p>
        </w:tc>
        <w:tc>
          <w:tcPr>
            <w:tcW w:w="1506" w:type="dxa"/>
            <w:tcBorders>
              <w:top w:val="nil"/>
              <w:left w:val="nil"/>
              <w:bottom w:val="nil"/>
              <w:right w:val="nil"/>
            </w:tcBorders>
          </w:tcPr>
          <w:p w14:paraId="0451697E" w14:textId="77777777" w:rsidR="00E97387" w:rsidRPr="00101753" w:rsidRDefault="00E97387" w:rsidP="00C02C80">
            <w:pPr>
              <w:jc w:val="center"/>
            </w:pPr>
            <w:r>
              <w:t>*</w:t>
            </w:r>
          </w:p>
        </w:tc>
        <w:tc>
          <w:tcPr>
            <w:tcW w:w="1671" w:type="dxa"/>
            <w:tcBorders>
              <w:top w:val="nil"/>
              <w:left w:val="nil"/>
              <w:bottom w:val="nil"/>
              <w:right w:val="nil"/>
            </w:tcBorders>
          </w:tcPr>
          <w:p w14:paraId="4248C6C3" w14:textId="77777777" w:rsidR="00E97387" w:rsidRPr="00DA44DD" w:rsidRDefault="00E97387" w:rsidP="00C02C80">
            <w:pPr>
              <w:jc w:val="center"/>
            </w:pPr>
            <w:r>
              <w:t>***</w:t>
            </w:r>
          </w:p>
        </w:tc>
        <w:tc>
          <w:tcPr>
            <w:tcW w:w="1514" w:type="dxa"/>
            <w:tcBorders>
              <w:top w:val="nil"/>
              <w:left w:val="nil"/>
              <w:bottom w:val="nil"/>
              <w:right w:val="nil"/>
            </w:tcBorders>
          </w:tcPr>
          <w:p w14:paraId="7CFE0552" w14:textId="77777777" w:rsidR="00E97387" w:rsidRPr="00DA44DD" w:rsidRDefault="00E97387" w:rsidP="00C02C80">
            <w:pPr>
              <w:jc w:val="center"/>
            </w:pPr>
            <w:r>
              <w:t>NS</w:t>
            </w:r>
          </w:p>
        </w:tc>
        <w:tc>
          <w:tcPr>
            <w:tcW w:w="1626" w:type="dxa"/>
            <w:tcBorders>
              <w:top w:val="nil"/>
              <w:left w:val="nil"/>
              <w:bottom w:val="nil"/>
              <w:right w:val="nil"/>
            </w:tcBorders>
          </w:tcPr>
          <w:p w14:paraId="381F1CDE" w14:textId="77777777" w:rsidR="00E97387" w:rsidRPr="00DA44DD" w:rsidRDefault="00E97387" w:rsidP="00C02C80">
            <w:pPr>
              <w:jc w:val="center"/>
            </w:pPr>
            <w:r>
              <w:t>***</w:t>
            </w:r>
          </w:p>
        </w:tc>
        <w:tc>
          <w:tcPr>
            <w:tcW w:w="1509" w:type="dxa"/>
            <w:tcBorders>
              <w:top w:val="nil"/>
              <w:left w:val="nil"/>
              <w:bottom w:val="nil"/>
              <w:right w:val="nil"/>
            </w:tcBorders>
          </w:tcPr>
          <w:p w14:paraId="1CA330B7" w14:textId="77777777" w:rsidR="00E97387" w:rsidRPr="00DA44DD" w:rsidRDefault="00E97387" w:rsidP="00C02C80">
            <w:pPr>
              <w:jc w:val="center"/>
            </w:pPr>
            <w:r>
              <w:t>***</w:t>
            </w:r>
          </w:p>
        </w:tc>
      </w:tr>
      <w:tr w:rsidR="00E97387" w14:paraId="4A694A2C" w14:textId="77777777" w:rsidTr="00C02C80">
        <w:tc>
          <w:tcPr>
            <w:tcW w:w="1473" w:type="dxa"/>
            <w:tcBorders>
              <w:top w:val="nil"/>
              <w:left w:val="nil"/>
              <w:bottom w:val="nil"/>
              <w:right w:val="nil"/>
            </w:tcBorders>
          </w:tcPr>
          <w:p w14:paraId="35AD07A2" w14:textId="77777777" w:rsidR="00E97387" w:rsidRDefault="00E97387" w:rsidP="00C02C80"/>
        </w:tc>
        <w:tc>
          <w:tcPr>
            <w:tcW w:w="1546" w:type="dxa"/>
            <w:tcBorders>
              <w:top w:val="nil"/>
              <w:left w:val="nil"/>
              <w:bottom w:val="nil"/>
              <w:right w:val="nil"/>
            </w:tcBorders>
          </w:tcPr>
          <w:p w14:paraId="4A0A924A" w14:textId="77777777" w:rsidR="00E97387" w:rsidRDefault="00E97387" w:rsidP="00C02C80">
            <w:pPr>
              <w:jc w:val="center"/>
            </w:pPr>
          </w:p>
        </w:tc>
        <w:tc>
          <w:tcPr>
            <w:tcW w:w="1529" w:type="dxa"/>
            <w:tcBorders>
              <w:top w:val="nil"/>
              <w:left w:val="nil"/>
              <w:bottom w:val="nil"/>
              <w:right w:val="nil"/>
            </w:tcBorders>
          </w:tcPr>
          <w:p w14:paraId="129B02D1" w14:textId="77777777" w:rsidR="00E97387" w:rsidRDefault="00E97387" w:rsidP="00C02C80">
            <w:pPr>
              <w:jc w:val="center"/>
            </w:pPr>
          </w:p>
        </w:tc>
        <w:tc>
          <w:tcPr>
            <w:tcW w:w="1518" w:type="dxa"/>
            <w:tcBorders>
              <w:top w:val="nil"/>
              <w:left w:val="nil"/>
              <w:bottom w:val="nil"/>
              <w:right w:val="nil"/>
            </w:tcBorders>
          </w:tcPr>
          <w:p w14:paraId="5FC7CEE9" w14:textId="77777777" w:rsidR="00E97387" w:rsidRDefault="00E97387" w:rsidP="00C02C80">
            <w:pPr>
              <w:jc w:val="center"/>
            </w:pPr>
          </w:p>
        </w:tc>
        <w:tc>
          <w:tcPr>
            <w:tcW w:w="1506" w:type="dxa"/>
            <w:tcBorders>
              <w:top w:val="nil"/>
              <w:left w:val="nil"/>
              <w:bottom w:val="nil"/>
              <w:right w:val="nil"/>
            </w:tcBorders>
          </w:tcPr>
          <w:p w14:paraId="0F59A953" w14:textId="77777777" w:rsidR="00E97387" w:rsidRPr="00101753" w:rsidRDefault="00E97387" w:rsidP="00C02C80">
            <w:pPr>
              <w:jc w:val="center"/>
            </w:pPr>
          </w:p>
        </w:tc>
        <w:tc>
          <w:tcPr>
            <w:tcW w:w="1671" w:type="dxa"/>
            <w:tcBorders>
              <w:top w:val="nil"/>
              <w:left w:val="nil"/>
              <w:bottom w:val="nil"/>
              <w:right w:val="nil"/>
            </w:tcBorders>
          </w:tcPr>
          <w:p w14:paraId="7DC17F1C" w14:textId="77777777" w:rsidR="00E97387" w:rsidRDefault="00E97387" w:rsidP="00C02C80">
            <w:pPr>
              <w:jc w:val="center"/>
            </w:pPr>
          </w:p>
        </w:tc>
        <w:tc>
          <w:tcPr>
            <w:tcW w:w="1514" w:type="dxa"/>
            <w:tcBorders>
              <w:top w:val="nil"/>
              <w:left w:val="nil"/>
              <w:bottom w:val="nil"/>
              <w:right w:val="nil"/>
            </w:tcBorders>
          </w:tcPr>
          <w:p w14:paraId="03364A97" w14:textId="77777777" w:rsidR="00E97387" w:rsidRPr="00101753" w:rsidRDefault="00E97387" w:rsidP="00C02C80">
            <w:pPr>
              <w:jc w:val="center"/>
            </w:pPr>
          </w:p>
        </w:tc>
        <w:tc>
          <w:tcPr>
            <w:tcW w:w="1626" w:type="dxa"/>
            <w:tcBorders>
              <w:top w:val="nil"/>
              <w:left w:val="nil"/>
              <w:bottom w:val="nil"/>
              <w:right w:val="nil"/>
            </w:tcBorders>
          </w:tcPr>
          <w:p w14:paraId="54D8283E" w14:textId="77777777" w:rsidR="00E97387" w:rsidRDefault="00E97387" w:rsidP="00C02C80">
            <w:pPr>
              <w:jc w:val="center"/>
            </w:pPr>
          </w:p>
        </w:tc>
        <w:tc>
          <w:tcPr>
            <w:tcW w:w="1509" w:type="dxa"/>
            <w:tcBorders>
              <w:top w:val="nil"/>
              <w:left w:val="nil"/>
              <w:bottom w:val="nil"/>
              <w:right w:val="nil"/>
            </w:tcBorders>
          </w:tcPr>
          <w:p w14:paraId="038CC4DF" w14:textId="77777777" w:rsidR="00E97387" w:rsidRPr="00101753" w:rsidRDefault="00E97387" w:rsidP="00C02C80">
            <w:pPr>
              <w:jc w:val="center"/>
            </w:pPr>
          </w:p>
        </w:tc>
      </w:tr>
      <w:tr w:rsidR="00E97387" w14:paraId="39F518C2" w14:textId="77777777" w:rsidTr="00C02C80">
        <w:tc>
          <w:tcPr>
            <w:tcW w:w="1473" w:type="dxa"/>
            <w:tcBorders>
              <w:top w:val="nil"/>
              <w:left w:val="nil"/>
              <w:bottom w:val="nil"/>
              <w:right w:val="nil"/>
            </w:tcBorders>
          </w:tcPr>
          <w:p w14:paraId="444F4570" w14:textId="77777777" w:rsidR="00E97387" w:rsidRDefault="00E97387" w:rsidP="00C02C80">
            <w:r>
              <w:t>Grand Brix</w:t>
            </w:r>
          </w:p>
        </w:tc>
        <w:tc>
          <w:tcPr>
            <w:tcW w:w="3075" w:type="dxa"/>
            <w:gridSpan w:val="2"/>
            <w:vMerge w:val="restart"/>
            <w:tcBorders>
              <w:top w:val="nil"/>
              <w:left w:val="nil"/>
              <w:bottom w:val="nil"/>
              <w:right w:val="nil"/>
            </w:tcBorders>
          </w:tcPr>
          <w:p w14:paraId="3027B028" w14:textId="77777777" w:rsidR="00E97387" w:rsidRPr="00561F2F" w:rsidRDefault="00E97387" w:rsidP="00C02C80">
            <w:pPr>
              <w:jc w:val="center"/>
              <w:rPr>
                <w:vertAlign w:val="superscript"/>
              </w:rPr>
            </w:pPr>
            <w:r>
              <w:t>485.92</w:t>
            </w:r>
            <w:r>
              <w:rPr>
                <w:vertAlign w:val="superscript"/>
              </w:rPr>
              <w:t>a</w:t>
            </w:r>
            <w:r w:rsidRPr="007F1B5F">
              <w:rPr>
                <w:lang w:val="en-GB"/>
              </w:rPr>
              <w:t>‡</w:t>
            </w:r>
          </w:p>
          <w:p w14:paraId="7D9DB988" w14:textId="77777777" w:rsidR="00E97387" w:rsidRPr="00561F2F" w:rsidRDefault="00E97387" w:rsidP="00C02C80">
            <w:pPr>
              <w:jc w:val="center"/>
              <w:rPr>
                <w:vertAlign w:val="superscript"/>
              </w:rPr>
            </w:pPr>
            <w:r>
              <w:t>537.88</w:t>
            </w:r>
            <w:r>
              <w:rPr>
                <w:vertAlign w:val="superscript"/>
              </w:rPr>
              <w:t>a</w:t>
            </w:r>
          </w:p>
          <w:p w14:paraId="26E38FCB" w14:textId="77777777" w:rsidR="00E97387" w:rsidRDefault="00E97387" w:rsidP="00C02C80">
            <w:pPr>
              <w:jc w:val="center"/>
            </w:pPr>
            <w:r>
              <w:t>NS</w:t>
            </w:r>
          </w:p>
          <w:p w14:paraId="03101C1E" w14:textId="77777777" w:rsidR="00E97387" w:rsidRDefault="00E97387" w:rsidP="00C02C80">
            <w:pPr>
              <w:jc w:val="center"/>
            </w:pPr>
            <w:r>
              <w:t>66.03</w:t>
            </w:r>
          </w:p>
        </w:tc>
        <w:tc>
          <w:tcPr>
            <w:tcW w:w="3024" w:type="dxa"/>
            <w:gridSpan w:val="2"/>
            <w:vMerge w:val="restart"/>
            <w:tcBorders>
              <w:top w:val="nil"/>
              <w:left w:val="nil"/>
              <w:bottom w:val="nil"/>
              <w:right w:val="nil"/>
            </w:tcBorders>
          </w:tcPr>
          <w:p w14:paraId="1C13554F" w14:textId="77777777" w:rsidR="00E97387" w:rsidRPr="00BE224C" w:rsidRDefault="00E97387" w:rsidP="00C02C80">
            <w:pPr>
              <w:jc w:val="center"/>
            </w:pPr>
            <w:r>
              <w:t>13.94</w:t>
            </w:r>
            <w:r>
              <w:rPr>
                <w:vertAlign w:val="superscript"/>
              </w:rPr>
              <w:t>a</w:t>
            </w:r>
          </w:p>
          <w:p w14:paraId="2CBC8A33" w14:textId="77777777" w:rsidR="00E97387" w:rsidRPr="00561F2F" w:rsidRDefault="00E97387" w:rsidP="00C02C80">
            <w:pPr>
              <w:jc w:val="center"/>
              <w:rPr>
                <w:vertAlign w:val="superscript"/>
              </w:rPr>
            </w:pPr>
            <w:r>
              <w:t>4.63</w:t>
            </w:r>
            <w:r>
              <w:rPr>
                <w:vertAlign w:val="superscript"/>
              </w:rPr>
              <w:t>b</w:t>
            </w:r>
          </w:p>
          <w:p w14:paraId="580E907B" w14:textId="77777777" w:rsidR="00E97387" w:rsidRDefault="00E97387" w:rsidP="00C02C80">
            <w:pPr>
              <w:jc w:val="center"/>
            </w:pPr>
            <w:r>
              <w:t>**</w:t>
            </w:r>
          </w:p>
          <w:p w14:paraId="41C9A33D" w14:textId="77777777" w:rsidR="00E97387" w:rsidRPr="004F7C16" w:rsidRDefault="00E97387" w:rsidP="00C02C80">
            <w:pPr>
              <w:jc w:val="center"/>
            </w:pPr>
            <w:r>
              <w:t>5.96</w:t>
            </w:r>
          </w:p>
        </w:tc>
        <w:tc>
          <w:tcPr>
            <w:tcW w:w="3185" w:type="dxa"/>
            <w:gridSpan w:val="2"/>
            <w:vMerge w:val="restart"/>
            <w:tcBorders>
              <w:top w:val="nil"/>
              <w:left w:val="nil"/>
              <w:bottom w:val="nil"/>
              <w:right w:val="nil"/>
            </w:tcBorders>
          </w:tcPr>
          <w:p w14:paraId="6F882BDB" w14:textId="77777777" w:rsidR="00E97387" w:rsidRPr="00B06210" w:rsidRDefault="00E97387" w:rsidP="00C02C80">
            <w:pPr>
              <w:jc w:val="center"/>
              <w:rPr>
                <w:vertAlign w:val="superscript"/>
              </w:rPr>
            </w:pPr>
            <w:r>
              <w:t>462.58</w:t>
            </w:r>
            <w:r>
              <w:rPr>
                <w:vertAlign w:val="superscript"/>
              </w:rPr>
              <w:t>a</w:t>
            </w:r>
          </w:p>
          <w:p w14:paraId="56076273" w14:textId="77777777" w:rsidR="00E97387" w:rsidRPr="00B06210" w:rsidRDefault="00E97387" w:rsidP="00C02C80">
            <w:pPr>
              <w:jc w:val="center"/>
              <w:rPr>
                <w:vertAlign w:val="superscript"/>
              </w:rPr>
            </w:pPr>
            <w:r>
              <w:t>75.63</w:t>
            </w:r>
            <w:r>
              <w:rPr>
                <w:vertAlign w:val="superscript"/>
              </w:rPr>
              <w:t>b</w:t>
            </w:r>
          </w:p>
          <w:p w14:paraId="7458B336" w14:textId="77777777" w:rsidR="00E97387" w:rsidRDefault="00E97387" w:rsidP="00C02C80">
            <w:pPr>
              <w:jc w:val="center"/>
            </w:pPr>
            <w:r>
              <w:t>***</w:t>
            </w:r>
          </w:p>
          <w:p w14:paraId="09E00BDE" w14:textId="77777777" w:rsidR="00E97387" w:rsidRPr="004F7C16" w:rsidRDefault="00E97387" w:rsidP="00C02C80">
            <w:pPr>
              <w:jc w:val="center"/>
            </w:pPr>
            <w:r>
              <w:t>94.73</w:t>
            </w:r>
          </w:p>
        </w:tc>
        <w:tc>
          <w:tcPr>
            <w:tcW w:w="3135" w:type="dxa"/>
            <w:gridSpan w:val="2"/>
            <w:vMerge w:val="restart"/>
            <w:tcBorders>
              <w:top w:val="nil"/>
              <w:left w:val="nil"/>
              <w:bottom w:val="nil"/>
              <w:right w:val="nil"/>
            </w:tcBorders>
          </w:tcPr>
          <w:p w14:paraId="7333F0D4" w14:textId="77777777" w:rsidR="00E97387" w:rsidRPr="00B06210" w:rsidRDefault="00E97387" w:rsidP="00C02C80">
            <w:pPr>
              <w:jc w:val="center"/>
              <w:rPr>
                <w:vertAlign w:val="superscript"/>
              </w:rPr>
            </w:pPr>
            <w:r w:rsidRPr="00B06210">
              <w:t>9193</w:t>
            </w:r>
            <w:r>
              <w:t>.</w:t>
            </w:r>
            <w:r w:rsidRPr="00B06210">
              <w:t>35</w:t>
            </w:r>
            <w:r>
              <w:rPr>
                <w:vertAlign w:val="superscript"/>
              </w:rPr>
              <w:t>a</w:t>
            </w:r>
          </w:p>
          <w:p w14:paraId="2AAAE329" w14:textId="77777777" w:rsidR="00E97387" w:rsidRPr="00B06210" w:rsidRDefault="00E97387" w:rsidP="00C02C80">
            <w:pPr>
              <w:jc w:val="center"/>
              <w:rPr>
                <w:vertAlign w:val="superscript"/>
              </w:rPr>
            </w:pPr>
            <w:r w:rsidRPr="00B06210">
              <w:t>1223</w:t>
            </w:r>
            <w:r>
              <w:t>.</w:t>
            </w:r>
            <w:r w:rsidRPr="00B06210">
              <w:t>95</w:t>
            </w:r>
            <w:r>
              <w:rPr>
                <w:vertAlign w:val="superscript"/>
              </w:rPr>
              <w:t>b</w:t>
            </w:r>
          </w:p>
          <w:p w14:paraId="78D97654" w14:textId="77777777" w:rsidR="00E97387" w:rsidRDefault="00E97387" w:rsidP="00C02C80">
            <w:pPr>
              <w:jc w:val="center"/>
            </w:pPr>
            <w:r>
              <w:t>***</w:t>
            </w:r>
          </w:p>
          <w:p w14:paraId="499D7DEF" w14:textId="77777777" w:rsidR="00E97387" w:rsidRPr="004F7C16" w:rsidRDefault="00E97387" w:rsidP="00C02C80">
            <w:pPr>
              <w:jc w:val="center"/>
            </w:pPr>
            <w:r w:rsidRPr="00B06210">
              <w:t>3448</w:t>
            </w:r>
            <w:r>
              <w:t>.</w:t>
            </w:r>
            <w:r w:rsidRPr="00B06210">
              <w:t>91</w:t>
            </w:r>
          </w:p>
        </w:tc>
      </w:tr>
      <w:tr w:rsidR="00E97387" w14:paraId="5593FE38" w14:textId="77777777" w:rsidTr="00C02C80">
        <w:tc>
          <w:tcPr>
            <w:tcW w:w="1473" w:type="dxa"/>
            <w:tcBorders>
              <w:top w:val="nil"/>
              <w:left w:val="nil"/>
              <w:bottom w:val="nil"/>
              <w:right w:val="nil"/>
            </w:tcBorders>
          </w:tcPr>
          <w:p w14:paraId="0AC3A9A4" w14:textId="77777777" w:rsidR="00E97387" w:rsidRDefault="00E97387" w:rsidP="00C02C80">
            <w:r>
              <w:t>Marmande</w:t>
            </w:r>
          </w:p>
        </w:tc>
        <w:tc>
          <w:tcPr>
            <w:tcW w:w="3075" w:type="dxa"/>
            <w:gridSpan w:val="2"/>
            <w:vMerge/>
            <w:tcBorders>
              <w:top w:val="nil"/>
              <w:left w:val="nil"/>
              <w:bottom w:val="nil"/>
              <w:right w:val="nil"/>
            </w:tcBorders>
          </w:tcPr>
          <w:p w14:paraId="0F4F9FEB" w14:textId="77777777" w:rsidR="00E97387" w:rsidRDefault="00E97387" w:rsidP="00C02C80">
            <w:pPr>
              <w:jc w:val="center"/>
            </w:pPr>
          </w:p>
        </w:tc>
        <w:tc>
          <w:tcPr>
            <w:tcW w:w="3024" w:type="dxa"/>
            <w:gridSpan w:val="2"/>
            <w:vMerge/>
            <w:tcBorders>
              <w:top w:val="nil"/>
              <w:left w:val="nil"/>
              <w:bottom w:val="nil"/>
              <w:right w:val="nil"/>
            </w:tcBorders>
          </w:tcPr>
          <w:p w14:paraId="7CB6BBB5" w14:textId="77777777" w:rsidR="00E97387" w:rsidRPr="004F7C16" w:rsidRDefault="00E97387" w:rsidP="00C02C80">
            <w:pPr>
              <w:jc w:val="center"/>
            </w:pPr>
          </w:p>
        </w:tc>
        <w:tc>
          <w:tcPr>
            <w:tcW w:w="3185" w:type="dxa"/>
            <w:gridSpan w:val="2"/>
            <w:vMerge/>
            <w:tcBorders>
              <w:top w:val="nil"/>
              <w:left w:val="nil"/>
              <w:bottom w:val="nil"/>
              <w:right w:val="nil"/>
            </w:tcBorders>
          </w:tcPr>
          <w:p w14:paraId="094BF795" w14:textId="77777777" w:rsidR="00E97387" w:rsidRPr="004F7C16" w:rsidRDefault="00E97387" w:rsidP="00C02C80">
            <w:pPr>
              <w:jc w:val="center"/>
            </w:pPr>
          </w:p>
        </w:tc>
        <w:tc>
          <w:tcPr>
            <w:tcW w:w="3135" w:type="dxa"/>
            <w:gridSpan w:val="2"/>
            <w:vMerge/>
            <w:tcBorders>
              <w:top w:val="nil"/>
              <w:left w:val="nil"/>
              <w:bottom w:val="nil"/>
              <w:right w:val="nil"/>
            </w:tcBorders>
          </w:tcPr>
          <w:p w14:paraId="4265C71A" w14:textId="77777777" w:rsidR="00E97387" w:rsidRPr="004F7C16" w:rsidRDefault="00E97387" w:rsidP="00C02C80">
            <w:pPr>
              <w:jc w:val="center"/>
            </w:pPr>
          </w:p>
        </w:tc>
      </w:tr>
      <w:tr w:rsidR="00E97387" w14:paraId="6B89403F" w14:textId="77777777" w:rsidTr="00C02C80">
        <w:tc>
          <w:tcPr>
            <w:tcW w:w="1473" w:type="dxa"/>
            <w:tcBorders>
              <w:top w:val="nil"/>
              <w:left w:val="nil"/>
              <w:bottom w:val="nil"/>
              <w:right w:val="nil"/>
            </w:tcBorders>
          </w:tcPr>
          <w:p w14:paraId="298C9904" w14:textId="77777777" w:rsidR="00E97387" w:rsidRDefault="00E97387" w:rsidP="00C02C80">
            <w:r>
              <w:t>P-value</w:t>
            </w:r>
          </w:p>
        </w:tc>
        <w:tc>
          <w:tcPr>
            <w:tcW w:w="3075" w:type="dxa"/>
            <w:gridSpan w:val="2"/>
            <w:vMerge/>
            <w:tcBorders>
              <w:top w:val="nil"/>
              <w:left w:val="nil"/>
              <w:bottom w:val="nil"/>
              <w:right w:val="nil"/>
            </w:tcBorders>
          </w:tcPr>
          <w:p w14:paraId="11D6ECCC" w14:textId="77777777" w:rsidR="00E97387" w:rsidRDefault="00E97387" w:rsidP="00C02C80">
            <w:pPr>
              <w:jc w:val="center"/>
            </w:pPr>
          </w:p>
        </w:tc>
        <w:tc>
          <w:tcPr>
            <w:tcW w:w="3024" w:type="dxa"/>
            <w:gridSpan w:val="2"/>
            <w:vMerge/>
            <w:tcBorders>
              <w:top w:val="nil"/>
              <w:left w:val="nil"/>
              <w:bottom w:val="nil"/>
              <w:right w:val="nil"/>
            </w:tcBorders>
          </w:tcPr>
          <w:p w14:paraId="7D470661" w14:textId="77777777" w:rsidR="00E97387" w:rsidRPr="004F7C16" w:rsidRDefault="00E97387" w:rsidP="00C02C80">
            <w:pPr>
              <w:jc w:val="center"/>
            </w:pPr>
          </w:p>
        </w:tc>
        <w:tc>
          <w:tcPr>
            <w:tcW w:w="3185" w:type="dxa"/>
            <w:gridSpan w:val="2"/>
            <w:vMerge/>
            <w:tcBorders>
              <w:top w:val="nil"/>
              <w:left w:val="nil"/>
              <w:bottom w:val="nil"/>
              <w:right w:val="nil"/>
            </w:tcBorders>
          </w:tcPr>
          <w:p w14:paraId="28CCA0E4" w14:textId="77777777" w:rsidR="00E97387" w:rsidRPr="004F7C16" w:rsidRDefault="00E97387" w:rsidP="00C02C80">
            <w:pPr>
              <w:jc w:val="center"/>
            </w:pPr>
          </w:p>
        </w:tc>
        <w:tc>
          <w:tcPr>
            <w:tcW w:w="3135" w:type="dxa"/>
            <w:gridSpan w:val="2"/>
            <w:vMerge/>
            <w:tcBorders>
              <w:top w:val="nil"/>
              <w:left w:val="nil"/>
              <w:bottom w:val="nil"/>
              <w:right w:val="nil"/>
            </w:tcBorders>
          </w:tcPr>
          <w:p w14:paraId="4D4502CD" w14:textId="77777777" w:rsidR="00E97387" w:rsidRPr="004F7C16" w:rsidRDefault="00E97387" w:rsidP="00C02C80">
            <w:pPr>
              <w:jc w:val="center"/>
            </w:pPr>
          </w:p>
        </w:tc>
      </w:tr>
      <w:tr w:rsidR="00E97387" w14:paraId="3E607A8F" w14:textId="77777777" w:rsidTr="00C02C80">
        <w:tc>
          <w:tcPr>
            <w:tcW w:w="1473" w:type="dxa"/>
            <w:tcBorders>
              <w:top w:val="nil"/>
              <w:left w:val="nil"/>
              <w:bottom w:val="nil"/>
              <w:right w:val="nil"/>
            </w:tcBorders>
          </w:tcPr>
          <w:p w14:paraId="0B729F8F" w14:textId="77777777" w:rsidR="00E97387" w:rsidRPr="00760990" w:rsidRDefault="00E97387" w:rsidP="00C02C80">
            <w:pPr>
              <w:rPr>
                <w:vertAlign w:val="subscript"/>
              </w:rPr>
            </w:pPr>
            <w:r>
              <w:t>LSD</w:t>
            </w:r>
            <w:r>
              <w:rPr>
                <w:vertAlign w:val="subscript"/>
              </w:rPr>
              <w:t>0.05</w:t>
            </w:r>
          </w:p>
        </w:tc>
        <w:tc>
          <w:tcPr>
            <w:tcW w:w="3075" w:type="dxa"/>
            <w:gridSpan w:val="2"/>
            <w:vMerge/>
            <w:tcBorders>
              <w:top w:val="nil"/>
              <w:left w:val="nil"/>
              <w:bottom w:val="nil"/>
              <w:right w:val="nil"/>
            </w:tcBorders>
          </w:tcPr>
          <w:p w14:paraId="475FEF5D" w14:textId="77777777" w:rsidR="00E97387" w:rsidRDefault="00E97387" w:rsidP="00C02C80">
            <w:pPr>
              <w:jc w:val="center"/>
            </w:pPr>
          </w:p>
        </w:tc>
        <w:tc>
          <w:tcPr>
            <w:tcW w:w="3024" w:type="dxa"/>
            <w:gridSpan w:val="2"/>
            <w:vMerge/>
            <w:tcBorders>
              <w:top w:val="nil"/>
              <w:left w:val="nil"/>
              <w:bottom w:val="nil"/>
              <w:right w:val="nil"/>
            </w:tcBorders>
          </w:tcPr>
          <w:p w14:paraId="466EA863" w14:textId="77777777" w:rsidR="00E97387" w:rsidRPr="004F7C16" w:rsidRDefault="00E97387" w:rsidP="00C02C80">
            <w:pPr>
              <w:jc w:val="center"/>
            </w:pPr>
          </w:p>
        </w:tc>
        <w:tc>
          <w:tcPr>
            <w:tcW w:w="3185" w:type="dxa"/>
            <w:gridSpan w:val="2"/>
            <w:vMerge/>
            <w:tcBorders>
              <w:top w:val="nil"/>
              <w:left w:val="nil"/>
              <w:bottom w:val="nil"/>
              <w:right w:val="nil"/>
            </w:tcBorders>
          </w:tcPr>
          <w:p w14:paraId="1E3EC37F" w14:textId="77777777" w:rsidR="00E97387" w:rsidRPr="004F7C16" w:rsidRDefault="00E97387" w:rsidP="00C02C80">
            <w:pPr>
              <w:jc w:val="center"/>
            </w:pPr>
          </w:p>
        </w:tc>
        <w:tc>
          <w:tcPr>
            <w:tcW w:w="3135" w:type="dxa"/>
            <w:gridSpan w:val="2"/>
            <w:vMerge/>
            <w:tcBorders>
              <w:top w:val="nil"/>
              <w:left w:val="nil"/>
              <w:bottom w:val="nil"/>
              <w:right w:val="nil"/>
            </w:tcBorders>
          </w:tcPr>
          <w:p w14:paraId="68DE9755" w14:textId="77777777" w:rsidR="00E97387" w:rsidRPr="004F7C16" w:rsidRDefault="00E97387" w:rsidP="00C02C80">
            <w:pPr>
              <w:jc w:val="center"/>
            </w:pPr>
          </w:p>
        </w:tc>
      </w:tr>
    </w:tbl>
    <w:p w14:paraId="164AA242" w14:textId="77777777" w:rsidR="00E97387" w:rsidRDefault="00E97387" w:rsidP="00E97387">
      <w:pPr>
        <w:pStyle w:val="Sinespaciado"/>
        <w:jc w:val="both"/>
        <w:rPr>
          <w:lang w:val="en-GB"/>
        </w:rPr>
      </w:pPr>
      <w:r w:rsidRPr="007F1B5F">
        <w:rPr>
          <w:lang w:val="en-GB"/>
        </w:rPr>
        <w:t>†</w:t>
      </w:r>
      <w:r w:rsidRPr="00D92C1D">
        <w:rPr>
          <w:lang w:val="en-GB"/>
        </w:rPr>
        <w:t>Valu</w:t>
      </w:r>
      <w:r>
        <w:rPr>
          <w:lang w:val="en-GB"/>
        </w:rPr>
        <w:t xml:space="preserve">es are mean ± standard error (n= </w:t>
      </w:r>
      <w:r w:rsidRPr="00D92C1D">
        <w:rPr>
          <w:lang w:val="en-GB"/>
        </w:rPr>
        <w:t>9), the differences between means were compared with the minimum significant difference of Fisher test (LSD; P= 0.05).</w:t>
      </w:r>
    </w:p>
    <w:p w14:paraId="483F7D71" w14:textId="77777777" w:rsidR="00E97387" w:rsidRDefault="00E97387" w:rsidP="00E97387">
      <w:pPr>
        <w:pStyle w:val="Sinespaciado"/>
        <w:jc w:val="both"/>
        <w:rPr>
          <w:lang w:val="en-GB"/>
        </w:rPr>
      </w:pPr>
      <w:r w:rsidRPr="007F1B5F">
        <w:rPr>
          <w:lang w:val="en-GB"/>
        </w:rPr>
        <w:t>‡</w:t>
      </w:r>
      <w:r>
        <w:rPr>
          <w:lang w:val="en-GB"/>
        </w:rPr>
        <w:t xml:space="preserve"> Values are means (control + salinity n= 18</w:t>
      </w:r>
      <w:r w:rsidRPr="007F1B5F">
        <w:rPr>
          <w:lang w:val="en-GB"/>
        </w:rPr>
        <w:t xml:space="preserve">) and differences between means </w:t>
      </w:r>
      <w:r>
        <w:rPr>
          <w:lang w:val="en-GB"/>
        </w:rPr>
        <w:t>were compared using LSD test (P= 0,</w:t>
      </w:r>
      <w:r w:rsidRPr="007F1B5F">
        <w:rPr>
          <w:lang w:val="en-GB"/>
        </w:rPr>
        <w:t>05).</w:t>
      </w:r>
    </w:p>
    <w:p w14:paraId="46BC2C1F" w14:textId="77777777" w:rsidR="00E97387" w:rsidRDefault="00E97387" w:rsidP="00E97387">
      <w:pPr>
        <w:pStyle w:val="Sinespaciado"/>
        <w:jc w:val="both"/>
        <w:rPr>
          <w:lang w:val="en-GB"/>
        </w:rPr>
      </w:pPr>
      <w:r w:rsidRPr="007F1B5F">
        <w:rPr>
          <w:lang w:val="en-GB"/>
        </w:rPr>
        <w:t xml:space="preserve">§Levels of significance are represented by NS </w:t>
      </w:r>
      <w:r>
        <w:rPr>
          <w:lang w:val="en-GB"/>
        </w:rPr>
        <w:t>(non-significant) P&gt; 0.05; * P</w:t>
      </w:r>
      <w:r w:rsidRPr="007F1B5F">
        <w:rPr>
          <w:lang w:val="en-GB"/>
        </w:rPr>
        <w:t>&lt; 0,05; *</w:t>
      </w:r>
      <w:r>
        <w:rPr>
          <w:lang w:val="en-GB"/>
        </w:rPr>
        <w:t>*P</w:t>
      </w:r>
      <w:r w:rsidRPr="007F1B5F">
        <w:rPr>
          <w:lang w:val="en-GB"/>
        </w:rPr>
        <w:t>&lt; 0</w:t>
      </w:r>
      <w:r>
        <w:rPr>
          <w:lang w:val="en-GB"/>
        </w:rPr>
        <w:t>,</w:t>
      </w:r>
      <w:r w:rsidRPr="007F1B5F">
        <w:rPr>
          <w:lang w:val="en-GB"/>
        </w:rPr>
        <w:t xml:space="preserve">01 and </w:t>
      </w:r>
      <w:r>
        <w:rPr>
          <w:lang w:val="en-GB"/>
        </w:rPr>
        <w:t>**</w:t>
      </w:r>
      <w:r w:rsidRPr="007F1B5F">
        <w:rPr>
          <w:lang w:val="en-GB"/>
        </w:rPr>
        <w:t xml:space="preserve">* </w:t>
      </w:r>
      <w:r>
        <w:rPr>
          <w:lang w:val="en-GB"/>
        </w:rPr>
        <w:t>P&lt; 0,</w:t>
      </w:r>
      <w:r w:rsidRPr="007F1B5F">
        <w:rPr>
          <w:lang w:val="en-GB"/>
        </w:rPr>
        <w:t>001 relative to the control.</w:t>
      </w:r>
    </w:p>
    <w:p w14:paraId="3BF57375" w14:textId="77777777" w:rsidR="00E97387" w:rsidRDefault="00E97387" w:rsidP="00E97387">
      <w:pPr>
        <w:spacing w:line="480" w:lineRule="auto"/>
        <w:jc w:val="both"/>
        <w:rPr>
          <w:rFonts w:ascii="Arial" w:hAnsi="Arial" w:cs="Arial"/>
          <w:sz w:val="24"/>
          <w:lang w:val="en-GB"/>
        </w:rPr>
        <w:sectPr w:rsidR="00E97387" w:rsidSect="00140028">
          <w:headerReference w:type="default" r:id="rId13"/>
          <w:footerReference w:type="default" r:id="rId14"/>
          <w:pgSz w:w="16838" w:h="11906" w:orient="landscape"/>
          <w:pgMar w:top="1701" w:right="1418" w:bottom="1701" w:left="1418" w:header="709" w:footer="709" w:gutter="0"/>
          <w:cols w:space="708"/>
          <w:docGrid w:linePitch="360"/>
        </w:sectPr>
      </w:pPr>
    </w:p>
    <w:p w14:paraId="525B334F" w14:textId="77777777" w:rsidR="00E97387" w:rsidRPr="00B634EE" w:rsidRDefault="00E97387" w:rsidP="00E97387">
      <w:pPr>
        <w:spacing w:line="480" w:lineRule="auto"/>
        <w:jc w:val="both"/>
        <w:rPr>
          <w:rFonts w:ascii="Arial" w:hAnsi="Arial" w:cs="Arial"/>
          <w:b/>
          <w:sz w:val="24"/>
          <w:lang w:val="en-GB"/>
        </w:rPr>
      </w:pPr>
      <w:r>
        <w:rPr>
          <w:rFonts w:ascii="Arial" w:hAnsi="Arial" w:cs="Arial"/>
          <w:b/>
          <w:sz w:val="24"/>
          <w:lang w:val="en-GB"/>
        </w:rPr>
        <w:lastRenderedPageBreak/>
        <w:t>5</w:t>
      </w:r>
      <w:r w:rsidRPr="00E22566">
        <w:rPr>
          <w:rFonts w:ascii="Arial" w:hAnsi="Arial" w:cs="Arial"/>
          <w:b/>
          <w:sz w:val="24"/>
          <w:lang w:val="en-GB"/>
        </w:rPr>
        <w:t xml:space="preserve"> Discussion</w:t>
      </w:r>
    </w:p>
    <w:p w14:paraId="0FCC3572"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Biomass and RGR are optimal indicators to evaluate plant stress and thus reflect plant growth (</w:t>
      </w:r>
      <w:r w:rsidRPr="007728E4">
        <w:rPr>
          <w:rFonts w:ascii="Arial" w:hAnsi="Arial" w:cs="Arial"/>
          <w:sz w:val="24"/>
          <w:lang w:val="en-GB"/>
        </w:rPr>
        <w:t>Gong et al. 2013</w:t>
      </w:r>
      <w:r w:rsidRPr="00B634EE">
        <w:rPr>
          <w:rFonts w:ascii="Arial" w:hAnsi="Arial" w:cs="Arial"/>
          <w:sz w:val="24"/>
          <w:lang w:val="en-GB"/>
        </w:rPr>
        <w:t xml:space="preserve">). The reduction of growth under conditions of </w:t>
      </w:r>
      <w:r w:rsidRPr="007728E4">
        <w:rPr>
          <w:rFonts w:ascii="Arial" w:hAnsi="Arial" w:cs="Arial"/>
          <w:sz w:val="24"/>
          <w:lang w:val="en-GB"/>
        </w:rPr>
        <w:t xml:space="preserve">saline stress is well characterized in plants such as tomato, maize, and alfalfa (Li et al. 2010; Wang et al. 2011; </w:t>
      </w:r>
      <w:r w:rsidRPr="007728E4">
        <w:rPr>
          <w:rStyle w:val="Refdecomentario"/>
          <w:rFonts w:ascii="Arial" w:hAnsi="Arial" w:cs="Arial"/>
          <w:sz w:val="24"/>
          <w:lang w:val="en-GB"/>
        </w:rPr>
        <w:t>Gong et al. 2014b</w:t>
      </w:r>
      <w:r w:rsidRPr="007728E4">
        <w:rPr>
          <w:rFonts w:ascii="Arial" w:hAnsi="Arial" w:cs="Arial"/>
          <w:sz w:val="24"/>
          <w:lang w:val="en-GB"/>
        </w:rPr>
        <w:t>; Li et al. 2014). In our experiment, both parameters declined in the plants subjected to the salinity treatment. The saline treatment reduced plant biomass by 32% in the cv. Grand Brix and by 52% in the cv. Marmande RAF (Table</w:t>
      </w:r>
      <w:r>
        <w:rPr>
          <w:rFonts w:ascii="Arial" w:hAnsi="Arial" w:cs="Arial"/>
          <w:sz w:val="24"/>
          <w:lang w:val="en-GB"/>
        </w:rPr>
        <w:t xml:space="preserve"> </w:t>
      </w:r>
      <w:r w:rsidRPr="007728E4">
        <w:rPr>
          <w:rFonts w:ascii="Arial" w:hAnsi="Arial" w:cs="Arial"/>
          <w:sz w:val="24"/>
          <w:lang w:val="en-GB"/>
        </w:rPr>
        <w:t>1). Like biomass, RGR was reduced in the salinity treatment by 19% for the cv. Grand Brix and by 39% for the cv. Marmande RAF (Table</w:t>
      </w:r>
      <w:r>
        <w:rPr>
          <w:rFonts w:ascii="Arial" w:hAnsi="Arial" w:cs="Arial"/>
          <w:sz w:val="24"/>
          <w:lang w:val="en-GB"/>
        </w:rPr>
        <w:t xml:space="preserve"> </w:t>
      </w:r>
      <w:r w:rsidRPr="007728E4">
        <w:rPr>
          <w:rFonts w:ascii="Arial" w:hAnsi="Arial" w:cs="Arial"/>
          <w:sz w:val="24"/>
          <w:lang w:val="en-GB"/>
        </w:rPr>
        <w:t xml:space="preserve">1). Concerning the negative effect in relation to genotypes, </w:t>
      </w:r>
      <w:r w:rsidRPr="007728E4">
        <w:rPr>
          <w:rFonts w:ascii="Arial" w:hAnsi="Arial" w:cs="Arial"/>
          <w:sz w:val="24"/>
          <w:szCs w:val="24"/>
          <w:lang w:val="en-GB"/>
        </w:rPr>
        <w:t>Sánchez-Rodríguez et al. (2010) observed that the most tolerant tomato cultivar lowered its biomass and its RGR levels under water stress.</w:t>
      </w:r>
      <w:r w:rsidRPr="007728E4">
        <w:rPr>
          <w:rFonts w:ascii="Arial" w:hAnsi="Arial" w:cs="Arial"/>
          <w:sz w:val="24"/>
          <w:lang w:val="en-GB"/>
        </w:rPr>
        <w:t xml:space="preserve"> Khaliq et al. (2015) concluded that the most sensitive maize cultivar also registered the lowest biomass under salinity stress. </w:t>
      </w:r>
      <w:r w:rsidRPr="007728E4">
        <w:rPr>
          <w:rFonts w:ascii="Arial" w:hAnsi="Arial" w:cs="Arial"/>
          <w:sz w:val="24"/>
          <w:szCs w:val="24"/>
          <w:lang w:val="en-GB"/>
        </w:rPr>
        <w:t>In our study, the greatest loss of biomass and RGR were found</w:t>
      </w:r>
      <w:r w:rsidRPr="00B634EE">
        <w:rPr>
          <w:rFonts w:ascii="Arial" w:hAnsi="Arial" w:cs="Arial"/>
          <w:sz w:val="24"/>
          <w:szCs w:val="24"/>
          <w:lang w:val="en-GB"/>
        </w:rPr>
        <w:t xml:space="preserve"> in the cv. </w:t>
      </w:r>
      <w:r w:rsidRPr="00B634EE">
        <w:rPr>
          <w:rFonts w:ascii="Arial" w:hAnsi="Arial" w:cs="Arial"/>
          <w:sz w:val="24"/>
          <w:lang w:val="en-GB"/>
        </w:rPr>
        <w:t>Marmande RAF. In short, according to these results, we can define the cv. Marmande RAF as the more sensitive genotype of the two regarding salinity stress.</w:t>
      </w:r>
    </w:p>
    <w:p w14:paraId="282AFE6D" w14:textId="77777777" w:rsidR="00E97387" w:rsidRPr="007728E4" w:rsidRDefault="00E97387" w:rsidP="00E97387">
      <w:pPr>
        <w:spacing w:line="480" w:lineRule="auto"/>
        <w:jc w:val="both"/>
        <w:rPr>
          <w:rFonts w:ascii="Arial" w:hAnsi="Arial" w:cs="Arial"/>
          <w:sz w:val="24"/>
          <w:lang w:val="en-GB"/>
        </w:rPr>
      </w:pPr>
    </w:p>
    <w:p w14:paraId="146F754A" w14:textId="77777777" w:rsidR="00E97387" w:rsidRPr="007728E4" w:rsidRDefault="00E97387" w:rsidP="00E97387">
      <w:pPr>
        <w:spacing w:line="480" w:lineRule="auto"/>
        <w:jc w:val="both"/>
        <w:rPr>
          <w:rFonts w:ascii="Arial" w:hAnsi="Arial" w:cs="Arial"/>
          <w:sz w:val="24"/>
          <w:lang w:val="en-GB"/>
        </w:rPr>
      </w:pPr>
      <w:r w:rsidRPr="007728E4">
        <w:rPr>
          <w:rFonts w:ascii="Arial" w:hAnsi="Arial" w:cs="Arial"/>
          <w:sz w:val="24"/>
          <w:lang w:val="en-GB"/>
        </w:rPr>
        <w:t>The decline in biomass and RGR under salinity stress, are related to Na</w:t>
      </w:r>
      <w:r w:rsidRPr="007728E4">
        <w:rPr>
          <w:rFonts w:ascii="Arial" w:hAnsi="Arial" w:cs="Arial"/>
          <w:sz w:val="24"/>
          <w:vertAlign w:val="superscript"/>
          <w:lang w:val="en-GB"/>
        </w:rPr>
        <w:t>+</w:t>
      </w:r>
      <w:r w:rsidRPr="007728E4">
        <w:rPr>
          <w:rFonts w:ascii="Arial" w:hAnsi="Arial" w:cs="Arial"/>
          <w:sz w:val="24"/>
          <w:lang w:val="en-GB"/>
        </w:rPr>
        <w:t xml:space="preserve"> accumulation and K</w:t>
      </w:r>
      <w:r w:rsidRPr="007728E4">
        <w:rPr>
          <w:rFonts w:ascii="Arial" w:hAnsi="Arial" w:cs="Arial"/>
          <w:sz w:val="24"/>
          <w:vertAlign w:val="superscript"/>
          <w:lang w:val="en-GB"/>
        </w:rPr>
        <w:t>+</w:t>
      </w:r>
      <w:r w:rsidRPr="007728E4">
        <w:rPr>
          <w:rFonts w:ascii="Arial" w:hAnsi="Arial" w:cs="Arial"/>
          <w:sz w:val="24"/>
          <w:lang w:val="en-GB"/>
        </w:rPr>
        <w:t xml:space="preserve"> deficit, as these alter the basic physiological processes for the plants such as photosynthesis (Li et al. 2010). In our experiment, the salinity treatment resulted in the greatest accumulation of Na</w:t>
      </w:r>
      <w:r w:rsidRPr="007728E4">
        <w:rPr>
          <w:rFonts w:ascii="Arial" w:hAnsi="Arial" w:cs="Arial"/>
          <w:sz w:val="24"/>
          <w:vertAlign w:val="superscript"/>
          <w:lang w:val="en-GB"/>
        </w:rPr>
        <w:t>+</w:t>
      </w:r>
      <w:r w:rsidRPr="007728E4">
        <w:rPr>
          <w:rFonts w:ascii="Arial" w:hAnsi="Arial" w:cs="Arial"/>
          <w:sz w:val="24"/>
          <w:lang w:val="en-GB"/>
        </w:rPr>
        <w:t xml:space="preserve"> (an increase of 470% in the cv. Grand Brix 318% and an increase of in the cv. Marmande RAF; Table</w:t>
      </w:r>
      <w:r>
        <w:rPr>
          <w:rFonts w:ascii="Arial" w:hAnsi="Arial" w:cs="Arial"/>
          <w:sz w:val="24"/>
          <w:lang w:val="en-GB"/>
        </w:rPr>
        <w:t xml:space="preserve"> </w:t>
      </w:r>
      <w:r w:rsidRPr="007728E4">
        <w:rPr>
          <w:rFonts w:ascii="Arial" w:hAnsi="Arial" w:cs="Arial"/>
          <w:sz w:val="24"/>
          <w:lang w:val="en-GB"/>
        </w:rPr>
        <w:t>2). Works such as Li et al. (2010) have also reported a greater accumulation of Na</w:t>
      </w:r>
      <w:r w:rsidRPr="007728E4">
        <w:rPr>
          <w:rFonts w:ascii="Arial" w:hAnsi="Arial" w:cs="Arial"/>
          <w:sz w:val="24"/>
          <w:vertAlign w:val="superscript"/>
          <w:lang w:val="en-GB"/>
        </w:rPr>
        <w:t>+</w:t>
      </w:r>
      <w:r w:rsidRPr="007728E4">
        <w:rPr>
          <w:rFonts w:ascii="Arial" w:hAnsi="Arial" w:cs="Arial"/>
          <w:sz w:val="24"/>
          <w:lang w:val="en-GB"/>
        </w:rPr>
        <w:t xml:space="preserve"> in the salinity treatments in alfalfa plants. In addition, works as Gong et al. (2013)</w:t>
      </w:r>
      <w:r w:rsidRPr="00B634EE">
        <w:rPr>
          <w:rFonts w:ascii="Arial" w:hAnsi="Arial" w:cs="Arial"/>
          <w:sz w:val="24"/>
          <w:lang w:val="en-GB"/>
        </w:rPr>
        <w:t xml:space="preserve"> </w:t>
      </w:r>
      <w:r w:rsidRPr="007728E4">
        <w:rPr>
          <w:rFonts w:ascii="Arial" w:hAnsi="Arial" w:cs="Arial"/>
          <w:sz w:val="24"/>
          <w:lang w:val="en-GB"/>
        </w:rPr>
        <w:lastRenderedPageBreak/>
        <w:t>and Wang et al. (2011) in tomato or Li et al. (2014) in rice have found a decline in the concentration of K</w:t>
      </w:r>
      <w:r w:rsidRPr="007728E4">
        <w:rPr>
          <w:rFonts w:ascii="Arial" w:hAnsi="Arial" w:cs="Arial"/>
          <w:sz w:val="24"/>
          <w:vertAlign w:val="superscript"/>
          <w:lang w:val="en-GB"/>
        </w:rPr>
        <w:t>+</w:t>
      </w:r>
      <w:r w:rsidRPr="007728E4">
        <w:rPr>
          <w:rFonts w:ascii="Arial" w:hAnsi="Arial" w:cs="Arial"/>
          <w:sz w:val="24"/>
          <w:lang w:val="en-GB"/>
        </w:rPr>
        <w:t xml:space="preserve"> when the plants were grown with saline treatments. This agrees with our results in which the saline treatment in both genotypes registered the lowest K</w:t>
      </w:r>
      <w:r w:rsidRPr="007728E4">
        <w:rPr>
          <w:rFonts w:ascii="Arial" w:hAnsi="Arial" w:cs="Arial"/>
          <w:sz w:val="24"/>
          <w:vertAlign w:val="superscript"/>
          <w:lang w:val="en-GB"/>
        </w:rPr>
        <w:t>+</w:t>
      </w:r>
      <w:r w:rsidRPr="007728E4">
        <w:rPr>
          <w:rFonts w:ascii="Arial" w:hAnsi="Arial" w:cs="Arial"/>
          <w:sz w:val="24"/>
          <w:lang w:val="en-GB"/>
        </w:rPr>
        <w:t xml:space="preserve"> concentrations (Table</w:t>
      </w:r>
      <w:r>
        <w:rPr>
          <w:rFonts w:ascii="Arial" w:hAnsi="Arial" w:cs="Arial"/>
          <w:sz w:val="24"/>
          <w:lang w:val="en-GB"/>
        </w:rPr>
        <w:t xml:space="preserve"> </w:t>
      </w:r>
      <w:r w:rsidRPr="007728E4">
        <w:rPr>
          <w:rFonts w:ascii="Arial" w:hAnsi="Arial" w:cs="Arial"/>
          <w:sz w:val="24"/>
          <w:lang w:val="en-GB"/>
        </w:rPr>
        <w:t>2). Finally, our results a priori appear to indicate that the cv. Grand Brix should be more affected by the salinity treatment since this genotype accumulates more Na</w:t>
      </w:r>
      <w:r w:rsidRPr="007728E4">
        <w:rPr>
          <w:rFonts w:ascii="Arial" w:hAnsi="Arial" w:cs="Arial"/>
          <w:sz w:val="24"/>
          <w:vertAlign w:val="superscript"/>
          <w:lang w:val="en-GB"/>
        </w:rPr>
        <w:t>+</w:t>
      </w:r>
      <w:r w:rsidRPr="007728E4">
        <w:rPr>
          <w:rFonts w:ascii="Arial" w:hAnsi="Arial" w:cs="Arial"/>
          <w:sz w:val="24"/>
          <w:lang w:val="en-GB"/>
        </w:rPr>
        <w:t xml:space="preserve"> and the Na</w:t>
      </w:r>
      <w:r w:rsidRPr="007728E4">
        <w:rPr>
          <w:rFonts w:ascii="Arial" w:hAnsi="Arial" w:cs="Arial"/>
          <w:sz w:val="24"/>
          <w:vertAlign w:val="superscript"/>
          <w:lang w:val="en-GB"/>
        </w:rPr>
        <w:t>+</w:t>
      </w:r>
      <w:r w:rsidRPr="007728E4">
        <w:rPr>
          <w:rFonts w:ascii="Arial" w:hAnsi="Arial" w:cs="Arial"/>
          <w:sz w:val="24"/>
          <w:lang w:val="en-GB"/>
        </w:rPr>
        <w:t>/K</w:t>
      </w:r>
      <w:r w:rsidRPr="007728E4">
        <w:rPr>
          <w:rFonts w:ascii="Arial" w:hAnsi="Arial" w:cs="Arial"/>
          <w:sz w:val="24"/>
          <w:vertAlign w:val="superscript"/>
          <w:lang w:val="en-GB"/>
        </w:rPr>
        <w:t>+</w:t>
      </w:r>
      <w:r w:rsidRPr="007728E4">
        <w:rPr>
          <w:rFonts w:ascii="Arial" w:hAnsi="Arial" w:cs="Arial"/>
          <w:sz w:val="24"/>
          <w:lang w:val="en-GB"/>
        </w:rPr>
        <w:t xml:space="preserve"> ratio is greater than the cv. Marmande RAF; however, the growth data indicate that the more sensitive genotype was the cv. Marmande RAF (Table</w:t>
      </w:r>
      <w:r>
        <w:rPr>
          <w:rFonts w:ascii="Arial" w:hAnsi="Arial" w:cs="Arial"/>
          <w:sz w:val="24"/>
          <w:lang w:val="en-GB"/>
        </w:rPr>
        <w:t xml:space="preserve"> </w:t>
      </w:r>
      <w:r w:rsidRPr="007728E4">
        <w:rPr>
          <w:rFonts w:ascii="Arial" w:hAnsi="Arial" w:cs="Arial"/>
          <w:sz w:val="24"/>
          <w:lang w:val="en-GB"/>
        </w:rPr>
        <w:t>2). This may be due to the strategies such as Na</w:t>
      </w:r>
      <w:r w:rsidRPr="007728E4">
        <w:rPr>
          <w:rFonts w:ascii="Arial" w:hAnsi="Arial" w:cs="Arial"/>
          <w:sz w:val="24"/>
          <w:vertAlign w:val="superscript"/>
          <w:lang w:val="en-GB"/>
        </w:rPr>
        <w:t>+</w:t>
      </w:r>
      <w:r w:rsidRPr="007728E4">
        <w:rPr>
          <w:rFonts w:ascii="Arial" w:hAnsi="Arial" w:cs="Arial"/>
          <w:sz w:val="24"/>
          <w:lang w:val="en-GB"/>
        </w:rPr>
        <w:t xml:space="preserve"> compartmentalization in the vacuoles or the immobilization of this ion (Li et al. 2010), which could be reinforced in the cv. Grand Brix and therefore might be less affected by Na</w:t>
      </w:r>
      <w:r w:rsidRPr="007728E4">
        <w:rPr>
          <w:rFonts w:ascii="Arial" w:hAnsi="Arial" w:cs="Arial"/>
          <w:sz w:val="24"/>
          <w:vertAlign w:val="superscript"/>
          <w:lang w:val="en-GB"/>
        </w:rPr>
        <w:t>+</w:t>
      </w:r>
      <w:r w:rsidRPr="007728E4">
        <w:rPr>
          <w:rFonts w:ascii="Arial" w:hAnsi="Arial" w:cs="Arial"/>
          <w:sz w:val="24"/>
          <w:lang w:val="en-GB"/>
        </w:rPr>
        <w:t xml:space="preserve"> accumulation than the cv. Marmande RAF.</w:t>
      </w:r>
    </w:p>
    <w:p w14:paraId="12F35B9F" w14:textId="77777777" w:rsidR="00E97387" w:rsidRDefault="00E97387" w:rsidP="00E97387">
      <w:pPr>
        <w:spacing w:line="480" w:lineRule="auto"/>
        <w:jc w:val="both"/>
        <w:rPr>
          <w:rFonts w:ascii="Arial" w:hAnsi="Arial" w:cs="Arial"/>
          <w:sz w:val="24"/>
          <w:lang w:val="en-GB"/>
        </w:rPr>
      </w:pPr>
    </w:p>
    <w:p w14:paraId="1D0E9E08"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ROS accumulate under different types of stress and for different reasons, as for example under alteration of the photosynthetic machinery, the excess electrons produced are transferred to O</w:t>
      </w:r>
      <w:r w:rsidRPr="00B634EE">
        <w:rPr>
          <w:rFonts w:ascii="Arial" w:hAnsi="Arial" w:cs="Arial"/>
          <w:sz w:val="24"/>
          <w:vertAlign w:val="subscript"/>
          <w:lang w:val="en-GB"/>
        </w:rPr>
        <w:t>2</w:t>
      </w:r>
      <w:r w:rsidRPr="00B634EE">
        <w:rPr>
          <w:rFonts w:ascii="Arial" w:hAnsi="Arial" w:cs="Arial"/>
          <w:sz w:val="24"/>
          <w:lang w:val="en-GB"/>
        </w:rPr>
        <w:t xml:space="preserve"> molecules and these produce ROS (e.g. H</w:t>
      </w:r>
      <w:r w:rsidRPr="00B634EE">
        <w:rPr>
          <w:rFonts w:ascii="Arial" w:hAnsi="Arial" w:cs="Arial"/>
          <w:sz w:val="24"/>
          <w:vertAlign w:val="subscript"/>
          <w:lang w:val="en-GB"/>
        </w:rPr>
        <w:t>2</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lang w:val="en-GB"/>
        </w:rPr>
        <w:t xml:space="preserve"> and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(Çakmak 2005). </w:t>
      </w:r>
      <w:r w:rsidRPr="004939DB">
        <w:rPr>
          <w:rFonts w:ascii="Arial" w:hAnsi="Arial" w:cs="Arial"/>
          <w:sz w:val="24"/>
          <w:lang w:val="en-GB"/>
        </w:rPr>
        <w:t>In o</w:t>
      </w:r>
      <w:r>
        <w:rPr>
          <w:rFonts w:ascii="Arial" w:hAnsi="Arial" w:cs="Arial"/>
          <w:sz w:val="24"/>
          <w:lang w:val="en-GB"/>
        </w:rPr>
        <w:t xml:space="preserve">ur experiment </w:t>
      </w:r>
      <w:r w:rsidRPr="00B634EE">
        <w:rPr>
          <w:rFonts w:ascii="Arial" w:hAnsi="Arial" w:cs="Arial"/>
          <w:sz w:val="24"/>
          <w:lang w:val="en-GB"/>
        </w:rPr>
        <w:t>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4939DB">
        <w:rPr>
          <w:rFonts w:ascii="Arial" w:hAnsi="Arial" w:cs="Arial"/>
          <w:sz w:val="24"/>
          <w:lang w:val="en-GB"/>
        </w:rPr>
        <w:t xml:space="preserve"> levels are decreased in saline treatment.</w:t>
      </w:r>
      <w:r>
        <w:rPr>
          <w:rFonts w:ascii="Arial" w:hAnsi="Arial" w:cs="Arial"/>
          <w:sz w:val="24"/>
          <w:lang w:val="en-GB"/>
        </w:rPr>
        <w:t xml:space="preserve"> In our experiment, t</w:t>
      </w:r>
      <w:r w:rsidRPr="00CF6D64">
        <w:rPr>
          <w:rFonts w:ascii="Arial" w:hAnsi="Arial" w:cs="Arial"/>
          <w:sz w:val="24"/>
          <w:lang w:val="en-GB"/>
        </w:rPr>
        <w:t>he O</w:t>
      </w:r>
      <w:r w:rsidRPr="00CF6D64">
        <w:rPr>
          <w:rFonts w:ascii="Arial" w:hAnsi="Arial" w:cs="Arial"/>
          <w:sz w:val="24"/>
          <w:vertAlign w:val="subscript"/>
          <w:lang w:val="en-GB"/>
        </w:rPr>
        <w:t>2</w:t>
      </w:r>
      <w:r w:rsidRPr="00CF6D64">
        <w:rPr>
          <w:rFonts w:ascii="Arial" w:hAnsi="Arial" w:cs="Arial"/>
          <w:sz w:val="24"/>
          <w:vertAlign w:val="superscript"/>
          <w:lang w:val="en-GB"/>
        </w:rPr>
        <w:t>.-</w:t>
      </w:r>
      <w:r w:rsidRPr="00CF6D64">
        <w:rPr>
          <w:rFonts w:ascii="Arial" w:hAnsi="Arial" w:cs="Arial"/>
          <w:sz w:val="24"/>
          <w:lang w:val="en-GB"/>
        </w:rPr>
        <w:t xml:space="preserve"> was reduced by 42% in Grand Brix and </w:t>
      </w:r>
      <w:r>
        <w:rPr>
          <w:rFonts w:ascii="Arial" w:hAnsi="Arial" w:cs="Arial"/>
          <w:sz w:val="24"/>
          <w:lang w:val="en-GB"/>
        </w:rPr>
        <w:t xml:space="preserve">by </w:t>
      </w:r>
      <w:r w:rsidRPr="00CF6D64">
        <w:rPr>
          <w:rFonts w:ascii="Arial" w:hAnsi="Arial" w:cs="Arial"/>
          <w:sz w:val="24"/>
          <w:lang w:val="en-GB"/>
        </w:rPr>
        <w:t>22% in Marmande RAF, and H</w:t>
      </w:r>
      <w:r w:rsidRPr="00CF6D64">
        <w:rPr>
          <w:rFonts w:ascii="Arial" w:hAnsi="Arial" w:cs="Arial"/>
          <w:sz w:val="24"/>
          <w:vertAlign w:val="subscript"/>
          <w:lang w:val="en-GB"/>
        </w:rPr>
        <w:t>2</w:t>
      </w:r>
      <w:r w:rsidRPr="00CF6D64">
        <w:rPr>
          <w:rFonts w:ascii="Arial" w:hAnsi="Arial" w:cs="Arial"/>
          <w:sz w:val="24"/>
          <w:lang w:val="en-GB"/>
        </w:rPr>
        <w:t>O</w:t>
      </w:r>
      <w:r w:rsidRPr="00CF6D64">
        <w:rPr>
          <w:rFonts w:ascii="Arial" w:hAnsi="Arial" w:cs="Arial"/>
          <w:sz w:val="24"/>
          <w:vertAlign w:val="subscript"/>
          <w:lang w:val="en-GB"/>
        </w:rPr>
        <w:t>2</w:t>
      </w:r>
      <w:r w:rsidRPr="00CF6D64">
        <w:rPr>
          <w:rFonts w:ascii="Arial" w:hAnsi="Arial" w:cs="Arial"/>
          <w:sz w:val="24"/>
          <w:lang w:val="en-GB"/>
        </w:rPr>
        <w:t xml:space="preserve"> was reduced by 13% in Grand Brix and increased by 36% in Marmande RAF</w:t>
      </w:r>
      <w:r>
        <w:rPr>
          <w:rFonts w:ascii="Arial" w:hAnsi="Arial" w:cs="Arial"/>
          <w:sz w:val="24"/>
          <w:lang w:val="en-GB"/>
        </w:rPr>
        <w:t>.</w:t>
      </w:r>
      <w:r w:rsidRPr="004939DB">
        <w:rPr>
          <w:rFonts w:ascii="Arial" w:hAnsi="Arial" w:cs="Arial"/>
          <w:sz w:val="24"/>
          <w:lang w:val="en-GB"/>
        </w:rPr>
        <w:t xml:space="preserve"> This could be due to the enzyme SOD, but it has also been shown that hormones such as </w:t>
      </w:r>
      <w:r w:rsidRPr="007728E4">
        <w:rPr>
          <w:rFonts w:ascii="Arial" w:hAnsi="Arial" w:cs="Arial"/>
          <w:sz w:val="24"/>
          <w:lang w:val="en-GB"/>
        </w:rPr>
        <w:t>auxins can help in the detoxification of ROS. Therefore in Grand Brix the increase in the concentration of auxins (Table</w:t>
      </w:r>
      <w:r>
        <w:rPr>
          <w:rFonts w:ascii="Arial" w:hAnsi="Arial" w:cs="Arial"/>
          <w:sz w:val="24"/>
          <w:lang w:val="en-GB"/>
        </w:rPr>
        <w:t xml:space="preserve"> </w:t>
      </w:r>
      <w:r w:rsidRPr="007728E4">
        <w:rPr>
          <w:rFonts w:ascii="Arial" w:hAnsi="Arial" w:cs="Arial"/>
          <w:sz w:val="24"/>
          <w:lang w:val="en-GB"/>
        </w:rPr>
        <w:t>3) could help explain this O</w:t>
      </w:r>
      <w:r w:rsidRPr="007728E4">
        <w:rPr>
          <w:rFonts w:ascii="Arial" w:hAnsi="Arial" w:cs="Arial"/>
          <w:sz w:val="24"/>
          <w:vertAlign w:val="subscript"/>
          <w:lang w:val="en-GB"/>
        </w:rPr>
        <w:t>2</w:t>
      </w:r>
      <w:r w:rsidRPr="007728E4">
        <w:rPr>
          <w:rFonts w:ascii="Arial" w:hAnsi="Arial" w:cs="Arial"/>
          <w:sz w:val="24"/>
          <w:vertAlign w:val="superscript"/>
          <w:lang w:val="en-GB"/>
        </w:rPr>
        <w:t>-</w:t>
      </w:r>
      <w:r w:rsidRPr="007728E4">
        <w:rPr>
          <w:rFonts w:ascii="Arial" w:hAnsi="Arial" w:cs="Arial"/>
          <w:sz w:val="24"/>
          <w:lang w:val="en-GB"/>
        </w:rPr>
        <w:t xml:space="preserve"> reduction </w:t>
      </w:r>
      <w:r w:rsidRPr="007728E4">
        <w:rPr>
          <w:rFonts w:ascii="Arial" w:hAnsi="Arial" w:cs="Arial"/>
          <w:sz w:val="24"/>
          <w:szCs w:val="24"/>
          <w:lang w:val="en-GB"/>
        </w:rPr>
        <w:t>(Noctor et al. 2015)</w:t>
      </w:r>
      <w:r w:rsidRPr="007728E4">
        <w:rPr>
          <w:rFonts w:ascii="Arial" w:hAnsi="Arial" w:cs="Arial"/>
          <w:sz w:val="24"/>
          <w:lang w:val="en-GB"/>
        </w:rPr>
        <w:t>. The increase in ROS promotes lipid peroxidation, a process that can determine</w:t>
      </w:r>
      <w:r w:rsidRPr="00B634EE">
        <w:rPr>
          <w:rFonts w:ascii="Arial" w:hAnsi="Arial" w:cs="Arial"/>
          <w:sz w:val="24"/>
          <w:lang w:val="en-GB"/>
        </w:rPr>
        <w:t xml:space="preserve"> LOX activity and the MDA concentration, which is a subproduct of this peroxidation </w:t>
      </w:r>
      <w:r w:rsidRPr="00B634EE">
        <w:rPr>
          <w:rFonts w:ascii="Arial" w:hAnsi="Arial" w:cs="Arial"/>
          <w:sz w:val="24"/>
          <w:lang w:val="en-GB"/>
        </w:rPr>
        <w:lastRenderedPageBreak/>
        <w:t>(</w:t>
      </w:r>
      <w:r w:rsidRPr="007728E4">
        <w:rPr>
          <w:rFonts w:ascii="Arial" w:hAnsi="Arial" w:cs="Arial"/>
          <w:sz w:val="24"/>
          <w:lang w:val="en-GB"/>
        </w:rPr>
        <w:t xml:space="preserve">Zhou and Zhao 2004). The increases in ROS and lipid peroxidation have been associated with salinity stress in tomato (Gong et al. 2013; </w:t>
      </w:r>
      <w:r w:rsidRPr="007728E4">
        <w:rPr>
          <w:rStyle w:val="Refdecomentario"/>
          <w:rFonts w:ascii="Arial" w:hAnsi="Arial" w:cs="Arial"/>
          <w:sz w:val="24"/>
          <w:lang w:val="en-GB"/>
        </w:rPr>
        <w:t>Gong et al. 2014b)</w:t>
      </w:r>
      <w:r w:rsidRPr="007728E4">
        <w:rPr>
          <w:rFonts w:ascii="Arial" w:hAnsi="Arial" w:cs="Arial"/>
          <w:sz w:val="24"/>
          <w:lang w:val="en-GB"/>
        </w:rPr>
        <w:t>.  In our experiment, we found significant increases, especially in the MDA concentrations (</w:t>
      </w:r>
      <w:r w:rsidRPr="00B634EE">
        <w:rPr>
          <w:rFonts w:ascii="Arial" w:hAnsi="Arial" w:cs="Arial"/>
          <w:sz w:val="24"/>
          <w:lang w:val="en-GB"/>
        </w:rPr>
        <w:t>Fig</w:t>
      </w:r>
      <w:r>
        <w:rPr>
          <w:rFonts w:ascii="Arial" w:hAnsi="Arial" w:cs="Arial"/>
          <w:sz w:val="24"/>
          <w:lang w:val="en-GB"/>
        </w:rPr>
        <w:t>ure</w:t>
      </w:r>
      <w:r w:rsidRPr="007728E4">
        <w:rPr>
          <w:rFonts w:ascii="Arial" w:hAnsi="Arial" w:cs="Arial"/>
          <w:sz w:val="24"/>
          <w:lang w:val="en-GB"/>
        </w:rPr>
        <w:t xml:space="preserve"> 1D P&lt;0.001) under stress conditions. </w:t>
      </w:r>
      <w:r w:rsidRPr="007728E4">
        <w:rPr>
          <w:rFonts w:ascii="Arial" w:hAnsi="Arial" w:cs="Arial"/>
          <w:sz w:val="24"/>
          <w:szCs w:val="24"/>
          <w:lang w:val="en-GB"/>
        </w:rPr>
        <w:t>Sánchez-Rodríguez et al. 2010 showed in the cultivars most sensitive to water stress a ROS accumulated and an increased in the MDA concentration. ROS</w:t>
      </w:r>
      <w:r w:rsidRPr="007728E4">
        <w:rPr>
          <w:rFonts w:ascii="Arial" w:hAnsi="Arial" w:cs="Arial"/>
          <w:sz w:val="24"/>
          <w:lang w:val="en-GB"/>
        </w:rPr>
        <w:t xml:space="preserve"> and MDA concentration have been defined as good stress indicators </w:t>
      </w:r>
      <w:r w:rsidRPr="007728E4">
        <w:rPr>
          <w:rFonts w:ascii="Arial" w:hAnsi="Arial" w:cs="Arial"/>
          <w:sz w:val="24"/>
          <w:szCs w:val="24"/>
          <w:lang w:val="en-GB"/>
        </w:rPr>
        <w:t>(Gong et al 2014a).</w:t>
      </w:r>
      <w:r w:rsidRPr="007728E4">
        <w:rPr>
          <w:rFonts w:ascii="Arial" w:hAnsi="Arial" w:cs="Arial"/>
          <w:sz w:val="24"/>
          <w:lang w:val="en-GB"/>
        </w:rPr>
        <w:t xml:space="preserve"> So, the </w:t>
      </w:r>
      <w:r w:rsidRPr="00B634EE">
        <w:rPr>
          <w:rFonts w:ascii="Arial" w:hAnsi="Arial" w:cs="Arial"/>
          <w:sz w:val="24"/>
          <w:lang w:val="en-GB"/>
        </w:rPr>
        <w:t>Fig</w:t>
      </w:r>
      <w:r>
        <w:rPr>
          <w:rFonts w:ascii="Arial" w:hAnsi="Arial" w:cs="Arial"/>
          <w:sz w:val="24"/>
          <w:lang w:val="en-GB"/>
        </w:rPr>
        <w:t>ure</w:t>
      </w:r>
      <w:r w:rsidRPr="007728E4">
        <w:rPr>
          <w:rFonts w:ascii="Arial" w:hAnsi="Arial" w:cs="Arial"/>
          <w:sz w:val="24"/>
          <w:lang w:val="en-GB"/>
        </w:rPr>
        <w:t xml:space="preserve"> 1 corroborates that Marmande RAF</w:t>
      </w:r>
      <w:r w:rsidRPr="00B634EE">
        <w:rPr>
          <w:rFonts w:ascii="Arial" w:hAnsi="Arial" w:cs="Arial"/>
          <w:sz w:val="24"/>
          <w:lang w:val="en-GB"/>
        </w:rPr>
        <w:t xml:space="preserve"> is more sensitive to this stress than Grand Brix.</w:t>
      </w:r>
    </w:p>
    <w:p w14:paraId="54D16662" w14:textId="77777777" w:rsidR="00E97387" w:rsidRPr="00B634EE" w:rsidRDefault="00E97387" w:rsidP="00E97387">
      <w:pPr>
        <w:spacing w:line="480" w:lineRule="auto"/>
        <w:jc w:val="both"/>
        <w:rPr>
          <w:rFonts w:ascii="Arial" w:hAnsi="Arial" w:cs="Arial"/>
          <w:sz w:val="24"/>
          <w:lang w:val="en-GB"/>
        </w:rPr>
      </w:pPr>
    </w:p>
    <w:p w14:paraId="00519067"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Greater SOD activity under salinity stress has </w:t>
      </w:r>
      <w:r w:rsidRPr="007728E4">
        <w:rPr>
          <w:rFonts w:ascii="Arial" w:hAnsi="Arial" w:cs="Arial"/>
          <w:sz w:val="24"/>
          <w:lang w:val="en-GB"/>
        </w:rPr>
        <w:t xml:space="preserve">been shown by different authors in tomato plants and in Iris lactea </w:t>
      </w:r>
      <w:r w:rsidRPr="007728E4">
        <w:rPr>
          <w:rFonts w:ascii="Arial" w:hAnsi="Arial" w:cs="Arial"/>
          <w:sz w:val="24"/>
          <w:szCs w:val="24"/>
          <w:lang w:val="en-GB"/>
        </w:rPr>
        <w:t xml:space="preserve">(Wang et al. 2008; </w:t>
      </w:r>
      <w:r w:rsidRPr="007728E4">
        <w:rPr>
          <w:rFonts w:ascii="Arial" w:hAnsi="Arial" w:cs="Arial"/>
          <w:sz w:val="24"/>
          <w:lang w:val="en-GB"/>
        </w:rPr>
        <w:t xml:space="preserve">Gong et al. 2013; </w:t>
      </w:r>
      <w:r w:rsidRPr="007728E4">
        <w:rPr>
          <w:rStyle w:val="Refdecomentario"/>
          <w:rFonts w:ascii="Arial" w:hAnsi="Arial" w:cs="Arial"/>
          <w:sz w:val="24"/>
          <w:lang w:val="en-GB"/>
        </w:rPr>
        <w:t>Gong et al. 2014b)</w:t>
      </w:r>
      <w:r w:rsidRPr="007728E4">
        <w:rPr>
          <w:rFonts w:ascii="Arial" w:hAnsi="Arial" w:cs="Arial"/>
          <w:sz w:val="24"/>
          <w:lang w:val="en-GB"/>
        </w:rPr>
        <w:t>. Our results coincide with the findings of these authors, and the higher SOD activities in the salinity treatment (Table</w:t>
      </w:r>
      <w:r>
        <w:rPr>
          <w:rFonts w:ascii="Arial" w:hAnsi="Arial" w:cs="Arial"/>
          <w:sz w:val="24"/>
          <w:lang w:val="en-GB"/>
        </w:rPr>
        <w:t xml:space="preserve"> </w:t>
      </w:r>
      <w:r w:rsidRPr="007728E4">
        <w:rPr>
          <w:rFonts w:ascii="Arial" w:hAnsi="Arial" w:cs="Arial"/>
          <w:sz w:val="24"/>
          <w:lang w:val="en-GB"/>
        </w:rPr>
        <w:t>4) explain</w:t>
      </w:r>
      <w:r w:rsidRPr="00B634EE">
        <w:rPr>
          <w:rFonts w:ascii="Arial" w:hAnsi="Arial" w:cs="Arial"/>
          <w:sz w:val="24"/>
          <w:lang w:val="en-GB"/>
        </w:rPr>
        <w:t xml:space="preserve"> the low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levels (Fig</w:t>
      </w:r>
      <w:r>
        <w:rPr>
          <w:rFonts w:ascii="Arial" w:hAnsi="Arial" w:cs="Arial"/>
          <w:sz w:val="24"/>
          <w:lang w:val="en-GB"/>
        </w:rPr>
        <w:t>ure</w:t>
      </w:r>
      <w:r w:rsidRPr="00B634EE">
        <w:rPr>
          <w:rFonts w:ascii="Arial" w:hAnsi="Arial" w:cs="Arial"/>
          <w:sz w:val="24"/>
          <w:lang w:val="en-GB"/>
        </w:rPr>
        <w:t xml:space="preserve"> 1A). Also, it bears highlighting that a comparison of the two genotypes indicates that Grand Brix induces more SOD and is more stress resistant. These results suggest that the detoxification </w:t>
      </w:r>
      <w:r>
        <w:rPr>
          <w:rFonts w:ascii="Arial" w:hAnsi="Arial" w:cs="Arial"/>
          <w:sz w:val="24"/>
          <w:lang w:val="en-GB"/>
        </w:rPr>
        <w:t xml:space="preserve">of </w:t>
      </w:r>
      <w:r w:rsidRPr="00B634EE">
        <w:rPr>
          <w:rFonts w:ascii="Arial" w:hAnsi="Arial" w:cs="Arial"/>
          <w:sz w:val="24"/>
          <w:lang w:val="en-GB"/>
        </w:rPr>
        <w:t>the ion O</w:t>
      </w:r>
      <w:r w:rsidRPr="00B634EE">
        <w:rPr>
          <w:rFonts w:ascii="Arial" w:hAnsi="Arial" w:cs="Arial"/>
          <w:sz w:val="24"/>
          <w:vertAlign w:val="subscript"/>
          <w:lang w:val="en-GB"/>
        </w:rPr>
        <w:t>2</w:t>
      </w:r>
      <w:r w:rsidRPr="00B634EE">
        <w:rPr>
          <w:rFonts w:ascii="Arial" w:hAnsi="Arial" w:cs="Arial"/>
          <w:sz w:val="24"/>
          <w:vertAlign w:val="superscript"/>
          <w:lang w:val="en-GB"/>
        </w:rPr>
        <w:t>-</w:t>
      </w:r>
      <w:r w:rsidRPr="00B634EE">
        <w:rPr>
          <w:rFonts w:ascii="Arial" w:hAnsi="Arial" w:cs="Arial"/>
          <w:sz w:val="24"/>
          <w:lang w:val="en-GB"/>
        </w:rPr>
        <w:t xml:space="preserve"> by SOD activity is a key process in the identification of the toxicity of saline stress and in the possible generation or selection of plants with greater resistance to this stress.</w:t>
      </w:r>
    </w:p>
    <w:p w14:paraId="541D67E1" w14:textId="77777777" w:rsidR="00E97387" w:rsidRPr="00B634EE" w:rsidRDefault="00E97387" w:rsidP="00E97387">
      <w:pPr>
        <w:spacing w:line="480" w:lineRule="auto"/>
        <w:jc w:val="both"/>
        <w:rPr>
          <w:rFonts w:ascii="Arial" w:hAnsi="Arial" w:cs="Arial"/>
          <w:sz w:val="24"/>
          <w:lang w:val="en-GB"/>
        </w:rPr>
      </w:pPr>
    </w:p>
    <w:p w14:paraId="0726FFE1"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lang w:val="en-GB"/>
        </w:rPr>
        <w:t>The other antioxidant enzymes (CAT, APX, GR, and GSHP</w:t>
      </w:r>
      <w:r w:rsidRPr="004B3BAC">
        <w:rPr>
          <w:rFonts w:ascii="Arial" w:hAnsi="Arial" w:cs="Arial"/>
          <w:sz w:val="24"/>
          <w:vertAlign w:val="subscript"/>
          <w:lang w:val="en-GB"/>
        </w:rPr>
        <w:t>X</w:t>
      </w:r>
      <w:r w:rsidRPr="00B634EE">
        <w:rPr>
          <w:rFonts w:ascii="Arial" w:hAnsi="Arial" w:cs="Arial"/>
          <w:sz w:val="24"/>
          <w:lang w:val="en-GB"/>
        </w:rPr>
        <w:t xml:space="preserve">) have also been shown to increase in activity </w:t>
      </w:r>
      <w:r w:rsidRPr="007728E4">
        <w:rPr>
          <w:rFonts w:ascii="Arial" w:hAnsi="Arial" w:cs="Arial"/>
          <w:sz w:val="24"/>
          <w:lang w:val="en-GB"/>
        </w:rPr>
        <w:t>in tomato plants and Iris lactea subjected to this type of ionic stress (</w:t>
      </w:r>
      <w:r w:rsidRPr="007728E4">
        <w:rPr>
          <w:rFonts w:ascii="Arial" w:hAnsi="Arial" w:cs="Arial"/>
          <w:sz w:val="24"/>
          <w:szCs w:val="24"/>
          <w:lang w:val="en-GB"/>
        </w:rPr>
        <w:t xml:space="preserve">Wang et al. 2008; </w:t>
      </w:r>
      <w:r w:rsidRPr="007728E4">
        <w:rPr>
          <w:rFonts w:ascii="Arial" w:hAnsi="Arial" w:cs="Arial"/>
          <w:sz w:val="24"/>
          <w:lang w:val="en-GB"/>
        </w:rPr>
        <w:t xml:space="preserve">Gong et al. 2013; </w:t>
      </w:r>
      <w:r w:rsidRPr="007728E4">
        <w:rPr>
          <w:rStyle w:val="Refdecomentario"/>
          <w:rFonts w:ascii="Arial" w:hAnsi="Arial" w:cs="Arial"/>
          <w:sz w:val="24"/>
          <w:lang w:val="en-GB"/>
        </w:rPr>
        <w:t>Gong et al. 2014b)</w:t>
      </w:r>
      <w:r w:rsidRPr="007728E4">
        <w:rPr>
          <w:rFonts w:ascii="Arial" w:hAnsi="Arial" w:cs="Arial"/>
          <w:sz w:val="24"/>
          <w:lang w:val="en-GB"/>
        </w:rPr>
        <w:t>.  For APX and GSHPx enzymes, our results coincide with the results of these</w:t>
      </w:r>
      <w:r>
        <w:rPr>
          <w:rFonts w:ascii="Arial" w:hAnsi="Arial" w:cs="Arial"/>
          <w:sz w:val="24"/>
          <w:lang w:val="en-GB"/>
        </w:rPr>
        <w:t xml:space="preserve"> authors (Table </w:t>
      </w:r>
      <w:r w:rsidRPr="00B634EE">
        <w:rPr>
          <w:rFonts w:ascii="Arial" w:hAnsi="Arial" w:cs="Arial"/>
          <w:sz w:val="24"/>
          <w:lang w:val="en-GB"/>
        </w:rPr>
        <w:lastRenderedPageBreak/>
        <w:t>4)</w:t>
      </w:r>
      <w:r w:rsidRPr="00B634EE">
        <w:rPr>
          <w:rFonts w:ascii="Arial" w:hAnsi="Arial" w:cs="Arial"/>
          <w:sz w:val="24"/>
          <w:szCs w:val="24"/>
          <w:lang w:val="en-GB"/>
        </w:rPr>
        <w:t>. However, contrary to our expectations, Marmande RAF presented greater activity for APX and GSHPx enzymes,</w:t>
      </w:r>
      <w:r>
        <w:rPr>
          <w:rFonts w:ascii="Arial" w:hAnsi="Arial" w:cs="Arial"/>
          <w:sz w:val="24"/>
          <w:szCs w:val="24"/>
          <w:lang w:val="en-GB"/>
        </w:rPr>
        <w:t xml:space="preserve"> and this would explain the low</w:t>
      </w:r>
      <w:r w:rsidRPr="00B634EE">
        <w:rPr>
          <w:rFonts w:ascii="Arial" w:hAnsi="Arial" w:cs="Arial"/>
          <w:sz w:val="24"/>
          <w:szCs w:val="24"/>
          <w:lang w:val="en-GB"/>
        </w:rPr>
        <w:t xml:space="preserve"> H</w:t>
      </w:r>
      <w:r w:rsidRPr="0008100B">
        <w:rPr>
          <w:rFonts w:ascii="Arial" w:hAnsi="Arial" w:cs="Arial"/>
          <w:sz w:val="24"/>
          <w:szCs w:val="24"/>
          <w:vertAlign w:val="subscript"/>
          <w:lang w:val="en-GB"/>
        </w:rPr>
        <w:t>2</w:t>
      </w:r>
      <w:r w:rsidRPr="00B634EE">
        <w:rPr>
          <w:rFonts w:ascii="Arial" w:hAnsi="Arial" w:cs="Arial"/>
          <w:sz w:val="24"/>
          <w:szCs w:val="24"/>
          <w:lang w:val="en-GB"/>
        </w:rPr>
        <w:t>O</w:t>
      </w:r>
      <w:r w:rsidRPr="0008100B">
        <w:rPr>
          <w:rFonts w:ascii="Arial" w:hAnsi="Arial" w:cs="Arial"/>
          <w:sz w:val="24"/>
          <w:szCs w:val="24"/>
          <w:vertAlign w:val="subscript"/>
          <w:lang w:val="en-GB"/>
        </w:rPr>
        <w:t>2</w:t>
      </w:r>
      <w:r w:rsidRPr="00B634EE">
        <w:rPr>
          <w:rFonts w:ascii="Arial" w:hAnsi="Arial" w:cs="Arial"/>
          <w:sz w:val="24"/>
          <w:szCs w:val="24"/>
          <w:lang w:val="en-GB"/>
        </w:rPr>
        <w:t xml:space="preserve"> accumulation in these plants. Furthermore, would indicate that the enzymatic detoxification of H</w:t>
      </w:r>
      <w:r w:rsidRPr="00B634EE">
        <w:rPr>
          <w:rFonts w:ascii="Arial" w:hAnsi="Arial" w:cs="Arial"/>
          <w:sz w:val="24"/>
          <w:szCs w:val="24"/>
          <w:vertAlign w:val="subscript"/>
          <w:lang w:val="en-GB"/>
        </w:rPr>
        <w:t>2</w:t>
      </w:r>
      <w:r w:rsidRPr="00B634EE">
        <w:rPr>
          <w:rFonts w:ascii="Arial" w:hAnsi="Arial" w:cs="Arial"/>
          <w:sz w:val="24"/>
          <w:szCs w:val="24"/>
          <w:lang w:val="en-GB"/>
        </w:rPr>
        <w:t>O</w:t>
      </w:r>
      <w:r w:rsidRPr="00B634EE">
        <w:rPr>
          <w:rFonts w:ascii="Arial" w:hAnsi="Arial" w:cs="Arial"/>
          <w:sz w:val="24"/>
          <w:szCs w:val="24"/>
          <w:vertAlign w:val="subscript"/>
          <w:lang w:val="en-GB"/>
        </w:rPr>
        <w:t>2</w:t>
      </w:r>
      <w:r w:rsidRPr="00B634EE">
        <w:rPr>
          <w:rFonts w:ascii="Arial" w:hAnsi="Arial" w:cs="Arial"/>
          <w:sz w:val="24"/>
          <w:szCs w:val="24"/>
          <w:lang w:val="en-GB"/>
        </w:rPr>
        <w:t xml:space="preserve"> is not determinant for assessing the tolerant genotype.</w:t>
      </w:r>
      <w:r>
        <w:rPr>
          <w:rFonts w:ascii="Arial" w:hAnsi="Arial" w:cs="Arial"/>
          <w:sz w:val="24"/>
          <w:szCs w:val="24"/>
          <w:lang w:val="en-GB"/>
        </w:rPr>
        <w:t xml:space="preserve"> </w:t>
      </w:r>
      <w:r w:rsidRPr="0008100B">
        <w:rPr>
          <w:rFonts w:ascii="Arial" w:hAnsi="Arial" w:cs="Arial"/>
          <w:sz w:val="24"/>
          <w:szCs w:val="24"/>
          <w:lang w:val="en-GB"/>
        </w:rPr>
        <w:t>In our experiment</w:t>
      </w:r>
      <w:r>
        <w:rPr>
          <w:rFonts w:ascii="Arial" w:hAnsi="Arial" w:cs="Arial"/>
          <w:sz w:val="24"/>
          <w:szCs w:val="24"/>
          <w:lang w:val="en-GB"/>
        </w:rPr>
        <w:t>,</w:t>
      </w:r>
      <w:r w:rsidRPr="0008100B">
        <w:rPr>
          <w:rFonts w:ascii="Arial" w:hAnsi="Arial" w:cs="Arial"/>
          <w:sz w:val="24"/>
          <w:szCs w:val="24"/>
          <w:lang w:val="en-GB"/>
        </w:rPr>
        <w:t xml:space="preserve"> the H</w:t>
      </w:r>
      <w:r w:rsidRPr="0008100B">
        <w:rPr>
          <w:rFonts w:ascii="Arial" w:hAnsi="Arial" w:cs="Arial"/>
          <w:sz w:val="24"/>
          <w:szCs w:val="24"/>
          <w:vertAlign w:val="subscript"/>
          <w:lang w:val="en-GB"/>
        </w:rPr>
        <w:t>2</w:t>
      </w:r>
      <w:r w:rsidRPr="0008100B">
        <w:rPr>
          <w:rFonts w:ascii="Arial" w:hAnsi="Arial" w:cs="Arial"/>
          <w:sz w:val="24"/>
          <w:szCs w:val="24"/>
          <w:lang w:val="en-GB"/>
        </w:rPr>
        <w:t>O</w:t>
      </w:r>
      <w:r w:rsidRPr="0008100B">
        <w:rPr>
          <w:rFonts w:ascii="Arial" w:hAnsi="Arial" w:cs="Arial"/>
          <w:sz w:val="24"/>
          <w:szCs w:val="24"/>
          <w:vertAlign w:val="subscript"/>
          <w:lang w:val="en-GB"/>
        </w:rPr>
        <w:t>2</w:t>
      </w:r>
      <w:r w:rsidRPr="0008100B">
        <w:rPr>
          <w:rFonts w:ascii="Arial" w:hAnsi="Arial" w:cs="Arial"/>
          <w:sz w:val="24"/>
          <w:szCs w:val="24"/>
          <w:lang w:val="en-GB"/>
        </w:rPr>
        <w:t xml:space="preserve"> levels are elevated in the saline treatment</w:t>
      </w:r>
      <w:r>
        <w:rPr>
          <w:rFonts w:ascii="Arial" w:hAnsi="Arial" w:cs="Arial"/>
          <w:sz w:val="24"/>
          <w:szCs w:val="24"/>
          <w:lang w:val="en-GB"/>
        </w:rPr>
        <w:t xml:space="preserve"> (</w:t>
      </w:r>
      <w:r w:rsidRPr="00B634EE">
        <w:rPr>
          <w:rFonts w:ascii="Arial" w:hAnsi="Arial" w:cs="Arial"/>
          <w:sz w:val="24"/>
          <w:lang w:val="en-GB"/>
        </w:rPr>
        <w:t>Fig</w:t>
      </w:r>
      <w:r>
        <w:rPr>
          <w:rFonts w:ascii="Arial" w:hAnsi="Arial" w:cs="Arial"/>
          <w:sz w:val="24"/>
          <w:lang w:val="en-GB"/>
        </w:rPr>
        <w:t>ure</w:t>
      </w:r>
      <w:r>
        <w:rPr>
          <w:rFonts w:ascii="Arial" w:hAnsi="Arial" w:cs="Arial"/>
          <w:sz w:val="24"/>
          <w:szCs w:val="24"/>
          <w:lang w:val="en-GB"/>
        </w:rPr>
        <w:t xml:space="preserve"> 1)</w:t>
      </w:r>
      <w:r w:rsidRPr="0008100B">
        <w:rPr>
          <w:rFonts w:ascii="Arial" w:hAnsi="Arial" w:cs="Arial"/>
          <w:sz w:val="24"/>
          <w:szCs w:val="24"/>
          <w:lang w:val="en-GB"/>
        </w:rPr>
        <w:t xml:space="preserve"> causing damage by oxidative stress. But it has been </w:t>
      </w:r>
      <w:r>
        <w:rPr>
          <w:rFonts w:ascii="Arial" w:hAnsi="Arial" w:cs="Arial"/>
          <w:sz w:val="24"/>
          <w:szCs w:val="24"/>
          <w:lang w:val="en-GB"/>
        </w:rPr>
        <w:t>observed that an increase of</w:t>
      </w:r>
      <w:r w:rsidRPr="0008100B">
        <w:rPr>
          <w:rFonts w:ascii="Arial" w:hAnsi="Arial" w:cs="Arial"/>
          <w:sz w:val="24"/>
          <w:szCs w:val="24"/>
          <w:lang w:val="en-GB"/>
        </w:rPr>
        <w:t xml:space="preserve"> CKs can decrease the damages caused by the ROS. Grand Brix presents higher levels of CKs</w:t>
      </w:r>
      <w:r>
        <w:rPr>
          <w:rFonts w:ascii="Arial" w:hAnsi="Arial" w:cs="Arial"/>
          <w:sz w:val="24"/>
          <w:szCs w:val="24"/>
          <w:lang w:val="en-GB"/>
        </w:rPr>
        <w:t xml:space="preserve"> (Table 3)</w:t>
      </w:r>
      <w:r w:rsidRPr="0008100B">
        <w:rPr>
          <w:rFonts w:ascii="Arial" w:hAnsi="Arial" w:cs="Arial"/>
          <w:sz w:val="24"/>
          <w:szCs w:val="24"/>
          <w:lang w:val="en-GB"/>
        </w:rPr>
        <w:t>, this can help to pres</w:t>
      </w:r>
      <w:r>
        <w:rPr>
          <w:rFonts w:ascii="Arial" w:hAnsi="Arial" w:cs="Arial"/>
          <w:sz w:val="24"/>
          <w:szCs w:val="24"/>
          <w:lang w:val="en-GB"/>
        </w:rPr>
        <w:t xml:space="preserve">ent greater tolerance to stress </w:t>
      </w:r>
      <w:r w:rsidRPr="0008100B">
        <w:rPr>
          <w:rFonts w:ascii="Arial" w:hAnsi="Arial" w:cs="Arial"/>
          <w:sz w:val="24"/>
          <w:szCs w:val="24"/>
          <w:lang w:val="en-GB"/>
        </w:rPr>
        <w:t>(Pogány et al. 2004).</w:t>
      </w:r>
    </w:p>
    <w:p w14:paraId="7E331421" w14:textId="77777777" w:rsidR="00E97387" w:rsidRPr="0008100B" w:rsidRDefault="00E97387" w:rsidP="00E97387">
      <w:pPr>
        <w:spacing w:line="480" w:lineRule="auto"/>
        <w:jc w:val="both"/>
        <w:rPr>
          <w:rFonts w:ascii="Arial" w:hAnsi="Arial" w:cs="Arial"/>
          <w:sz w:val="24"/>
          <w:szCs w:val="24"/>
          <w:lang w:val="en-GB"/>
        </w:rPr>
      </w:pPr>
    </w:p>
    <w:p w14:paraId="08983B70"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szCs w:val="24"/>
          <w:lang w:val="en-GB"/>
        </w:rPr>
        <w:t>In short, Marmande RAF was affected</w:t>
      </w:r>
      <w:r>
        <w:rPr>
          <w:rFonts w:ascii="Arial" w:hAnsi="Arial" w:cs="Arial"/>
          <w:sz w:val="24"/>
          <w:szCs w:val="24"/>
          <w:lang w:val="en-GB"/>
        </w:rPr>
        <w:t xml:space="preserve"> by the stress treatment (Table </w:t>
      </w:r>
      <w:r w:rsidRPr="00B634EE">
        <w:rPr>
          <w:rFonts w:ascii="Arial" w:hAnsi="Arial" w:cs="Arial"/>
          <w:sz w:val="24"/>
          <w:szCs w:val="24"/>
          <w:lang w:val="en-GB"/>
        </w:rPr>
        <w:t>1), which could be due to greater O</w:t>
      </w:r>
      <w:r w:rsidRPr="00B634EE">
        <w:rPr>
          <w:rFonts w:ascii="Arial" w:hAnsi="Arial" w:cs="Arial"/>
          <w:sz w:val="24"/>
          <w:szCs w:val="24"/>
          <w:vertAlign w:val="subscript"/>
          <w:lang w:val="en-GB"/>
        </w:rPr>
        <w:t>2</w:t>
      </w:r>
      <w:r w:rsidRPr="00B634EE">
        <w:rPr>
          <w:rFonts w:ascii="Arial" w:hAnsi="Arial" w:cs="Arial"/>
          <w:sz w:val="24"/>
          <w:szCs w:val="24"/>
          <w:vertAlign w:val="superscript"/>
          <w:lang w:val="en-GB"/>
        </w:rPr>
        <w:t>-</w:t>
      </w:r>
      <w:r w:rsidRPr="00B634EE">
        <w:rPr>
          <w:rFonts w:ascii="Arial" w:hAnsi="Arial" w:cs="Arial"/>
          <w:sz w:val="24"/>
          <w:szCs w:val="24"/>
          <w:lang w:val="en-GB"/>
        </w:rPr>
        <w:t xml:space="preserve"> accumulation, this ROS could be the main cause of the oxidative stress. Grand Brix registered greater SOD activity (Tab</w:t>
      </w:r>
      <w:r>
        <w:rPr>
          <w:rFonts w:ascii="Arial" w:hAnsi="Arial" w:cs="Arial"/>
          <w:sz w:val="24"/>
          <w:szCs w:val="24"/>
          <w:lang w:val="en-GB"/>
        </w:rPr>
        <w:t xml:space="preserve">le </w:t>
      </w:r>
      <w:r w:rsidRPr="00B634EE">
        <w:rPr>
          <w:rFonts w:ascii="Arial" w:hAnsi="Arial" w:cs="Arial"/>
          <w:sz w:val="24"/>
          <w:szCs w:val="24"/>
          <w:lang w:val="en-GB"/>
        </w:rPr>
        <w:t>4) and therefore would be protected from the damage caused by this ROS, making it the more tolerant genotype against this type of stress.</w:t>
      </w:r>
    </w:p>
    <w:p w14:paraId="532CFE7E" w14:textId="77777777" w:rsidR="00E97387" w:rsidRPr="00B634EE" w:rsidRDefault="00E97387" w:rsidP="00E97387">
      <w:pPr>
        <w:spacing w:line="480" w:lineRule="auto"/>
        <w:jc w:val="both"/>
        <w:rPr>
          <w:rFonts w:ascii="Arial" w:hAnsi="Arial" w:cs="Arial"/>
          <w:sz w:val="24"/>
          <w:lang w:val="en-GB"/>
        </w:rPr>
      </w:pPr>
    </w:p>
    <w:p w14:paraId="002C1A91" w14:textId="77777777" w:rsidR="00E97387" w:rsidRDefault="00E97387" w:rsidP="00E97387">
      <w:pPr>
        <w:spacing w:line="480" w:lineRule="auto"/>
        <w:jc w:val="both"/>
        <w:rPr>
          <w:rFonts w:ascii="Arial" w:hAnsi="Arial" w:cs="Arial"/>
          <w:sz w:val="24"/>
          <w:szCs w:val="24"/>
          <w:lang w:val="en-GB"/>
        </w:rPr>
      </w:pPr>
      <w:r w:rsidRPr="00B634EE">
        <w:rPr>
          <w:rFonts w:ascii="Arial" w:hAnsi="Arial" w:cs="Arial"/>
          <w:sz w:val="24"/>
          <w:lang w:val="en-GB"/>
        </w:rPr>
        <w:t xml:space="preserve">The levels of non-enzymatic antioxidants are indicators of the redox state of the plant and responsible in part for </w:t>
      </w:r>
      <w:r w:rsidRPr="007728E4">
        <w:rPr>
          <w:rFonts w:ascii="Arial" w:hAnsi="Arial" w:cs="Arial"/>
          <w:sz w:val="24"/>
          <w:lang w:val="en-GB"/>
        </w:rPr>
        <w:t>resistance to stress.  Previous studies show that under salinity stress, the levels of AsA and GSH increase (Gong et al. 2013).  In this sense, the concentrations of the different forms of AsA and GSH in our work behave in a different way (Table</w:t>
      </w:r>
      <w:r>
        <w:rPr>
          <w:rFonts w:ascii="Arial" w:hAnsi="Arial" w:cs="Arial"/>
          <w:sz w:val="24"/>
          <w:lang w:val="en-GB"/>
        </w:rPr>
        <w:t xml:space="preserve"> </w:t>
      </w:r>
      <w:r w:rsidRPr="007728E4">
        <w:rPr>
          <w:rFonts w:ascii="Arial" w:hAnsi="Arial" w:cs="Arial"/>
          <w:sz w:val="24"/>
          <w:lang w:val="en-GB"/>
        </w:rPr>
        <w:t>5 and 6). AsA is used to detoxify H</w:t>
      </w:r>
      <w:r w:rsidRPr="007728E4">
        <w:rPr>
          <w:rFonts w:ascii="Arial" w:hAnsi="Arial" w:cs="Arial"/>
          <w:sz w:val="24"/>
          <w:vertAlign w:val="subscript"/>
          <w:lang w:val="en-GB"/>
        </w:rPr>
        <w:t>2</w:t>
      </w:r>
      <w:r w:rsidRPr="007728E4">
        <w:rPr>
          <w:rFonts w:ascii="Arial" w:hAnsi="Arial" w:cs="Arial"/>
          <w:sz w:val="24"/>
          <w:lang w:val="en-GB"/>
        </w:rPr>
        <w:t>O</w:t>
      </w:r>
      <w:r w:rsidRPr="007728E4">
        <w:rPr>
          <w:rFonts w:ascii="Arial" w:hAnsi="Arial" w:cs="Arial"/>
          <w:sz w:val="24"/>
          <w:vertAlign w:val="subscript"/>
          <w:lang w:val="en-GB"/>
        </w:rPr>
        <w:t>2</w:t>
      </w:r>
      <w:r w:rsidRPr="007728E4">
        <w:rPr>
          <w:rFonts w:ascii="Arial" w:hAnsi="Arial" w:cs="Arial"/>
          <w:sz w:val="24"/>
          <w:lang w:val="en-GB"/>
        </w:rPr>
        <w:t xml:space="preserve"> together with APX activity, and therefore its increases coincide in Grand Brix (Tables</w:t>
      </w:r>
      <w:r>
        <w:rPr>
          <w:rFonts w:ascii="Arial" w:hAnsi="Arial" w:cs="Arial"/>
          <w:sz w:val="24"/>
          <w:lang w:val="en-GB"/>
        </w:rPr>
        <w:t xml:space="preserve"> </w:t>
      </w:r>
      <w:r w:rsidRPr="007728E4">
        <w:rPr>
          <w:rFonts w:ascii="Arial" w:hAnsi="Arial" w:cs="Arial"/>
          <w:sz w:val="24"/>
          <w:lang w:val="en-GB"/>
        </w:rPr>
        <w:t xml:space="preserve">4 and 5). </w:t>
      </w:r>
      <w:r w:rsidRPr="007728E4">
        <w:rPr>
          <w:rFonts w:ascii="Arial" w:hAnsi="Arial" w:cs="Arial"/>
          <w:sz w:val="24"/>
          <w:szCs w:val="24"/>
          <w:lang w:val="en-GB"/>
        </w:rPr>
        <w:t>Sánchez-Rodríguez et al. 2010 showed high AsA concentrations in the most resistant cultivar. The decrease in GSH in</w:t>
      </w:r>
      <w:r w:rsidRPr="00B634EE">
        <w:rPr>
          <w:rFonts w:ascii="Arial" w:hAnsi="Arial" w:cs="Arial"/>
          <w:sz w:val="24"/>
          <w:szCs w:val="24"/>
          <w:lang w:val="en-GB"/>
        </w:rPr>
        <w:t xml:space="preserve"> both genotypes with the </w:t>
      </w:r>
      <w:r w:rsidRPr="00B634EE">
        <w:rPr>
          <w:rFonts w:ascii="Arial" w:hAnsi="Arial" w:cs="Arial"/>
          <w:sz w:val="24"/>
          <w:szCs w:val="24"/>
          <w:lang w:val="en-GB"/>
        </w:rPr>
        <w:lastRenderedPageBreak/>
        <w:t>applicatio</w:t>
      </w:r>
      <w:r>
        <w:rPr>
          <w:rFonts w:ascii="Arial" w:hAnsi="Arial" w:cs="Arial"/>
          <w:sz w:val="24"/>
          <w:szCs w:val="24"/>
          <w:lang w:val="en-GB"/>
        </w:rPr>
        <w:t>ns of salinity treatment (Table 5</w:t>
      </w:r>
      <w:r w:rsidRPr="00B634EE">
        <w:rPr>
          <w:rFonts w:ascii="Arial" w:hAnsi="Arial" w:cs="Arial"/>
          <w:sz w:val="24"/>
          <w:szCs w:val="24"/>
          <w:lang w:val="en-GB"/>
        </w:rPr>
        <w:t>) could be due to the GSH is being used for other ends and because other compounds under low molecular weight</w:t>
      </w:r>
      <w:r>
        <w:rPr>
          <w:rFonts w:ascii="Arial" w:hAnsi="Arial" w:cs="Arial"/>
          <w:sz w:val="24"/>
          <w:szCs w:val="24"/>
          <w:lang w:val="en-GB"/>
        </w:rPr>
        <w:t xml:space="preserve"> </w:t>
      </w:r>
      <w:r w:rsidRPr="00B634EE">
        <w:rPr>
          <w:rFonts w:ascii="Arial" w:hAnsi="Arial" w:cs="Arial"/>
          <w:sz w:val="24"/>
          <w:szCs w:val="24"/>
          <w:lang w:val="en-GB"/>
        </w:rPr>
        <w:t>are being generated that could intervene also in the resistance to this type of stress (Khaliq et al. 2015). In any case, it bears emphasizing that, AsA</w:t>
      </w:r>
      <w:r w:rsidRPr="00B634EE">
        <w:rPr>
          <w:rFonts w:ascii="Arial" w:hAnsi="Arial" w:cs="Arial"/>
          <w:sz w:val="24"/>
          <w:szCs w:val="24"/>
          <w:vertAlign w:val="subscript"/>
          <w:lang w:val="en-GB"/>
        </w:rPr>
        <w:t>tot</w:t>
      </w:r>
      <w:r w:rsidRPr="00B634EE">
        <w:rPr>
          <w:rFonts w:ascii="Arial" w:hAnsi="Arial" w:cs="Arial"/>
          <w:sz w:val="24"/>
          <w:szCs w:val="24"/>
          <w:lang w:val="en-GB"/>
        </w:rPr>
        <w:t xml:space="preserve"> and GSH</w:t>
      </w:r>
      <w:r w:rsidRPr="00B634EE">
        <w:rPr>
          <w:rFonts w:ascii="Arial" w:hAnsi="Arial" w:cs="Arial"/>
          <w:sz w:val="24"/>
          <w:szCs w:val="24"/>
          <w:vertAlign w:val="subscript"/>
          <w:lang w:val="en-GB"/>
        </w:rPr>
        <w:t>tot</w:t>
      </w:r>
      <w:r w:rsidRPr="00B634EE">
        <w:rPr>
          <w:rFonts w:ascii="Arial" w:hAnsi="Arial" w:cs="Arial"/>
          <w:sz w:val="24"/>
          <w:szCs w:val="24"/>
          <w:lang w:val="en-GB"/>
        </w:rPr>
        <w:t xml:space="preserve"> concentrations were higher in Grand Brix, which proved more resistant to sa</w:t>
      </w:r>
      <w:r>
        <w:rPr>
          <w:rFonts w:ascii="Arial" w:hAnsi="Arial" w:cs="Arial"/>
          <w:sz w:val="24"/>
          <w:szCs w:val="24"/>
          <w:lang w:val="en-GB"/>
        </w:rPr>
        <w:t xml:space="preserve">line stress in our work (Tables </w:t>
      </w:r>
      <w:r w:rsidRPr="00B634EE">
        <w:rPr>
          <w:rFonts w:ascii="Arial" w:hAnsi="Arial" w:cs="Arial"/>
          <w:sz w:val="24"/>
          <w:szCs w:val="24"/>
          <w:lang w:val="en-GB"/>
        </w:rPr>
        <w:t>5 and 6).</w:t>
      </w:r>
    </w:p>
    <w:p w14:paraId="3703EAA4" w14:textId="77777777" w:rsidR="00E97387" w:rsidRDefault="00E97387" w:rsidP="00E97387">
      <w:pPr>
        <w:spacing w:line="480" w:lineRule="auto"/>
        <w:jc w:val="both"/>
        <w:rPr>
          <w:rFonts w:ascii="Arial" w:hAnsi="Arial" w:cs="Arial"/>
          <w:sz w:val="24"/>
          <w:szCs w:val="24"/>
          <w:lang w:val="en-GB"/>
        </w:rPr>
      </w:pPr>
    </w:p>
    <w:p w14:paraId="2C4D77BD" w14:textId="77777777" w:rsidR="00E97387" w:rsidRDefault="00E97387" w:rsidP="00E97387">
      <w:pPr>
        <w:spacing w:line="480" w:lineRule="auto"/>
        <w:jc w:val="both"/>
        <w:rPr>
          <w:rFonts w:ascii="Arial" w:hAnsi="Arial" w:cs="Arial"/>
          <w:sz w:val="24"/>
          <w:lang w:val="en-GB"/>
        </w:rPr>
      </w:pPr>
      <w:r w:rsidRPr="00BD4AD8">
        <w:rPr>
          <w:rFonts w:ascii="Arial" w:hAnsi="Arial" w:cs="Arial"/>
          <w:sz w:val="24"/>
          <w:lang w:val="en-GB"/>
        </w:rPr>
        <w:t xml:space="preserve">The current literature shows how CAT activity increases under saline stress. However, in our experiment </w:t>
      </w:r>
      <w:r>
        <w:rPr>
          <w:rFonts w:ascii="Arial" w:hAnsi="Arial" w:cs="Arial"/>
          <w:sz w:val="24"/>
          <w:lang w:val="en-GB"/>
        </w:rPr>
        <w:t xml:space="preserve">the </w:t>
      </w:r>
      <w:r w:rsidRPr="00BD4AD8">
        <w:rPr>
          <w:rFonts w:ascii="Arial" w:hAnsi="Arial" w:cs="Arial"/>
          <w:sz w:val="24"/>
          <w:lang w:val="en-GB"/>
        </w:rPr>
        <w:t>CAT activity declines</w:t>
      </w:r>
      <w:r>
        <w:rPr>
          <w:rFonts w:ascii="Arial" w:hAnsi="Arial" w:cs="Arial"/>
          <w:sz w:val="24"/>
          <w:lang w:val="en-GB"/>
        </w:rPr>
        <w:t xml:space="preserve"> (Table 5)</w:t>
      </w:r>
      <w:r w:rsidRPr="00BD4AD8">
        <w:rPr>
          <w:rFonts w:ascii="Arial" w:hAnsi="Arial" w:cs="Arial"/>
          <w:sz w:val="24"/>
          <w:lang w:val="en-GB"/>
        </w:rPr>
        <w:t xml:space="preserve">. This decrease may be due to </w:t>
      </w:r>
      <w:r>
        <w:rPr>
          <w:rFonts w:ascii="Arial" w:hAnsi="Arial" w:cs="Arial"/>
          <w:sz w:val="24"/>
          <w:lang w:val="en-GB"/>
        </w:rPr>
        <w:t xml:space="preserve">an enzymatic </w:t>
      </w:r>
      <w:r w:rsidRPr="00BD4AD8">
        <w:rPr>
          <w:rFonts w:ascii="Arial" w:hAnsi="Arial" w:cs="Arial"/>
          <w:sz w:val="24"/>
          <w:lang w:val="en-GB"/>
        </w:rPr>
        <w:t>inhibit</w:t>
      </w:r>
      <w:r>
        <w:rPr>
          <w:rFonts w:ascii="Arial" w:hAnsi="Arial" w:cs="Arial"/>
          <w:sz w:val="24"/>
          <w:lang w:val="en-GB"/>
        </w:rPr>
        <w:t>ion</w:t>
      </w:r>
      <w:r w:rsidRPr="00BD4AD8">
        <w:rPr>
          <w:rFonts w:ascii="Arial" w:hAnsi="Arial" w:cs="Arial"/>
          <w:sz w:val="24"/>
          <w:lang w:val="en-GB"/>
        </w:rPr>
        <w:t>, however</w:t>
      </w:r>
      <w:r>
        <w:rPr>
          <w:rFonts w:ascii="Arial" w:hAnsi="Arial" w:cs="Arial"/>
          <w:sz w:val="24"/>
          <w:lang w:val="en-GB"/>
        </w:rPr>
        <w:t>,</w:t>
      </w:r>
      <w:r w:rsidRPr="00BD4AD8">
        <w:rPr>
          <w:rFonts w:ascii="Arial" w:hAnsi="Arial" w:cs="Arial"/>
          <w:sz w:val="24"/>
          <w:lang w:val="en-GB"/>
        </w:rPr>
        <w:t xml:space="preserve"> the accumulation of H</w:t>
      </w:r>
      <w:r w:rsidRPr="00BD4AD8">
        <w:rPr>
          <w:rFonts w:ascii="Arial" w:hAnsi="Arial" w:cs="Arial"/>
          <w:sz w:val="24"/>
          <w:vertAlign w:val="subscript"/>
          <w:lang w:val="en-GB"/>
        </w:rPr>
        <w:t>2</w:t>
      </w:r>
      <w:r w:rsidRPr="00BD4AD8">
        <w:rPr>
          <w:rFonts w:ascii="Arial" w:hAnsi="Arial" w:cs="Arial"/>
          <w:sz w:val="24"/>
          <w:lang w:val="en-GB"/>
        </w:rPr>
        <w:t>O</w:t>
      </w:r>
      <w:r w:rsidRPr="00BD4AD8">
        <w:rPr>
          <w:rFonts w:ascii="Arial" w:hAnsi="Arial" w:cs="Arial"/>
          <w:sz w:val="24"/>
          <w:vertAlign w:val="subscript"/>
          <w:lang w:val="en-GB"/>
        </w:rPr>
        <w:t>2</w:t>
      </w:r>
      <w:r w:rsidRPr="00BD4AD8">
        <w:rPr>
          <w:rFonts w:ascii="Arial" w:hAnsi="Arial" w:cs="Arial"/>
          <w:sz w:val="24"/>
          <w:lang w:val="en-GB"/>
        </w:rPr>
        <w:t xml:space="preserve"> is not very hi</w:t>
      </w:r>
      <w:r>
        <w:rPr>
          <w:rFonts w:ascii="Arial" w:hAnsi="Arial" w:cs="Arial"/>
          <w:sz w:val="24"/>
          <w:lang w:val="en-GB"/>
        </w:rPr>
        <w:t>gh (</w:t>
      </w:r>
      <w:r w:rsidRPr="00B634EE">
        <w:rPr>
          <w:rFonts w:ascii="Arial" w:hAnsi="Arial" w:cs="Arial"/>
          <w:sz w:val="24"/>
          <w:lang w:val="en-GB"/>
        </w:rPr>
        <w:t>Fig</w:t>
      </w:r>
      <w:r>
        <w:rPr>
          <w:rFonts w:ascii="Arial" w:hAnsi="Arial" w:cs="Arial"/>
          <w:sz w:val="24"/>
          <w:lang w:val="en-GB"/>
        </w:rPr>
        <w:t>ure 1). It could</w:t>
      </w:r>
      <w:r w:rsidRPr="00BD4AD8">
        <w:rPr>
          <w:rFonts w:ascii="Arial" w:hAnsi="Arial" w:cs="Arial"/>
          <w:sz w:val="24"/>
          <w:lang w:val="en-GB"/>
        </w:rPr>
        <w:t xml:space="preserve"> be </w:t>
      </w:r>
      <w:r>
        <w:rPr>
          <w:rFonts w:ascii="Arial" w:hAnsi="Arial" w:cs="Arial"/>
          <w:sz w:val="24"/>
          <w:lang w:val="en-GB"/>
        </w:rPr>
        <w:t>because the</w:t>
      </w:r>
      <w:r w:rsidRPr="00BD4AD8">
        <w:rPr>
          <w:rFonts w:ascii="Arial" w:hAnsi="Arial" w:cs="Arial"/>
          <w:sz w:val="24"/>
          <w:lang w:val="en-GB"/>
        </w:rPr>
        <w:t xml:space="preserve"> H</w:t>
      </w:r>
      <w:r w:rsidRPr="00BD4AD8">
        <w:rPr>
          <w:rFonts w:ascii="Arial" w:hAnsi="Arial" w:cs="Arial"/>
          <w:sz w:val="24"/>
          <w:vertAlign w:val="subscript"/>
          <w:lang w:val="en-GB"/>
        </w:rPr>
        <w:t>2</w:t>
      </w:r>
      <w:r w:rsidRPr="00BD4AD8">
        <w:rPr>
          <w:rFonts w:ascii="Arial" w:hAnsi="Arial" w:cs="Arial"/>
          <w:sz w:val="24"/>
          <w:lang w:val="en-GB"/>
        </w:rPr>
        <w:t>O</w:t>
      </w:r>
      <w:r w:rsidRPr="00BD4AD8">
        <w:rPr>
          <w:rFonts w:ascii="Arial" w:hAnsi="Arial" w:cs="Arial"/>
          <w:sz w:val="24"/>
          <w:vertAlign w:val="subscript"/>
          <w:lang w:val="en-GB"/>
        </w:rPr>
        <w:t>2</w:t>
      </w:r>
      <w:r>
        <w:rPr>
          <w:rFonts w:ascii="Arial" w:hAnsi="Arial" w:cs="Arial"/>
          <w:sz w:val="24"/>
          <w:vertAlign w:val="subscript"/>
          <w:lang w:val="en-GB"/>
        </w:rPr>
        <w:t xml:space="preserve"> </w:t>
      </w:r>
      <w:r>
        <w:rPr>
          <w:rFonts w:ascii="Arial" w:hAnsi="Arial" w:cs="Arial"/>
          <w:sz w:val="24"/>
          <w:lang w:val="en-GB"/>
        </w:rPr>
        <w:t>detoxification</w:t>
      </w:r>
      <w:r w:rsidRPr="00BD4AD8">
        <w:rPr>
          <w:rFonts w:ascii="Arial" w:hAnsi="Arial" w:cs="Arial"/>
          <w:sz w:val="24"/>
          <w:lang w:val="en-GB"/>
        </w:rPr>
        <w:t xml:space="preserve"> </w:t>
      </w:r>
      <w:r>
        <w:rPr>
          <w:rFonts w:ascii="Arial" w:hAnsi="Arial" w:cs="Arial"/>
          <w:sz w:val="24"/>
          <w:lang w:val="en-GB"/>
        </w:rPr>
        <w:t>is carried out by other ways</w:t>
      </w:r>
      <w:r w:rsidRPr="00BD4AD8">
        <w:rPr>
          <w:rFonts w:ascii="Arial" w:hAnsi="Arial" w:cs="Arial"/>
          <w:sz w:val="24"/>
          <w:lang w:val="en-GB"/>
        </w:rPr>
        <w:t xml:space="preserve"> such as the APX and GSHPx enzymes or by compounds such as AsA.</w:t>
      </w:r>
    </w:p>
    <w:p w14:paraId="32F74D93" w14:textId="77777777" w:rsidR="00E97387" w:rsidRPr="00B634EE" w:rsidRDefault="00E97387" w:rsidP="00E97387">
      <w:pPr>
        <w:spacing w:line="480" w:lineRule="auto"/>
        <w:jc w:val="both"/>
        <w:rPr>
          <w:rFonts w:ascii="Arial" w:hAnsi="Arial" w:cs="Arial"/>
          <w:sz w:val="24"/>
          <w:lang w:val="en-GB"/>
        </w:rPr>
      </w:pPr>
    </w:p>
    <w:p w14:paraId="5467D7EB" w14:textId="77777777" w:rsidR="00E97387" w:rsidRDefault="00E97387" w:rsidP="00E97387">
      <w:pPr>
        <w:spacing w:line="480" w:lineRule="auto"/>
        <w:jc w:val="both"/>
        <w:rPr>
          <w:rFonts w:ascii="Arial" w:hAnsi="Arial" w:cs="Arial"/>
          <w:sz w:val="24"/>
          <w:lang w:val="en-GB"/>
        </w:rPr>
      </w:pPr>
      <w:r w:rsidRPr="00B634EE">
        <w:rPr>
          <w:rFonts w:ascii="Arial" w:hAnsi="Arial" w:cs="Arial"/>
          <w:sz w:val="24"/>
          <w:lang w:val="en-GB"/>
        </w:rPr>
        <w:t xml:space="preserve">These tests measure the capacity to </w:t>
      </w:r>
      <w:r w:rsidRPr="007728E4">
        <w:rPr>
          <w:rFonts w:ascii="Arial" w:hAnsi="Arial" w:cs="Arial"/>
          <w:sz w:val="24"/>
          <w:lang w:val="en-GB"/>
        </w:rPr>
        <w:t>reduce pro-oxidant substances (Schleiser et al. 2002). Some studies with metal toxicity indicate that the values of the antioxidant test rise with the level of stress (Ríos et al. 2008). Grand Brix registered the highest antioxidant capacity (</w:t>
      </w:r>
      <w:r w:rsidRPr="00B634EE">
        <w:rPr>
          <w:rFonts w:ascii="Arial" w:hAnsi="Arial" w:cs="Arial"/>
          <w:sz w:val="24"/>
          <w:lang w:val="en-GB"/>
        </w:rPr>
        <w:t>Fig</w:t>
      </w:r>
      <w:r>
        <w:rPr>
          <w:rFonts w:ascii="Arial" w:hAnsi="Arial" w:cs="Arial"/>
          <w:sz w:val="24"/>
          <w:lang w:val="en-GB"/>
        </w:rPr>
        <w:t>ure</w:t>
      </w:r>
      <w:r w:rsidRPr="007728E4">
        <w:rPr>
          <w:rFonts w:ascii="Arial" w:hAnsi="Arial" w:cs="Arial"/>
          <w:sz w:val="24"/>
          <w:lang w:val="en-GB"/>
        </w:rPr>
        <w:t xml:space="preserve"> 2), and this finding</w:t>
      </w:r>
      <w:r w:rsidRPr="00B634EE">
        <w:rPr>
          <w:rFonts w:ascii="Arial" w:hAnsi="Arial" w:cs="Arial"/>
          <w:sz w:val="24"/>
          <w:lang w:val="en-GB"/>
        </w:rPr>
        <w:t xml:space="preserve"> plus the increase in the antioxidant compounds AsA and GSH could corroborate for this genotype being the more resistant than Marmande RA</w:t>
      </w:r>
      <w:r>
        <w:rPr>
          <w:rFonts w:ascii="Arial" w:hAnsi="Arial" w:cs="Arial"/>
          <w:sz w:val="24"/>
          <w:lang w:val="en-GB"/>
        </w:rPr>
        <w:t>F to this type of ionic stress.</w:t>
      </w:r>
    </w:p>
    <w:p w14:paraId="2ED33235" w14:textId="77777777" w:rsidR="00E97387" w:rsidRDefault="00E97387" w:rsidP="00E97387">
      <w:pPr>
        <w:spacing w:line="480" w:lineRule="auto"/>
        <w:jc w:val="both"/>
        <w:rPr>
          <w:rFonts w:ascii="Arial" w:hAnsi="Arial" w:cs="Arial"/>
          <w:sz w:val="24"/>
          <w:lang w:val="en-GB"/>
        </w:rPr>
      </w:pPr>
    </w:p>
    <w:p w14:paraId="7739DAF1" w14:textId="77777777" w:rsidR="00E97387" w:rsidRPr="007728E4" w:rsidRDefault="00E97387" w:rsidP="00E97387">
      <w:pPr>
        <w:spacing w:line="480" w:lineRule="auto"/>
        <w:jc w:val="both"/>
        <w:rPr>
          <w:rFonts w:ascii="Arial" w:hAnsi="Arial" w:cs="Arial"/>
          <w:sz w:val="24"/>
          <w:szCs w:val="24"/>
          <w:lang w:val="en-GB"/>
        </w:rPr>
      </w:pPr>
      <w:r w:rsidRPr="00B634EE">
        <w:rPr>
          <w:rFonts w:ascii="Arial" w:hAnsi="Arial" w:cs="Arial"/>
          <w:sz w:val="24"/>
          <w:lang w:val="en-GB"/>
        </w:rPr>
        <w:t xml:space="preserve">Previous studies on hormones regulating plant growth showed a reduction of the negative effect of salt stress on germination of seeds treated with exogenous IAA </w:t>
      </w:r>
      <w:r w:rsidRPr="00B634EE">
        <w:rPr>
          <w:rFonts w:ascii="Arial" w:hAnsi="Arial" w:cs="Arial"/>
          <w:sz w:val="24"/>
          <w:lang w:val="en-GB"/>
        </w:rPr>
        <w:lastRenderedPageBreak/>
        <w:t>(</w:t>
      </w:r>
      <w:r w:rsidRPr="007728E4">
        <w:rPr>
          <w:rFonts w:ascii="Arial" w:hAnsi="Arial" w:cs="Arial"/>
          <w:sz w:val="24"/>
          <w:lang w:val="en-GB"/>
        </w:rPr>
        <w:t>Javid et al. 2011). Accordingly, the IAA concentration increase observed in our saline treatment (60% for the cv. Grand Brix) (Table</w:t>
      </w:r>
      <w:r>
        <w:rPr>
          <w:rFonts w:ascii="Arial" w:hAnsi="Arial" w:cs="Arial"/>
          <w:sz w:val="24"/>
          <w:lang w:val="en-GB"/>
        </w:rPr>
        <w:t xml:space="preserve"> </w:t>
      </w:r>
      <w:r w:rsidRPr="007728E4">
        <w:rPr>
          <w:rFonts w:ascii="Arial" w:hAnsi="Arial" w:cs="Arial"/>
          <w:sz w:val="24"/>
          <w:lang w:val="en-GB"/>
        </w:rPr>
        <w:t>3) would help cv. Grand Brix to have greater tolerance to salt stress. In addition, it was noted that an IAA concentration increase helps improve osmotic stress. Therefore, as salt stress produces osmotic stress, an increase in IAA concentration would help improve plant homeostasis (Naser and Shani 2016). An improvement in the osmotic state of the plant generated by increased IAA concentration also provides better resistance to salt stress in cv. Grand Brix. In addition, in plants with depressed CAT activity (Table</w:t>
      </w:r>
      <w:r>
        <w:rPr>
          <w:rFonts w:ascii="Arial" w:hAnsi="Arial" w:cs="Arial"/>
          <w:sz w:val="24"/>
          <w:lang w:val="en-GB"/>
        </w:rPr>
        <w:t xml:space="preserve"> </w:t>
      </w:r>
      <w:r w:rsidRPr="007728E4">
        <w:rPr>
          <w:rFonts w:ascii="Arial" w:hAnsi="Arial" w:cs="Arial"/>
          <w:sz w:val="24"/>
          <w:lang w:val="en-GB"/>
        </w:rPr>
        <w:t>5) an increase of auxins (Table</w:t>
      </w:r>
      <w:r>
        <w:rPr>
          <w:rFonts w:ascii="Arial" w:hAnsi="Arial" w:cs="Arial"/>
          <w:sz w:val="24"/>
          <w:lang w:val="en-GB"/>
        </w:rPr>
        <w:t xml:space="preserve"> </w:t>
      </w:r>
      <w:r w:rsidRPr="007728E4">
        <w:rPr>
          <w:rFonts w:ascii="Arial" w:hAnsi="Arial" w:cs="Arial"/>
          <w:sz w:val="24"/>
          <w:lang w:val="en-GB"/>
        </w:rPr>
        <w:t xml:space="preserve">3) may help to detoxify ROS, which could explain the greater tolerance of Grand Brix to oxidative stress </w:t>
      </w:r>
      <w:r w:rsidRPr="007728E4">
        <w:rPr>
          <w:rFonts w:ascii="Arial" w:hAnsi="Arial" w:cs="Arial"/>
          <w:sz w:val="24"/>
          <w:szCs w:val="24"/>
          <w:lang w:val="en-GB"/>
        </w:rPr>
        <w:t>(Noctor et al. 2015).</w:t>
      </w:r>
    </w:p>
    <w:p w14:paraId="01913888" w14:textId="77777777" w:rsidR="00E97387" w:rsidRPr="007728E4" w:rsidRDefault="00E97387" w:rsidP="00E97387">
      <w:pPr>
        <w:spacing w:line="480" w:lineRule="auto"/>
        <w:jc w:val="both"/>
        <w:rPr>
          <w:rFonts w:ascii="Arial" w:hAnsi="Arial" w:cs="Arial"/>
          <w:sz w:val="24"/>
          <w:lang w:val="en-GB"/>
        </w:rPr>
      </w:pPr>
    </w:p>
    <w:p w14:paraId="3B3258F4" w14:textId="77777777" w:rsidR="00E97387" w:rsidRDefault="00E97387" w:rsidP="00E97387">
      <w:pPr>
        <w:spacing w:line="480" w:lineRule="auto"/>
        <w:jc w:val="both"/>
        <w:rPr>
          <w:rFonts w:ascii="Arial" w:hAnsi="Arial" w:cs="Arial"/>
          <w:sz w:val="24"/>
          <w:lang w:val="en-GB"/>
        </w:rPr>
      </w:pPr>
      <w:r w:rsidRPr="007728E4">
        <w:rPr>
          <w:rFonts w:ascii="Arial" w:hAnsi="Arial" w:cs="Arial"/>
          <w:sz w:val="24"/>
          <w:lang w:val="en-GB"/>
        </w:rPr>
        <w:t>Ghanem et al. (2011) underwent two varieties of tomato to salt stress and they showed that the concentration of</w:t>
      </w:r>
      <w:r>
        <w:rPr>
          <w:rFonts w:ascii="Arial" w:hAnsi="Arial" w:cs="Arial"/>
          <w:sz w:val="24"/>
          <w:lang w:val="en-GB"/>
        </w:rPr>
        <w:t xml:space="preserve"> CKs in the plants increase</w:t>
      </w:r>
      <w:r w:rsidRPr="006B0E5E">
        <w:rPr>
          <w:rFonts w:ascii="Arial" w:hAnsi="Arial" w:cs="Arial"/>
          <w:sz w:val="24"/>
          <w:lang w:val="en-GB"/>
        </w:rPr>
        <w:t xml:space="preserve"> in the leaves in saline treatment</w:t>
      </w:r>
      <w:r>
        <w:rPr>
          <w:rFonts w:ascii="Arial" w:hAnsi="Arial" w:cs="Arial"/>
          <w:sz w:val="24"/>
          <w:lang w:val="en-GB"/>
        </w:rPr>
        <w:t>. In our experiment, it was</w:t>
      </w:r>
      <w:r w:rsidRPr="006B0E5E">
        <w:rPr>
          <w:rFonts w:ascii="Arial" w:hAnsi="Arial" w:cs="Arial"/>
          <w:sz w:val="24"/>
          <w:lang w:val="en-GB"/>
        </w:rPr>
        <w:t xml:space="preserve"> also observed an increase in the concentration of CKs</w:t>
      </w:r>
      <w:r>
        <w:rPr>
          <w:rFonts w:ascii="Arial" w:hAnsi="Arial" w:cs="Arial"/>
          <w:sz w:val="24"/>
          <w:lang w:val="en-GB"/>
        </w:rPr>
        <w:t xml:space="preserve"> in</w:t>
      </w:r>
      <w:r w:rsidRPr="006B0E5E">
        <w:rPr>
          <w:rFonts w:ascii="Arial" w:hAnsi="Arial" w:cs="Arial"/>
          <w:sz w:val="24"/>
          <w:lang w:val="en-GB"/>
        </w:rPr>
        <w:t xml:space="preserve"> the saline treatment in both varieties</w:t>
      </w:r>
      <w:r>
        <w:rPr>
          <w:rFonts w:ascii="Arial" w:hAnsi="Arial" w:cs="Arial"/>
          <w:sz w:val="24"/>
          <w:lang w:val="en-GB"/>
        </w:rPr>
        <w:t xml:space="preserve">. tZ and iP concentrations increased by a 88% and 160% respectively in the cv. Grand Brix and the concentration of these hormones increased by a 32% and 180% respectively for the cv. Marmande RAF (Table 3). </w:t>
      </w:r>
      <w:r w:rsidRPr="00DB33DC">
        <w:rPr>
          <w:rFonts w:ascii="Arial" w:hAnsi="Arial" w:cs="Arial"/>
          <w:sz w:val="24"/>
          <w:lang w:val="en-GB"/>
        </w:rPr>
        <w:t>Ghanem</w:t>
      </w:r>
      <w:r w:rsidRPr="00D7785B">
        <w:rPr>
          <w:rFonts w:ascii="Arial" w:hAnsi="Arial" w:cs="Arial"/>
          <w:sz w:val="24"/>
          <w:lang w:val="en-GB"/>
        </w:rPr>
        <w:t xml:space="preserve"> et al. (2011) conclude</w:t>
      </w:r>
      <w:r>
        <w:rPr>
          <w:rFonts w:ascii="Arial" w:hAnsi="Arial" w:cs="Arial"/>
          <w:sz w:val="24"/>
          <w:lang w:val="en-GB"/>
        </w:rPr>
        <w:t>d</w:t>
      </w:r>
      <w:r w:rsidRPr="00D7785B">
        <w:rPr>
          <w:rFonts w:ascii="Arial" w:hAnsi="Arial" w:cs="Arial"/>
          <w:sz w:val="24"/>
          <w:lang w:val="en-GB"/>
        </w:rPr>
        <w:t xml:space="preserve"> that </w:t>
      </w:r>
      <w:r>
        <w:rPr>
          <w:rFonts w:ascii="Arial" w:hAnsi="Arial" w:cs="Arial"/>
          <w:sz w:val="24"/>
          <w:lang w:val="en-GB"/>
        </w:rPr>
        <w:t>a greater accumulation of CKs, c</w:t>
      </w:r>
      <w:r w:rsidRPr="00D7785B">
        <w:rPr>
          <w:rFonts w:ascii="Arial" w:hAnsi="Arial" w:cs="Arial"/>
          <w:sz w:val="24"/>
          <w:lang w:val="en-GB"/>
        </w:rPr>
        <w:t xml:space="preserve">ould </w:t>
      </w:r>
      <w:r w:rsidRPr="002B406D">
        <w:rPr>
          <w:rFonts w:ascii="Arial" w:hAnsi="Arial" w:cs="Arial"/>
          <w:sz w:val="24"/>
          <w:lang w:val="en-GB"/>
        </w:rPr>
        <w:t>improve the resistance to salt stress</w:t>
      </w:r>
      <w:r>
        <w:rPr>
          <w:rFonts w:ascii="Arial" w:hAnsi="Arial" w:cs="Arial"/>
          <w:sz w:val="24"/>
          <w:lang w:val="en-GB"/>
        </w:rPr>
        <w:t xml:space="preserve">. </w:t>
      </w:r>
    </w:p>
    <w:p w14:paraId="158B4E2E" w14:textId="77777777" w:rsidR="00E97387" w:rsidRDefault="00E97387" w:rsidP="00E97387">
      <w:pPr>
        <w:spacing w:line="480" w:lineRule="auto"/>
        <w:jc w:val="both"/>
        <w:rPr>
          <w:rFonts w:ascii="Arial" w:hAnsi="Arial" w:cs="Arial"/>
          <w:sz w:val="24"/>
          <w:lang w:val="en-GB"/>
        </w:rPr>
      </w:pPr>
    </w:p>
    <w:p w14:paraId="1C42E8DF" w14:textId="77777777" w:rsidR="00E97387" w:rsidRDefault="00E97387" w:rsidP="00E97387">
      <w:pPr>
        <w:spacing w:line="480" w:lineRule="auto"/>
        <w:jc w:val="both"/>
        <w:rPr>
          <w:rFonts w:ascii="Arial" w:hAnsi="Arial" w:cs="Arial"/>
          <w:sz w:val="24"/>
          <w:lang w:val="en-GB"/>
        </w:rPr>
      </w:pPr>
      <w:r w:rsidRPr="002C68AC">
        <w:rPr>
          <w:rFonts w:ascii="Arial" w:hAnsi="Arial" w:cs="Arial"/>
          <w:sz w:val="24"/>
          <w:lang w:val="en-GB"/>
        </w:rPr>
        <w:t>Rapid accumulation of GA</w:t>
      </w:r>
      <w:r>
        <w:rPr>
          <w:rFonts w:ascii="Arial" w:hAnsi="Arial" w:cs="Arial"/>
          <w:sz w:val="24"/>
          <w:lang w:val="en-GB"/>
        </w:rPr>
        <w:t>s</w:t>
      </w:r>
      <w:r w:rsidRPr="002C68AC">
        <w:rPr>
          <w:rFonts w:ascii="Arial" w:hAnsi="Arial" w:cs="Arial"/>
          <w:sz w:val="24"/>
          <w:lang w:val="en-GB"/>
        </w:rPr>
        <w:t xml:space="preserve"> is a characteristic of plants exposed to abiotic stresses</w:t>
      </w:r>
      <w:r>
        <w:rPr>
          <w:rFonts w:ascii="Arial" w:hAnsi="Arial" w:cs="Arial"/>
          <w:sz w:val="24"/>
          <w:lang w:val="en-GB"/>
        </w:rPr>
        <w:t>, and i</w:t>
      </w:r>
      <w:r w:rsidRPr="002C68AC">
        <w:rPr>
          <w:rFonts w:ascii="Arial" w:hAnsi="Arial" w:cs="Arial"/>
          <w:sz w:val="24"/>
          <w:lang w:val="en-GB"/>
        </w:rPr>
        <w:t xml:space="preserve">t is an important phytohormone that can impart stress tolerance </w:t>
      </w:r>
      <w:r>
        <w:rPr>
          <w:rFonts w:ascii="Arial" w:hAnsi="Arial" w:cs="Arial"/>
          <w:sz w:val="24"/>
          <w:lang w:val="en-GB"/>
        </w:rPr>
        <w:lastRenderedPageBreak/>
        <w:t>including salinity. In our experiment, the GA</w:t>
      </w:r>
      <w:r w:rsidRPr="004B3BAC">
        <w:rPr>
          <w:rFonts w:ascii="Arial" w:hAnsi="Arial" w:cs="Arial"/>
          <w:sz w:val="24"/>
          <w:vertAlign w:val="subscript"/>
          <w:lang w:val="en-GB"/>
        </w:rPr>
        <w:t>4</w:t>
      </w:r>
      <w:r>
        <w:rPr>
          <w:rFonts w:ascii="Arial" w:hAnsi="Arial" w:cs="Arial"/>
          <w:sz w:val="24"/>
          <w:lang w:val="en-GB"/>
        </w:rPr>
        <w:t xml:space="preserve"> was</w:t>
      </w:r>
      <w:r w:rsidRPr="002C68AC">
        <w:rPr>
          <w:rFonts w:ascii="Arial" w:hAnsi="Arial" w:cs="Arial"/>
          <w:sz w:val="24"/>
          <w:lang w:val="en-GB"/>
        </w:rPr>
        <w:t xml:space="preserve"> only detected </w:t>
      </w:r>
      <w:r>
        <w:rPr>
          <w:rFonts w:ascii="Arial" w:hAnsi="Arial" w:cs="Arial"/>
          <w:sz w:val="24"/>
          <w:lang w:val="en-GB"/>
        </w:rPr>
        <w:t xml:space="preserve">in </w:t>
      </w:r>
      <w:r w:rsidRPr="002C68AC">
        <w:rPr>
          <w:rFonts w:ascii="Arial" w:hAnsi="Arial" w:cs="Arial"/>
          <w:sz w:val="24"/>
          <w:lang w:val="en-GB"/>
        </w:rPr>
        <w:t>cv. Grand Brix</w:t>
      </w:r>
      <w:r>
        <w:rPr>
          <w:rFonts w:ascii="Arial" w:hAnsi="Arial" w:cs="Arial"/>
          <w:sz w:val="24"/>
          <w:lang w:val="en-GB"/>
        </w:rPr>
        <w:t xml:space="preserve"> in</w:t>
      </w:r>
      <w:r w:rsidRPr="00165965">
        <w:rPr>
          <w:rFonts w:ascii="Arial" w:hAnsi="Arial" w:cs="Arial"/>
          <w:sz w:val="24"/>
          <w:lang w:val="en-GB"/>
        </w:rPr>
        <w:t xml:space="preserve"> </w:t>
      </w:r>
      <w:r>
        <w:rPr>
          <w:rFonts w:ascii="Arial" w:hAnsi="Arial" w:cs="Arial"/>
          <w:sz w:val="24"/>
          <w:lang w:val="en-GB"/>
        </w:rPr>
        <w:t>saline treatment</w:t>
      </w:r>
      <w:r w:rsidRPr="002C68AC">
        <w:rPr>
          <w:rFonts w:ascii="Arial" w:hAnsi="Arial" w:cs="Arial"/>
          <w:sz w:val="24"/>
          <w:lang w:val="en-GB"/>
        </w:rPr>
        <w:t>,</w:t>
      </w:r>
      <w:r>
        <w:rPr>
          <w:rFonts w:ascii="Arial" w:hAnsi="Arial" w:cs="Arial"/>
          <w:sz w:val="24"/>
          <w:lang w:val="en-GB"/>
        </w:rPr>
        <w:t xml:space="preserve"> while in control plants and in the cv. Marmande RAF</w:t>
      </w:r>
      <w:r w:rsidRPr="002C68AC">
        <w:rPr>
          <w:rFonts w:ascii="Arial" w:hAnsi="Arial" w:cs="Arial"/>
          <w:sz w:val="24"/>
          <w:lang w:val="en-GB"/>
        </w:rPr>
        <w:t xml:space="preserve"> </w:t>
      </w:r>
      <w:r>
        <w:rPr>
          <w:rFonts w:ascii="Arial" w:hAnsi="Arial" w:cs="Arial"/>
          <w:sz w:val="24"/>
          <w:lang w:val="en-GB"/>
        </w:rPr>
        <w:t>was</w:t>
      </w:r>
      <w:r w:rsidRPr="002C68AC">
        <w:rPr>
          <w:rFonts w:ascii="Arial" w:hAnsi="Arial" w:cs="Arial"/>
          <w:sz w:val="24"/>
          <w:lang w:val="en-GB"/>
        </w:rPr>
        <w:t xml:space="preserve"> at a too low concentration to be detected</w:t>
      </w:r>
      <w:r>
        <w:rPr>
          <w:rFonts w:ascii="Arial" w:hAnsi="Arial" w:cs="Arial"/>
          <w:sz w:val="24"/>
          <w:lang w:val="en-GB"/>
        </w:rPr>
        <w:t xml:space="preserve"> (Table 3)</w:t>
      </w:r>
      <w:r w:rsidRPr="002C68AC">
        <w:rPr>
          <w:rFonts w:ascii="Arial" w:hAnsi="Arial" w:cs="Arial"/>
          <w:sz w:val="24"/>
          <w:lang w:val="en-GB"/>
        </w:rPr>
        <w:t>.</w:t>
      </w:r>
      <w:r>
        <w:rPr>
          <w:rFonts w:ascii="Arial" w:hAnsi="Arial" w:cs="Arial"/>
          <w:sz w:val="24"/>
          <w:lang w:val="en-GB"/>
        </w:rPr>
        <w:t xml:space="preserve"> T</w:t>
      </w:r>
      <w:r w:rsidRPr="002C68AC">
        <w:rPr>
          <w:rFonts w:ascii="Arial" w:hAnsi="Arial" w:cs="Arial"/>
          <w:sz w:val="24"/>
          <w:lang w:val="en-GB"/>
        </w:rPr>
        <w:t xml:space="preserve">herefore, we assume that there is an increase in </w:t>
      </w:r>
      <w:r>
        <w:rPr>
          <w:rFonts w:ascii="Arial" w:hAnsi="Arial" w:cs="Arial"/>
          <w:sz w:val="24"/>
          <w:lang w:val="en-GB"/>
        </w:rPr>
        <w:t>GA</w:t>
      </w:r>
      <w:r w:rsidRPr="004B3BAC">
        <w:rPr>
          <w:rFonts w:ascii="Arial" w:hAnsi="Arial" w:cs="Arial"/>
          <w:sz w:val="24"/>
          <w:vertAlign w:val="subscript"/>
          <w:lang w:val="en-GB"/>
        </w:rPr>
        <w:t>4</w:t>
      </w:r>
      <w:r>
        <w:rPr>
          <w:rFonts w:ascii="Arial" w:hAnsi="Arial" w:cs="Arial"/>
          <w:sz w:val="24"/>
          <w:lang w:val="en-GB"/>
        </w:rPr>
        <w:t xml:space="preserve"> concentration</w:t>
      </w:r>
      <w:r w:rsidRPr="002C68AC">
        <w:rPr>
          <w:rFonts w:ascii="Arial" w:hAnsi="Arial" w:cs="Arial"/>
          <w:sz w:val="24"/>
          <w:lang w:val="en-GB"/>
        </w:rPr>
        <w:t xml:space="preserve"> in this treatment which can increase</w:t>
      </w:r>
      <w:r>
        <w:rPr>
          <w:rFonts w:ascii="Arial" w:hAnsi="Arial" w:cs="Arial"/>
          <w:sz w:val="24"/>
          <w:lang w:val="en-GB"/>
        </w:rPr>
        <w:t xml:space="preserve"> the</w:t>
      </w:r>
      <w:r w:rsidRPr="002C68AC">
        <w:rPr>
          <w:rFonts w:ascii="Arial" w:hAnsi="Arial" w:cs="Arial"/>
          <w:sz w:val="24"/>
          <w:lang w:val="en-GB"/>
        </w:rPr>
        <w:t xml:space="preserve"> resistance to </w:t>
      </w:r>
      <w:r>
        <w:rPr>
          <w:rFonts w:ascii="Arial" w:hAnsi="Arial" w:cs="Arial"/>
          <w:sz w:val="24"/>
          <w:lang w:val="en-GB"/>
        </w:rPr>
        <w:t>salinity in cv. Grand Brix as</w:t>
      </w:r>
      <w:r w:rsidRPr="002C68AC">
        <w:rPr>
          <w:rFonts w:ascii="Arial" w:hAnsi="Arial" w:cs="Arial"/>
          <w:sz w:val="24"/>
          <w:lang w:val="en-GB"/>
        </w:rPr>
        <w:t xml:space="preserve"> above</w:t>
      </w:r>
      <w:r>
        <w:rPr>
          <w:rFonts w:ascii="Arial" w:hAnsi="Arial" w:cs="Arial"/>
          <w:sz w:val="24"/>
          <w:lang w:val="en-GB"/>
        </w:rPr>
        <w:t xml:space="preserve"> mentioned</w:t>
      </w:r>
      <w:r w:rsidRPr="002C68AC">
        <w:rPr>
          <w:rFonts w:ascii="Arial" w:hAnsi="Arial" w:cs="Arial"/>
          <w:sz w:val="24"/>
          <w:lang w:val="en-GB"/>
        </w:rPr>
        <w:t>.</w:t>
      </w:r>
      <w:r>
        <w:rPr>
          <w:rFonts w:ascii="Arial" w:hAnsi="Arial" w:cs="Arial"/>
          <w:sz w:val="24"/>
          <w:lang w:val="en-GB"/>
        </w:rPr>
        <w:t xml:space="preserve"> Iqbal</w:t>
      </w:r>
      <w:r w:rsidRPr="00DB33DC">
        <w:rPr>
          <w:rFonts w:ascii="Arial" w:hAnsi="Arial" w:cs="Arial"/>
          <w:sz w:val="24"/>
          <w:lang w:val="en-GB"/>
        </w:rPr>
        <w:t xml:space="preserve"> and Ashraf </w:t>
      </w:r>
      <w:r>
        <w:rPr>
          <w:rFonts w:ascii="Arial" w:hAnsi="Arial" w:cs="Arial"/>
          <w:sz w:val="24"/>
          <w:lang w:val="en-GB"/>
        </w:rPr>
        <w:t>(2013)</w:t>
      </w:r>
      <w:r w:rsidRPr="0008320E">
        <w:rPr>
          <w:rFonts w:ascii="Arial" w:hAnsi="Arial" w:cs="Arial"/>
          <w:sz w:val="24"/>
          <w:lang w:val="en-GB"/>
        </w:rPr>
        <w:t xml:space="preserve"> submitted two cultivars of wheat to salt stress a</w:t>
      </w:r>
      <w:r>
        <w:rPr>
          <w:rFonts w:ascii="Arial" w:hAnsi="Arial" w:cs="Arial"/>
          <w:sz w:val="24"/>
          <w:lang w:val="en-GB"/>
        </w:rPr>
        <w:t>nd an external GAs application</w:t>
      </w:r>
      <w:r w:rsidRPr="0008320E">
        <w:rPr>
          <w:rFonts w:ascii="Arial" w:hAnsi="Arial" w:cs="Arial"/>
          <w:sz w:val="24"/>
          <w:lang w:val="en-GB"/>
        </w:rPr>
        <w:t>. They observed that treatments with GAs subjected to salt str</w:t>
      </w:r>
      <w:r>
        <w:rPr>
          <w:rFonts w:ascii="Arial" w:hAnsi="Arial" w:cs="Arial"/>
          <w:sz w:val="24"/>
          <w:lang w:val="en-GB"/>
        </w:rPr>
        <w:t>ess registered</w:t>
      </w:r>
      <w:r w:rsidRPr="0008320E">
        <w:rPr>
          <w:rFonts w:ascii="Arial" w:hAnsi="Arial" w:cs="Arial"/>
          <w:sz w:val="24"/>
          <w:lang w:val="en-GB"/>
        </w:rPr>
        <w:t xml:space="preserve"> higher biomass than untreated</w:t>
      </w:r>
      <w:r>
        <w:rPr>
          <w:rFonts w:ascii="Arial" w:hAnsi="Arial" w:cs="Arial"/>
          <w:sz w:val="24"/>
          <w:lang w:val="en-GB"/>
        </w:rPr>
        <w:t xml:space="preserve"> plants</w:t>
      </w:r>
      <w:r w:rsidRPr="0008320E">
        <w:rPr>
          <w:rFonts w:ascii="Arial" w:hAnsi="Arial" w:cs="Arial"/>
          <w:sz w:val="24"/>
          <w:lang w:val="en-GB"/>
        </w:rPr>
        <w:t xml:space="preserve">. </w:t>
      </w:r>
      <w:r>
        <w:rPr>
          <w:rFonts w:ascii="Arial" w:hAnsi="Arial" w:cs="Arial"/>
          <w:sz w:val="24"/>
          <w:lang w:val="en-GB"/>
        </w:rPr>
        <w:t>Therefore,</w:t>
      </w:r>
      <w:r w:rsidRPr="0008320E">
        <w:rPr>
          <w:rFonts w:ascii="Arial" w:hAnsi="Arial" w:cs="Arial"/>
          <w:sz w:val="24"/>
          <w:lang w:val="en-GB"/>
        </w:rPr>
        <w:t xml:space="preserve"> they concluded that GAs could reduce the detrimental effect of ABA to be a</w:t>
      </w:r>
      <w:r>
        <w:rPr>
          <w:rFonts w:ascii="Arial" w:hAnsi="Arial" w:cs="Arial"/>
          <w:sz w:val="24"/>
          <w:lang w:val="en-GB"/>
        </w:rPr>
        <w:t xml:space="preserve">ntagonists. </w:t>
      </w:r>
      <w:r w:rsidRPr="0093698E">
        <w:rPr>
          <w:rFonts w:ascii="Arial" w:hAnsi="Arial" w:cs="Arial"/>
          <w:sz w:val="24"/>
          <w:lang w:val="en-GB"/>
        </w:rPr>
        <w:t>Whereby</w:t>
      </w:r>
      <w:r>
        <w:rPr>
          <w:rFonts w:ascii="Arial" w:hAnsi="Arial" w:cs="Arial"/>
          <w:sz w:val="24"/>
          <w:lang w:val="en-GB"/>
        </w:rPr>
        <w:t>,</w:t>
      </w:r>
      <w:r w:rsidRPr="0093698E">
        <w:rPr>
          <w:rFonts w:ascii="Arial" w:hAnsi="Arial" w:cs="Arial"/>
          <w:sz w:val="24"/>
          <w:lang w:val="en-GB"/>
        </w:rPr>
        <w:t xml:space="preserve"> this suggests that the increase of GA</w:t>
      </w:r>
      <w:r w:rsidRPr="004B3BAC">
        <w:rPr>
          <w:rFonts w:ascii="Arial" w:hAnsi="Arial" w:cs="Arial"/>
          <w:sz w:val="24"/>
          <w:vertAlign w:val="subscript"/>
          <w:lang w:val="en-GB"/>
        </w:rPr>
        <w:t>4</w:t>
      </w:r>
      <w:r>
        <w:rPr>
          <w:rFonts w:ascii="Arial" w:hAnsi="Arial" w:cs="Arial"/>
          <w:sz w:val="24"/>
          <w:lang w:val="en-GB"/>
        </w:rPr>
        <w:t xml:space="preserve"> concentration</w:t>
      </w:r>
      <w:r w:rsidRPr="0093698E">
        <w:rPr>
          <w:rFonts w:ascii="Arial" w:hAnsi="Arial" w:cs="Arial"/>
          <w:sz w:val="24"/>
          <w:lang w:val="en-GB"/>
        </w:rPr>
        <w:t xml:space="preserve"> in the saline treatment of cv. Grand Brix could increase its tolerance to salt stress</w:t>
      </w:r>
      <w:r w:rsidRPr="0008320E">
        <w:rPr>
          <w:rFonts w:ascii="Arial" w:hAnsi="Arial" w:cs="Arial"/>
          <w:sz w:val="24"/>
          <w:lang w:val="en-GB"/>
        </w:rPr>
        <w:t>.</w:t>
      </w:r>
      <w:r>
        <w:rPr>
          <w:rFonts w:ascii="Arial" w:hAnsi="Arial" w:cs="Arial"/>
          <w:sz w:val="24"/>
          <w:lang w:val="en-GB"/>
        </w:rPr>
        <w:t xml:space="preserve"> </w:t>
      </w:r>
    </w:p>
    <w:p w14:paraId="4DEC624A" w14:textId="77777777" w:rsidR="00E97387" w:rsidRDefault="00E97387" w:rsidP="00E97387">
      <w:pPr>
        <w:spacing w:line="480" w:lineRule="auto"/>
        <w:jc w:val="both"/>
        <w:rPr>
          <w:rFonts w:ascii="Arial" w:hAnsi="Arial" w:cs="Arial"/>
          <w:sz w:val="24"/>
          <w:lang w:val="en-GB"/>
        </w:rPr>
      </w:pPr>
    </w:p>
    <w:p w14:paraId="0083A254" w14:textId="77777777" w:rsidR="00E97387" w:rsidRDefault="00E97387" w:rsidP="00E97387">
      <w:pPr>
        <w:spacing w:line="480" w:lineRule="auto"/>
        <w:jc w:val="both"/>
        <w:rPr>
          <w:rFonts w:ascii="Arial" w:hAnsi="Arial" w:cs="Arial"/>
          <w:sz w:val="24"/>
          <w:lang w:val="en-GB"/>
        </w:rPr>
      </w:pPr>
      <w:r>
        <w:rPr>
          <w:rFonts w:ascii="Arial" w:hAnsi="Arial" w:cs="Arial"/>
          <w:sz w:val="24"/>
          <w:lang w:val="en-GB"/>
        </w:rPr>
        <w:t>In short, the IAA, tZ and GA</w:t>
      </w:r>
      <w:r w:rsidRPr="004B3BAC">
        <w:rPr>
          <w:rFonts w:ascii="Arial" w:hAnsi="Arial" w:cs="Arial"/>
          <w:sz w:val="24"/>
          <w:vertAlign w:val="subscript"/>
          <w:lang w:val="en-GB"/>
        </w:rPr>
        <w:t>4</w:t>
      </w:r>
      <w:r>
        <w:rPr>
          <w:rFonts w:ascii="Arial" w:hAnsi="Arial" w:cs="Arial"/>
          <w:sz w:val="24"/>
          <w:lang w:val="en-GB"/>
        </w:rPr>
        <w:t xml:space="preserve"> concentrations</w:t>
      </w:r>
      <w:r w:rsidRPr="00F977F3">
        <w:rPr>
          <w:rFonts w:ascii="Arial" w:hAnsi="Arial" w:cs="Arial"/>
          <w:sz w:val="24"/>
          <w:lang w:val="en-GB"/>
        </w:rPr>
        <w:t xml:space="preserve"> hormones increase the resistance to salt stress, maintaining the growth of the plant.</w:t>
      </w:r>
      <w:r>
        <w:rPr>
          <w:rFonts w:ascii="Arial" w:hAnsi="Arial" w:cs="Arial"/>
          <w:sz w:val="24"/>
          <w:lang w:val="en-GB"/>
        </w:rPr>
        <w:t xml:space="preserve"> </w:t>
      </w:r>
      <w:r w:rsidRPr="00F977F3">
        <w:rPr>
          <w:rFonts w:ascii="Arial" w:hAnsi="Arial" w:cs="Arial"/>
          <w:sz w:val="24"/>
          <w:lang w:val="en-GB"/>
        </w:rPr>
        <w:t>The cv. Grand Prix presents the greatest increases in</w:t>
      </w:r>
      <w:r>
        <w:rPr>
          <w:rFonts w:ascii="Arial" w:hAnsi="Arial" w:cs="Arial"/>
          <w:sz w:val="24"/>
          <w:lang w:val="en-GB"/>
        </w:rPr>
        <w:t xml:space="preserve"> the concentrations of</w:t>
      </w:r>
      <w:r w:rsidRPr="00F977F3">
        <w:rPr>
          <w:rFonts w:ascii="Arial" w:hAnsi="Arial" w:cs="Arial"/>
          <w:sz w:val="24"/>
          <w:lang w:val="en-GB"/>
        </w:rPr>
        <w:t xml:space="preserve"> these hormones, being the most resistant to salt stress genotype.</w:t>
      </w:r>
    </w:p>
    <w:p w14:paraId="54F72424" w14:textId="77777777" w:rsidR="00E97387" w:rsidRPr="00F977F3" w:rsidRDefault="00E97387" w:rsidP="00E97387">
      <w:pPr>
        <w:spacing w:line="480" w:lineRule="auto"/>
        <w:jc w:val="both"/>
        <w:rPr>
          <w:rFonts w:ascii="Arial" w:hAnsi="Arial" w:cs="Arial"/>
          <w:sz w:val="24"/>
          <w:lang w:val="en-GB"/>
        </w:rPr>
      </w:pPr>
    </w:p>
    <w:p w14:paraId="283258B1" w14:textId="77777777" w:rsidR="00E97387" w:rsidRDefault="00E97387" w:rsidP="00E97387">
      <w:pPr>
        <w:spacing w:line="480" w:lineRule="auto"/>
        <w:jc w:val="both"/>
        <w:rPr>
          <w:rFonts w:ascii="Arial" w:hAnsi="Arial" w:cs="Arial"/>
          <w:sz w:val="24"/>
          <w:lang w:val="en-GB"/>
        </w:rPr>
      </w:pPr>
      <w:r>
        <w:rPr>
          <w:rFonts w:ascii="Arial" w:hAnsi="Arial" w:cs="Arial"/>
          <w:sz w:val="24"/>
          <w:lang w:val="en-GB"/>
        </w:rPr>
        <w:t>ABA</w:t>
      </w:r>
      <w:r w:rsidRPr="006A0063">
        <w:rPr>
          <w:rFonts w:ascii="Arial" w:hAnsi="Arial" w:cs="Arial"/>
          <w:sz w:val="24"/>
          <w:lang w:val="en-GB"/>
        </w:rPr>
        <w:t xml:space="preserve"> </w:t>
      </w:r>
      <w:r w:rsidRPr="007728E4">
        <w:rPr>
          <w:rFonts w:ascii="Arial" w:hAnsi="Arial" w:cs="Arial"/>
          <w:sz w:val="24"/>
          <w:lang w:val="en-GB"/>
        </w:rPr>
        <w:t>and ethylene hormones have long been regarded as stress hormones with speciﬁc roles in regulating tolerance and adaptation to salt stress (Amjad et al. 2014). Amjad et al. (2014) submitted two genotypes of tomato to salt stress, their results showed that ABA concentration increased in both genotypes, by saline treatment, but increased more in the</w:t>
      </w:r>
      <w:r w:rsidRPr="00FD7E18">
        <w:rPr>
          <w:rFonts w:ascii="Arial" w:hAnsi="Arial" w:cs="Arial"/>
          <w:sz w:val="24"/>
          <w:lang w:val="en-GB"/>
        </w:rPr>
        <w:t xml:space="preserve"> salinity tolerant genotype. For ethylene</w:t>
      </w:r>
      <w:r>
        <w:rPr>
          <w:rFonts w:ascii="Arial" w:hAnsi="Arial" w:cs="Arial"/>
          <w:sz w:val="24"/>
          <w:lang w:val="en-GB"/>
        </w:rPr>
        <w:t xml:space="preserve"> concentration,</w:t>
      </w:r>
      <w:r w:rsidRPr="00FD7E18">
        <w:rPr>
          <w:rFonts w:ascii="Arial" w:hAnsi="Arial" w:cs="Arial"/>
          <w:sz w:val="24"/>
          <w:lang w:val="en-GB"/>
        </w:rPr>
        <w:t xml:space="preserve"> both genotypes increased equally in saline treatment.</w:t>
      </w:r>
      <w:r>
        <w:rPr>
          <w:rFonts w:ascii="Arial" w:hAnsi="Arial" w:cs="Arial"/>
          <w:sz w:val="24"/>
          <w:lang w:val="en-GB"/>
        </w:rPr>
        <w:t xml:space="preserve"> In our experiment</w:t>
      </w:r>
      <w:r w:rsidRPr="00FD7E18">
        <w:rPr>
          <w:rFonts w:ascii="Arial" w:hAnsi="Arial" w:cs="Arial"/>
          <w:sz w:val="24"/>
          <w:lang w:val="en-GB"/>
        </w:rPr>
        <w:t xml:space="preserve"> ABA</w:t>
      </w:r>
      <w:r>
        <w:rPr>
          <w:rFonts w:ascii="Arial" w:hAnsi="Arial" w:cs="Arial"/>
          <w:sz w:val="24"/>
          <w:lang w:val="en-GB"/>
        </w:rPr>
        <w:t xml:space="preserve"> concentration</w:t>
      </w:r>
      <w:r w:rsidRPr="00FD7E18">
        <w:rPr>
          <w:rFonts w:ascii="Arial" w:hAnsi="Arial" w:cs="Arial"/>
          <w:sz w:val="24"/>
          <w:lang w:val="en-GB"/>
        </w:rPr>
        <w:t xml:space="preserve"> increased in the same way, increasing more in the </w:t>
      </w:r>
      <w:r w:rsidRPr="00FD7E18">
        <w:rPr>
          <w:rFonts w:ascii="Arial" w:hAnsi="Arial" w:cs="Arial"/>
          <w:sz w:val="24"/>
          <w:lang w:val="en-GB"/>
        </w:rPr>
        <w:lastRenderedPageBreak/>
        <w:t>saline treatmen</w:t>
      </w:r>
      <w:r>
        <w:rPr>
          <w:rFonts w:ascii="Arial" w:hAnsi="Arial" w:cs="Arial"/>
          <w:sz w:val="24"/>
          <w:lang w:val="en-GB"/>
        </w:rPr>
        <w:t xml:space="preserve">t cv. Grand </w:t>
      </w:r>
      <w:r w:rsidRPr="007728E4">
        <w:rPr>
          <w:rFonts w:ascii="Arial" w:hAnsi="Arial" w:cs="Arial"/>
          <w:sz w:val="24"/>
          <w:lang w:val="en-GB"/>
        </w:rPr>
        <w:t>Brix (63% in the cv. Grand Brix and 12% in the cv. Marmande RAF; Table</w:t>
      </w:r>
      <w:r>
        <w:rPr>
          <w:rFonts w:ascii="Arial" w:hAnsi="Arial" w:cs="Arial"/>
          <w:sz w:val="24"/>
          <w:lang w:val="en-GB"/>
        </w:rPr>
        <w:t xml:space="preserve"> </w:t>
      </w:r>
      <w:r w:rsidRPr="007728E4">
        <w:rPr>
          <w:rFonts w:ascii="Arial" w:hAnsi="Arial" w:cs="Arial"/>
          <w:sz w:val="24"/>
          <w:lang w:val="en-GB"/>
        </w:rPr>
        <w:t>4). Amjad et al. (2014) also relate a higher ABA concentration with greater efficiency in water</w:t>
      </w:r>
      <w:r w:rsidRPr="007B3061">
        <w:rPr>
          <w:rFonts w:ascii="Arial" w:hAnsi="Arial" w:cs="Arial"/>
          <w:sz w:val="24"/>
          <w:lang w:val="en-GB"/>
        </w:rPr>
        <w:t xml:space="preserve"> use and better stomatal regulation, possibly improving salt stress.</w:t>
      </w:r>
      <w:r>
        <w:rPr>
          <w:rFonts w:ascii="Arial" w:hAnsi="Arial" w:cs="Arial"/>
          <w:sz w:val="24"/>
          <w:lang w:val="en-GB"/>
        </w:rPr>
        <w:t xml:space="preserve"> </w:t>
      </w:r>
      <w:r w:rsidRPr="00FD7E18">
        <w:rPr>
          <w:rFonts w:ascii="Arial" w:hAnsi="Arial" w:cs="Arial"/>
          <w:sz w:val="24"/>
          <w:lang w:val="en-GB"/>
        </w:rPr>
        <w:t xml:space="preserve">ACC </w:t>
      </w:r>
      <w:r>
        <w:rPr>
          <w:rFonts w:ascii="Arial" w:hAnsi="Arial" w:cs="Arial"/>
          <w:sz w:val="24"/>
          <w:lang w:val="en-GB"/>
        </w:rPr>
        <w:t>(</w:t>
      </w:r>
      <w:r w:rsidRPr="00A31C11">
        <w:rPr>
          <w:rFonts w:ascii="Arial" w:hAnsi="Arial" w:cs="Arial"/>
          <w:sz w:val="24"/>
          <w:lang w:val="en-GB"/>
        </w:rPr>
        <w:t>ethylene precursor</w:t>
      </w:r>
      <w:r>
        <w:rPr>
          <w:rFonts w:ascii="Arial" w:hAnsi="Arial" w:cs="Arial"/>
          <w:sz w:val="24"/>
          <w:lang w:val="en-GB"/>
        </w:rPr>
        <w:t xml:space="preserve">) </w:t>
      </w:r>
      <w:r w:rsidRPr="00746176">
        <w:rPr>
          <w:rFonts w:ascii="Arial" w:hAnsi="Arial" w:cs="Arial"/>
          <w:sz w:val="24"/>
          <w:lang w:val="en-GB"/>
        </w:rPr>
        <w:t>concentration decreases by 50% in cv. Grand Brix while incr</w:t>
      </w:r>
      <w:r>
        <w:rPr>
          <w:rFonts w:ascii="Arial" w:hAnsi="Arial" w:cs="Arial"/>
          <w:sz w:val="24"/>
          <w:lang w:val="en-GB"/>
        </w:rPr>
        <w:t>easing 50% for cv. Marmande RAF (Table 4). Sharp</w:t>
      </w:r>
      <w:r w:rsidRPr="00562323">
        <w:rPr>
          <w:rFonts w:ascii="Arial" w:hAnsi="Arial" w:cs="Arial"/>
          <w:sz w:val="24"/>
          <w:lang w:val="en-GB"/>
        </w:rPr>
        <w:t xml:space="preserve"> and LeNoble </w:t>
      </w:r>
      <w:r>
        <w:rPr>
          <w:rFonts w:ascii="Arial" w:hAnsi="Arial" w:cs="Arial"/>
          <w:sz w:val="24"/>
          <w:lang w:val="en-GB"/>
        </w:rPr>
        <w:t xml:space="preserve">(2002) </w:t>
      </w:r>
      <w:r w:rsidRPr="00B8487B">
        <w:rPr>
          <w:rFonts w:ascii="Arial" w:hAnsi="Arial" w:cs="Arial"/>
          <w:sz w:val="24"/>
          <w:lang w:val="en-GB"/>
        </w:rPr>
        <w:t>show</w:t>
      </w:r>
      <w:r>
        <w:rPr>
          <w:rFonts w:ascii="Arial" w:hAnsi="Arial" w:cs="Arial"/>
          <w:sz w:val="24"/>
          <w:lang w:val="en-GB"/>
        </w:rPr>
        <w:t>ed</w:t>
      </w:r>
      <w:r w:rsidRPr="00B8487B">
        <w:rPr>
          <w:rFonts w:ascii="Arial" w:hAnsi="Arial" w:cs="Arial"/>
          <w:sz w:val="24"/>
          <w:lang w:val="en-GB"/>
        </w:rPr>
        <w:t xml:space="preserve"> as an increase in ethylene concentration reduces plant biomass because it promotes programmed c</w:t>
      </w:r>
      <w:r>
        <w:rPr>
          <w:rFonts w:ascii="Arial" w:hAnsi="Arial" w:cs="Arial"/>
          <w:sz w:val="24"/>
          <w:lang w:val="en-GB"/>
        </w:rPr>
        <w:t>ell death and leaf senescence. T</w:t>
      </w:r>
      <w:r w:rsidRPr="00B8487B">
        <w:rPr>
          <w:rFonts w:ascii="Arial" w:hAnsi="Arial" w:cs="Arial"/>
          <w:sz w:val="24"/>
          <w:lang w:val="en-GB"/>
        </w:rPr>
        <w:t>hese authors also show an interaction between ethylene and ABA, where the ABA inhibits ethylene action and synthesis.</w:t>
      </w:r>
      <w:r>
        <w:rPr>
          <w:rFonts w:ascii="Arial" w:hAnsi="Arial" w:cs="Arial"/>
          <w:sz w:val="24"/>
          <w:lang w:val="en-GB"/>
        </w:rPr>
        <w:t xml:space="preserve"> </w:t>
      </w:r>
      <w:r w:rsidRPr="00D93242">
        <w:rPr>
          <w:rFonts w:ascii="Arial" w:hAnsi="Arial" w:cs="Arial"/>
          <w:sz w:val="24"/>
          <w:lang w:val="en-GB"/>
        </w:rPr>
        <w:t>In our experiment a lower concentration of ethylene combin</w:t>
      </w:r>
      <w:r>
        <w:rPr>
          <w:rFonts w:ascii="Arial" w:hAnsi="Arial" w:cs="Arial"/>
          <w:sz w:val="24"/>
          <w:lang w:val="en-GB"/>
        </w:rPr>
        <w:t>ed with a greater O</w:t>
      </w:r>
      <w:r>
        <w:rPr>
          <w:rFonts w:ascii="Arial" w:hAnsi="Arial" w:cs="Arial"/>
          <w:sz w:val="24"/>
          <w:vertAlign w:val="subscript"/>
          <w:lang w:val="en-GB"/>
        </w:rPr>
        <w:t>2</w:t>
      </w:r>
      <w:r>
        <w:rPr>
          <w:rFonts w:ascii="Arial" w:hAnsi="Arial" w:cs="Arial"/>
          <w:sz w:val="24"/>
          <w:vertAlign w:val="superscript"/>
          <w:lang w:val="en-GB"/>
        </w:rPr>
        <w:t>.-</w:t>
      </w:r>
      <w:r w:rsidRPr="00D93242">
        <w:rPr>
          <w:rFonts w:ascii="Arial" w:hAnsi="Arial" w:cs="Arial"/>
          <w:sz w:val="24"/>
          <w:lang w:val="en-GB"/>
        </w:rPr>
        <w:t xml:space="preserve"> detoxification in the</w:t>
      </w:r>
      <w:r>
        <w:rPr>
          <w:rFonts w:ascii="Arial" w:hAnsi="Arial" w:cs="Arial"/>
          <w:sz w:val="24"/>
          <w:lang w:val="en-GB"/>
        </w:rPr>
        <w:t xml:space="preserve"> cv.</w:t>
      </w:r>
      <w:r w:rsidRPr="00D93242">
        <w:rPr>
          <w:rFonts w:ascii="Arial" w:hAnsi="Arial" w:cs="Arial"/>
          <w:sz w:val="24"/>
          <w:lang w:val="en-GB"/>
        </w:rPr>
        <w:t xml:space="preserve"> </w:t>
      </w:r>
      <w:r>
        <w:rPr>
          <w:rFonts w:ascii="Arial" w:hAnsi="Arial" w:cs="Arial"/>
          <w:sz w:val="24"/>
          <w:lang w:val="en-GB"/>
        </w:rPr>
        <w:t>Grand Brix</w:t>
      </w:r>
      <w:r w:rsidRPr="00D93242">
        <w:rPr>
          <w:rFonts w:ascii="Arial" w:hAnsi="Arial" w:cs="Arial"/>
          <w:sz w:val="24"/>
          <w:lang w:val="en-GB"/>
        </w:rPr>
        <w:t xml:space="preserve"> could play a fundamental role in tolerance to saline stress</w:t>
      </w:r>
      <w:r>
        <w:rPr>
          <w:rFonts w:ascii="Arial" w:hAnsi="Arial" w:cs="Arial"/>
          <w:sz w:val="24"/>
          <w:lang w:val="en-GB"/>
        </w:rPr>
        <w:t xml:space="preserve"> </w:t>
      </w:r>
      <w:r>
        <w:rPr>
          <w:rFonts w:ascii="Arial" w:hAnsi="Arial" w:cs="Arial"/>
          <w:sz w:val="24"/>
          <w:szCs w:val="24"/>
          <w:lang w:val="en-GB"/>
        </w:rPr>
        <w:t xml:space="preserve">(Overmyer </w:t>
      </w:r>
      <w:r w:rsidRPr="005867BB">
        <w:rPr>
          <w:rFonts w:ascii="Arial" w:hAnsi="Arial" w:cs="Arial"/>
          <w:sz w:val="24"/>
          <w:szCs w:val="24"/>
          <w:lang w:val="en-GB"/>
        </w:rPr>
        <w:t>et al.</w:t>
      </w:r>
      <w:r>
        <w:rPr>
          <w:rFonts w:ascii="Arial" w:hAnsi="Arial" w:cs="Arial"/>
          <w:sz w:val="24"/>
          <w:szCs w:val="24"/>
          <w:lang w:val="en-GB"/>
        </w:rPr>
        <w:t xml:space="preserve"> 2003). </w:t>
      </w:r>
      <w:r w:rsidRPr="00C80032">
        <w:rPr>
          <w:rFonts w:ascii="Arial" w:hAnsi="Arial" w:cs="Arial"/>
          <w:sz w:val="24"/>
          <w:lang w:val="en-GB"/>
        </w:rPr>
        <w:t xml:space="preserve">Besides, </w:t>
      </w:r>
      <w:r>
        <w:rPr>
          <w:rFonts w:ascii="Arial" w:hAnsi="Arial" w:cs="Arial"/>
          <w:sz w:val="24"/>
          <w:lang w:val="en-GB"/>
        </w:rPr>
        <w:t>a</w:t>
      </w:r>
      <w:r w:rsidRPr="00D93242">
        <w:rPr>
          <w:rFonts w:ascii="Arial" w:hAnsi="Arial" w:cs="Arial"/>
          <w:sz w:val="24"/>
          <w:lang w:val="en-GB"/>
        </w:rPr>
        <w:t>n increase in ABA levels promotes better stoma</w:t>
      </w:r>
      <w:r>
        <w:rPr>
          <w:rFonts w:ascii="Arial" w:hAnsi="Arial" w:cs="Arial"/>
          <w:sz w:val="24"/>
          <w:lang w:val="en-GB"/>
        </w:rPr>
        <w:t>tal</w:t>
      </w:r>
      <w:r w:rsidRPr="00D93242">
        <w:rPr>
          <w:rFonts w:ascii="Arial" w:hAnsi="Arial" w:cs="Arial"/>
          <w:sz w:val="24"/>
          <w:lang w:val="en-GB"/>
        </w:rPr>
        <w:t xml:space="preserve"> closure and better control of photosynthesis and a lower rate of water loss.</w:t>
      </w:r>
    </w:p>
    <w:p w14:paraId="2E81348D" w14:textId="77777777" w:rsidR="00E97387" w:rsidRDefault="00E97387" w:rsidP="00E97387">
      <w:pPr>
        <w:spacing w:line="480" w:lineRule="auto"/>
        <w:jc w:val="both"/>
        <w:rPr>
          <w:rFonts w:ascii="Arial" w:hAnsi="Arial" w:cs="Arial"/>
          <w:sz w:val="24"/>
          <w:lang w:val="en-GB"/>
        </w:rPr>
      </w:pPr>
    </w:p>
    <w:p w14:paraId="2DC9CC2E" w14:textId="77777777" w:rsidR="00E97387" w:rsidRDefault="00E97387" w:rsidP="00E97387">
      <w:pPr>
        <w:spacing w:line="480" w:lineRule="auto"/>
        <w:jc w:val="both"/>
        <w:rPr>
          <w:rFonts w:ascii="Arial" w:hAnsi="Arial" w:cs="Arial"/>
          <w:sz w:val="24"/>
          <w:szCs w:val="24"/>
          <w:lang w:val="en-GB"/>
        </w:rPr>
      </w:pPr>
      <w:r w:rsidRPr="00952C3E">
        <w:rPr>
          <w:rFonts w:ascii="Arial" w:hAnsi="Arial" w:cs="Arial"/>
          <w:sz w:val="24"/>
          <w:lang w:val="en-GB"/>
        </w:rPr>
        <w:t>The H</w:t>
      </w:r>
      <w:r w:rsidRPr="004B3BAC">
        <w:rPr>
          <w:rFonts w:ascii="Arial" w:hAnsi="Arial" w:cs="Arial"/>
          <w:sz w:val="24"/>
          <w:vertAlign w:val="subscript"/>
          <w:lang w:val="en-GB"/>
        </w:rPr>
        <w:t>2</w:t>
      </w:r>
      <w:r w:rsidRPr="00952C3E">
        <w:rPr>
          <w:rFonts w:ascii="Arial" w:hAnsi="Arial" w:cs="Arial"/>
          <w:sz w:val="24"/>
          <w:lang w:val="en-GB"/>
        </w:rPr>
        <w:t>O</w:t>
      </w:r>
      <w:r w:rsidRPr="004B3BAC">
        <w:rPr>
          <w:rFonts w:ascii="Arial" w:hAnsi="Arial" w:cs="Arial"/>
          <w:sz w:val="24"/>
          <w:vertAlign w:val="subscript"/>
          <w:lang w:val="en-GB"/>
        </w:rPr>
        <w:t>2</w:t>
      </w:r>
      <w:r w:rsidRPr="00952C3E">
        <w:rPr>
          <w:rFonts w:ascii="Arial" w:hAnsi="Arial" w:cs="Arial"/>
          <w:sz w:val="24"/>
          <w:lang w:val="en-GB"/>
        </w:rPr>
        <w:t xml:space="preserve"> stimulates the ABA </w:t>
      </w:r>
      <w:r>
        <w:rPr>
          <w:rFonts w:ascii="Arial" w:hAnsi="Arial" w:cs="Arial"/>
          <w:sz w:val="24"/>
          <w:lang w:val="en-GB"/>
        </w:rPr>
        <w:t>accumulation</w:t>
      </w:r>
      <w:r w:rsidRPr="00952C3E">
        <w:rPr>
          <w:rFonts w:ascii="Arial" w:hAnsi="Arial" w:cs="Arial"/>
          <w:sz w:val="24"/>
          <w:lang w:val="en-GB"/>
        </w:rPr>
        <w:t xml:space="preserve"> </w:t>
      </w:r>
      <w:r>
        <w:rPr>
          <w:rFonts w:ascii="Arial" w:hAnsi="Arial" w:cs="Arial"/>
          <w:sz w:val="24"/>
          <w:lang w:val="en-GB"/>
        </w:rPr>
        <w:t>(Table 4)</w:t>
      </w:r>
      <w:r w:rsidRPr="00952C3E">
        <w:rPr>
          <w:rFonts w:ascii="Arial" w:hAnsi="Arial" w:cs="Arial"/>
          <w:sz w:val="24"/>
          <w:lang w:val="en-GB"/>
        </w:rPr>
        <w:t xml:space="preserve">. This accumulation of ABA promotes stomatal closure thus avoiding the loss of water that can cause saline stress, and generating better osmotic adjustment and therefore better resistance to stress. </w:t>
      </w:r>
      <w:r w:rsidRPr="004939DB">
        <w:rPr>
          <w:rFonts w:ascii="Arial" w:hAnsi="Arial" w:cs="Arial"/>
          <w:sz w:val="24"/>
          <w:szCs w:val="24"/>
          <w:lang w:val="en-GB"/>
        </w:rPr>
        <w:t>(Mittler and blumwald 2015).</w:t>
      </w:r>
    </w:p>
    <w:p w14:paraId="31AADB13" w14:textId="77777777" w:rsidR="00E97387" w:rsidRDefault="00E97387" w:rsidP="00E97387">
      <w:pPr>
        <w:spacing w:line="480" w:lineRule="auto"/>
        <w:jc w:val="both"/>
        <w:rPr>
          <w:rFonts w:ascii="Arial" w:hAnsi="Arial" w:cs="Arial"/>
          <w:sz w:val="24"/>
          <w:lang w:val="en-GB"/>
        </w:rPr>
      </w:pPr>
    </w:p>
    <w:p w14:paraId="02A343FE" w14:textId="77777777" w:rsidR="00E97387" w:rsidRDefault="00E97387" w:rsidP="00E97387">
      <w:pPr>
        <w:spacing w:line="480" w:lineRule="auto"/>
        <w:jc w:val="both"/>
        <w:rPr>
          <w:rFonts w:ascii="Arial" w:hAnsi="Arial" w:cs="Arial"/>
          <w:sz w:val="24"/>
          <w:lang w:val="en-GB"/>
        </w:rPr>
      </w:pPr>
      <w:r w:rsidRPr="00D32918">
        <w:rPr>
          <w:rFonts w:ascii="Arial" w:hAnsi="Arial" w:cs="Arial"/>
          <w:sz w:val="24"/>
          <w:lang w:val="en-GB"/>
        </w:rPr>
        <w:t>JA</w:t>
      </w:r>
      <w:r>
        <w:rPr>
          <w:rFonts w:ascii="Arial" w:hAnsi="Arial" w:cs="Arial"/>
          <w:sz w:val="24"/>
          <w:lang w:val="en-GB"/>
        </w:rPr>
        <w:t xml:space="preserve"> and</w:t>
      </w:r>
      <w:r w:rsidRPr="00D32918">
        <w:rPr>
          <w:rFonts w:ascii="Arial" w:hAnsi="Arial" w:cs="Arial"/>
          <w:sz w:val="24"/>
          <w:lang w:val="en-GB"/>
        </w:rPr>
        <w:t xml:space="preserve"> SA hormones are mainly related to the stress by pathogens, however </w:t>
      </w:r>
      <w:r>
        <w:rPr>
          <w:rFonts w:ascii="Arial" w:hAnsi="Arial" w:cs="Arial"/>
          <w:sz w:val="24"/>
          <w:lang w:val="en-GB"/>
        </w:rPr>
        <w:t xml:space="preserve">they </w:t>
      </w:r>
      <w:r w:rsidRPr="00D32918">
        <w:rPr>
          <w:rFonts w:ascii="Arial" w:hAnsi="Arial" w:cs="Arial"/>
          <w:sz w:val="24"/>
          <w:lang w:val="en-GB"/>
        </w:rPr>
        <w:t xml:space="preserve">have other </w:t>
      </w:r>
      <w:r w:rsidRPr="007728E4">
        <w:rPr>
          <w:rFonts w:ascii="Arial" w:hAnsi="Arial" w:cs="Arial"/>
          <w:sz w:val="24"/>
          <w:lang w:val="en-GB"/>
        </w:rPr>
        <w:t>functions related to abiotic stresses and interact with other hormones. For example, JA is known to favour the accumulation of ABA and CKs (Avalbaev et al. 2016), and also is involved in the ACC synthesis (Dar et al. 2015), also</w:t>
      </w:r>
      <w:r w:rsidRPr="00DC4297">
        <w:rPr>
          <w:rFonts w:ascii="Arial" w:hAnsi="Arial" w:cs="Arial"/>
          <w:sz w:val="24"/>
          <w:lang w:val="en-GB"/>
        </w:rPr>
        <w:t xml:space="preserve"> </w:t>
      </w:r>
      <w:r>
        <w:rPr>
          <w:rFonts w:ascii="Arial" w:hAnsi="Arial" w:cs="Arial"/>
          <w:sz w:val="24"/>
          <w:lang w:val="en-GB"/>
        </w:rPr>
        <w:t>t</w:t>
      </w:r>
      <w:r w:rsidRPr="00DC4297">
        <w:rPr>
          <w:rFonts w:ascii="Arial" w:hAnsi="Arial" w:cs="Arial"/>
          <w:sz w:val="24"/>
          <w:lang w:val="en-GB"/>
        </w:rPr>
        <w:t xml:space="preserve">he </w:t>
      </w:r>
      <w:r w:rsidRPr="00DC4297">
        <w:rPr>
          <w:rFonts w:ascii="Arial" w:hAnsi="Arial" w:cs="Arial"/>
          <w:sz w:val="24"/>
          <w:lang w:val="en-GB"/>
        </w:rPr>
        <w:lastRenderedPageBreak/>
        <w:t>JA has a close relationship with the SA.</w:t>
      </w:r>
      <w:r>
        <w:rPr>
          <w:rFonts w:ascii="Arial" w:hAnsi="Arial" w:cs="Arial"/>
          <w:sz w:val="24"/>
          <w:lang w:val="en-GB"/>
        </w:rPr>
        <w:t xml:space="preserve"> When SA has a very high concentration acts as a negative allosteric effector of JA and this can reduce their synthesis and concentration in the plant (Singh</w:t>
      </w:r>
      <w:r w:rsidRPr="00DB33DC">
        <w:rPr>
          <w:rFonts w:ascii="Arial" w:hAnsi="Arial" w:cs="Arial"/>
          <w:sz w:val="24"/>
          <w:lang w:val="en-GB"/>
        </w:rPr>
        <w:t xml:space="preserve"> and Gautam </w:t>
      </w:r>
      <w:r>
        <w:rPr>
          <w:rFonts w:ascii="Arial" w:hAnsi="Arial" w:cs="Arial"/>
          <w:sz w:val="24"/>
          <w:lang w:val="en-GB"/>
        </w:rPr>
        <w:t xml:space="preserve">2013). </w:t>
      </w:r>
      <w:r w:rsidRPr="00265146">
        <w:rPr>
          <w:rFonts w:ascii="Arial" w:hAnsi="Arial" w:cs="Arial"/>
          <w:sz w:val="24"/>
          <w:lang w:val="en-GB"/>
        </w:rPr>
        <w:t>This may be the reason why the JA</w:t>
      </w:r>
      <w:r>
        <w:rPr>
          <w:rFonts w:ascii="Arial" w:hAnsi="Arial" w:cs="Arial"/>
          <w:sz w:val="24"/>
          <w:lang w:val="en-GB"/>
        </w:rPr>
        <w:t xml:space="preserve"> concentration</w:t>
      </w:r>
      <w:r w:rsidRPr="00265146">
        <w:rPr>
          <w:rFonts w:ascii="Arial" w:hAnsi="Arial" w:cs="Arial"/>
          <w:sz w:val="24"/>
          <w:lang w:val="en-GB"/>
        </w:rPr>
        <w:t xml:space="preserve"> decreases in the saline treatment cv. Grand Brix</w:t>
      </w:r>
      <w:r>
        <w:rPr>
          <w:rFonts w:ascii="Arial" w:hAnsi="Arial" w:cs="Arial"/>
          <w:sz w:val="24"/>
          <w:lang w:val="en-GB"/>
        </w:rPr>
        <w:t xml:space="preserve"> (Table 4). </w:t>
      </w:r>
      <w:r w:rsidRPr="006F70F9">
        <w:rPr>
          <w:rFonts w:ascii="Arial" w:hAnsi="Arial" w:cs="Arial"/>
          <w:sz w:val="24"/>
          <w:lang w:val="en-GB"/>
        </w:rPr>
        <w:t>SA is also similarly related</w:t>
      </w:r>
      <w:r>
        <w:rPr>
          <w:rFonts w:ascii="Arial" w:hAnsi="Arial" w:cs="Arial"/>
          <w:sz w:val="24"/>
          <w:lang w:val="en-GB"/>
        </w:rPr>
        <w:t xml:space="preserve"> to increased concentrations</w:t>
      </w:r>
      <w:r w:rsidRPr="006F70F9">
        <w:rPr>
          <w:rFonts w:ascii="Arial" w:hAnsi="Arial" w:cs="Arial"/>
          <w:sz w:val="24"/>
          <w:lang w:val="en-GB"/>
        </w:rPr>
        <w:t xml:space="preserve"> of ABA and CKs</w:t>
      </w:r>
      <w:r>
        <w:rPr>
          <w:rFonts w:ascii="Arial" w:hAnsi="Arial" w:cs="Arial"/>
          <w:sz w:val="24"/>
          <w:lang w:val="en-GB"/>
        </w:rPr>
        <w:t xml:space="preserve"> (</w:t>
      </w:r>
      <w:r w:rsidRPr="007728E4">
        <w:rPr>
          <w:rFonts w:ascii="Arial" w:hAnsi="Arial" w:cs="Arial"/>
          <w:sz w:val="24"/>
          <w:lang w:val="en-GB"/>
        </w:rPr>
        <w:t>Shakirova et al. 2003</w:t>
      </w:r>
      <w:r>
        <w:rPr>
          <w:rFonts w:ascii="Arial" w:hAnsi="Arial" w:cs="Arial"/>
          <w:sz w:val="24"/>
          <w:lang w:val="en-GB"/>
        </w:rPr>
        <w:t>)</w:t>
      </w:r>
      <w:r w:rsidRPr="006F70F9">
        <w:rPr>
          <w:rFonts w:ascii="Arial" w:hAnsi="Arial" w:cs="Arial"/>
          <w:sz w:val="24"/>
          <w:lang w:val="en-GB"/>
        </w:rPr>
        <w:t>.</w:t>
      </w:r>
      <w:r>
        <w:rPr>
          <w:rFonts w:ascii="Arial" w:hAnsi="Arial" w:cs="Arial"/>
          <w:sz w:val="24"/>
          <w:lang w:val="en-GB"/>
        </w:rPr>
        <w:t xml:space="preserve"> </w:t>
      </w:r>
      <w:r w:rsidRPr="006D0967">
        <w:rPr>
          <w:rFonts w:ascii="Arial" w:hAnsi="Arial" w:cs="Arial"/>
          <w:sz w:val="24"/>
          <w:lang w:val="en-GB"/>
        </w:rPr>
        <w:t xml:space="preserve">Our results agree with those of the authors </w:t>
      </w:r>
      <w:r>
        <w:rPr>
          <w:rFonts w:ascii="Arial" w:hAnsi="Arial" w:cs="Arial"/>
          <w:sz w:val="24"/>
          <w:lang w:val="en-GB"/>
        </w:rPr>
        <w:t>(Table 3 and 4)</w:t>
      </w:r>
      <w:r w:rsidRPr="006D0967">
        <w:rPr>
          <w:rFonts w:ascii="Arial" w:hAnsi="Arial" w:cs="Arial"/>
          <w:sz w:val="24"/>
          <w:lang w:val="en-GB"/>
        </w:rPr>
        <w:t>.</w:t>
      </w:r>
      <w:r>
        <w:rPr>
          <w:rFonts w:ascii="Arial" w:hAnsi="Arial" w:cs="Arial"/>
          <w:sz w:val="24"/>
          <w:lang w:val="en-GB"/>
        </w:rPr>
        <w:t xml:space="preserve"> </w:t>
      </w:r>
      <w:r w:rsidRPr="00783B34">
        <w:rPr>
          <w:rFonts w:ascii="Arial" w:hAnsi="Arial" w:cs="Arial"/>
          <w:sz w:val="24"/>
          <w:lang w:val="en-GB"/>
        </w:rPr>
        <w:t>On the other hand, SA has been linked to improve the response of plants against oxidative stress, such as caused by salt stress (</w:t>
      </w:r>
      <w:r>
        <w:rPr>
          <w:rFonts w:ascii="Arial" w:hAnsi="Arial" w:cs="Arial"/>
          <w:sz w:val="24"/>
          <w:lang w:val="en-GB"/>
        </w:rPr>
        <w:t>Singh</w:t>
      </w:r>
      <w:r w:rsidRPr="00DB33DC">
        <w:rPr>
          <w:rFonts w:ascii="Arial" w:hAnsi="Arial" w:cs="Arial"/>
          <w:sz w:val="24"/>
          <w:lang w:val="en-GB"/>
        </w:rPr>
        <w:t xml:space="preserve"> and Gautam </w:t>
      </w:r>
      <w:r w:rsidRPr="00783B34">
        <w:rPr>
          <w:rFonts w:ascii="Arial" w:hAnsi="Arial" w:cs="Arial"/>
          <w:sz w:val="24"/>
          <w:lang w:val="en-GB"/>
        </w:rPr>
        <w:t>2013). These results further supports that the cv. Grand Brix is more tolerant to salinity, because the hormone SA</w:t>
      </w:r>
      <w:r>
        <w:rPr>
          <w:rFonts w:ascii="Arial" w:hAnsi="Arial" w:cs="Arial"/>
          <w:sz w:val="24"/>
          <w:lang w:val="en-GB"/>
        </w:rPr>
        <w:t xml:space="preserve"> concentration</w:t>
      </w:r>
      <w:r w:rsidRPr="00783B34">
        <w:rPr>
          <w:rFonts w:ascii="Arial" w:hAnsi="Arial" w:cs="Arial"/>
          <w:sz w:val="24"/>
          <w:lang w:val="en-GB"/>
        </w:rPr>
        <w:t xml:space="preserve"> increased by 254% in the cv. Grand Brix (Table</w:t>
      </w:r>
      <w:r>
        <w:rPr>
          <w:rFonts w:ascii="Arial" w:hAnsi="Arial" w:cs="Arial"/>
          <w:sz w:val="24"/>
          <w:lang w:val="en-GB"/>
        </w:rPr>
        <w:t xml:space="preserve"> </w:t>
      </w:r>
      <w:r w:rsidRPr="00783B34">
        <w:rPr>
          <w:rFonts w:ascii="Arial" w:hAnsi="Arial" w:cs="Arial"/>
          <w:sz w:val="24"/>
          <w:lang w:val="en-GB"/>
        </w:rPr>
        <w:t>4).</w:t>
      </w:r>
    </w:p>
    <w:p w14:paraId="4C7423D1" w14:textId="77777777" w:rsidR="00E97387" w:rsidRDefault="00E97387" w:rsidP="00E97387">
      <w:pPr>
        <w:spacing w:line="480" w:lineRule="auto"/>
        <w:jc w:val="both"/>
        <w:rPr>
          <w:rFonts w:ascii="Arial" w:hAnsi="Arial" w:cs="Arial"/>
          <w:sz w:val="24"/>
          <w:lang w:val="en-GB"/>
        </w:rPr>
      </w:pPr>
    </w:p>
    <w:p w14:paraId="1E8ED9C7" w14:textId="77777777" w:rsidR="00E97387" w:rsidRDefault="00E97387" w:rsidP="00E97387">
      <w:pPr>
        <w:spacing w:line="480" w:lineRule="auto"/>
        <w:jc w:val="both"/>
        <w:rPr>
          <w:rFonts w:ascii="Arial" w:hAnsi="Arial" w:cs="Arial"/>
          <w:sz w:val="24"/>
          <w:lang w:val="en-GB"/>
        </w:rPr>
      </w:pPr>
      <w:r w:rsidRPr="00F977F3">
        <w:rPr>
          <w:rFonts w:ascii="Arial" w:hAnsi="Arial" w:cs="Arial"/>
          <w:sz w:val="24"/>
          <w:lang w:val="en-GB"/>
        </w:rPr>
        <w:t>For stress-related hormones cv. Grand Brix again has the high</w:t>
      </w:r>
      <w:r>
        <w:rPr>
          <w:rFonts w:ascii="Arial" w:hAnsi="Arial" w:cs="Arial"/>
          <w:sz w:val="24"/>
          <w:lang w:val="en-GB"/>
        </w:rPr>
        <w:t>est resistance to salt stress. T</w:t>
      </w:r>
      <w:r w:rsidRPr="00F977F3">
        <w:rPr>
          <w:rFonts w:ascii="Arial" w:hAnsi="Arial" w:cs="Arial"/>
          <w:sz w:val="24"/>
          <w:lang w:val="en-GB"/>
        </w:rPr>
        <w:t>his resistance is given by an increase in hormones</w:t>
      </w:r>
      <w:r>
        <w:rPr>
          <w:rFonts w:ascii="Arial" w:hAnsi="Arial" w:cs="Arial"/>
          <w:sz w:val="24"/>
          <w:lang w:val="en-GB"/>
        </w:rPr>
        <w:t xml:space="preserve"> concentrations</w:t>
      </w:r>
      <w:r w:rsidRPr="00F977F3">
        <w:rPr>
          <w:rFonts w:ascii="Arial" w:hAnsi="Arial" w:cs="Arial"/>
          <w:sz w:val="24"/>
          <w:lang w:val="en-GB"/>
        </w:rPr>
        <w:t xml:space="preserve"> that prevent water loss and contribute to the antioxidant defense (ABA and SA). </w:t>
      </w:r>
      <w:r>
        <w:rPr>
          <w:rFonts w:ascii="Arial" w:hAnsi="Arial" w:cs="Arial"/>
          <w:sz w:val="24"/>
          <w:lang w:val="en-GB"/>
        </w:rPr>
        <w:t>A</w:t>
      </w:r>
      <w:r w:rsidRPr="00F977F3">
        <w:rPr>
          <w:rFonts w:ascii="Arial" w:hAnsi="Arial" w:cs="Arial"/>
          <w:sz w:val="24"/>
          <w:lang w:val="en-GB"/>
        </w:rPr>
        <w:t>lso</w:t>
      </w:r>
      <w:r>
        <w:rPr>
          <w:rFonts w:ascii="Arial" w:hAnsi="Arial" w:cs="Arial"/>
          <w:sz w:val="24"/>
          <w:lang w:val="en-GB"/>
        </w:rPr>
        <w:t>,</w:t>
      </w:r>
      <w:r w:rsidRPr="00F977F3">
        <w:rPr>
          <w:rFonts w:ascii="Arial" w:hAnsi="Arial" w:cs="Arial"/>
          <w:sz w:val="24"/>
          <w:lang w:val="en-GB"/>
        </w:rPr>
        <w:t xml:space="preserve"> it has a lower concentration of ACC contributing to</w:t>
      </w:r>
      <w:r>
        <w:rPr>
          <w:rFonts w:ascii="Arial" w:hAnsi="Arial" w:cs="Arial"/>
          <w:sz w:val="24"/>
          <w:lang w:val="en-GB"/>
        </w:rPr>
        <w:t xml:space="preserve"> reducing</w:t>
      </w:r>
      <w:r w:rsidRPr="00F977F3">
        <w:rPr>
          <w:rFonts w:ascii="Arial" w:hAnsi="Arial" w:cs="Arial"/>
          <w:sz w:val="24"/>
          <w:lang w:val="en-GB"/>
        </w:rPr>
        <w:t xml:space="preserve"> senescence.</w:t>
      </w:r>
    </w:p>
    <w:p w14:paraId="69457165" w14:textId="77777777" w:rsidR="00E97387" w:rsidRDefault="00E97387" w:rsidP="00E97387">
      <w:pPr>
        <w:spacing w:line="480" w:lineRule="auto"/>
        <w:jc w:val="both"/>
        <w:rPr>
          <w:rFonts w:ascii="Arial" w:hAnsi="Arial" w:cs="Arial"/>
          <w:sz w:val="24"/>
          <w:lang w:val="en-GB"/>
        </w:rPr>
      </w:pPr>
    </w:p>
    <w:p w14:paraId="281C222F" w14:textId="77777777" w:rsidR="00E97387" w:rsidRDefault="00E97387" w:rsidP="00E97387">
      <w:pPr>
        <w:spacing w:line="480" w:lineRule="auto"/>
        <w:jc w:val="both"/>
        <w:rPr>
          <w:rFonts w:ascii="Arial" w:hAnsi="Arial" w:cs="Arial"/>
          <w:b/>
          <w:sz w:val="24"/>
          <w:lang w:val="en-GB"/>
        </w:rPr>
      </w:pPr>
      <w:r>
        <w:rPr>
          <w:rFonts w:ascii="Arial" w:hAnsi="Arial" w:cs="Arial"/>
          <w:b/>
          <w:sz w:val="24"/>
          <w:lang w:val="en-GB"/>
        </w:rPr>
        <w:t>6</w:t>
      </w:r>
      <w:r w:rsidRPr="00E4621B">
        <w:rPr>
          <w:rFonts w:ascii="Arial" w:hAnsi="Arial" w:cs="Arial"/>
          <w:b/>
          <w:sz w:val="24"/>
          <w:lang w:val="en-GB"/>
        </w:rPr>
        <w:t xml:space="preserve"> Conclusion</w:t>
      </w:r>
    </w:p>
    <w:p w14:paraId="5A582D87" w14:textId="77777777" w:rsidR="00E97387" w:rsidRDefault="00E97387" w:rsidP="00E97387">
      <w:pPr>
        <w:spacing w:line="480" w:lineRule="auto"/>
        <w:jc w:val="both"/>
        <w:rPr>
          <w:rFonts w:ascii="Arial" w:hAnsi="Arial" w:cs="Arial"/>
          <w:b/>
          <w:sz w:val="24"/>
          <w:lang w:val="en-GB"/>
        </w:rPr>
      </w:pPr>
      <w:r w:rsidRPr="00F577C6">
        <w:rPr>
          <w:rFonts w:ascii="Arial" w:hAnsi="Arial" w:cs="Arial"/>
          <w:sz w:val="24"/>
          <w:lang w:val="en-GB"/>
        </w:rPr>
        <w:t xml:space="preserve">This work leads us to conclude that </w:t>
      </w:r>
      <w:r w:rsidRPr="00F577C6">
        <w:rPr>
          <w:rFonts w:ascii="Arial" w:hAnsi="Arial" w:cs="Arial"/>
          <w:sz w:val="24"/>
          <w:szCs w:val="24"/>
          <w:lang w:val="en-GB"/>
        </w:rPr>
        <w:t>Na</w:t>
      </w:r>
      <w:r w:rsidRPr="00F577C6">
        <w:rPr>
          <w:rFonts w:ascii="Arial" w:hAnsi="Arial" w:cs="Arial"/>
          <w:sz w:val="24"/>
          <w:szCs w:val="24"/>
          <w:vertAlign w:val="superscript"/>
          <w:lang w:val="en-GB"/>
        </w:rPr>
        <w:t>+</w:t>
      </w:r>
      <w:r w:rsidRPr="00F577C6">
        <w:rPr>
          <w:rFonts w:ascii="Arial" w:hAnsi="Arial" w:cs="Arial"/>
          <w:sz w:val="24"/>
          <w:szCs w:val="24"/>
          <w:lang w:val="en-GB"/>
        </w:rPr>
        <w:t xml:space="preserve"> accumulation, the</w:t>
      </w:r>
      <w:r w:rsidRPr="0038351F">
        <w:rPr>
          <w:rFonts w:ascii="Arial" w:hAnsi="Arial" w:cs="Arial"/>
          <w:sz w:val="24"/>
          <w:szCs w:val="24"/>
          <w:lang w:val="en-GB"/>
        </w:rPr>
        <w:t xml:space="preserve"> </w:t>
      </w:r>
      <w:r w:rsidRPr="00F577C6">
        <w:rPr>
          <w:rFonts w:ascii="Arial" w:hAnsi="Arial" w:cs="Arial"/>
          <w:sz w:val="24"/>
          <w:szCs w:val="24"/>
          <w:lang w:val="en-GB"/>
        </w:rPr>
        <w:t>ion K</w:t>
      </w:r>
      <w:r w:rsidRPr="00F577C6">
        <w:rPr>
          <w:rFonts w:ascii="Arial" w:hAnsi="Arial" w:cs="Arial"/>
          <w:sz w:val="24"/>
          <w:szCs w:val="24"/>
          <w:vertAlign w:val="superscript"/>
          <w:lang w:val="en-GB"/>
        </w:rPr>
        <w:t>+</w:t>
      </w:r>
      <w:r>
        <w:rPr>
          <w:rFonts w:ascii="Arial" w:hAnsi="Arial" w:cs="Arial"/>
          <w:sz w:val="24"/>
          <w:szCs w:val="24"/>
          <w:lang w:val="en-GB"/>
        </w:rPr>
        <w:t xml:space="preserve"> reduction</w:t>
      </w:r>
      <w:r w:rsidRPr="00F577C6">
        <w:rPr>
          <w:rFonts w:ascii="Arial" w:hAnsi="Arial" w:cs="Arial"/>
          <w:sz w:val="24"/>
          <w:szCs w:val="24"/>
          <w:lang w:val="en-GB"/>
        </w:rPr>
        <w:t xml:space="preserve"> and especially th</w:t>
      </w:r>
      <w:r>
        <w:rPr>
          <w:rFonts w:ascii="Arial" w:hAnsi="Arial" w:cs="Arial"/>
          <w:sz w:val="24"/>
          <w:szCs w:val="24"/>
          <w:lang w:val="en-GB"/>
        </w:rPr>
        <w:t>e O</w:t>
      </w:r>
      <w:r w:rsidRPr="009A13BE">
        <w:rPr>
          <w:rFonts w:ascii="Arial" w:hAnsi="Arial" w:cs="Arial"/>
          <w:sz w:val="24"/>
          <w:szCs w:val="24"/>
          <w:vertAlign w:val="subscript"/>
          <w:lang w:val="en-GB"/>
        </w:rPr>
        <w:t>2</w:t>
      </w:r>
      <w:r>
        <w:rPr>
          <w:rFonts w:ascii="Arial" w:hAnsi="Arial" w:cs="Arial"/>
          <w:sz w:val="24"/>
          <w:szCs w:val="24"/>
          <w:vertAlign w:val="superscript"/>
          <w:lang w:val="en-GB"/>
        </w:rPr>
        <w:t>-</w:t>
      </w:r>
      <w:r>
        <w:rPr>
          <w:rFonts w:ascii="Arial" w:hAnsi="Arial" w:cs="Arial"/>
          <w:sz w:val="24"/>
          <w:szCs w:val="24"/>
          <w:lang w:val="en-GB"/>
        </w:rPr>
        <w:t xml:space="preserve"> increase</w:t>
      </w:r>
      <w:r w:rsidRPr="00F577C6">
        <w:rPr>
          <w:rFonts w:ascii="Arial" w:hAnsi="Arial" w:cs="Arial"/>
          <w:sz w:val="24"/>
          <w:szCs w:val="24"/>
          <w:lang w:val="en-GB"/>
        </w:rPr>
        <w:t xml:space="preserve"> could be the main causes of the toxic effects of the stress studied. On the other hand, </w:t>
      </w:r>
      <w:r w:rsidRPr="00C87C38">
        <w:rPr>
          <w:rFonts w:ascii="Arial" w:hAnsi="Arial" w:cs="Arial"/>
          <w:sz w:val="24"/>
          <w:lang w:val="en-GB"/>
        </w:rPr>
        <w:t>cv. Grand Brix has a better hormonal profile adapted to salt stress resistance. Hormones related to growth reveal differences between genotypes that could be key for resistance to salt stress</w:t>
      </w:r>
      <w:r>
        <w:rPr>
          <w:rFonts w:ascii="Arial" w:hAnsi="Arial" w:cs="Arial"/>
          <w:sz w:val="24"/>
          <w:szCs w:val="24"/>
          <w:lang w:val="en-GB"/>
        </w:rPr>
        <w:t>. T</w:t>
      </w:r>
      <w:r w:rsidRPr="00F577C6">
        <w:rPr>
          <w:rFonts w:ascii="Arial" w:hAnsi="Arial" w:cs="Arial"/>
          <w:sz w:val="24"/>
          <w:szCs w:val="24"/>
          <w:lang w:val="en-GB"/>
        </w:rPr>
        <w:t xml:space="preserve">he comparative study of the two genotypes indicated that cv. Grand Brix, despite </w:t>
      </w:r>
      <w:r w:rsidRPr="00F577C6">
        <w:rPr>
          <w:rFonts w:ascii="Arial" w:hAnsi="Arial" w:cs="Arial"/>
          <w:sz w:val="24"/>
          <w:szCs w:val="24"/>
          <w:lang w:val="en-GB"/>
        </w:rPr>
        <w:lastRenderedPageBreak/>
        <w:t>accumulating a higher Na</w:t>
      </w:r>
      <w:r w:rsidRPr="00F577C6">
        <w:rPr>
          <w:rFonts w:ascii="Arial" w:hAnsi="Arial" w:cs="Arial"/>
          <w:sz w:val="24"/>
          <w:szCs w:val="24"/>
          <w:vertAlign w:val="superscript"/>
          <w:lang w:val="en-GB"/>
        </w:rPr>
        <w:t>+</w:t>
      </w:r>
      <w:r w:rsidRPr="00F577C6">
        <w:rPr>
          <w:rFonts w:ascii="Arial" w:hAnsi="Arial" w:cs="Arial"/>
          <w:sz w:val="24"/>
          <w:szCs w:val="24"/>
          <w:lang w:val="en-GB"/>
        </w:rPr>
        <w:t xml:space="preserve"> concentration than did cv. Marmande RAF, showed less oxidative stress, as it showed greater detoxification of the ion superoxide with an induction of the enzymatic activity SOD and greater antioxidant </w:t>
      </w:r>
      <w:r>
        <w:rPr>
          <w:rFonts w:ascii="Arial" w:hAnsi="Arial" w:cs="Arial"/>
          <w:sz w:val="24"/>
          <w:szCs w:val="24"/>
          <w:lang w:val="en-GB"/>
        </w:rPr>
        <w:t>capacity. Furthermore, the accumulation of IAA, GA</w:t>
      </w:r>
      <w:r w:rsidRPr="004B3BAC">
        <w:rPr>
          <w:rFonts w:ascii="Arial" w:hAnsi="Arial" w:cs="Arial"/>
          <w:sz w:val="24"/>
          <w:szCs w:val="24"/>
          <w:vertAlign w:val="subscript"/>
          <w:lang w:val="en-GB"/>
        </w:rPr>
        <w:t>4</w:t>
      </w:r>
      <w:r>
        <w:rPr>
          <w:rFonts w:ascii="Arial" w:hAnsi="Arial" w:cs="Arial"/>
          <w:sz w:val="24"/>
          <w:szCs w:val="24"/>
          <w:lang w:val="en-GB"/>
        </w:rPr>
        <w:t xml:space="preserve"> and CKs</w:t>
      </w:r>
      <w:r w:rsidRPr="00F03B68">
        <w:rPr>
          <w:rFonts w:ascii="Arial" w:hAnsi="Arial" w:cs="Arial"/>
          <w:sz w:val="24"/>
          <w:szCs w:val="24"/>
          <w:lang w:val="en-GB"/>
        </w:rPr>
        <w:t xml:space="preserve"> and their beneficia</w:t>
      </w:r>
      <w:r>
        <w:rPr>
          <w:rFonts w:ascii="Arial" w:hAnsi="Arial" w:cs="Arial"/>
          <w:sz w:val="24"/>
          <w:szCs w:val="24"/>
          <w:lang w:val="en-GB"/>
        </w:rPr>
        <w:t>l role against oxidative stress</w:t>
      </w:r>
      <w:r w:rsidRPr="00C87C38">
        <w:rPr>
          <w:rFonts w:ascii="Arial" w:hAnsi="Arial" w:cs="Arial"/>
          <w:sz w:val="24"/>
          <w:lang w:val="en-GB"/>
        </w:rPr>
        <w:t xml:space="preserve"> could make the difference between resistance and sensitivity to salt stress. On the other hand</w:t>
      </w:r>
      <w:r>
        <w:rPr>
          <w:rFonts w:ascii="Arial" w:hAnsi="Arial" w:cs="Arial"/>
          <w:sz w:val="24"/>
          <w:lang w:val="en-GB"/>
        </w:rPr>
        <w:t>,</w:t>
      </w:r>
      <w:r w:rsidRPr="00C87C38">
        <w:rPr>
          <w:rFonts w:ascii="Arial" w:hAnsi="Arial" w:cs="Arial"/>
          <w:sz w:val="24"/>
          <w:lang w:val="en-GB"/>
        </w:rPr>
        <w:t xml:space="preserve"> the ABA</w:t>
      </w:r>
      <w:r>
        <w:rPr>
          <w:rFonts w:ascii="Arial" w:hAnsi="Arial" w:cs="Arial"/>
          <w:sz w:val="24"/>
          <w:lang w:val="en-GB"/>
        </w:rPr>
        <w:t xml:space="preserve"> and tZ</w:t>
      </w:r>
      <w:r w:rsidRPr="00C87C38">
        <w:rPr>
          <w:rFonts w:ascii="Arial" w:hAnsi="Arial" w:cs="Arial"/>
          <w:sz w:val="24"/>
          <w:lang w:val="en-GB"/>
        </w:rPr>
        <w:t xml:space="preserve"> </w:t>
      </w:r>
      <w:r>
        <w:rPr>
          <w:rFonts w:ascii="Arial" w:hAnsi="Arial" w:cs="Arial"/>
          <w:sz w:val="24"/>
          <w:lang w:val="en-GB"/>
        </w:rPr>
        <w:t>increase,</w:t>
      </w:r>
      <w:r w:rsidRPr="00C87C38">
        <w:rPr>
          <w:rFonts w:ascii="Arial" w:hAnsi="Arial" w:cs="Arial"/>
          <w:sz w:val="24"/>
          <w:lang w:val="en-GB"/>
        </w:rPr>
        <w:t xml:space="preserve"> and ACC</w:t>
      </w:r>
      <w:r>
        <w:rPr>
          <w:rFonts w:ascii="Arial" w:hAnsi="Arial" w:cs="Arial"/>
          <w:sz w:val="24"/>
          <w:lang w:val="en-GB"/>
        </w:rPr>
        <w:t xml:space="preserve"> </w:t>
      </w:r>
      <w:r w:rsidRPr="00C87C38">
        <w:rPr>
          <w:rFonts w:ascii="Arial" w:hAnsi="Arial" w:cs="Arial"/>
          <w:sz w:val="24"/>
          <w:lang w:val="en-GB"/>
        </w:rPr>
        <w:t>decreased</w:t>
      </w:r>
      <w:r>
        <w:rPr>
          <w:rFonts w:ascii="Arial" w:hAnsi="Arial" w:cs="Arial"/>
          <w:sz w:val="24"/>
          <w:lang w:val="en-GB"/>
        </w:rPr>
        <w:t xml:space="preserve"> concentrations</w:t>
      </w:r>
      <w:r w:rsidRPr="00C87C38">
        <w:rPr>
          <w:rFonts w:ascii="Arial" w:hAnsi="Arial" w:cs="Arial"/>
          <w:sz w:val="24"/>
          <w:lang w:val="en-GB"/>
        </w:rPr>
        <w:t xml:space="preserve"> could also mark the resistance in the cv. Grand </w:t>
      </w:r>
      <w:r>
        <w:rPr>
          <w:rFonts w:ascii="Arial" w:hAnsi="Arial" w:cs="Arial"/>
          <w:sz w:val="24"/>
          <w:lang w:val="en-GB"/>
        </w:rPr>
        <w:t>Brix.</w:t>
      </w:r>
      <w:r>
        <w:rPr>
          <w:rFonts w:ascii="Arial" w:hAnsi="Arial" w:cs="Arial"/>
          <w:sz w:val="24"/>
          <w:szCs w:val="24"/>
          <w:lang w:val="en-GB"/>
        </w:rPr>
        <w:t xml:space="preserve"> </w:t>
      </w:r>
      <w:r w:rsidRPr="00F577C6">
        <w:rPr>
          <w:rFonts w:ascii="Arial" w:hAnsi="Arial" w:cs="Arial"/>
          <w:sz w:val="24"/>
          <w:szCs w:val="24"/>
          <w:lang w:val="en-GB"/>
        </w:rPr>
        <w:t>In conclus</w:t>
      </w:r>
      <w:r>
        <w:rPr>
          <w:rFonts w:ascii="Arial" w:hAnsi="Arial" w:cs="Arial"/>
          <w:sz w:val="24"/>
          <w:szCs w:val="24"/>
          <w:lang w:val="en-GB"/>
        </w:rPr>
        <w:t>ion, our results reveal that O</w:t>
      </w:r>
      <w:r w:rsidRPr="00BD41E0">
        <w:rPr>
          <w:rFonts w:ascii="Arial" w:hAnsi="Arial" w:cs="Arial"/>
          <w:sz w:val="24"/>
          <w:szCs w:val="24"/>
          <w:vertAlign w:val="subscript"/>
          <w:lang w:val="en-GB"/>
        </w:rPr>
        <w:t>2</w:t>
      </w:r>
      <w:r w:rsidRPr="00BD41E0">
        <w:rPr>
          <w:rFonts w:ascii="Arial" w:hAnsi="Arial" w:cs="Arial"/>
          <w:sz w:val="24"/>
          <w:szCs w:val="24"/>
          <w:vertAlign w:val="superscript"/>
          <w:lang w:val="en-GB"/>
        </w:rPr>
        <w:t>-</w:t>
      </w:r>
      <w:r w:rsidRPr="00F577C6">
        <w:rPr>
          <w:rFonts w:ascii="Arial" w:hAnsi="Arial" w:cs="Arial"/>
          <w:sz w:val="24"/>
          <w:szCs w:val="24"/>
          <w:lang w:val="en-GB"/>
        </w:rPr>
        <w:t xml:space="preserve"> accumulation could be the key factor determining the toxic effect of </w:t>
      </w:r>
      <w:r>
        <w:rPr>
          <w:rFonts w:ascii="Arial" w:hAnsi="Arial" w:cs="Arial"/>
          <w:sz w:val="24"/>
          <w:szCs w:val="24"/>
          <w:lang w:val="en-GB"/>
        </w:rPr>
        <w:t>saline</w:t>
      </w:r>
      <w:r w:rsidRPr="00F577C6">
        <w:rPr>
          <w:rFonts w:ascii="Arial" w:hAnsi="Arial" w:cs="Arial"/>
          <w:sz w:val="24"/>
          <w:szCs w:val="24"/>
          <w:lang w:val="en-GB"/>
        </w:rPr>
        <w:t xml:space="preserve"> stress, and therefore its detoxification is essential to develop and/or select plants with stronger resistance to such abiotic stress in plants</w:t>
      </w:r>
      <w:r>
        <w:rPr>
          <w:rFonts w:ascii="Arial" w:hAnsi="Arial" w:cs="Arial"/>
          <w:sz w:val="24"/>
          <w:szCs w:val="24"/>
          <w:lang w:val="en-GB"/>
        </w:rPr>
        <w:t xml:space="preserve">. Furthermore, </w:t>
      </w:r>
      <w:r>
        <w:rPr>
          <w:rFonts w:ascii="Arial" w:hAnsi="Arial" w:cs="Arial"/>
          <w:sz w:val="24"/>
          <w:lang w:val="en-GB"/>
        </w:rPr>
        <w:t>the key hormones</w:t>
      </w:r>
      <w:r w:rsidRPr="00C87C38">
        <w:rPr>
          <w:rFonts w:ascii="Arial" w:hAnsi="Arial" w:cs="Arial"/>
          <w:sz w:val="24"/>
          <w:lang w:val="en-GB"/>
        </w:rPr>
        <w:t xml:space="preserve"> in the salin</w:t>
      </w:r>
      <w:r>
        <w:rPr>
          <w:rFonts w:ascii="Arial" w:hAnsi="Arial" w:cs="Arial"/>
          <w:sz w:val="24"/>
          <w:lang w:val="en-GB"/>
        </w:rPr>
        <w:t>e stress tolerance could be IAA, tZ, GA</w:t>
      </w:r>
      <w:r w:rsidRPr="004B3BAC">
        <w:rPr>
          <w:rFonts w:ascii="Arial" w:hAnsi="Arial" w:cs="Arial"/>
          <w:sz w:val="24"/>
          <w:vertAlign w:val="subscript"/>
          <w:lang w:val="en-GB"/>
        </w:rPr>
        <w:t>4</w:t>
      </w:r>
      <w:r w:rsidRPr="00C87C38">
        <w:rPr>
          <w:rFonts w:ascii="Arial" w:hAnsi="Arial" w:cs="Arial"/>
          <w:sz w:val="24"/>
          <w:lang w:val="en-GB"/>
        </w:rPr>
        <w:t>, ABA and ACC. although would be necessary more</w:t>
      </w:r>
      <w:r>
        <w:rPr>
          <w:rFonts w:ascii="Arial" w:hAnsi="Arial" w:cs="Arial"/>
          <w:sz w:val="24"/>
          <w:lang w:val="en-GB"/>
        </w:rPr>
        <w:t xml:space="preserve"> specific studies.</w:t>
      </w:r>
      <w:r w:rsidRPr="009D148C">
        <w:rPr>
          <w:rFonts w:ascii="Arial" w:hAnsi="Arial" w:cs="Arial"/>
          <w:b/>
          <w:sz w:val="24"/>
          <w:lang w:val="en-GB"/>
        </w:rPr>
        <w:t xml:space="preserve"> </w:t>
      </w:r>
    </w:p>
    <w:p w14:paraId="03D786B0" w14:textId="77777777" w:rsidR="00E97387" w:rsidRPr="00641F6D" w:rsidRDefault="00E97387" w:rsidP="00E97387">
      <w:pPr>
        <w:spacing w:line="480" w:lineRule="auto"/>
        <w:jc w:val="both"/>
        <w:rPr>
          <w:rFonts w:ascii="Arial" w:hAnsi="Arial" w:cs="Arial"/>
          <w:sz w:val="24"/>
          <w:szCs w:val="24"/>
          <w:lang w:val="en-GB"/>
        </w:rPr>
      </w:pPr>
    </w:p>
    <w:p w14:paraId="7E56BDF7" w14:textId="77777777" w:rsidR="00E97387" w:rsidRPr="004053BC" w:rsidRDefault="00E97387" w:rsidP="00E97387">
      <w:pPr>
        <w:spacing w:line="480" w:lineRule="auto"/>
        <w:jc w:val="both"/>
        <w:rPr>
          <w:rFonts w:ascii="Arial" w:hAnsi="Arial" w:cs="Arial"/>
          <w:b/>
          <w:sz w:val="24"/>
          <w:lang w:val="en-GB"/>
        </w:rPr>
      </w:pPr>
      <w:r w:rsidRPr="004053BC">
        <w:rPr>
          <w:rFonts w:ascii="Arial" w:hAnsi="Arial" w:cs="Arial"/>
          <w:b/>
          <w:sz w:val="24"/>
          <w:lang w:val="en-GB"/>
        </w:rPr>
        <w:t>Acknowledgements</w:t>
      </w:r>
    </w:p>
    <w:p w14:paraId="60C29721" w14:textId="77777777" w:rsidR="00E97387" w:rsidRDefault="00E97387" w:rsidP="00E97387">
      <w:pPr>
        <w:spacing w:line="480" w:lineRule="auto"/>
        <w:jc w:val="both"/>
        <w:rPr>
          <w:rFonts w:ascii="Arial" w:hAnsi="Arial" w:cs="Arial"/>
          <w:sz w:val="24"/>
          <w:szCs w:val="24"/>
          <w:lang w:val="en-US"/>
        </w:rPr>
      </w:pPr>
      <w:r w:rsidRPr="00E93637">
        <w:rPr>
          <w:rFonts w:ascii="Arial" w:hAnsi="Arial" w:cs="Arial"/>
          <w:sz w:val="24"/>
          <w:szCs w:val="24"/>
          <w:lang w:val="en-US"/>
        </w:rPr>
        <w:t>This work was financed by the PAI programme (Plan Andaluz de Investigación, Grupo de investigación AGR161).</w:t>
      </w:r>
    </w:p>
    <w:p w14:paraId="242CA422" w14:textId="77777777" w:rsidR="00E97387" w:rsidRPr="00E93637" w:rsidRDefault="00E97387" w:rsidP="00E97387">
      <w:pPr>
        <w:spacing w:line="480" w:lineRule="auto"/>
        <w:jc w:val="both"/>
        <w:rPr>
          <w:rFonts w:ascii="Arial" w:hAnsi="Arial" w:cs="Arial"/>
          <w:sz w:val="24"/>
          <w:szCs w:val="24"/>
          <w:lang w:val="en-US"/>
        </w:rPr>
      </w:pPr>
    </w:p>
    <w:p w14:paraId="5FA16957" w14:textId="77777777" w:rsidR="00E97387" w:rsidRPr="00D0617C" w:rsidRDefault="00E97387" w:rsidP="00E97387">
      <w:pPr>
        <w:pStyle w:val="Prrafodelista"/>
        <w:numPr>
          <w:ilvl w:val="0"/>
          <w:numId w:val="2"/>
        </w:numPr>
        <w:spacing w:after="200" w:line="480" w:lineRule="auto"/>
        <w:jc w:val="both"/>
        <w:rPr>
          <w:rFonts w:ascii="Arial" w:hAnsi="Arial" w:cs="Arial"/>
          <w:b/>
          <w:sz w:val="24"/>
          <w:lang w:val="en-GB"/>
        </w:rPr>
      </w:pPr>
      <w:r w:rsidRPr="00D0617C">
        <w:rPr>
          <w:rFonts w:ascii="Arial" w:hAnsi="Arial" w:cs="Arial"/>
          <w:b/>
          <w:sz w:val="24"/>
          <w:lang w:val="en-GB"/>
        </w:rPr>
        <w:t>References</w:t>
      </w:r>
    </w:p>
    <w:p w14:paraId="4E532943"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Amjad M., Akhtar J., Anwar-ul-Haq M., Yang A., Akhtar S.S., Jacobsen S-E.,</w:t>
      </w:r>
      <w:r w:rsidRPr="000A57F1">
        <w:rPr>
          <w:rFonts w:ascii="Arial" w:hAnsi="Arial" w:cs="Arial"/>
          <w:sz w:val="20"/>
          <w:szCs w:val="20"/>
          <w:lang w:val="en-US"/>
        </w:rPr>
        <w:t xml:space="preserve"> 2014. Integrating role of ethylene and ABA in tomato plants adaptation to salt stress. Sci. Hort. 172, 109–116</w:t>
      </w:r>
    </w:p>
    <w:p w14:paraId="6762D670"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Asada K.,</w:t>
      </w:r>
      <w:r w:rsidRPr="000A57F1">
        <w:rPr>
          <w:rFonts w:ascii="Arial" w:hAnsi="Arial" w:cs="Arial"/>
          <w:sz w:val="20"/>
          <w:szCs w:val="20"/>
          <w:lang w:val="en-US"/>
        </w:rPr>
        <w:t xml:space="preserve"> 1999. The water-water cycle in chloroplasts: scavenging of active oxygens and dissipation of excess photons. Annu. Rev. Plant Biol. 50, 601–639.</w:t>
      </w:r>
    </w:p>
    <w:p w14:paraId="55C9847E"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Avalbaev A., Yuldashev R., Fedorova K., Somov K., Vysotskayab L., Allagulovaa C., Shakirovaa F.,</w:t>
      </w:r>
      <w:r w:rsidRPr="000A57F1">
        <w:rPr>
          <w:rFonts w:ascii="Arial" w:hAnsi="Arial" w:cs="Arial"/>
          <w:sz w:val="20"/>
          <w:szCs w:val="20"/>
          <w:lang w:val="en-US"/>
        </w:rPr>
        <w:t xml:space="preserve"> 2016. Exogenous methyl jasmonate regulates cytokinin content by modulating cytokinin oxidase activity in wheat seedlings under salinity. J. Plant Physiol. 191, 101–110. </w:t>
      </w:r>
    </w:p>
    <w:p w14:paraId="2EECAEA4"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lastRenderedPageBreak/>
        <w:t>Badiani M., De Biasi M.G., Felici M.,</w:t>
      </w:r>
      <w:r w:rsidRPr="000A57F1">
        <w:rPr>
          <w:rFonts w:ascii="Arial" w:hAnsi="Arial" w:cs="Arial"/>
          <w:sz w:val="20"/>
          <w:szCs w:val="20"/>
          <w:lang w:val="en-US"/>
        </w:rPr>
        <w:t xml:space="preserve"> 1990. Soluble peroxidase from winter wheat seedlings with phenoloxidase-like activity. </w:t>
      </w:r>
      <w:r w:rsidRPr="008F4298">
        <w:rPr>
          <w:rFonts w:ascii="Arial" w:hAnsi="Arial" w:cs="Arial"/>
          <w:sz w:val="20"/>
          <w:szCs w:val="20"/>
        </w:rPr>
        <w:t>Plant. Physiol. 93, 489–494.</w:t>
      </w:r>
    </w:p>
    <w:p w14:paraId="48F48D63" w14:textId="77777777" w:rsidR="00E97387" w:rsidRPr="000A57F1" w:rsidRDefault="00E97387" w:rsidP="00E97387">
      <w:pPr>
        <w:jc w:val="both"/>
        <w:rPr>
          <w:rFonts w:ascii="Arial" w:hAnsi="Arial" w:cs="Arial"/>
          <w:sz w:val="20"/>
          <w:szCs w:val="20"/>
          <w:lang w:val="en-US"/>
        </w:rPr>
      </w:pPr>
      <w:r w:rsidRPr="008F4298">
        <w:rPr>
          <w:rFonts w:ascii="Arial" w:hAnsi="Arial" w:cs="Arial"/>
          <w:b/>
          <w:sz w:val="20"/>
          <w:szCs w:val="20"/>
        </w:rPr>
        <w:t>Barrameda-Medina Y., Montesinos-Pereira D., Romero L., Blasco B., Ruiz J.M.,</w:t>
      </w:r>
      <w:r w:rsidRPr="008F4298">
        <w:rPr>
          <w:rFonts w:ascii="Arial" w:hAnsi="Arial" w:cs="Arial"/>
          <w:sz w:val="20"/>
          <w:szCs w:val="20"/>
        </w:rPr>
        <w:t xml:space="preserve"> 2014. </w:t>
      </w:r>
      <w:r w:rsidRPr="000A57F1">
        <w:rPr>
          <w:rFonts w:ascii="Arial" w:hAnsi="Arial" w:cs="Arial"/>
          <w:sz w:val="20"/>
          <w:szCs w:val="20"/>
          <w:lang w:val="en-US"/>
        </w:rPr>
        <w:t xml:space="preserve">Role of GSH homeostasis under Zn toxicity in plants with different Zn tolerance. Plant. Sci. </w:t>
      </w:r>
      <w:r w:rsidRPr="000A57F1">
        <w:rPr>
          <w:rFonts w:ascii="Arial" w:hAnsi="Arial" w:cs="Arial"/>
          <w:iCs/>
          <w:sz w:val="20"/>
          <w:szCs w:val="20"/>
          <w:lang w:val="en-US"/>
        </w:rPr>
        <w:t>227,</w:t>
      </w:r>
      <w:r w:rsidRPr="000A57F1">
        <w:rPr>
          <w:rFonts w:ascii="Arial" w:hAnsi="Arial" w:cs="Arial"/>
          <w:sz w:val="20"/>
          <w:szCs w:val="20"/>
          <w:lang w:val="en-US"/>
        </w:rPr>
        <w:t xml:space="preserve"> 110–121.</w:t>
      </w:r>
    </w:p>
    <w:p w14:paraId="68E0F790"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Benzie I.F.F., Strain J.J.,</w:t>
      </w:r>
      <w:r w:rsidRPr="000A57F1">
        <w:rPr>
          <w:rFonts w:ascii="Arial" w:hAnsi="Arial" w:cs="Arial"/>
          <w:sz w:val="20"/>
          <w:szCs w:val="20"/>
          <w:lang w:val="en-US"/>
        </w:rPr>
        <w:t xml:space="preserve"> 1996. The ferric reducing ability of plasma (FRAP) as a measure of “antioxidant power”: the FRAP assay. Anal. Biochem. 239, 70-76</w:t>
      </w:r>
    </w:p>
    <w:p w14:paraId="19863F0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Bradford M.M.,</w:t>
      </w:r>
      <w:r w:rsidRPr="000A57F1">
        <w:rPr>
          <w:rFonts w:ascii="Arial" w:hAnsi="Arial" w:cs="Arial"/>
          <w:sz w:val="20"/>
          <w:szCs w:val="20"/>
          <w:lang w:val="en-US"/>
        </w:rPr>
        <w:t xml:space="preserve"> 1976. A rapid and sensitive method for the quantitation of microgram quantities of protein utilizing the principle of protein-dye binding. Anal. Biochem. 72, 248–254.</w:t>
      </w:r>
    </w:p>
    <w:p w14:paraId="4E2CE913"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 xml:space="preserve">Çakmak I., </w:t>
      </w:r>
      <w:r w:rsidRPr="000A57F1">
        <w:rPr>
          <w:rFonts w:ascii="Arial" w:hAnsi="Arial" w:cs="Arial"/>
          <w:sz w:val="20"/>
          <w:szCs w:val="20"/>
          <w:lang w:val="en-US"/>
        </w:rPr>
        <w:t>2005. The role of potassium in alleviating detrimental effects of abiotic stresses in plants. J. Plant. Nutr. Soil. Sci. 168, 521–530.</w:t>
      </w:r>
    </w:p>
    <w:p w14:paraId="2BF66F92"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Dar T.A., Uddin M., Khana M.M.A., Hakeem K.R., Jaleel H.,</w:t>
      </w:r>
      <w:r w:rsidRPr="000A57F1">
        <w:rPr>
          <w:rFonts w:ascii="Arial" w:hAnsi="Arial" w:cs="Arial"/>
          <w:sz w:val="20"/>
          <w:szCs w:val="20"/>
          <w:lang w:val="en-US"/>
        </w:rPr>
        <w:t xml:space="preserve"> 2015. Jasmonates counter plant stress: A Review. Environ. Exp. Bot. 115, 49-57 </w:t>
      </w:r>
    </w:p>
    <w:p w14:paraId="2822FC92" w14:textId="77777777" w:rsidR="00E97387" w:rsidRPr="000A57F1" w:rsidRDefault="00E97387" w:rsidP="00E97387">
      <w:pPr>
        <w:jc w:val="both"/>
        <w:rPr>
          <w:rFonts w:ascii="Arial" w:hAnsi="Arial" w:cs="Arial"/>
          <w:noProof/>
          <w:sz w:val="20"/>
          <w:szCs w:val="20"/>
          <w:lang w:val="en-US" w:eastAsia="es-ES_tradnl"/>
        </w:rPr>
      </w:pPr>
      <w:r w:rsidRPr="000A57F1">
        <w:rPr>
          <w:rFonts w:ascii="Arial" w:hAnsi="Arial" w:cs="Arial"/>
          <w:b/>
          <w:noProof/>
          <w:sz w:val="20"/>
          <w:szCs w:val="20"/>
          <w:lang w:val="en-US" w:eastAsia="es-ES_tradnl"/>
        </w:rPr>
        <w:t>Edwards R.</w:t>
      </w:r>
      <w:r w:rsidRPr="000A57F1">
        <w:rPr>
          <w:rFonts w:ascii="Arial" w:hAnsi="Arial" w:cs="Arial"/>
          <w:noProof/>
          <w:sz w:val="20"/>
          <w:szCs w:val="20"/>
          <w:lang w:val="en-US" w:eastAsia="es-ES_tradnl"/>
        </w:rPr>
        <w:t xml:space="preserve"> 1996. Characterization of glutathione transferase and glutathione peroxidases in pea (</w:t>
      </w:r>
      <w:r w:rsidRPr="000A57F1">
        <w:rPr>
          <w:rFonts w:ascii="Arial" w:hAnsi="Arial" w:cs="Arial"/>
          <w:i/>
          <w:iCs/>
          <w:noProof/>
          <w:sz w:val="20"/>
          <w:szCs w:val="20"/>
          <w:lang w:val="en-US" w:eastAsia="es-ES_tradnl"/>
        </w:rPr>
        <w:t>Pisum sativum</w:t>
      </w:r>
      <w:r w:rsidRPr="000A57F1">
        <w:rPr>
          <w:rFonts w:ascii="Arial" w:hAnsi="Arial" w:cs="Arial"/>
          <w:noProof/>
          <w:sz w:val="20"/>
          <w:szCs w:val="20"/>
          <w:lang w:val="en-US" w:eastAsia="es-ES_tradnl"/>
        </w:rPr>
        <w:t>). Physiol. Plant. 98, 594–604.</w:t>
      </w:r>
    </w:p>
    <w:p w14:paraId="61404048"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t>Fahad S., Hussain S., Matloob A., Khan F.A., Khaliq A., Saud S., Hassan S., Shan D., Khan F., Ullah N., Faiq M., Khan M.R., Tareen A.K., Khan A., Ullah A., Ullah N., Huang J.,</w:t>
      </w:r>
      <w:r w:rsidRPr="000A57F1">
        <w:rPr>
          <w:rFonts w:ascii="Arial" w:hAnsi="Arial" w:cs="Arial"/>
          <w:sz w:val="20"/>
          <w:szCs w:val="20"/>
          <w:lang w:val="en-US"/>
        </w:rPr>
        <w:t xml:space="preserve"> 2015 Phytohormones and plant responses to salinity stress: a review. </w:t>
      </w:r>
      <w:r w:rsidRPr="008F4298">
        <w:rPr>
          <w:rFonts w:ascii="Arial" w:hAnsi="Arial" w:cs="Arial"/>
          <w:sz w:val="20"/>
          <w:szCs w:val="20"/>
        </w:rPr>
        <w:t>Plant Growth Regul. 75, 391–404.</w:t>
      </w:r>
    </w:p>
    <w:p w14:paraId="78EF02CA" w14:textId="77777777" w:rsidR="00E97387" w:rsidRPr="008F4298" w:rsidRDefault="00E97387" w:rsidP="00E97387">
      <w:pPr>
        <w:jc w:val="both"/>
        <w:rPr>
          <w:rFonts w:ascii="Arial" w:hAnsi="Arial" w:cs="Arial"/>
          <w:sz w:val="20"/>
          <w:szCs w:val="20"/>
        </w:rPr>
      </w:pPr>
      <w:r w:rsidRPr="008F4298">
        <w:rPr>
          <w:rFonts w:ascii="Arial" w:hAnsi="Arial" w:cs="Arial"/>
          <w:b/>
          <w:sz w:val="20"/>
          <w:szCs w:val="20"/>
        </w:rPr>
        <w:t>FAO.,</w:t>
      </w:r>
      <w:r w:rsidRPr="008F4298">
        <w:rPr>
          <w:rFonts w:ascii="Arial" w:hAnsi="Arial" w:cs="Arial"/>
          <w:sz w:val="20"/>
          <w:szCs w:val="20"/>
        </w:rPr>
        <w:t xml:space="preserve"> 2014. organización de las naciones unidas para la alimentación y la agricultura, FAOSTAT, Programa de trabajo estadístico de la FAO. http://www.fao.org/faostat/es/#data/QC (accessed 24.01.17).</w:t>
      </w:r>
    </w:p>
    <w:p w14:paraId="044AEA29"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t>Fu J., Huang B.,</w:t>
      </w:r>
      <w:r w:rsidRPr="000A57F1">
        <w:rPr>
          <w:rFonts w:ascii="Arial" w:hAnsi="Arial" w:cs="Arial"/>
          <w:sz w:val="20"/>
          <w:szCs w:val="20"/>
          <w:lang w:val="en-US"/>
        </w:rPr>
        <w:t xml:space="preserve"> 2001. Involvement of antioxidants and lipid peroxidation in the adaptation of two cool-season grasses to localized drought stress. </w:t>
      </w:r>
      <w:r w:rsidRPr="008F4298">
        <w:rPr>
          <w:rFonts w:ascii="Arial" w:hAnsi="Arial" w:cs="Arial"/>
          <w:sz w:val="20"/>
          <w:szCs w:val="20"/>
        </w:rPr>
        <w:t>Environ. Exp. Bot. 45, 105–114.</w:t>
      </w:r>
    </w:p>
    <w:p w14:paraId="4905D43A" w14:textId="77777777" w:rsidR="00E97387" w:rsidRPr="000A57F1" w:rsidRDefault="00E97387" w:rsidP="00E97387">
      <w:pPr>
        <w:jc w:val="both"/>
        <w:rPr>
          <w:rFonts w:ascii="Arial" w:hAnsi="Arial" w:cs="Arial"/>
          <w:sz w:val="20"/>
          <w:szCs w:val="20"/>
          <w:lang w:val="en-US"/>
        </w:rPr>
      </w:pPr>
      <w:r w:rsidRPr="008F4298">
        <w:rPr>
          <w:rFonts w:ascii="Arial" w:hAnsi="Arial" w:cs="Arial"/>
          <w:b/>
          <w:sz w:val="20"/>
          <w:szCs w:val="20"/>
        </w:rPr>
        <w:t>Ghanem M.E., Albacete A., Martínez-Andújar C., Acosta M., Romero-Aranda R., Dodd I.C., Lutts S., Pérez-Alfocea F.,</w:t>
      </w:r>
      <w:r w:rsidRPr="008F4298">
        <w:rPr>
          <w:rFonts w:ascii="Arial" w:hAnsi="Arial" w:cs="Arial"/>
          <w:sz w:val="20"/>
          <w:szCs w:val="20"/>
        </w:rPr>
        <w:t xml:space="preserve"> 2008. </w:t>
      </w:r>
      <w:r w:rsidRPr="000A57F1">
        <w:rPr>
          <w:rFonts w:ascii="Arial" w:hAnsi="Arial" w:cs="Arial"/>
          <w:sz w:val="20"/>
          <w:szCs w:val="20"/>
          <w:lang w:val="en-US"/>
        </w:rPr>
        <w:t>Hormonal changes during salinity-induced leaf senescence in tomato (</w:t>
      </w:r>
      <w:r w:rsidRPr="000A57F1">
        <w:rPr>
          <w:rFonts w:ascii="Arial" w:hAnsi="Arial" w:cs="Arial"/>
          <w:i/>
          <w:iCs/>
          <w:sz w:val="20"/>
          <w:szCs w:val="20"/>
          <w:lang w:val="en-US"/>
        </w:rPr>
        <w:t>Solanum lycopersicum</w:t>
      </w:r>
      <w:r w:rsidRPr="000A57F1">
        <w:rPr>
          <w:rFonts w:ascii="Arial" w:hAnsi="Arial" w:cs="Arial"/>
          <w:sz w:val="20"/>
          <w:szCs w:val="20"/>
          <w:lang w:val="en-US"/>
        </w:rPr>
        <w:t xml:space="preserve"> L.) J. Exp. Bot. 59, 3039–3050. </w:t>
      </w:r>
    </w:p>
    <w:p w14:paraId="7FAB8AC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Ghanem M.E., Albacete A., Smigocki A.C., Frébort I., Pospíšilová H., Martínez-Andújar C., Acosta M., Sánchez-Bravo J., Lutts S., Dodd I.C., Pérez-Alfocea F.,</w:t>
      </w:r>
      <w:r w:rsidRPr="000A57F1">
        <w:rPr>
          <w:rFonts w:ascii="Arial" w:hAnsi="Arial" w:cs="Arial"/>
          <w:sz w:val="20"/>
          <w:szCs w:val="20"/>
          <w:lang w:val="en-US"/>
        </w:rPr>
        <w:t xml:space="preserve"> 2011. Root-synthesized cytokinins improve shoot growth and fruit yield in salinized tomato (</w:t>
      </w:r>
      <w:r w:rsidRPr="000A57F1">
        <w:rPr>
          <w:rFonts w:ascii="Arial" w:hAnsi="Arial" w:cs="Arial"/>
          <w:i/>
          <w:iCs/>
          <w:sz w:val="20"/>
          <w:szCs w:val="20"/>
          <w:lang w:val="en-US"/>
        </w:rPr>
        <w:t>Solanum lycopersicum</w:t>
      </w:r>
      <w:r w:rsidRPr="000A57F1">
        <w:rPr>
          <w:rFonts w:ascii="Arial" w:hAnsi="Arial" w:cs="Arial"/>
          <w:sz w:val="20"/>
          <w:szCs w:val="20"/>
          <w:lang w:val="en-US"/>
        </w:rPr>
        <w:t xml:space="preserve"> L.) plants. J. Exp. Bot. 62, 125–140. </w:t>
      </w:r>
    </w:p>
    <w:p w14:paraId="72F8396D"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Gong B., Li X., VandenLangenberg K.M., Wen D., Sun S., Wei M., Li Y., Yang F., Shi Q., Wang X.,</w:t>
      </w:r>
      <w:r w:rsidRPr="000A57F1">
        <w:rPr>
          <w:rFonts w:ascii="Arial" w:hAnsi="Arial" w:cs="Arial"/>
          <w:sz w:val="20"/>
          <w:szCs w:val="20"/>
          <w:lang w:val="en-US"/>
        </w:rPr>
        <w:t xml:space="preserve"> 2014a. Overexpression of S-adenosyl-l-methionine synthetase increased tomato tolerance to alkali stress through polyamine metabolism. Plant. Biotechnol. J.12, 694–708.</w:t>
      </w:r>
    </w:p>
    <w:p w14:paraId="37C006E8"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Gong B., Wen D., VandenLangenberg K., Wei M., Yang F., Shi Q., Wang X.,</w:t>
      </w:r>
      <w:r w:rsidRPr="000A57F1">
        <w:rPr>
          <w:rFonts w:ascii="Arial" w:hAnsi="Arial" w:cs="Arial"/>
          <w:sz w:val="20"/>
          <w:szCs w:val="20"/>
          <w:lang w:val="en-US"/>
        </w:rPr>
        <w:t xml:space="preserve"> 2013. Comparative effects of NaCl and NaHCO</w:t>
      </w:r>
      <w:r w:rsidRPr="000A57F1">
        <w:rPr>
          <w:rFonts w:ascii="Arial" w:hAnsi="Arial" w:cs="Arial"/>
          <w:sz w:val="20"/>
          <w:szCs w:val="20"/>
          <w:vertAlign w:val="subscript"/>
          <w:lang w:val="en-US"/>
        </w:rPr>
        <w:t>3</w:t>
      </w:r>
      <w:r w:rsidRPr="000A57F1">
        <w:rPr>
          <w:rFonts w:ascii="Arial" w:hAnsi="Arial" w:cs="Arial"/>
          <w:sz w:val="20"/>
          <w:szCs w:val="20"/>
          <w:lang w:val="en-US"/>
        </w:rPr>
        <w:t xml:space="preserve"> stress on photosynthetic parameters, nutrient metabolism, and the antioxidant system in tomato leaves. Sci. Hort. 157, 1–12.</w:t>
      </w:r>
    </w:p>
    <w:p w14:paraId="5CD5B2F1"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Gong B., Wen D., Bloszies S., Li X., Wei M., Yang F., Shi Q., Wang X.,</w:t>
      </w:r>
      <w:r w:rsidRPr="000A57F1">
        <w:rPr>
          <w:rFonts w:ascii="Arial" w:hAnsi="Arial" w:cs="Arial"/>
          <w:sz w:val="20"/>
          <w:szCs w:val="20"/>
          <w:lang w:val="en-US"/>
        </w:rPr>
        <w:t xml:space="preserve"> 2014b. Comparative effects of NaCl and NaHCO</w:t>
      </w:r>
      <w:r w:rsidRPr="000A57F1">
        <w:rPr>
          <w:rFonts w:ascii="Arial" w:hAnsi="Arial" w:cs="Arial"/>
          <w:sz w:val="20"/>
          <w:szCs w:val="20"/>
          <w:vertAlign w:val="subscript"/>
          <w:lang w:val="en-US"/>
        </w:rPr>
        <w:t>3</w:t>
      </w:r>
      <w:r w:rsidRPr="000A57F1">
        <w:rPr>
          <w:rFonts w:ascii="Arial" w:hAnsi="Arial" w:cs="Arial"/>
          <w:sz w:val="20"/>
          <w:szCs w:val="20"/>
          <w:lang w:val="en-US"/>
        </w:rPr>
        <w:t xml:space="preserve"> stresses on respiratory metabolism, antioxidant system, nutritional status, and organic acid metabolism in tomato roots. Acta Physiol. Plant. 36, 2167–2181. </w:t>
      </w:r>
    </w:p>
    <w:p w14:paraId="0D3EBE64"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Gronwald J.W., Fuerst E.P., Eberlein C.V., Egli M.A.,</w:t>
      </w:r>
      <w:r w:rsidRPr="000A57F1">
        <w:rPr>
          <w:rFonts w:ascii="Arial" w:hAnsi="Arial" w:cs="Arial"/>
          <w:sz w:val="20"/>
          <w:szCs w:val="20"/>
          <w:lang w:val="en-US"/>
        </w:rPr>
        <w:t xml:space="preserve"> 1987. Effect of herbicide antidotes on glutathione content and glutathione S-transferase activity of sorghum shoots. Pestic. Biochem. Phys. 29, 66–76. </w:t>
      </w:r>
    </w:p>
    <w:p w14:paraId="3B1AB8F4"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Hsu C.-L., Hurang S.-L., Chen W., Weng Y.-M., Tseng C.-Y.,</w:t>
      </w:r>
      <w:r w:rsidRPr="000A57F1">
        <w:rPr>
          <w:rFonts w:ascii="Arial" w:hAnsi="Arial" w:cs="Arial"/>
          <w:sz w:val="20"/>
          <w:szCs w:val="20"/>
          <w:lang w:val="en-US"/>
        </w:rPr>
        <w:t xml:space="preserve"> 2004. Qualities and antioxidant properties of bread as affected by the incorporation of yam flour in the formulation. Int. J. Food Sci. Tech. 39, 231-238</w:t>
      </w:r>
    </w:p>
    <w:p w14:paraId="0B362C14"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lastRenderedPageBreak/>
        <w:t>Iqbal M., Ashraf M.,</w:t>
      </w:r>
      <w:r w:rsidRPr="000A57F1">
        <w:rPr>
          <w:rFonts w:ascii="Arial" w:hAnsi="Arial" w:cs="Arial"/>
          <w:sz w:val="20"/>
          <w:szCs w:val="20"/>
          <w:lang w:val="en-US"/>
        </w:rPr>
        <w:t xml:space="preserve"> 2013. Gibberellic acid mediated induction of salt tolerance in wheat plants: Growth, ionic partitioning, photosynthesis, yield and hormonal homeostasis. Environ. Exp. Bot. 86, 76–85 </w:t>
      </w:r>
    </w:p>
    <w:p w14:paraId="3845C106"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Javid G.M., Sorooshzadeh A., Moradi F., Sanavy S.A.M.M., Allahdadi I.,</w:t>
      </w:r>
      <w:r w:rsidRPr="000A57F1">
        <w:rPr>
          <w:rFonts w:ascii="Arial" w:hAnsi="Arial" w:cs="Arial"/>
          <w:sz w:val="20"/>
          <w:szCs w:val="20"/>
          <w:lang w:val="en-US"/>
        </w:rPr>
        <w:t xml:space="preserve"> 2011. The role of phytohormones in alleviating salt stress in crop plants. Australian J. Crop Sci. 5, 726-734</w:t>
      </w:r>
    </w:p>
    <w:p w14:paraId="670AE123"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Khaliq A., Zia-ul-Haq M., Ali F., aslam F., Matloob A., Navab A., Hussain S.,</w:t>
      </w:r>
      <w:r w:rsidRPr="000A57F1">
        <w:rPr>
          <w:rFonts w:ascii="Arial" w:hAnsi="Arial" w:cs="Arial"/>
          <w:sz w:val="20"/>
          <w:szCs w:val="20"/>
          <w:lang w:val="en-US"/>
        </w:rPr>
        <w:t xml:space="preserve"> 2015. Salinity tolerance in wheat cultivars is related to enhanced activities of enzymatic antioxidants and reduced lipid peroxidation. Clean Soil, Air, Water 43, 1248-1258 </w:t>
      </w:r>
    </w:p>
    <w:p w14:paraId="276BF361"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Law M.Y., Charles S.A., Halliwell B.,</w:t>
      </w:r>
      <w:r w:rsidRPr="000A57F1">
        <w:rPr>
          <w:rFonts w:ascii="Arial" w:hAnsi="Arial" w:cs="Arial"/>
          <w:sz w:val="20"/>
          <w:szCs w:val="20"/>
          <w:lang w:val="en-US"/>
        </w:rPr>
        <w:t xml:space="preserve"> 1992. glutathione and ascorbic acid in spinach (</w:t>
      </w:r>
      <w:r w:rsidRPr="000A57F1">
        <w:rPr>
          <w:rFonts w:ascii="Arial" w:hAnsi="Arial" w:cs="Arial"/>
          <w:i/>
          <w:sz w:val="20"/>
          <w:szCs w:val="20"/>
          <w:lang w:val="en-US"/>
        </w:rPr>
        <w:t>Spinacea oleracea</w:t>
      </w:r>
      <w:r w:rsidRPr="000A57F1">
        <w:rPr>
          <w:rFonts w:ascii="Arial" w:hAnsi="Arial" w:cs="Arial"/>
          <w:sz w:val="20"/>
          <w:szCs w:val="20"/>
          <w:lang w:val="en-US"/>
        </w:rPr>
        <w:t>) chloroplast: the effect of hidrogen peroxide and paraquat. Biochem. J. 210, 899–903.</w:t>
      </w:r>
    </w:p>
    <w:p w14:paraId="736486C9" w14:textId="77777777" w:rsidR="00E97387" w:rsidRPr="000A57F1" w:rsidRDefault="00E97387" w:rsidP="00E97387">
      <w:pPr>
        <w:jc w:val="both"/>
        <w:rPr>
          <w:rFonts w:ascii="Arial" w:hAnsi="Arial" w:cs="Arial"/>
          <w:sz w:val="20"/>
          <w:szCs w:val="20"/>
          <w:lang w:val="en-US"/>
        </w:rPr>
      </w:pPr>
      <w:r w:rsidRPr="005400D9">
        <w:rPr>
          <w:rFonts w:ascii="Arial" w:hAnsi="Arial" w:cs="Arial"/>
          <w:b/>
          <w:sz w:val="20"/>
          <w:szCs w:val="20"/>
        </w:rPr>
        <w:t>Li R., Shi F., Fukuda K., Yang Y.,</w:t>
      </w:r>
      <w:r w:rsidRPr="005400D9">
        <w:rPr>
          <w:rFonts w:ascii="Arial" w:hAnsi="Arial" w:cs="Arial"/>
          <w:sz w:val="20"/>
          <w:szCs w:val="20"/>
        </w:rPr>
        <w:t xml:space="preserve"> 2010. </w:t>
      </w:r>
      <w:r w:rsidRPr="000A57F1">
        <w:rPr>
          <w:rFonts w:ascii="Arial" w:hAnsi="Arial" w:cs="Arial"/>
          <w:sz w:val="20"/>
          <w:szCs w:val="20"/>
          <w:lang w:val="en-US"/>
        </w:rPr>
        <w:t>Effects of salt and alkali stresses on germination, growth, photosynthesis and ion accumulation in alfalfa (</w:t>
      </w:r>
      <w:r w:rsidRPr="000A57F1">
        <w:rPr>
          <w:rFonts w:ascii="Arial" w:hAnsi="Arial" w:cs="Arial"/>
          <w:i/>
          <w:sz w:val="20"/>
          <w:szCs w:val="20"/>
          <w:lang w:val="en-US"/>
        </w:rPr>
        <w:t>Medicago sativa</w:t>
      </w:r>
      <w:r w:rsidRPr="000A57F1">
        <w:rPr>
          <w:rFonts w:ascii="Arial" w:hAnsi="Arial" w:cs="Arial"/>
          <w:sz w:val="20"/>
          <w:szCs w:val="20"/>
          <w:lang w:val="en-US"/>
        </w:rPr>
        <w:t xml:space="preserve"> L.). Soil Sci. Plant Nutr, 56, 725–733.</w:t>
      </w:r>
    </w:p>
    <w:p w14:paraId="7293AFD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Li X., Mu C., Lin J., Wang Y., Li X.,</w:t>
      </w:r>
      <w:r w:rsidRPr="000A57F1">
        <w:rPr>
          <w:rFonts w:ascii="Arial" w:hAnsi="Arial" w:cs="Arial"/>
          <w:sz w:val="20"/>
          <w:szCs w:val="20"/>
          <w:lang w:val="en-US"/>
        </w:rPr>
        <w:t xml:space="preserve"> 2014. Effect of alkaline potassium and sodium salts on growth, photosynthesis, ions absorption and solutes synthesis of wheat seedlings. Exp. Agric. 50, 144–157. </w:t>
      </w:r>
    </w:p>
    <w:p w14:paraId="26CE0827"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Lynch J.P., Clair S.B.S.,</w:t>
      </w:r>
      <w:r w:rsidRPr="000A57F1">
        <w:rPr>
          <w:rFonts w:ascii="Arial" w:hAnsi="Arial" w:cs="Arial"/>
          <w:sz w:val="20"/>
          <w:szCs w:val="20"/>
          <w:lang w:val="en-US"/>
        </w:rPr>
        <w:t xml:space="preserve"> 2004. Mineral stress: the missing link in understanding how global climate change will affect plants in real world soils. Field Crops Res. 90, 101–115.</w:t>
      </w:r>
    </w:p>
    <w:p w14:paraId="491B7E6F"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t>Mittler R., Blumwald E.,</w:t>
      </w:r>
      <w:r w:rsidRPr="000A57F1">
        <w:rPr>
          <w:rFonts w:ascii="Arial" w:hAnsi="Arial" w:cs="Arial"/>
          <w:sz w:val="20"/>
          <w:szCs w:val="20"/>
          <w:lang w:val="en-US"/>
        </w:rPr>
        <w:t xml:space="preserve"> 2015. The roles of ROS and ABA in systemic acquired acclimation. </w:t>
      </w:r>
      <w:r w:rsidRPr="008F4298">
        <w:rPr>
          <w:rFonts w:ascii="Arial" w:hAnsi="Arial" w:cs="Arial"/>
          <w:sz w:val="20"/>
          <w:szCs w:val="20"/>
        </w:rPr>
        <w:t>Plant Cell 27, 64–70.</w:t>
      </w:r>
    </w:p>
    <w:p w14:paraId="3ECE3FFE" w14:textId="77777777" w:rsidR="00E97387" w:rsidRPr="000A57F1" w:rsidRDefault="00E97387" w:rsidP="00E97387">
      <w:pPr>
        <w:jc w:val="both"/>
        <w:rPr>
          <w:rFonts w:ascii="Arial" w:hAnsi="Arial" w:cs="Arial"/>
          <w:noProof/>
          <w:sz w:val="20"/>
          <w:szCs w:val="20"/>
          <w:lang w:val="en-US" w:eastAsia="es-ES_tradnl"/>
        </w:rPr>
      </w:pPr>
      <w:r w:rsidRPr="008F4298">
        <w:rPr>
          <w:rFonts w:ascii="Arial" w:hAnsi="Arial" w:cs="Arial"/>
          <w:b/>
          <w:noProof/>
          <w:sz w:val="20"/>
          <w:szCs w:val="20"/>
          <w:lang w:eastAsia="es-ES_tradnl"/>
        </w:rPr>
        <w:t xml:space="preserve">Minguez-Mosquera M.I., Jaren-Galen M., Garrido-Fernández J. </w:t>
      </w:r>
      <w:r w:rsidRPr="008F4298">
        <w:rPr>
          <w:rFonts w:ascii="Arial" w:hAnsi="Arial" w:cs="Arial"/>
          <w:noProof/>
          <w:sz w:val="20"/>
          <w:szCs w:val="20"/>
          <w:lang w:eastAsia="es-ES_tradnl"/>
        </w:rPr>
        <w:t xml:space="preserve">1993. </w:t>
      </w:r>
      <w:r w:rsidRPr="000A57F1">
        <w:rPr>
          <w:rFonts w:ascii="Arial" w:hAnsi="Arial" w:cs="Arial"/>
          <w:noProof/>
          <w:sz w:val="20"/>
          <w:szCs w:val="20"/>
          <w:lang w:val="en-US" w:eastAsia="es-ES_tradnl"/>
        </w:rPr>
        <w:t>Lipoxygenase activity during pepper ripening and processing of paprika. Phytochemistry, 32, 1103–1108</w:t>
      </w:r>
    </w:p>
    <w:p w14:paraId="0979BAAF"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Mukherjee S.P., Choudhuri M.A.,</w:t>
      </w:r>
      <w:r w:rsidRPr="000A57F1">
        <w:rPr>
          <w:rFonts w:ascii="Arial" w:hAnsi="Arial" w:cs="Arial"/>
          <w:sz w:val="20"/>
          <w:szCs w:val="20"/>
          <w:lang w:val="en-US"/>
        </w:rPr>
        <w:t xml:space="preserve"> 1983. Effect of some reducing agents on water stress-induced oxidative and deteriorative processes of Vigna seedlings. Biol. Plant. 25, 401–407.</w:t>
      </w:r>
    </w:p>
    <w:p w14:paraId="1DFB8306"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Naser V., Shani E.,</w:t>
      </w:r>
      <w:r w:rsidRPr="000A57F1">
        <w:rPr>
          <w:rFonts w:ascii="Arial" w:hAnsi="Arial" w:cs="Arial"/>
          <w:sz w:val="20"/>
          <w:szCs w:val="20"/>
          <w:lang w:val="en-US"/>
        </w:rPr>
        <w:t xml:space="preserve"> 2016. Auxin response under osmotic stress. Plant Mol. Biol. 91, 661–672</w:t>
      </w:r>
    </w:p>
    <w:p w14:paraId="54DE408A"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Noctor G., Lelarge-Trouverie C., Mhamdi A.</w:t>
      </w:r>
      <w:r w:rsidRPr="000A57F1">
        <w:rPr>
          <w:rFonts w:ascii="Arial" w:hAnsi="Arial" w:cs="Arial"/>
          <w:sz w:val="20"/>
          <w:szCs w:val="20"/>
          <w:lang w:val="en-US"/>
        </w:rPr>
        <w:t xml:space="preserve"> 2015. The metabolomics of oxidative stress. Phytochemistry 112, 33–53.</w:t>
      </w:r>
    </w:p>
    <w:p w14:paraId="6D5ED34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Overmyer K., Brosché M., Kangasjarvi J.,</w:t>
      </w:r>
      <w:r w:rsidRPr="000A57F1">
        <w:rPr>
          <w:rFonts w:ascii="Arial" w:hAnsi="Arial" w:cs="Arial"/>
          <w:sz w:val="20"/>
          <w:szCs w:val="20"/>
          <w:lang w:val="en-US"/>
        </w:rPr>
        <w:t xml:space="preserve"> 2003. Reactive oxygen species and hormonal control of cell death. TRENDS Plant Sci. 8, 335-342.</w:t>
      </w:r>
    </w:p>
    <w:p w14:paraId="69DC799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Pogány M., Koehl J., Heiser I., Elstner E.F., Barna B.,</w:t>
      </w:r>
      <w:r w:rsidRPr="000A57F1">
        <w:rPr>
          <w:rFonts w:ascii="Arial" w:hAnsi="Arial" w:cs="Arial"/>
          <w:sz w:val="20"/>
          <w:szCs w:val="20"/>
          <w:lang w:val="en-US"/>
        </w:rPr>
        <w:t xml:space="preserve"> 2004. Juvenility of tobacco induced by cytokinin gene introduction decreases susceptibility to Tobacco necrosis virus and confers tolerance to oxidative stress. Phy. Molec. Plant Path. 65, 39–47</w:t>
      </w:r>
    </w:p>
    <w:p w14:paraId="4A31D9F1"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Raja V., Majeed U., Kang H., Andrabi K.I., John R.,</w:t>
      </w:r>
      <w:r w:rsidRPr="000A57F1">
        <w:rPr>
          <w:rFonts w:ascii="Arial" w:hAnsi="Arial" w:cs="Arial"/>
          <w:sz w:val="20"/>
          <w:szCs w:val="20"/>
          <w:lang w:val="en-US"/>
        </w:rPr>
        <w:t xml:space="preserve"> 2017. Abiotic stress: Interplay between ROS, hormones and MAPKs. Environ. Exp. Bot. 137, 142–157</w:t>
      </w:r>
    </w:p>
    <w:p w14:paraId="7582D9F3"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t>Rao M.V., Paliyath G., Ormrod D.P.,</w:t>
      </w:r>
      <w:r w:rsidRPr="000A57F1">
        <w:rPr>
          <w:rFonts w:ascii="Arial" w:hAnsi="Arial" w:cs="Arial"/>
          <w:sz w:val="20"/>
          <w:szCs w:val="20"/>
          <w:lang w:val="en-US"/>
        </w:rPr>
        <w:t xml:space="preserve"> 1996. Ultraviolet-B-and ozone-induced biochemical changes in antioxidant enzymes of </w:t>
      </w:r>
      <w:r w:rsidRPr="000A57F1">
        <w:rPr>
          <w:rFonts w:ascii="Arial" w:hAnsi="Arial" w:cs="Arial"/>
          <w:i/>
          <w:sz w:val="20"/>
          <w:szCs w:val="20"/>
          <w:lang w:val="en-US"/>
        </w:rPr>
        <w:t>Arabidopsis thaliana</w:t>
      </w:r>
      <w:r w:rsidRPr="000A57F1">
        <w:rPr>
          <w:rFonts w:ascii="Arial" w:hAnsi="Arial" w:cs="Arial"/>
          <w:sz w:val="20"/>
          <w:szCs w:val="20"/>
          <w:lang w:val="en-US"/>
        </w:rPr>
        <w:t xml:space="preserve">. </w:t>
      </w:r>
      <w:r w:rsidRPr="008F4298">
        <w:rPr>
          <w:rFonts w:ascii="Arial" w:hAnsi="Arial" w:cs="Arial"/>
          <w:sz w:val="20"/>
          <w:szCs w:val="20"/>
        </w:rPr>
        <w:t>Plant. Physiol. 110, 125–136.</w:t>
      </w:r>
    </w:p>
    <w:p w14:paraId="37F03298" w14:textId="77777777" w:rsidR="00E97387" w:rsidRPr="000A57F1" w:rsidRDefault="00E97387" w:rsidP="00E97387">
      <w:pPr>
        <w:jc w:val="both"/>
        <w:rPr>
          <w:rFonts w:ascii="Arial" w:hAnsi="Arial" w:cs="Arial"/>
          <w:sz w:val="20"/>
          <w:szCs w:val="20"/>
          <w:lang w:val="en-US"/>
        </w:rPr>
      </w:pPr>
      <w:r w:rsidRPr="008F4298">
        <w:rPr>
          <w:rFonts w:ascii="Arial" w:hAnsi="Arial" w:cs="Arial"/>
          <w:b/>
          <w:sz w:val="20"/>
          <w:szCs w:val="20"/>
        </w:rPr>
        <w:t>Ríos J.J., Rosales M.A., Blasco B., Cervilla L.M., Romero L., Ruiz J.M.,</w:t>
      </w:r>
      <w:r w:rsidRPr="008F4298">
        <w:rPr>
          <w:rFonts w:ascii="Arial" w:hAnsi="Arial" w:cs="Arial"/>
          <w:sz w:val="20"/>
          <w:szCs w:val="20"/>
        </w:rPr>
        <w:t xml:space="preserve"> 2008. </w:t>
      </w:r>
      <w:r w:rsidRPr="000A57F1">
        <w:rPr>
          <w:rFonts w:ascii="Arial" w:hAnsi="Arial" w:cs="Arial"/>
          <w:sz w:val="20"/>
          <w:szCs w:val="20"/>
          <w:lang w:val="en-US"/>
        </w:rPr>
        <w:t>Bioforti</w:t>
      </w:r>
      <w:r w:rsidRPr="008F4298">
        <w:rPr>
          <w:rFonts w:ascii="Arial" w:hAnsi="Arial" w:cs="Arial"/>
          <w:sz w:val="20"/>
          <w:szCs w:val="20"/>
        </w:rPr>
        <w:t>ﬁ</w:t>
      </w:r>
      <w:r w:rsidRPr="000A57F1">
        <w:rPr>
          <w:rFonts w:ascii="Arial" w:hAnsi="Arial" w:cs="Arial"/>
          <w:sz w:val="20"/>
          <w:szCs w:val="20"/>
          <w:lang w:val="en-US"/>
        </w:rPr>
        <w:t>cation of Se and induction of the antioxidant capacity in lettuce plants. Sci. Hort. 116, 248–255.</w:t>
      </w:r>
    </w:p>
    <w:p w14:paraId="14D1B9AD"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Rzewuski G., Sauter M.,</w:t>
      </w:r>
      <w:r w:rsidRPr="000A57F1">
        <w:rPr>
          <w:rFonts w:ascii="Arial" w:hAnsi="Arial" w:cs="Arial"/>
          <w:sz w:val="20"/>
          <w:szCs w:val="20"/>
          <w:lang w:val="en-US"/>
        </w:rPr>
        <w:t xml:space="preserve"> 2008. Ethylene biosynthesis and signaling in rice. Plant Sci. 175, 32–42.</w:t>
      </w:r>
    </w:p>
    <w:p w14:paraId="4CCCEE20"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Saito T., Matsukura C., Ban Y., Shoji K., Sugiyama M., Fukuda N., Nishimura S.,</w:t>
      </w:r>
      <w:r w:rsidRPr="000A57F1">
        <w:rPr>
          <w:rFonts w:ascii="Arial" w:hAnsi="Arial" w:cs="Arial"/>
          <w:sz w:val="20"/>
          <w:szCs w:val="20"/>
          <w:lang w:val="en-US"/>
        </w:rPr>
        <w:t xml:space="preserve"> 2008. Salinity Stress Affects Assimilate Metabolism at the Gene-expression Level during Fruit Development and Improves Fruit Quality in Tomato (</w:t>
      </w:r>
      <w:r w:rsidRPr="000A57F1">
        <w:rPr>
          <w:rFonts w:ascii="Arial" w:hAnsi="Arial" w:cs="Arial"/>
          <w:i/>
          <w:iCs/>
          <w:sz w:val="20"/>
          <w:szCs w:val="20"/>
          <w:lang w:val="en-US"/>
        </w:rPr>
        <w:t>Solanum lycopersicum</w:t>
      </w:r>
      <w:r w:rsidRPr="000A57F1">
        <w:rPr>
          <w:rFonts w:ascii="Arial" w:hAnsi="Arial" w:cs="Arial"/>
          <w:sz w:val="20"/>
          <w:szCs w:val="20"/>
          <w:lang w:val="en-US"/>
        </w:rPr>
        <w:t xml:space="preserve"> L.) J. Japan. Soc. Hort. Sci. 77, 61–68.</w:t>
      </w:r>
    </w:p>
    <w:p w14:paraId="6CD81804"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lastRenderedPageBreak/>
        <w:t>Sánchez-Rodríguez E., Rubio-Wilhelmi M.M., Cervilla L.M., Blasco B., Rios J.J., Rosales M.A., Romero L., Ruiz J.M.,</w:t>
      </w:r>
      <w:r w:rsidRPr="000A57F1">
        <w:rPr>
          <w:rFonts w:ascii="Arial" w:hAnsi="Arial" w:cs="Arial"/>
          <w:sz w:val="20"/>
          <w:szCs w:val="20"/>
          <w:lang w:val="en-US"/>
        </w:rPr>
        <w:t xml:space="preserve"> 2010. Genotypic differences in some physiological parameters symptomatic for oxidative stress under moderate drought in tomato plants. Plant. Sci. 178, 30–40.</w:t>
      </w:r>
    </w:p>
    <w:p w14:paraId="391E3BDA"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Schleiser K., Harwat V., Böhm V., Bitsch R.,</w:t>
      </w:r>
      <w:r w:rsidRPr="000A57F1">
        <w:rPr>
          <w:rFonts w:ascii="Arial" w:hAnsi="Arial" w:cs="Arial"/>
          <w:sz w:val="20"/>
          <w:szCs w:val="20"/>
          <w:lang w:val="en-US"/>
        </w:rPr>
        <w:t xml:space="preserve"> 2002. Assessment of antioxidant by using different in vitro methods. Free. Radic. Res. 36, 177–187.</w:t>
      </w:r>
    </w:p>
    <w:p w14:paraId="57EAF156"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Singh P.K., Gautam S.,</w:t>
      </w:r>
      <w:r w:rsidRPr="000A57F1">
        <w:rPr>
          <w:rFonts w:ascii="Arial" w:hAnsi="Arial" w:cs="Arial"/>
          <w:sz w:val="20"/>
          <w:szCs w:val="20"/>
          <w:lang w:val="en-US"/>
        </w:rPr>
        <w:t xml:space="preserve"> 2013. Role of salicylic acid on physiological and biochemical mechanism of salinity stress tolerance in plants. Acta Physiol. Plant 35, 2345–2353</w:t>
      </w:r>
    </w:p>
    <w:p w14:paraId="6B395398"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Shakirova F.M., Sakhabutdinova A.R., Bezrukova M.V., Fatkhutdinova R.A., Fatkhutdinova D.R.,</w:t>
      </w:r>
      <w:r w:rsidRPr="000A57F1">
        <w:rPr>
          <w:rFonts w:ascii="Arial" w:hAnsi="Arial" w:cs="Arial"/>
          <w:sz w:val="20"/>
          <w:szCs w:val="20"/>
          <w:lang w:val="en-US"/>
        </w:rPr>
        <w:t xml:space="preserve"> 2003. Changes in the hormonal status of wheat seedlings induced by salicylic acid and salinity. Plant Sci. 164, 317-322</w:t>
      </w:r>
    </w:p>
    <w:p w14:paraId="1148E8E1"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Sharp R.E., LeNoble M.E.,</w:t>
      </w:r>
      <w:r w:rsidRPr="000A57F1">
        <w:rPr>
          <w:rFonts w:ascii="Arial" w:hAnsi="Arial" w:cs="Arial"/>
          <w:sz w:val="20"/>
          <w:szCs w:val="20"/>
          <w:lang w:val="en-US"/>
        </w:rPr>
        <w:t xml:space="preserve"> 2002. ABA, ethylene and the control of shoot and root growth under water stress. J. Exp. Bot. 53, 33-37. </w:t>
      </w:r>
    </w:p>
    <w:p w14:paraId="351AC08D"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 xml:space="preserve">Wang Y., Guo J.X., Meng Q.L., Cui X.Y., </w:t>
      </w:r>
      <w:r w:rsidRPr="000A57F1">
        <w:rPr>
          <w:rFonts w:ascii="Arial" w:hAnsi="Arial" w:cs="Arial"/>
          <w:sz w:val="20"/>
          <w:szCs w:val="20"/>
          <w:lang w:val="en-US"/>
        </w:rPr>
        <w:t>2008. Physiological responses of krishum (</w:t>
      </w:r>
      <w:r w:rsidRPr="000A57F1">
        <w:rPr>
          <w:rFonts w:ascii="Arial" w:hAnsi="Arial" w:cs="Arial"/>
          <w:i/>
          <w:sz w:val="20"/>
          <w:szCs w:val="20"/>
          <w:lang w:val="en-US"/>
        </w:rPr>
        <w:t>Iris lactea</w:t>
      </w:r>
      <w:r w:rsidRPr="000A57F1">
        <w:rPr>
          <w:rFonts w:ascii="Arial" w:hAnsi="Arial" w:cs="Arial"/>
          <w:sz w:val="20"/>
          <w:szCs w:val="20"/>
          <w:lang w:val="en-US"/>
        </w:rPr>
        <w:t xml:space="preserve"> Pall. var. chinensisKoidz) to neutral and alkaline salts. J. Agron. Crop. Sci. 194, 429–437.</w:t>
      </w:r>
    </w:p>
    <w:p w14:paraId="5E59BFA1"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Wang X., Geng S., Ri Y.-J., Cao D., Liu J., Shi D., Yang C.,</w:t>
      </w:r>
      <w:r w:rsidRPr="000A57F1">
        <w:rPr>
          <w:rFonts w:ascii="Arial" w:hAnsi="Arial" w:cs="Arial"/>
          <w:sz w:val="20"/>
          <w:szCs w:val="20"/>
          <w:lang w:val="en-US"/>
        </w:rPr>
        <w:t xml:space="preserve"> 2011. Physiological responses and adaptive strategies of tomato plants to salt and alkali stresses. Sci. Hort. 130, 248–255.</w:t>
      </w:r>
    </w:p>
    <w:p w14:paraId="34197E99"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Wolf B.,</w:t>
      </w:r>
      <w:r w:rsidRPr="000A57F1">
        <w:rPr>
          <w:rFonts w:ascii="Arial" w:hAnsi="Arial" w:cs="Arial"/>
          <w:sz w:val="20"/>
          <w:szCs w:val="20"/>
          <w:lang w:val="en-US"/>
        </w:rPr>
        <w:t xml:space="preserve"> 1982. A comprehensive system of leaf analyses and its use for diagnosing crop nutrient status. Commun Soil Sci. Plan. 13, 1035–1059.</w:t>
      </w:r>
    </w:p>
    <w:p w14:paraId="511A77C4"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Yu Q., Osborne L., Rengel Z.,</w:t>
      </w:r>
      <w:r w:rsidRPr="000A57F1">
        <w:rPr>
          <w:rFonts w:ascii="Arial" w:hAnsi="Arial" w:cs="Arial"/>
          <w:sz w:val="20"/>
          <w:szCs w:val="20"/>
          <w:lang w:val="en-US"/>
        </w:rPr>
        <w:t xml:space="preserve"> 1998.  Micronutrient deficiency changes activities of superoxide dismutase and ascorbate peroxidase in tobacco plants. J. Plant. Nutr. 21, 1427–1437.</w:t>
      </w:r>
    </w:p>
    <w:p w14:paraId="7F717F47" w14:textId="77777777" w:rsidR="00E97387" w:rsidRPr="000A57F1" w:rsidRDefault="00E97387" w:rsidP="00E97387">
      <w:pPr>
        <w:jc w:val="both"/>
        <w:rPr>
          <w:rFonts w:ascii="Arial" w:hAnsi="Arial" w:cs="Arial"/>
          <w:sz w:val="20"/>
          <w:szCs w:val="20"/>
          <w:lang w:val="en-US"/>
        </w:rPr>
      </w:pPr>
      <w:r w:rsidRPr="000A57F1">
        <w:rPr>
          <w:rFonts w:ascii="Arial" w:hAnsi="Arial" w:cs="Arial"/>
          <w:b/>
          <w:sz w:val="20"/>
          <w:szCs w:val="20"/>
          <w:lang w:val="en-US"/>
        </w:rPr>
        <w:t>Zhou R., Zhao H.,</w:t>
      </w:r>
      <w:r w:rsidRPr="000A57F1">
        <w:rPr>
          <w:rFonts w:ascii="Arial" w:hAnsi="Arial" w:cs="Arial"/>
          <w:sz w:val="20"/>
          <w:szCs w:val="20"/>
          <w:lang w:val="en-US"/>
        </w:rPr>
        <w:t xml:space="preserve"> 2004. Seasonal pattern of antioxidant enzyme system in the roots of perennial forage grasses grown in alpine habitat, related to freezing tolerance. Physiol. Plant. 121, 399–408.</w:t>
      </w:r>
    </w:p>
    <w:p w14:paraId="402CC845" w14:textId="77777777" w:rsidR="00E97387" w:rsidRPr="008F4298" w:rsidRDefault="00E97387" w:rsidP="00E97387">
      <w:pPr>
        <w:jc w:val="both"/>
        <w:rPr>
          <w:rFonts w:ascii="Arial" w:hAnsi="Arial" w:cs="Arial"/>
          <w:sz w:val="20"/>
          <w:szCs w:val="20"/>
        </w:rPr>
      </w:pPr>
      <w:r w:rsidRPr="000A57F1">
        <w:rPr>
          <w:rFonts w:ascii="Arial" w:hAnsi="Arial" w:cs="Arial"/>
          <w:b/>
          <w:sz w:val="20"/>
          <w:szCs w:val="20"/>
          <w:lang w:val="en-US"/>
        </w:rPr>
        <w:t>Zörba C., Geilfusb C-M., Mühlingb K.H., Ludwig-Müllerc J.,</w:t>
      </w:r>
      <w:r w:rsidRPr="000A57F1">
        <w:rPr>
          <w:rFonts w:ascii="Arial" w:hAnsi="Arial" w:cs="Arial"/>
          <w:sz w:val="20"/>
          <w:szCs w:val="20"/>
          <w:lang w:val="en-US"/>
        </w:rPr>
        <w:t xml:space="preserve"> 2013. In</w:t>
      </w:r>
      <w:r w:rsidRPr="008F4298">
        <w:rPr>
          <w:rFonts w:ascii="Arial" w:hAnsi="Arial" w:cs="Arial"/>
          <w:sz w:val="20"/>
          <w:szCs w:val="20"/>
        </w:rPr>
        <w:t>ﬂ</w:t>
      </w:r>
      <w:r w:rsidRPr="000A57F1">
        <w:rPr>
          <w:rFonts w:ascii="Arial" w:hAnsi="Arial" w:cs="Arial"/>
          <w:sz w:val="20"/>
          <w:szCs w:val="20"/>
          <w:lang w:val="en-US"/>
        </w:rPr>
        <w:t xml:space="preserve">uence of salt stress on ABA and auxin concentrations in two maize cultivars differing in salt resistance. </w:t>
      </w:r>
      <w:r w:rsidRPr="008F4298">
        <w:rPr>
          <w:rFonts w:ascii="Arial" w:hAnsi="Arial" w:cs="Arial"/>
          <w:sz w:val="20"/>
          <w:szCs w:val="20"/>
        </w:rPr>
        <w:t>J. Plant Physiol. 170, 220– 224.</w:t>
      </w:r>
    </w:p>
    <w:p w14:paraId="15B7E3B4" w14:textId="77777777" w:rsidR="00332B84" w:rsidRDefault="00332B84"/>
    <w:sectPr w:rsidR="00332B8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3151A" w14:textId="77777777" w:rsidR="00000000" w:rsidRPr="008E3A22" w:rsidRDefault="00000000">
    <w:pPr>
      <w:pStyle w:val="Piedepgina"/>
      <w:jc w:val="center"/>
      <w:rPr>
        <w:caps/>
      </w:rPr>
    </w:pPr>
    <w:r w:rsidRPr="008E3A22">
      <w:rPr>
        <w:caps/>
      </w:rPr>
      <w:fldChar w:fldCharType="begin"/>
    </w:r>
    <w:r w:rsidRPr="008E3A22">
      <w:rPr>
        <w:caps/>
      </w:rPr>
      <w:instrText>PAGE   \* MERGEFORMAT</w:instrText>
    </w:r>
    <w:r w:rsidRPr="008E3A22">
      <w:rPr>
        <w:caps/>
      </w:rPr>
      <w:fldChar w:fldCharType="separate"/>
    </w:r>
    <w:r w:rsidRPr="008E3A22">
      <w:rPr>
        <w:caps/>
        <w:lang w:val="es-ES"/>
      </w:rPr>
      <w:t>2</w:t>
    </w:r>
    <w:r w:rsidRPr="008E3A22">
      <w:rPr>
        <w:caps/>
      </w:rPr>
      <w:fldChar w:fldCharType="end"/>
    </w:r>
  </w:p>
  <w:p w14:paraId="6B7D4F0C" w14:textId="77777777" w:rsidR="00000000" w:rsidRDefault="00000000" w:rsidP="002F6C64">
    <w:pPr>
      <w:pStyle w:val="Piedepgin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BCA93" w14:textId="77777777" w:rsidR="00000000" w:rsidRDefault="00000000" w:rsidP="002F6C64">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97CC" w14:textId="77777777" w:rsidR="00000000" w:rsidRPr="008E3A22" w:rsidRDefault="00000000">
    <w:pPr>
      <w:pStyle w:val="Piedepgina"/>
      <w:jc w:val="center"/>
      <w:rPr>
        <w:caps/>
      </w:rPr>
    </w:pPr>
    <w:r w:rsidRPr="008E3A22">
      <w:rPr>
        <w:caps/>
      </w:rPr>
      <w:fldChar w:fldCharType="begin"/>
    </w:r>
    <w:r w:rsidRPr="008E3A22">
      <w:rPr>
        <w:caps/>
      </w:rPr>
      <w:instrText>PAGE   \* MERGEFORMAT</w:instrText>
    </w:r>
    <w:r w:rsidRPr="008E3A22">
      <w:rPr>
        <w:caps/>
      </w:rPr>
      <w:fldChar w:fldCharType="separate"/>
    </w:r>
    <w:r w:rsidRPr="008E3A22">
      <w:rPr>
        <w:caps/>
        <w:lang w:val="es-ES"/>
      </w:rPr>
      <w:t>2</w:t>
    </w:r>
    <w:r w:rsidRPr="008E3A22">
      <w:rPr>
        <w:caps/>
      </w:rPr>
      <w:fldChar w:fldCharType="end"/>
    </w:r>
  </w:p>
  <w:p w14:paraId="114714F9" w14:textId="77777777" w:rsidR="00000000" w:rsidRDefault="00000000" w:rsidP="002F6C64">
    <w:pPr>
      <w:pStyle w:val="Piedepgina"/>
      <w:tabs>
        <w:tab w:val="clear" w:pos="8504"/>
        <w:tab w:val="left" w:pos="9340"/>
      </w:tabs>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99927" w14:textId="77777777" w:rsidR="00000000" w:rsidRDefault="00000000" w:rsidP="002F6C64">
    <w:pPr>
      <w:pStyle w:val="Piedepgina"/>
      <w:tabs>
        <w:tab w:val="clear" w:pos="8504"/>
        <w:tab w:val="left" w:pos="9340"/>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FE47C" w14:textId="77777777" w:rsidR="00000000" w:rsidRPr="000B4D13" w:rsidRDefault="00000000" w:rsidP="002F6C64">
    <w:pPr>
      <w:pStyle w:val="Encabezado"/>
      <w:rPr>
        <w:sz w:val="24"/>
        <w:szCs w:val="24"/>
      </w:rPr>
    </w:pPr>
    <w:r>
      <w:rPr>
        <w:sz w:val="24"/>
        <w:szCs w:val="24"/>
      </w:rPr>
      <w:t>Alejandro de la Torre González</w:t>
    </w:r>
    <w:r>
      <w:rPr>
        <w:sz w:val="24"/>
        <w:szCs w:val="24"/>
      </w:rPr>
      <w:tab/>
    </w:r>
    <w:r>
      <w:rPr>
        <w:sz w:val="24"/>
        <w:szCs w:val="24"/>
      </w:rPr>
      <w:tab/>
      <w:t>Capítulo 1</w:t>
    </w:r>
  </w:p>
  <w:p w14:paraId="14BD69C7" w14:textId="77777777" w:rsidR="00000000" w:rsidRPr="00E83486" w:rsidRDefault="00000000" w:rsidP="00E83486">
    <w:pPr>
      <w:pStyle w:val="Encabezado"/>
      <w:rPr>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EE856" w14:textId="77777777" w:rsidR="00000000" w:rsidRPr="00E83486" w:rsidRDefault="00000000" w:rsidP="00E83486">
    <w:pPr>
      <w:pStyle w:val="Encabezado"/>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1EFA2" w14:textId="77777777" w:rsidR="00000000" w:rsidRPr="000B4D13" w:rsidRDefault="00000000" w:rsidP="002F6C64">
    <w:pPr>
      <w:pStyle w:val="Encabezado"/>
      <w:rPr>
        <w:sz w:val="24"/>
        <w:szCs w:val="24"/>
      </w:rPr>
    </w:pPr>
    <w:r>
      <w:rPr>
        <w:sz w:val="24"/>
        <w:szCs w:val="24"/>
      </w:rPr>
      <w:t>Alejandro de la Torre González</w:t>
    </w:r>
    <w:r>
      <w:rPr>
        <w:sz w:val="24"/>
        <w:szCs w:val="24"/>
      </w:rPr>
      <w:tab/>
    </w:r>
    <w:r>
      <w:rPr>
        <w:sz w:val="24"/>
        <w:szCs w:val="24"/>
      </w:rPr>
      <w:tab/>
      <w:t>Capítulo 1</w:t>
    </w:r>
  </w:p>
  <w:p w14:paraId="47F2DE7C" w14:textId="77777777" w:rsidR="00000000" w:rsidRPr="00E83486" w:rsidRDefault="00000000" w:rsidP="00E83486">
    <w:pPr>
      <w:pStyle w:val="Encabezado"/>
      <w:rPr>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C398" w14:textId="77777777" w:rsidR="00000000" w:rsidRPr="000B4D13" w:rsidRDefault="00000000" w:rsidP="002F6C64">
    <w:pPr>
      <w:pStyle w:val="Encabezado"/>
      <w:rPr>
        <w:sz w:val="24"/>
        <w:szCs w:val="24"/>
      </w:rPr>
    </w:pPr>
  </w:p>
  <w:p w14:paraId="22737F41" w14:textId="77777777" w:rsidR="00000000" w:rsidRPr="00E83486" w:rsidRDefault="00000000" w:rsidP="00E83486">
    <w:pPr>
      <w:pStyle w:val="Encabezad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60180"/>
    <w:multiLevelType w:val="multilevel"/>
    <w:tmpl w:val="5150DBE6"/>
    <w:lvl w:ilvl="0">
      <w:start w:val="3"/>
      <w:numFmt w:val="decimal"/>
      <w:lvlText w:val="%1"/>
      <w:lvlJc w:val="left"/>
      <w:pPr>
        <w:ind w:left="360" w:hanging="360"/>
      </w:pPr>
      <w:rPr>
        <w:rFonts w:hint="default"/>
      </w:rPr>
    </w:lvl>
    <w:lvl w:ilvl="1">
      <w:start w:val="1"/>
      <w:numFmt w:val="decimal"/>
      <w:lvlText w:val="%2."/>
      <w:lvlJc w:val="left"/>
      <w:pPr>
        <w:ind w:left="1080" w:hanging="360"/>
      </w:pPr>
      <w:rPr>
        <w:rFonts w:ascii="Arial" w:eastAsiaTheme="minorHAnsi" w:hAnsi="Arial" w:cs="Arial"/>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3CB4098"/>
    <w:multiLevelType w:val="multilevel"/>
    <w:tmpl w:val="802C9944"/>
    <w:lvl w:ilvl="0">
      <w:start w:val="1"/>
      <w:numFmt w:val="decimal"/>
      <w:lvlText w:val="%1"/>
      <w:lvlJc w:val="left"/>
      <w:pPr>
        <w:ind w:left="72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360" w:hanging="1440"/>
      </w:pPr>
      <w:rPr>
        <w:rFonts w:hint="default"/>
      </w:rPr>
    </w:lvl>
    <w:lvl w:ilvl="8">
      <w:start w:val="1"/>
      <w:numFmt w:val="decimal"/>
      <w:lvlText w:val="%1.%2.%3.%4.%5.%6.%7.%8.%9"/>
      <w:lvlJc w:val="left"/>
      <w:pPr>
        <w:ind w:left="10800" w:hanging="1800"/>
      </w:pPr>
      <w:rPr>
        <w:rFonts w:hint="default"/>
      </w:rPr>
    </w:lvl>
  </w:abstractNum>
  <w:abstractNum w:abstractNumId="2" w15:restartNumberingAfterBreak="0">
    <w:nsid w:val="07EC111A"/>
    <w:multiLevelType w:val="hybridMultilevel"/>
    <w:tmpl w:val="EFBC7F24"/>
    <w:lvl w:ilvl="0" w:tplc="F8B8642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93C57FA"/>
    <w:multiLevelType w:val="hybridMultilevel"/>
    <w:tmpl w:val="3CA6140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81B59DC"/>
    <w:multiLevelType w:val="multilevel"/>
    <w:tmpl w:val="6666B49A"/>
    <w:lvl w:ilvl="0">
      <w:start w:val="2"/>
      <w:numFmt w:val="decimal"/>
      <w:lvlText w:val="%1"/>
      <w:lvlJc w:val="left"/>
      <w:pPr>
        <w:ind w:left="360" w:hanging="360"/>
      </w:pPr>
      <w:rPr>
        <w:rFonts w:hint="default"/>
      </w:rPr>
    </w:lvl>
    <w:lvl w:ilvl="1">
      <w:start w:val="1"/>
      <w:numFmt w:val="decimal"/>
      <w:lvlText w:val="%2."/>
      <w:lvlJc w:val="left"/>
      <w:pPr>
        <w:ind w:left="1080" w:hanging="360"/>
      </w:pPr>
      <w:rPr>
        <w:rFonts w:ascii="Arial" w:eastAsiaTheme="minorHAnsi" w:hAnsi="Arial" w:cs="Arial"/>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1259A7"/>
    <w:multiLevelType w:val="hybridMultilevel"/>
    <w:tmpl w:val="FA6A78A2"/>
    <w:lvl w:ilvl="0" w:tplc="83D86988">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DB36BBF"/>
    <w:multiLevelType w:val="hybridMultilevel"/>
    <w:tmpl w:val="7D221A12"/>
    <w:lvl w:ilvl="0" w:tplc="40349604">
      <w:start w:val="1"/>
      <w:numFmt w:val="decimal"/>
      <w:lvlText w:val="%1."/>
      <w:lvlJc w:val="left"/>
      <w:pPr>
        <w:ind w:left="1080" w:hanging="360"/>
      </w:pPr>
      <w:rPr>
        <w:rFonts w:hint="default"/>
        <w:b w:val="0"/>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33726017"/>
    <w:multiLevelType w:val="hybridMultilevel"/>
    <w:tmpl w:val="50984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AE7686F"/>
    <w:multiLevelType w:val="hybridMultilevel"/>
    <w:tmpl w:val="5CB861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783DE4"/>
    <w:multiLevelType w:val="multilevel"/>
    <w:tmpl w:val="4E44E3FC"/>
    <w:lvl w:ilvl="0">
      <w:start w:val="5"/>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10" w15:restartNumberingAfterBreak="0">
    <w:nsid w:val="499052E5"/>
    <w:multiLevelType w:val="multilevel"/>
    <w:tmpl w:val="BFEEBEC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EAC5999"/>
    <w:multiLevelType w:val="hybridMultilevel"/>
    <w:tmpl w:val="9A6A6A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54A470D4"/>
    <w:multiLevelType w:val="multilevel"/>
    <w:tmpl w:val="F04AFDF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CB55975"/>
    <w:multiLevelType w:val="hybridMultilevel"/>
    <w:tmpl w:val="CE1463CC"/>
    <w:lvl w:ilvl="0" w:tplc="0C0A000F">
      <w:start w:val="1"/>
      <w:numFmt w:val="decimal"/>
      <w:lvlText w:val="%1."/>
      <w:lvlJc w:val="left"/>
      <w:pPr>
        <w:ind w:left="1146" w:hanging="360"/>
      </w:pPr>
    </w:lvl>
    <w:lvl w:ilvl="1" w:tplc="0C0A0019">
      <w:start w:val="1"/>
      <w:numFmt w:val="lowerLetter"/>
      <w:lvlText w:val="%2."/>
      <w:lvlJc w:val="left"/>
      <w:pPr>
        <w:ind w:left="1866" w:hanging="360"/>
      </w:pPr>
    </w:lvl>
    <w:lvl w:ilvl="2" w:tplc="0C0A001B">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4" w15:restartNumberingAfterBreak="0">
    <w:nsid w:val="5D0F4744"/>
    <w:multiLevelType w:val="multilevel"/>
    <w:tmpl w:val="9EE8A17E"/>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618E4853"/>
    <w:multiLevelType w:val="hybridMultilevel"/>
    <w:tmpl w:val="C652D28E"/>
    <w:lvl w:ilvl="0" w:tplc="12689962">
      <w:start w:val="7"/>
      <w:numFmt w:val="decimal"/>
      <w:lvlText w:val="%1"/>
      <w:lvlJc w:val="left"/>
      <w:pPr>
        <w:ind w:left="360" w:hanging="36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6" w15:restartNumberingAfterBreak="0">
    <w:nsid w:val="66076391"/>
    <w:multiLevelType w:val="hybridMultilevel"/>
    <w:tmpl w:val="78B65F72"/>
    <w:lvl w:ilvl="0" w:tplc="0C0A000F">
      <w:start w:val="1"/>
      <w:numFmt w:val="decimal"/>
      <w:lvlText w:val="%1."/>
      <w:lvlJc w:val="left"/>
      <w:pPr>
        <w:ind w:left="360" w:hanging="360"/>
      </w:pPr>
      <w:rPr>
        <w:rFonts w:hint="default"/>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6B283893"/>
    <w:multiLevelType w:val="hybridMultilevel"/>
    <w:tmpl w:val="82289D24"/>
    <w:lvl w:ilvl="0" w:tplc="62A81B44">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BF85C40"/>
    <w:multiLevelType w:val="hybridMultilevel"/>
    <w:tmpl w:val="C8060F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79B30DA9"/>
    <w:multiLevelType w:val="multilevel"/>
    <w:tmpl w:val="944EEBBE"/>
    <w:lvl w:ilvl="0">
      <w:start w:val="4"/>
      <w:numFmt w:val="decimal"/>
      <w:lvlText w:val="%1"/>
      <w:lvlJc w:val="left"/>
      <w:pPr>
        <w:ind w:left="360" w:hanging="360"/>
      </w:pPr>
      <w:rPr>
        <w:rFonts w:hint="default"/>
      </w:rPr>
    </w:lvl>
    <w:lvl w:ilvl="1">
      <w:start w:val="1"/>
      <w:numFmt w:val="decimal"/>
      <w:lvlText w:val="%1.%2"/>
      <w:lvlJc w:val="left"/>
      <w:pPr>
        <w:ind w:left="2880" w:hanging="360"/>
      </w:pPr>
      <w:rPr>
        <w:rFonts w:hint="default"/>
      </w:rPr>
    </w:lvl>
    <w:lvl w:ilvl="2">
      <w:start w:val="1"/>
      <w:numFmt w:val="decimal"/>
      <w:lvlText w:val="%1.%2.%3"/>
      <w:lvlJc w:val="left"/>
      <w:pPr>
        <w:ind w:left="5760" w:hanging="720"/>
      </w:pPr>
      <w:rPr>
        <w:rFonts w:hint="default"/>
      </w:rPr>
    </w:lvl>
    <w:lvl w:ilvl="3">
      <w:start w:val="1"/>
      <w:numFmt w:val="decimal"/>
      <w:lvlText w:val="%1.%2.%3.%4"/>
      <w:lvlJc w:val="left"/>
      <w:pPr>
        <w:ind w:left="8280" w:hanging="720"/>
      </w:pPr>
      <w:rPr>
        <w:rFonts w:hint="default"/>
      </w:rPr>
    </w:lvl>
    <w:lvl w:ilvl="4">
      <w:start w:val="1"/>
      <w:numFmt w:val="decimal"/>
      <w:lvlText w:val="%1.%2.%3.%4.%5"/>
      <w:lvlJc w:val="left"/>
      <w:pPr>
        <w:ind w:left="11160" w:hanging="1080"/>
      </w:pPr>
      <w:rPr>
        <w:rFonts w:hint="default"/>
      </w:rPr>
    </w:lvl>
    <w:lvl w:ilvl="5">
      <w:start w:val="1"/>
      <w:numFmt w:val="decimal"/>
      <w:lvlText w:val="%1.%2.%3.%4.%5.%6"/>
      <w:lvlJc w:val="left"/>
      <w:pPr>
        <w:ind w:left="13680" w:hanging="1080"/>
      </w:pPr>
      <w:rPr>
        <w:rFonts w:hint="default"/>
      </w:rPr>
    </w:lvl>
    <w:lvl w:ilvl="6">
      <w:start w:val="1"/>
      <w:numFmt w:val="decimal"/>
      <w:lvlText w:val="%1.%2.%3.%4.%5.%6.%7"/>
      <w:lvlJc w:val="left"/>
      <w:pPr>
        <w:ind w:left="16560" w:hanging="1440"/>
      </w:pPr>
      <w:rPr>
        <w:rFonts w:hint="default"/>
      </w:rPr>
    </w:lvl>
    <w:lvl w:ilvl="7">
      <w:start w:val="1"/>
      <w:numFmt w:val="decimal"/>
      <w:lvlText w:val="%1.%2.%3.%4.%5.%6.%7.%8"/>
      <w:lvlJc w:val="left"/>
      <w:pPr>
        <w:ind w:left="19080" w:hanging="1440"/>
      </w:pPr>
      <w:rPr>
        <w:rFonts w:hint="default"/>
      </w:rPr>
    </w:lvl>
    <w:lvl w:ilvl="8">
      <w:start w:val="1"/>
      <w:numFmt w:val="decimal"/>
      <w:lvlText w:val="%1.%2.%3.%4.%5.%6.%7.%8.%9"/>
      <w:lvlJc w:val="left"/>
      <w:pPr>
        <w:ind w:left="21960" w:hanging="1800"/>
      </w:pPr>
      <w:rPr>
        <w:rFonts w:hint="default"/>
      </w:rPr>
    </w:lvl>
  </w:abstractNum>
  <w:abstractNum w:abstractNumId="20" w15:restartNumberingAfterBreak="0">
    <w:nsid w:val="7B3C75F4"/>
    <w:multiLevelType w:val="hybridMultilevel"/>
    <w:tmpl w:val="1F1236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2090299768">
    <w:abstractNumId w:val="11"/>
  </w:num>
  <w:num w:numId="2" w16cid:durableId="91318297">
    <w:abstractNumId w:val="15"/>
  </w:num>
  <w:num w:numId="3" w16cid:durableId="1370259353">
    <w:abstractNumId w:val="16"/>
  </w:num>
  <w:num w:numId="4" w16cid:durableId="1676877349">
    <w:abstractNumId w:val="1"/>
  </w:num>
  <w:num w:numId="5" w16cid:durableId="2056615393">
    <w:abstractNumId w:val="10"/>
  </w:num>
  <w:num w:numId="6" w16cid:durableId="244077319">
    <w:abstractNumId w:val="14"/>
  </w:num>
  <w:num w:numId="7" w16cid:durableId="880284447">
    <w:abstractNumId w:val="17"/>
  </w:num>
  <w:num w:numId="8" w16cid:durableId="385835356">
    <w:abstractNumId w:val="20"/>
  </w:num>
  <w:num w:numId="9" w16cid:durableId="1224678256">
    <w:abstractNumId w:val="2"/>
  </w:num>
  <w:num w:numId="10" w16cid:durableId="1914781101">
    <w:abstractNumId w:val="8"/>
  </w:num>
  <w:num w:numId="11" w16cid:durableId="2112892612">
    <w:abstractNumId w:val="18"/>
  </w:num>
  <w:num w:numId="12" w16cid:durableId="855652604">
    <w:abstractNumId w:val="7"/>
  </w:num>
  <w:num w:numId="13" w16cid:durableId="2018073494">
    <w:abstractNumId w:val="5"/>
  </w:num>
  <w:num w:numId="14" w16cid:durableId="521667270">
    <w:abstractNumId w:val="3"/>
  </w:num>
  <w:num w:numId="15" w16cid:durableId="977956718">
    <w:abstractNumId w:val="4"/>
  </w:num>
  <w:num w:numId="16" w16cid:durableId="1571650264">
    <w:abstractNumId w:val="0"/>
  </w:num>
  <w:num w:numId="17" w16cid:durableId="680203693">
    <w:abstractNumId w:val="12"/>
  </w:num>
  <w:num w:numId="18" w16cid:durableId="354043606">
    <w:abstractNumId w:val="13"/>
  </w:num>
  <w:num w:numId="19" w16cid:durableId="13772732">
    <w:abstractNumId w:val="19"/>
  </w:num>
  <w:num w:numId="20" w16cid:durableId="415171283">
    <w:abstractNumId w:val="9"/>
  </w:num>
  <w:num w:numId="21" w16cid:durableId="1549803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CAC"/>
    <w:rsid w:val="00140028"/>
    <w:rsid w:val="00332B84"/>
    <w:rsid w:val="008A7DCD"/>
    <w:rsid w:val="00A60CAC"/>
    <w:rsid w:val="00E97387"/>
    <w:rsid w:val="00F42D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5492EF4-C33F-4846-A7FB-7AD3C965D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7387"/>
    <w:rPr>
      <w:kern w:val="0"/>
      <w14:ligatures w14:val="none"/>
    </w:rPr>
  </w:style>
  <w:style w:type="paragraph" w:styleId="Ttulo1">
    <w:name w:val="heading 1"/>
    <w:basedOn w:val="Normal"/>
    <w:next w:val="Normal"/>
    <w:link w:val="Ttulo1Car"/>
    <w:uiPriority w:val="9"/>
    <w:qFormat/>
    <w:rsid w:val="00A60C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60C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60CA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60CA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60CA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60CA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60CA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60CA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60CA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60CA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60CA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60CA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60CA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60CA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60CA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60CA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60CA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60CAC"/>
    <w:rPr>
      <w:rFonts w:eastAsiaTheme="majorEastAsia" w:cstheme="majorBidi"/>
      <w:color w:val="272727" w:themeColor="text1" w:themeTint="D8"/>
    </w:rPr>
  </w:style>
  <w:style w:type="paragraph" w:styleId="Ttulo">
    <w:name w:val="Title"/>
    <w:basedOn w:val="Normal"/>
    <w:next w:val="Normal"/>
    <w:link w:val="TtuloCar"/>
    <w:uiPriority w:val="10"/>
    <w:qFormat/>
    <w:rsid w:val="00A60C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60CA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60CA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60CA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60CAC"/>
    <w:pPr>
      <w:spacing w:before="160"/>
      <w:jc w:val="center"/>
    </w:pPr>
    <w:rPr>
      <w:i/>
      <w:iCs/>
      <w:color w:val="404040" w:themeColor="text1" w:themeTint="BF"/>
    </w:rPr>
  </w:style>
  <w:style w:type="character" w:customStyle="1" w:styleId="CitaCar">
    <w:name w:val="Cita Car"/>
    <w:basedOn w:val="Fuentedeprrafopredeter"/>
    <w:link w:val="Cita"/>
    <w:uiPriority w:val="29"/>
    <w:rsid w:val="00A60CAC"/>
    <w:rPr>
      <w:i/>
      <w:iCs/>
      <w:color w:val="404040" w:themeColor="text1" w:themeTint="BF"/>
    </w:rPr>
  </w:style>
  <w:style w:type="paragraph" w:styleId="Prrafodelista">
    <w:name w:val="List Paragraph"/>
    <w:basedOn w:val="Normal"/>
    <w:uiPriority w:val="34"/>
    <w:qFormat/>
    <w:rsid w:val="00A60CAC"/>
    <w:pPr>
      <w:ind w:left="720"/>
      <w:contextualSpacing/>
    </w:pPr>
  </w:style>
  <w:style w:type="character" w:styleId="nfasisintenso">
    <w:name w:val="Intense Emphasis"/>
    <w:basedOn w:val="Fuentedeprrafopredeter"/>
    <w:uiPriority w:val="21"/>
    <w:qFormat/>
    <w:rsid w:val="00A60CAC"/>
    <w:rPr>
      <w:i/>
      <w:iCs/>
      <w:color w:val="0F4761" w:themeColor="accent1" w:themeShade="BF"/>
    </w:rPr>
  </w:style>
  <w:style w:type="paragraph" w:styleId="Citadestacada">
    <w:name w:val="Intense Quote"/>
    <w:basedOn w:val="Normal"/>
    <w:next w:val="Normal"/>
    <w:link w:val="CitadestacadaCar"/>
    <w:uiPriority w:val="30"/>
    <w:qFormat/>
    <w:rsid w:val="00A60C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60CAC"/>
    <w:rPr>
      <w:i/>
      <w:iCs/>
      <w:color w:val="0F4761" w:themeColor="accent1" w:themeShade="BF"/>
    </w:rPr>
  </w:style>
  <w:style w:type="character" w:styleId="Referenciaintensa">
    <w:name w:val="Intense Reference"/>
    <w:basedOn w:val="Fuentedeprrafopredeter"/>
    <w:uiPriority w:val="32"/>
    <w:qFormat/>
    <w:rsid w:val="00A60CAC"/>
    <w:rPr>
      <w:b/>
      <w:bCs/>
      <w:smallCaps/>
      <w:color w:val="0F4761" w:themeColor="accent1" w:themeShade="BF"/>
      <w:spacing w:val="5"/>
    </w:rPr>
  </w:style>
  <w:style w:type="character" w:styleId="Refdecomentario">
    <w:name w:val="annotation reference"/>
    <w:basedOn w:val="Fuentedeprrafopredeter"/>
    <w:uiPriority w:val="99"/>
    <w:semiHidden/>
    <w:unhideWhenUsed/>
    <w:rsid w:val="00E97387"/>
    <w:rPr>
      <w:sz w:val="16"/>
      <w:szCs w:val="16"/>
    </w:rPr>
  </w:style>
  <w:style w:type="table" w:styleId="Tablaconcuadrcula">
    <w:name w:val="Table Grid"/>
    <w:basedOn w:val="Tablanormal"/>
    <w:uiPriority w:val="59"/>
    <w:rsid w:val="00E97387"/>
    <w:pPr>
      <w:spacing w:after="0" w:line="240" w:lineRule="auto"/>
    </w:pPr>
    <w:rPr>
      <w:kern w:val="0"/>
      <w:lang w:val="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97387"/>
    <w:pPr>
      <w:spacing w:after="0" w:line="240" w:lineRule="auto"/>
    </w:pPr>
    <w:rPr>
      <w:kern w:val="0"/>
      <w:lang w:val="es-ES_tradnl"/>
      <w14:ligatures w14:val="none"/>
    </w:rPr>
  </w:style>
  <w:style w:type="character" w:customStyle="1" w:styleId="PiedepginaCar">
    <w:name w:val="Pie de página Car"/>
    <w:basedOn w:val="Fuentedeprrafopredeter"/>
    <w:link w:val="Piedepgina"/>
    <w:uiPriority w:val="99"/>
    <w:rsid w:val="00E97387"/>
    <w:rPr>
      <w:lang w:val="es-ES_tradnl"/>
    </w:rPr>
  </w:style>
  <w:style w:type="paragraph" w:styleId="Piedepgina">
    <w:name w:val="footer"/>
    <w:basedOn w:val="Normal"/>
    <w:link w:val="PiedepginaCar"/>
    <w:uiPriority w:val="99"/>
    <w:unhideWhenUsed/>
    <w:rsid w:val="00E97387"/>
    <w:pPr>
      <w:tabs>
        <w:tab w:val="center" w:pos="4252"/>
        <w:tab w:val="right" w:pos="8504"/>
      </w:tabs>
      <w:spacing w:after="0" w:line="240" w:lineRule="auto"/>
    </w:pPr>
    <w:rPr>
      <w:kern w:val="2"/>
      <w:lang w:val="es-ES_tradnl"/>
      <w14:ligatures w14:val="standardContextual"/>
    </w:rPr>
  </w:style>
  <w:style w:type="character" w:customStyle="1" w:styleId="PiedepginaCar1">
    <w:name w:val="Pie de página Car1"/>
    <w:basedOn w:val="Fuentedeprrafopredeter"/>
    <w:uiPriority w:val="99"/>
    <w:semiHidden/>
    <w:rsid w:val="00E97387"/>
    <w:rPr>
      <w:kern w:val="0"/>
      <w14:ligatures w14:val="none"/>
    </w:rPr>
  </w:style>
  <w:style w:type="paragraph" w:styleId="Encabezado">
    <w:name w:val="header"/>
    <w:basedOn w:val="Normal"/>
    <w:link w:val="EncabezadoCar"/>
    <w:uiPriority w:val="99"/>
    <w:unhideWhenUsed/>
    <w:rsid w:val="00E9738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97387"/>
    <w:rPr>
      <w:kern w:val="0"/>
      <w14:ligatures w14:val="none"/>
    </w:rPr>
  </w:style>
  <w:style w:type="character" w:styleId="Hipervnculo">
    <w:name w:val="Hyperlink"/>
    <w:basedOn w:val="Fuentedeprrafopredeter"/>
    <w:uiPriority w:val="99"/>
    <w:unhideWhenUsed/>
    <w:rsid w:val="00E97387"/>
    <w:rPr>
      <w:color w:val="467886" w:themeColor="hyperlink"/>
      <w:u w:val="single"/>
    </w:rPr>
  </w:style>
  <w:style w:type="character" w:styleId="Mencinsinresolver">
    <w:name w:val="Unresolved Mention"/>
    <w:basedOn w:val="Fuentedeprrafopredeter"/>
    <w:uiPriority w:val="99"/>
    <w:semiHidden/>
    <w:unhideWhenUsed/>
    <w:rsid w:val="00E97387"/>
    <w:rPr>
      <w:color w:val="605E5C"/>
      <w:shd w:val="clear" w:color="auto" w:fill="E1DFDD"/>
    </w:rPr>
  </w:style>
  <w:style w:type="character" w:customStyle="1" w:styleId="SinespaciadoCar">
    <w:name w:val="Sin espaciado Car"/>
    <w:basedOn w:val="Fuentedeprrafopredeter"/>
    <w:link w:val="Sinespaciado"/>
    <w:uiPriority w:val="1"/>
    <w:rsid w:val="00E97387"/>
    <w:rPr>
      <w:kern w:val="0"/>
      <w:lang w:val="es-ES_tradnl"/>
      <w14:ligatures w14:val="none"/>
    </w:rPr>
  </w:style>
  <w:style w:type="character" w:styleId="Textodelmarcadordeposicin">
    <w:name w:val="Placeholder Text"/>
    <w:basedOn w:val="Fuentedeprrafopredeter"/>
    <w:uiPriority w:val="99"/>
    <w:semiHidden/>
    <w:rsid w:val="00E97387"/>
    <w:rPr>
      <w:color w:val="808080"/>
    </w:rPr>
  </w:style>
  <w:style w:type="character" w:styleId="Nmerodelnea">
    <w:name w:val="line number"/>
    <w:basedOn w:val="Fuentedeprrafopredeter"/>
    <w:uiPriority w:val="99"/>
    <w:semiHidden/>
    <w:unhideWhenUsed/>
    <w:rsid w:val="00E97387"/>
  </w:style>
  <w:style w:type="paragraph" w:styleId="Textodeglobo">
    <w:name w:val="Balloon Text"/>
    <w:basedOn w:val="Normal"/>
    <w:link w:val="TextodegloboCar"/>
    <w:uiPriority w:val="99"/>
    <w:semiHidden/>
    <w:unhideWhenUsed/>
    <w:rsid w:val="00E9738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97387"/>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header" Target="header3.xm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9324</Words>
  <Characters>48783</Characters>
  <Application>Microsoft Office Word</Application>
  <DocSecurity>0</DocSecurity>
  <Lines>1348</Lines>
  <Paragraphs>522</Paragraphs>
  <ScaleCrop>false</ScaleCrop>
  <Company/>
  <LinksUpToDate>false</LinksUpToDate>
  <CharactersWithSpaces>57574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ELOY NAVARRO LEÓN</dc:creator>
  <cp:keywords/>
  <dc:description/>
  <cp:lastModifiedBy>ELOY NAVARRO LEÓN</cp:lastModifiedBy>
  <cp:revision>2</cp:revision>
  <dcterms:created xsi:type="dcterms:W3CDTF">2024-02-28T10:44:00Z</dcterms:created>
  <dcterms:modified xsi:type="dcterms:W3CDTF">2024-02-28T10:45:00Z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67e9a29911c763929a4c0c6af3341b8cc33d6078a40984ec44536528e822fedb</vt:lpwstr>
  </property>
</Properties>
</file>