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36" w:rsidRPr="007830C2" w:rsidRDefault="00BF0236" w:rsidP="007B24CC">
      <w:pPr>
        <w:spacing w:after="120" w:line="240" w:lineRule="auto"/>
        <w:jc w:val="both"/>
        <w:rPr>
          <w:rFonts w:ascii="Times New Roman" w:hAnsi="Times New Roman" w:cs="Times New Roman"/>
          <w:b/>
          <w:color w:val="000000" w:themeColor="text1"/>
          <w:sz w:val="28"/>
          <w:szCs w:val="28"/>
          <w:lang w:val="en-GB"/>
        </w:rPr>
      </w:pPr>
      <w:r w:rsidRPr="007830C2">
        <w:rPr>
          <w:rFonts w:ascii="Times New Roman" w:hAnsi="Times New Roman" w:cs="Times New Roman"/>
          <w:b/>
          <w:color w:val="000000" w:themeColor="text1"/>
          <w:sz w:val="28"/>
          <w:szCs w:val="28"/>
          <w:lang w:val="en-GB"/>
        </w:rPr>
        <w:t>EFFECTS OF TRAINING CESSATION ON ANTHROPOMETRICS, BODY COMPOSITION AND SOMATOTYPE IN ADOLESCENT SWIMMERS</w:t>
      </w:r>
    </w:p>
    <w:p w:rsidR="00AC502D" w:rsidRPr="007830C2" w:rsidRDefault="00AC502D" w:rsidP="00AC502D">
      <w:pPr>
        <w:spacing w:after="0" w:line="240" w:lineRule="auto"/>
        <w:jc w:val="both"/>
        <w:rPr>
          <w:rFonts w:ascii="Times New Roman" w:hAnsi="Times New Roman" w:cs="Times New Roman"/>
          <w:b/>
          <w:color w:val="000000" w:themeColor="text1"/>
          <w:sz w:val="24"/>
          <w:szCs w:val="24"/>
          <w:lang w:val="en-GB"/>
        </w:rPr>
      </w:pPr>
      <w:r w:rsidRPr="007830C2">
        <w:rPr>
          <w:rFonts w:ascii="Times New Roman" w:hAnsi="Times New Roman" w:cs="Times New Roman"/>
          <w:b/>
          <w:color w:val="000000" w:themeColor="text1"/>
          <w:sz w:val="24"/>
          <w:szCs w:val="24"/>
          <w:lang w:val="en-GB"/>
        </w:rPr>
        <w:t>INTRODUCTION</w:t>
      </w:r>
    </w:p>
    <w:p w:rsidR="00AC502D" w:rsidRPr="007830C2" w:rsidRDefault="00AC502D" w:rsidP="00AC502D">
      <w:pPr>
        <w:spacing w:after="0" w:line="240" w:lineRule="auto"/>
        <w:ind w:firstLine="284"/>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 xml:space="preserve">Anthropometric measurements are important aspects in the early identification of talented swimmers </w:t>
      </w:r>
      <w:r w:rsidRPr="007830C2">
        <w:rPr>
          <w:rFonts w:ascii="Times New Roman" w:hAnsi="Times New Roman" w:cs="Times New Roman"/>
          <w:color w:val="000000" w:themeColor="text1"/>
          <w:sz w:val="24"/>
          <w:szCs w:val="24"/>
          <w:lang w:val="en-GB"/>
        </w:rPr>
        <w:fldChar w:fldCharType="begin"/>
      </w:r>
      <w:r w:rsidRPr="007830C2">
        <w:rPr>
          <w:rFonts w:ascii="Times New Roman" w:hAnsi="Times New Roman" w:cs="Times New Roman"/>
          <w:color w:val="000000" w:themeColor="text1"/>
          <w:sz w:val="24"/>
          <w:szCs w:val="24"/>
          <w:lang w:val="en-GB"/>
        </w:rPr>
        <w:instrText xml:space="preserve"> ADDIN EN.CITE &lt;EndNote&gt;&lt;Cite&gt;&lt;Author&gt;Rejman&lt;/Author&gt;&lt;Year&gt;2018&lt;/Year&gt;&lt;RecNum&gt;44&lt;/RecNum&gt;&lt;DisplayText&gt;(Rejman et al., 2018)&lt;/DisplayText&gt;&lt;record&gt;&lt;rec-number&gt;44&lt;/rec-number&gt;&lt;foreign-keys&gt;&lt;key app="EN" db-id="fwapsps2ewsxpder2zlxxe5pverprwr9z2xd" timestamp="1655208284"&gt;44&lt;/key&gt;&lt;/foreign-keys&gt;&lt;ref-type name="Journal Article"&gt;17&lt;/ref-type&gt;&lt;contributors&gt;&lt;authors&gt;&lt;author&gt;Rejman, Marek&lt;/author&gt;&lt;author&gt;&lt;style face="normal" font="default" size="100%"&gt;Tyc, &lt;/style&gt;&lt;style face="normal" font="default" charset="238" size="100%"&gt;Łukas&lt;/style&gt;&lt;style face="normal" font="default" size="100%"&gt;z&lt;/style&gt;&lt;/author&gt;&lt;author&gt;Kociuba, Marek&lt;/author&gt;&lt;author&gt;Bornikowska, Agata&lt;/author&gt;&lt;author&gt;Rudnik, Daria&lt;/author&gt;&lt;author&gt;Kozieł, Sławomir&lt;/author&gt;&lt;/authors&gt;&lt;/contributors&gt;&lt;titles&gt;&lt;title&gt;Anthropometric predispositions for swimming from the perspective of biomechanics&lt;/title&gt;&lt;secondary-title&gt;Acta of Bioengineering and Biomechanics&lt;/secondary-title&gt;&lt;/titles&gt;&lt;periodical&gt;&lt;full-title&gt;Acta of bioengineering and biomechanics&lt;/full-title&gt;&lt;/periodical&gt;&lt;volume&gt;20&lt;/volume&gt;&lt;number&gt;4&lt;/number&gt;&lt;dates&gt;&lt;year&gt;2018&lt;/year&gt;&lt;/dates&gt;&lt;isbn&gt;1509-409X&lt;/isbn&gt;&lt;urls&gt;&lt;/urls&gt;&lt;electronic-resource-num&gt;10.5277/ABB-01254-2018-03&lt;/electronic-resource-num&gt;&lt;/record&gt;&lt;/Cite&gt;&lt;/EndNote&gt;</w:instrText>
      </w:r>
      <w:r w:rsidRPr="007830C2">
        <w:rPr>
          <w:rFonts w:ascii="Times New Roman" w:hAnsi="Times New Roman" w:cs="Times New Roman"/>
          <w:color w:val="000000" w:themeColor="text1"/>
          <w:sz w:val="24"/>
          <w:szCs w:val="24"/>
          <w:lang w:val="en-GB"/>
        </w:rPr>
        <w:fldChar w:fldCharType="separate"/>
      </w:r>
      <w:r w:rsidRPr="007830C2">
        <w:rPr>
          <w:rFonts w:ascii="Times New Roman" w:hAnsi="Times New Roman" w:cs="Times New Roman"/>
          <w:noProof/>
          <w:color w:val="000000" w:themeColor="text1"/>
          <w:sz w:val="24"/>
          <w:szCs w:val="24"/>
          <w:lang w:val="en-GB"/>
        </w:rPr>
        <w:t>(Rejman et al., 2018)</w:t>
      </w:r>
      <w:r w:rsidRPr="007830C2">
        <w:rPr>
          <w:rFonts w:ascii="Times New Roman" w:hAnsi="Times New Roman" w:cs="Times New Roman"/>
          <w:color w:val="000000" w:themeColor="text1"/>
          <w:sz w:val="24"/>
          <w:szCs w:val="24"/>
          <w:lang w:val="en-GB"/>
        </w:rPr>
        <w:fldChar w:fldCharType="end"/>
      </w:r>
      <w:r w:rsidRPr="007830C2">
        <w:rPr>
          <w:rFonts w:ascii="Times New Roman" w:hAnsi="Times New Roman" w:cs="Times New Roman"/>
          <w:color w:val="000000" w:themeColor="text1"/>
          <w:sz w:val="24"/>
          <w:szCs w:val="24"/>
          <w:lang w:val="en-GB"/>
        </w:rPr>
        <w:t xml:space="preserve">. </w:t>
      </w:r>
      <w:r w:rsidR="00827CAC" w:rsidRPr="007830C2">
        <w:rPr>
          <w:rFonts w:ascii="Times New Roman" w:hAnsi="Times New Roman" w:cs="Times New Roman"/>
          <w:color w:val="000000" w:themeColor="text1"/>
          <w:sz w:val="24"/>
          <w:szCs w:val="24"/>
          <w:lang w:val="en-GB"/>
        </w:rPr>
        <w:t>Both</w:t>
      </w:r>
      <w:r w:rsidRPr="007830C2">
        <w:rPr>
          <w:rFonts w:ascii="Times New Roman" w:hAnsi="Times New Roman" w:cs="Times New Roman"/>
          <w:color w:val="000000" w:themeColor="text1"/>
          <w:sz w:val="24"/>
          <w:szCs w:val="24"/>
          <w:lang w:val="en-GB"/>
        </w:rPr>
        <w:t xml:space="preserve"> anthropometrics and body composition changes may affect swimming performance, including the longitudinal variations during maturational growth (Oliveira et al., 2021; </w:t>
      </w:r>
      <w:proofErr w:type="spellStart"/>
      <w:r w:rsidRPr="007830C2">
        <w:rPr>
          <w:rFonts w:ascii="Times New Roman" w:hAnsi="Times New Roman" w:cs="Times New Roman"/>
          <w:color w:val="000000" w:themeColor="text1"/>
          <w:sz w:val="24"/>
          <w:szCs w:val="24"/>
          <w:lang w:val="en-GB"/>
        </w:rPr>
        <w:t>Zacca</w:t>
      </w:r>
      <w:proofErr w:type="spellEnd"/>
      <w:r w:rsidRPr="007830C2">
        <w:rPr>
          <w:rFonts w:ascii="Times New Roman" w:hAnsi="Times New Roman" w:cs="Times New Roman"/>
          <w:color w:val="000000" w:themeColor="text1"/>
          <w:sz w:val="24"/>
          <w:szCs w:val="24"/>
          <w:lang w:val="en-GB"/>
        </w:rPr>
        <w:t xml:space="preserve"> et al., 2019)</w:t>
      </w:r>
      <w:r w:rsidR="00896E2A" w:rsidRPr="007830C2">
        <w:rPr>
          <w:rFonts w:ascii="Times New Roman" w:hAnsi="Times New Roman" w:cs="Times New Roman"/>
          <w:color w:val="000000" w:themeColor="text1"/>
          <w:sz w:val="24"/>
          <w:szCs w:val="24"/>
          <w:lang w:val="en-GB"/>
        </w:rPr>
        <w:t xml:space="preserve">. Hence, </w:t>
      </w:r>
      <w:r w:rsidR="003B11C6" w:rsidRPr="007830C2">
        <w:rPr>
          <w:rFonts w:ascii="Times New Roman" w:hAnsi="Times New Roman" w:cs="Times New Roman"/>
          <w:color w:val="000000" w:themeColor="text1"/>
          <w:sz w:val="24"/>
          <w:szCs w:val="24"/>
          <w:lang w:val="en-GB"/>
        </w:rPr>
        <w:t xml:space="preserve">the anthropometric </w:t>
      </w:r>
      <w:r w:rsidR="00896E2A" w:rsidRPr="007830C2">
        <w:rPr>
          <w:rFonts w:ascii="Times New Roman" w:hAnsi="Times New Roman" w:cs="Times New Roman"/>
          <w:color w:val="000000" w:themeColor="text1"/>
          <w:sz w:val="24"/>
          <w:szCs w:val="24"/>
          <w:lang w:val="en-GB"/>
        </w:rPr>
        <w:t xml:space="preserve">assessment </w:t>
      </w:r>
      <w:r w:rsidR="00827CAC" w:rsidRPr="007830C2">
        <w:rPr>
          <w:rFonts w:ascii="Times New Roman" w:hAnsi="Times New Roman" w:cs="Times New Roman"/>
          <w:color w:val="000000" w:themeColor="text1"/>
          <w:sz w:val="24"/>
          <w:szCs w:val="24"/>
          <w:lang w:val="en-GB"/>
        </w:rPr>
        <w:t>plays an important role</w:t>
      </w:r>
      <w:r w:rsidR="00896E2A" w:rsidRPr="007830C2">
        <w:rPr>
          <w:rFonts w:ascii="Times New Roman" w:hAnsi="Times New Roman" w:cs="Times New Roman"/>
          <w:color w:val="000000" w:themeColor="text1"/>
          <w:sz w:val="24"/>
          <w:szCs w:val="24"/>
          <w:lang w:val="en-GB"/>
        </w:rPr>
        <w:t xml:space="preserve"> in the swimming area</w:t>
      </w:r>
      <w:r w:rsidR="003B11C6" w:rsidRPr="007830C2">
        <w:rPr>
          <w:rFonts w:ascii="Times New Roman" w:hAnsi="Times New Roman" w:cs="Times New Roman"/>
          <w:color w:val="000000" w:themeColor="text1"/>
          <w:sz w:val="24"/>
          <w:szCs w:val="24"/>
          <w:lang w:val="en-GB"/>
        </w:rPr>
        <w:t xml:space="preserve"> (</w:t>
      </w:r>
      <w:r w:rsidR="004245E6" w:rsidRPr="007830C2">
        <w:rPr>
          <w:rFonts w:ascii="Times New Roman" w:hAnsi="Times New Roman" w:cs="Times New Roman"/>
          <w:color w:val="000000" w:themeColor="text1"/>
          <w:sz w:val="24"/>
          <w:szCs w:val="24"/>
          <w:lang w:val="en-GB"/>
        </w:rPr>
        <w:t>Alves et al., 2022</w:t>
      </w:r>
      <w:r w:rsidR="003B11C6" w:rsidRPr="007830C2">
        <w:rPr>
          <w:rFonts w:ascii="Times New Roman" w:hAnsi="Times New Roman" w:cs="Times New Roman"/>
          <w:color w:val="000000" w:themeColor="text1"/>
          <w:sz w:val="24"/>
          <w:szCs w:val="24"/>
          <w:lang w:val="en-GB"/>
        </w:rPr>
        <w:t>).</w:t>
      </w:r>
    </w:p>
    <w:p w:rsidR="003B11C6" w:rsidRPr="007830C2" w:rsidRDefault="003B11C6" w:rsidP="00AC502D">
      <w:pPr>
        <w:spacing w:after="0" w:line="240" w:lineRule="auto"/>
        <w:ind w:firstLine="284"/>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Based on the sport or physical activity practiced, the somatotypes de</w:t>
      </w:r>
      <w:r w:rsidR="004245E6" w:rsidRPr="007830C2">
        <w:rPr>
          <w:rFonts w:ascii="Times New Roman" w:hAnsi="Times New Roman" w:cs="Times New Roman"/>
          <w:color w:val="000000" w:themeColor="text1"/>
          <w:sz w:val="24"/>
          <w:szCs w:val="24"/>
          <w:lang w:val="en-GB"/>
        </w:rPr>
        <w:t>fined differs for each athlete (</w:t>
      </w:r>
      <w:r w:rsidR="004245E6" w:rsidRPr="007830C2">
        <w:rPr>
          <w:rFonts w:ascii="Times New Roman" w:hAnsi="Times New Roman" w:cs="Times New Roman"/>
          <w:color w:val="000000" w:themeColor="text1"/>
          <w:sz w:val="24"/>
          <w:szCs w:val="24"/>
        </w:rPr>
        <w:t>Raković et al., 2015)</w:t>
      </w:r>
      <w:r w:rsidR="004245E6" w:rsidRPr="007830C2">
        <w:rPr>
          <w:rFonts w:ascii="Times New Roman" w:hAnsi="Times New Roman" w:cs="Times New Roman"/>
          <w:color w:val="000000" w:themeColor="text1"/>
          <w:sz w:val="24"/>
          <w:szCs w:val="24"/>
          <w:lang w:val="en-GB"/>
        </w:rPr>
        <w:t>.</w:t>
      </w:r>
      <w:r w:rsidRPr="007830C2">
        <w:rPr>
          <w:rFonts w:ascii="Times New Roman" w:hAnsi="Times New Roman" w:cs="Times New Roman"/>
          <w:color w:val="000000" w:themeColor="text1"/>
          <w:sz w:val="24"/>
          <w:szCs w:val="24"/>
          <w:lang w:val="en-GB"/>
        </w:rPr>
        <w:t xml:space="preserve"> In young swimmers, the mesomorph has been identified as the most common somatotype (46.1%), followed by the </w:t>
      </w:r>
      <w:proofErr w:type="spellStart"/>
      <w:r w:rsidRPr="007830C2">
        <w:rPr>
          <w:rFonts w:ascii="Times New Roman" w:hAnsi="Times New Roman" w:cs="Times New Roman"/>
          <w:color w:val="000000" w:themeColor="text1"/>
          <w:sz w:val="24"/>
          <w:szCs w:val="24"/>
          <w:lang w:val="en-GB"/>
        </w:rPr>
        <w:t>ecto</w:t>
      </w:r>
      <w:proofErr w:type="spellEnd"/>
      <w:r w:rsidRPr="007830C2">
        <w:rPr>
          <w:rFonts w:ascii="Times New Roman" w:hAnsi="Times New Roman" w:cs="Times New Roman"/>
          <w:color w:val="000000" w:themeColor="text1"/>
          <w:sz w:val="24"/>
          <w:szCs w:val="24"/>
          <w:lang w:val="en-GB"/>
        </w:rPr>
        <w:t xml:space="preserve">-mesomorph (30.8%) </w:t>
      </w:r>
      <w:r w:rsidR="004245E6" w:rsidRPr="007830C2">
        <w:rPr>
          <w:rFonts w:ascii="Times New Roman" w:hAnsi="Times New Roman" w:cs="Times New Roman"/>
          <w:color w:val="000000" w:themeColor="text1"/>
          <w:sz w:val="24"/>
          <w:szCs w:val="24"/>
          <w:lang w:val="en-GB"/>
        </w:rPr>
        <w:t xml:space="preserve">and the </w:t>
      </w:r>
      <w:proofErr w:type="spellStart"/>
      <w:r w:rsidR="004245E6" w:rsidRPr="007830C2">
        <w:rPr>
          <w:rFonts w:ascii="Times New Roman" w:hAnsi="Times New Roman" w:cs="Times New Roman"/>
          <w:color w:val="000000" w:themeColor="text1"/>
          <w:sz w:val="24"/>
          <w:szCs w:val="24"/>
          <w:lang w:val="en-GB"/>
        </w:rPr>
        <w:t>meso</w:t>
      </w:r>
      <w:proofErr w:type="spellEnd"/>
      <w:r w:rsidR="004245E6" w:rsidRPr="007830C2">
        <w:rPr>
          <w:rFonts w:ascii="Times New Roman" w:hAnsi="Times New Roman" w:cs="Times New Roman"/>
          <w:color w:val="000000" w:themeColor="text1"/>
          <w:sz w:val="24"/>
          <w:szCs w:val="24"/>
          <w:lang w:val="en-GB"/>
        </w:rPr>
        <w:t>-ectomorph (23.1%) (</w:t>
      </w:r>
      <w:r w:rsidR="004245E6" w:rsidRPr="007830C2">
        <w:rPr>
          <w:rFonts w:ascii="Times New Roman" w:hAnsi="Times New Roman" w:cs="Times New Roman"/>
          <w:color w:val="000000" w:themeColor="text1"/>
          <w:sz w:val="24"/>
          <w:szCs w:val="24"/>
        </w:rPr>
        <w:t>Stanković et al. 2018).</w:t>
      </w:r>
      <w:r w:rsidRPr="007830C2">
        <w:rPr>
          <w:rFonts w:ascii="Times New Roman" w:hAnsi="Times New Roman" w:cs="Times New Roman"/>
          <w:color w:val="000000" w:themeColor="text1"/>
          <w:sz w:val="24"/>
          <w:szCs w:val="24"/>
          <w:lang w:val="en-GB"/>
        </w:rPr>
        <w:t xml:space="preserve"> Understanding that training programs of young swimmers are usually planned to achieve two or three performance pe</w:t>
      </w:r>
      <w:r w:rsidR="004245E6" w:rsidRPr="007830C2">
        <w:rPr>
          <w:rFonts w:ascii="Times New Roman" w:hAnsi="Times New Roman" w:cs="Times New Roman"/>
          <w:color w:val="000000" w:themeColor="text1"/>
          <w:sz w:val="24"/>
          <w:szCs w:val="24"/>
          <w:lang w:val="en-GB"/>
        </w:rPr>
        <w:t>aks over a 10-11 months season (</w:t>
      </w:r>
      <w:proofErr w:type="spellStart"/>
      <w:r w:rsidR="004245E6" w:rsidRPr="007830C2">
        <w:rPr>
          <w:rFonts w:ascii="Times New Roman" w:hAnsi="Times New Roman" w:cs="Times New Roman"/>
          <w:color w:val="000000" w:themeColor="text1"/>
          <w:sz w:val="24"/>
          <w:szCs w:val="24"/>
          <w:lang w:val="en-GB"/>
        </w:rPr>
        <w:t>Morais</w:t>
      </w:r>
      <w:proofErr w:type="spellEnd"/>
      <w:r w:rsidR="004245E6" w:rsidRPr="007830C2">
        <w:rPr>
          <w:rFonts w:ascii="Times New Roman" w:hAnsi="Times New Roman" w:cs="Times New Roman"/>
          <w:color w:val="000000" w:themeColor="text1"/>
          <w:sz w:val="24"/>
          <w:szCs w:val="24"/>
          <w:lang w:val="en-GB"/>
        </w:rPr>
        <w:t xml:space="preserve"> et al., 2018),</w:t>
      </w:r>
      <w:r w:rsidRPr="007830C2">
        <w:rPr>
          <w:rFonts w:ascii="Times New Roman" w:hAnsi="Times New Roman" w:cs="Times New Roman"/>
          <w:color w:val="000000" w:themeColor="text1"/>
          <w:sz w:val="24"/>
          <w:szCs w:val="24"/>
          <w:lang w:val="en-GB"/>
        </w:rPr>
        <w:t xml:space="preserve"> which are characterized by a tempor</w:t>
      </w:r>
      <w:r w:rsidR="004245E6" w:rsidRPr="007830C2">
        <w:rPr>
          <w:rFonts w:ascii="Times New Roman" w:hAnsi="Times New Roman" w:cs="Times New Roman"/>
          <w:color w:val="000000" w:themeColor="text1"/>
          <w:sz w:val="24"/>
          <w:szCs w:val="24"/>
          <w:lang w:val="en-GB"/>
        </w:rPr>
        <w:t>ary break known as detraining (</w:t>
      </w:r>
      <w:proofErr w:type="spellStart"/>
      <w:r w:rsidR="009705E8" w:rsidRPr="007830C2">
        <w:rPr>
          <w:rFonts w:ascii="Times New Roman" w:hAnsi="Times New Roman" w:cs="Times New Roman"/>
          <w:color w:val="000000" w:themeColor="text1"/>
          <w:sz w:val="24"/>
          <w:szCs w:val="24"/>
          <w:lang w:val="en-GB"/>
        </w:rPr>
        <w:t>Mujika</w:t>
      </w:r>
      <w:proofErr w:type="spellEnd"/>
      <w:r w:rsidR="009705E8" w:rsidRPr="007830C2">
        <w:rPr>
          <w:rFonts w:ascii="Times New Roman" w:hAnsi="Times New Roman" w:cs="Times New Roman"/>
          <w:color w:val="000000" w:themeColor="text1"/>
          <w:sz w:val="24"/>
          <w:szCs w:val="24"/>
          <w:lang w:val="en-GB"/>
        </w:rPr>
        <w:t xml:space="preserve"> &amp; Padilla, 2000</w:t>
      </w:r>
      <w:r w:rsidR="004245E6" w:rsidRPr="007830C2">
        <w:rPr>
          <w:rFonts w:ascii="Times New Roman" w:hAnsi="Times New Roman" w:cs="Times New Roman"/>
          <w:color w:val="000000" w:themeColor="text1"/>
          <w:sz w:val="24"/>
          <w:szCs w:val="24"/>
          <w:lang w:val="en-GB"/>
        </w:rPr>
        <w:t>),</w:t>
      </w:r>
      <w:r w:rsidRPr="007830C2">
        <w:rPr>
          <w:rFonts w:ascii="Times New Roman" w:hAnsi="Times New Roman" w:cs="Times New Roman"/>
          <w:color w:val="000000" w:themeColor="text1"/>
          <w:sz w:val="24"/>
          <w:szCs w:val="24"/>
          <w:lang w:val="en-GB"/>
        </w:rPr>
        <w:t xml:space="preserve"> the anthropometric changes may occur also as a process of training.</w:t>
      </w:r>
    </w:p>
    <w:p w:rsidR="00AC502D" w:rsidRPr="007830C2" w:rsidRDefault="00AC502D" w:rsidP="00CA16E2">
      <w:pPr>
        <w:spacing w:after="0" w:line="240" w:lineRule="auto"/>
        <w:ind w:firstLine="284"/>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 xml:space="preserve">The detraining </w:t>
      </w:r>
      <w:r w:rsidR="0054301D" w:rsidRPr="007830C2">
        <w:rPr>
          <w:rFonts w:ascii="Times New Roman" w:hAnsi="Times New Roman" w:cs="Times New Roman"/>
          <w:color w:val="000000" w:themeColor="text1"/>
          <w:sz w:val="24"/>
          <w:szCs w:val="24"/>
          <w:lang w:val="en-GB"/>
        </w:rPr>
        <w:t>period after a season, may lead to</w:t>
      </w:r>
      <w:r w:rsidRPr="007830C2">
        <w:rPr>
          <w:rFonts w:ascii="Times New Roman" w:hAnsi="Times New Roman" w:cs="Times New Roman"/>
          <w:color w:val="000000" w:themeColor="text1"/>
          <w:sz w:val="24"/>
          <w:szCs w:val="24"/>
          <w:lang w:val="en-GB"/>
        </w:rPr>
        <w:t xml:space="preserve"> the partial or total </w:t>
      </w:r>
      <w:r w:rsidR="006F58B0" w:rsidRPr="007830C2">
        <w:rPr>
          <w:rFonts w:ascii="Times New Roman" w:hAnsi="Times New Roman" w:cs="Times New Roman"/>
          <w:color w:val="000000" w:themeColor="text1"/>
          <w:sz w:val="24"/>
          <w:szCs w:val="24"/>
          <w:lang w:val="en-GB"/>
        </w:rPr>
        <w:t>loss of training, inducing</w:t>
      </w:r>
      <w:r w:rsidRPr="007830C2">
        <w:rPr>
          <w:rFonts w:ascii="Times New Roman" w:hAnsi="Times New Roman" w:cs="Times New Roman"/>
          <w:color w:val="000000" w:themeColor="text1"/>
          <w:sz w:val="24"/>
          <w:szCs w:val="24"/>
          <w:lang w:val="en-GB"/>
        </w:rPr>
        <w:t xml:space="preserve"> anatomical, physiolog</w:t>
      </w:r>
      <w:r w:rsidR="006F58B0" w:rsidRPr="007830C2">
        <w:rPr>
          <w:rFonts w:ascii="Times New Roman" w:hAnsi="Times New Roman" w:cs="Times New Roman"/>
          <w:color w:val="000000" w:themeColor="text1"/>
          <w:sz w:val="24"/>
          <w:szCs w:val="24"/>
          <w:lang w:val="en-GB"/>
        </w:rPr>
        <w:t>ical and performance adaptations (</w:t>
      </w:r>
      <w:proofErr w:type="spellStart"/>
      <w:r w:rsidR="009705E8" w:rsidRPr="007830C2">
        <w:rPr>
          <w:rFonts w:ascii="Times New Roman" w:hAnsi="Times New Roman" w:cs="Times New Roman"/>
          <w:color w:val="000000" w:themeColor="text1"/>
          <w:sz w:val="24"/>
          <w:szCs w:val="24"/>
          <w:lang w:val="en-GB"/>
        </w:rPr>
        <w:t>Mujika</w:t>
      </w:r>
      <w:proofErr w:type="spellEnd"/>
      <w:r w:rsidR="009705E8" w:rsidRPr="007830C2">
        <w:rPr>
          <w:rFonts w:ascii="Times New Roman" w:hAnsi="Times New Roman" w:cs="Times New Roman"/>
          <w:color w:val="000000" w:themeColor="text1"/>
          <w:sz w:val="24"/>
          <w:szCs w:val="24"/>
          <w:lang w:val="en-GB"/>
        </w:rPr>
        <w:t xml:space="preserve"> &amp; Padilla, 2000</w:t>
      </w:r>
      <w:r w:rsidR="006F58B0" w:rsidRPr="007830C2">
        <w:rPr>
          <w:rFonts w:ascii="Times New Roman" w:hAnsi="Times New Roman" w:cs="Times New Roman"/>
          <w:color w:val="000000" w:themeColor="text1"/>
          <w:sz w:val="24"/>
          <w:szCs w:val="24"/>
          <w:lang w:val="en-GB"/>
        </w:rPr>
        <w:t>; Ruiz-Navarro et al., 2022)</w:t>
      </w:r>
      <w:r w:rsidRPr="007830C2">
        <w:rPr>
          <w:rFonts w:ascii="Times New Roman" w:hAnsi="Times New Roman" w:cs="Times New Roman"/>
          <w:color w:val="000000" w:themeColor="text1"/>
          <w:sz w:val="24"/>
          <w:szCs w:val="24"/>
          <w:lang w:val="en-GB"/>
        </w:rPr>
        <w:t xml:space="preserve">. </w:t>
      </w:r>
      <w:r w:rsidR="006F58B0" w:rsidRPr="007830C2">
        <w:rPr>
          <w:rFonts w:ascii="Times New Roman" w:hAnsi="Times New Roman" w:cs="Times New Roman"/>
          <w:color w:val="000000" w:themeColor="text1"/>
          <w:sz w:val="24"/>
          <w:szCs w:val="24"/>
          <w:lang w:val="en-GB"/>
        </w:rPr>
        <w:t>These detraining periods are influenced by the duration of training break, obtaining different adaptations in shorter or longer breaks than four weeks (</w:t>
      </w:r>
      <w:proofErr w:type="spellStart"/>
      <w:r w:rsidR="009705E8" w:rsidRPr="007830C2">
        <w:rPr>
          <w:rFonts w:ascii="Times New Roman" w:hAnsi="Times New Roman" w:cs="Times New Roman"/>
          <w:color w:val="000000" w:themeColor="text1"/>
          <w:sz w:val="24"/>
          <w:szCs w:val="24"/>
          <w:lang w:val="en-GB"/>
        </w:rPr>
        <w:t>Mujika</w:t>
      </w:r>
      <w:proofErr w:type="spellEnd"/>
      <w:r w:rsidR="009705E8" w:rsidRPr="007830C2">
        <w:rPr>
          <w:rFonts w:ascii="Times New Roman" w:hAnsi="Times New Roman" w:cs="Times New Roman"/>
          <w:color w:val="000000" w:themeColor="text1"/>
          <w:sz w:val="24"/>
          <w:szCs w:val="24"/>
          <w:lang w:val="en-GB"/>
        </w:rPr>
        <w:t xml:space="preserve"> &amp; Padilla, 2000</w:t>
      </w:r>
      <w:r w:rsidR="006F58B0" w:rsidRPr="007830C2">
        <w:rPr>
          <w:rFonts w:ascii="Times New Roman" w:hAnsi="Times New Roman" w:cs="Times New Roman"/>
          <w:color w:val="000000" w:themeColor="text1"/>
          <w:sz w:val="24"/>
          <w:szCs w:val="24"/>
          <w:lang w:val="en-GB"/>
        </w:rPr>
        <w:t>). For high-level swimmers, four weeks of season break are the typical detraining period (</w:t>
      </w:r>
      <w:proofErr w:type="spellStart"/>
      <w:r w:rsidR="009705E8" w:rsidRPr="007830C2">
        <w:rPr>
          <w:rFonts w:ascii="Times New Roman" w:hAnsi="Times New Roman" w:cs="Times New Roman"/>
          <w:color w:val="000000" w:themeColor="text1"/>
          <w:sz w:val="24"/>
          <w:szCs w:val="24"/>
          <w:lang w:val="en-GB"/>
        </w:rPr>
        <w:t>Mujika</w:t>
      </w:r>
      <w:proofErr w:type="spellEnd"/>
      <w:r w:rsidR="009705E8" w:rsidRPr="007830C2">
        <w:rPr>
          <w:rFonts w:ascii="Times New Roman" w:hAnsi="Times New Roman" w:cs="Times New Roman"/>
          <w:color w:val="000000" w:themeColor="text1"/>
          <w:sz w:val="24"/>
          <w:szCs w:val="24"/>
          <w:lang w:val="en-GB"/>
        </w:rPr>
        <w:t xml:space="preserve"> &amp; Padilla, 2000</w:t>
      </w:r>
      <w:r w:rsidR="006F58B0" w:rsidRPr="007830C2">
        <w:rPr>
          <w:rFonts w:ascii="Times New Roman" w:hAnsi="Times New Roman" w:cs="Times New Roman"/>
          <w:color w:val="000000" w:themeColor="text1"/>
          <w:sz w:val="24"/>
          <w:szCs w:val="24"/>
          <w:lang w:val="en-GB"/>
        </w:rPr>
        <w:t>), while age-group swimmers generally recover 4-6 weeks, depending of each national swimming calendar (</w:t>
      </w:r>
      <w:proofErr w:type="spellStart"/>
      <w:r w:rsidR="006F58B0" w:rsidRPr="007830C2">
        <w:rPr>
          <w:rFonts w:ascii="Times New Roman" w:hAnsi="Times New Roman" w:cs="Times New Roman"/>
          <w:color w:val="000000" w:themeColor="text1"/>
          <w:sz w:val="24"/>
          <w:szCs w:val="24"/>
          <w:lang w:val="en-GB"/>
        </w:rPr>
        <w:t>Zacca</w:t>
      </w:r>
      <w:proofErr w:type="spellEnd"/>
      <w:r w:rsidR="006F58B0" w:rsidRPr="007830C2">
        <w:rPr>
          <w:rFonts w:ascii="Times New Roman" w:hAnsi="Times New Roman" w:cs="Times New Roman"/>
          <w:color w:val="000000" w:themeColor="text1"/>
          <w:sz w:val="24"/>
          <w:szCs w:val="24"/>
          <w:lang w:val="en-GB"/>
        </w:rPr>
        <w:t xml:space="preserve"> et al., 2019).</w:t>
      </w:r>
      <w:r w:rsidR="00896E2A" w:rsidRPr="007830C2">
        <w:rPr>
          <w:rFonts w:ascii="Times New Roman" w:hAnsi="Times New Roman" w:cs="Times New Roman"/>
          <w:color w:val="000000" w:themeColor="text1"/>
          <w:sz w:val="24"/>
          <w:szCs w:val="24"/>
          <w:lang w:val="en-GB"/>
        </w:rPr>
        <w:t xml:space="preserve"> </w:t>
      </w:r>
      <w:r w:rsidR="00896E2A" w:rsidRPr="007830C2">
        <w:rPr>
          <w:rFonts w:ascii="Times New Roman" w:hAnsi="Times New Roman" w:cs="Times New Roman"/>
          <w:color w:val="000000" w:themeColor="text1"/>
          <w:sz w:val="24"/>
          <w:szCs w:val="24"/>
          <w:lang w:val="en-US"/>
        </w:rPr>
        <w:t xml:space="preserve">During </w:t>
      </w:r>
      <w:r w:rsidR="0027781D" w:rsidRPr="007830C2">
        <w:rPr>
          <w:rFonts w:ascii="Times New Roman" w:hAnsi="Times New Roman" w:cs="Times New Roman"/>
          <w:color w:val="000000" w:themeColor="text1"/>
          <w:sz w:val="24"/>
          <w:szCs w:val="24"/>
          <w:lang w:val="en-US"/>
        </w:rPr>
        <w:t>the seasons’ break</w:t>
      </w:r>
      <w:r w:rsidR="00896E2A" w:rsidRPr="007830C2">
        <w:rPr>
          <w:rFonts w:ascii="Times New Roman" w:hAnsi="Times New Roman" w:cs="Times New Roman"/>
          <w:color w:val="000000" w:themeColor="text1"/>
          <w:sz w:val="24"/>
          <w:szCs w:val="24"/>
          <w:lang w:val="en-US"/>
        </w:rPr>
        <w:t xml:space="preserve">, anthropometric changes are also influenced by the level of physical activity performed </w:t>
      </w:r>
      <w:r w:rsidR="00896E2A" w:rsidRPr="007830C2">
        <w:rPr>
          <w:rFonts w:ascii="Times New Roman" w:hAnsi="Times New Roman" w:cs="Times New Roman"/>
          <w:color w:val="000000" w:themeColor="text1"/>
          <w:sz w:val="24"/>
          <w:szCs w:val="24"/>
          <w:lang w:val="en-GB"/>
        </w:rPr>
        <w:t>(</w:t>
      </w:r>
      <w:proofErr w:type="spellStart"/>
      <w:r w:rsidR="00896E2A" w:rsidRPr="007830C2">
        <w:rPr>
          <w:rFonts w:ascii="Times New Roman" w:hAnsi="Times New Roman" w:cs="Times New Roman"/>
          <w:color w:val="000000" w:themeColor="text1"/>
          <w:sz w:val="24"/>
          <w:szCs w:val="24"/>
          <w:lang w:val="en-GB"/>
        </w:rPr>
        <w:t>Zacca</w:t>
      </w:r>
      <w:proofErr w:type="spellEnd"/>
      <w:r w:rsidR="00896E2A" w:rsidRPr="007830C2">
        <w:rPr>
          <w:rFonts w:ascii="Times New Roman" w:hAnsi="Times New Roman" w:cs="Times New Roman"/>
          <w:color w:val="000000" w:themeColor="text1"/>
          <w:sz w:val="24"/>
          <w:szCs w:val="24"/>
          <w:lang w:val="en-GB"/>
        </w:rPr>
        <w:t xml:space="preserve"> et al., 2019)</w:t>
      </w:r>
      <w:r w:rsidR="0027781D" w:rsidRPr="007830C2">
        <w:rPr>
          <w:rFonts w:ascii="Times New Roman" w:hAnsi="Times New Roman" w:cs="Times New Roman"/>
          <w:color w:val="000000" w:themeColor="text1"/>
          <w:sz w:val="24"/>
          <w:szCs w:val="24"/>
          <w:lang w:val="en-GB"/>
        </w:rPr>
        <w:t>, which should be considered to understand its possible effects.</w:t>
      </w:r>
      <w:r w:rsidR="00CA16E2" w:rsidRPr="007830C2">
        <w:rPr>
          <w:rFonts w:ascii="Times New Roman" w:hAnsi="Times New Roman" w:cs="Times New Roman"/>
          <w:color w:val="000000" w:themeColor="text1"/>
          <w:sz w:val="24"/>
          <w:szCs w:val="24"/>
          <w:lang w:val="en-GB"/>
        </w:rPr>
        <w:t xml:space="preserve"> Therefore, t</w:t>
      </w:r>
      <w:r w:rsidRPr="007830C2">
        <w:rPr>
          <w:rFonts w:ascii="Times New Roman" w:hAnsi="Times New Roman" w:cs="Times New Roman"/>
          <w:color w:val="000000" w:themeColor="text1"/>
          <w:sz w:val="24"/>
          <w:szCs w:val="24"/>
          <w:lang w:val="en-GB"/>
        </w:rPr>
        <w:t>he aim of the current study was to analyse the effects of five weeks of training cessation on anthropometric measurements and its influence on swimming performance.</w:t>
      </w:r>
    </w:p>
    <w:p w:rsidR="00AC502D" w:rsidRPr="007830C2" w:rsidRDefault="00AC502D" w:rsidP="00AC502D">
      <w:pPr>
        <w:spacing w:after="0"/>
        <w:rPr>
          <w:rFonts w:ascii="Times New Roman" w:hAnsi="Times New Roman" w:cs="Times New Roman"/>
          <w:color w:val="000000" w:themeColor="text1"/>
          <w:sz w:val="24"/>
          <w:szCs w:val="24"/>
          <w:lang w:val="en-GB"/>
        </w:rPr>
      </w:pPr>
    </w:p>
    <w:p w:rsidR="00202025" w:rsidRPr="007830C2" w:rsidRDefault="00202025" w:rsidP="00202025">
      <w:pPr>
        <w:spacing w:after="0" w:line="240" w:lineRule="auto"/>
        <w:jc w:val="both"/>
        <w:rPr>
          <w:rFonts w:ascii="Times New Roman" w:hAnsi="Times New Roman" w:cs="Times New Roman"/>
          <w:b/>
          <w:color w:val="000000" w:themeColor="text1"/>
          <w:sz w:val="24"/>
          <w:szCs w:val="24"/>
          <w:lang w:val="en-GB"/>
        </w:rPr>
      </w:pPr>
      <w:r w:rsidRPr="007830C2">
        <w:rPr>
          <w:rFonts w:ascii="Times New Roman" w:hAnsi="Times New Roman" w:cs="Times New Roman"/>
          <w:b/>
          <w:color w:val="000000" w:themeColor="text1"/>
          <w:sz w:val="24"/>
          <w:szCs w:val="24"/>
          <w:lang w:val="en-GB"/>
        </w:rPr>
        <w:t>METHODS</w:t>
      </w:r>
    </w:p>
    <w:p w:rsidR="00906125" w:rsidRPr="007830C2" w:rsidRDefault="00202025" w:rsidP="00202025">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 xml:space="preserve">     Twelve males and eight females (17.0 ± 2 and 17.3 ± 2.4 years old) </w:t>
      </w:r>
      <w:r w:rsidR="00F37800" w:rsidRPr="007830C2">
        <w:rPr>
          <w:rFonts w:ascii="Times New Roman" w:hAnsi="Times New Roman" w:cs="Times New Roman"/>
          <w:color w:val="000000" w:themeColor="text1"/>
          <w:sz w:val="24"/>
          <w:szCs w:val="24"/>
          <w:lang w:val="en-US"/>
        </w:rPr>
        <w:t xml:space="preserve">volunteered to </w:t>
      </w:r>
      <w:r w:rsidR="00A33CA8" w:rsidRPr="007830C2">
        <w:rPr>
          <w:rFonts w:ascii="Times New Roman" w:hAnsi="Times New Roman" w:cs="Times New Roman"/>
          <w:color w:val="000000" w:themeColor="text1"/>
          <w:sz w:val="24"/>
          <w:szCs w:val="24"/>
          <w:lang w:val="en-US"/>
        </w:rPr>
        <w:t>participate</w:t>
      </w:r>
      <w:r w:rsidR="00F37800" w:rsidRPr="007830C2">
        <w:rPr>
          <w:rFonts w:ascii="Times New Roman" w:hAnsi="Times New Roman" w:cs="Times New Roman"/>
          <w:color w:val="000000" w:themeColor="text1"/>
          <w:sz w:val="24"/>
          <w:szCs w:val="24"/>
          <w:lang w:val="en-US"/>
        </w:rPr>
        <w:t xml:space="preserve"> in the current study</w:t>
      </w:r>
      <w:r w:rsidR="00F37800" w:rsidRPr="007830C2">
        <w:rPr>
          <w:rFonts w:ascii="Times New Roman" w:hAnsi="Times New Roman" w:cs="Times New Roman"/>
          <w:color w:val="000000" w:themeColor="text1"/>
          <w:sz w:val="24"/>
          <w:szCs w:val="24"/>
          <w:lang w:val="en-GB"/>
        </w:rPr>
        <w:t xml:space="preserve">. </w:t>
      </w:r>
      <w:r w:rsidR="00827CAC" w:rsidRPr="007830C2">
        <w:rPr>
          <w:rFonts w:ascii="Times New Roman" w:hAnsi="Times New Roman" w:cs="Times New Roman"/>
          <w:color w:val="000000" w:themeColor="text1"/>
          <w:sz w:val="24"/>
          <w:szCs w:val="24"/>
          <w:lang w:val="en-GB"/>
        </w:rPr>
        <w:t>T</w:t>
      </w:r>
      <w:r w:rsidR="001E55E6" w:rsidRPr="007830C2">
        <w:rPr>
          <w:rFonts w:ascii="Times New Roman" w:hAnsi="Times New Roman" w:cs="Times New Roman"/>
          <w:color w:val="000000" w:themeColor="text1"/>
          <w:sz w:val="24"/>
          <w:szCs w:val="24"/>
          <w:lang w:val="en-US"/>
        </w:rPr>
        <w:t xml:space="preserve">he swimmers performed six training sessions weekly under the guidance of the same coach. </w:t>
      </w:r>
      <w:r w:rsidR="00F37800" w:rsidRPr="007830C2">
        <w:rPr>
          <w:rFonts w:ascii="Times New Roman" w:hAnsi="Times New Roman" w:cs="Times New Roman"/>
          <w:color w:val="000000" w:themeColor="text1"/>
          <w:sz w:val="24"/>
          <w:szCs w:val="24"/>
          <w:lang w:val="en-GB"/>
        </w:rPr>
        <w:t xml:space="preserve">The protocol was </w:t>
      </w:r>
      <w:r w:rsidR="001E55E6" w:rsidRPr="007830C2">
        <w:rPr>
          <w:rFonts w:ascii="Times New Roman" w:hAnsi="Times New Roman" w:cs="Times New Roman"/>
          <w:color w:val="000000" w:themeColor="text1"/>
          <w:sz w:val="24"/>
          <w:szCs w:val="24"/>
          <w:lang w:val="en-GB"/>
        </w:rPr>
        <w:t>approved by the University of Granada Ethics Committee and each participant signed an informed-consent form</w:t>
      </w:r>
      <w:r w:rsidR="00A33CA8" w:rsidRPr="007830C2">
        <w:rPr>
          <w:rFonts w:ascii="Times New Roman" w:hAnsi="Times New Roman" w:cs="Times New Roman"/>
          <w:color w:val="000000" w:themeColor="text1"/>
          <w:sz w:val="24"/>
          <w:szCs w:val="24"/>
          <w:lang w:val="en-GB"/>
        </w:rPr>
        <w:t xml:space="preserve">. </w:t>
      </w:r>
      <w:r w:rsidR="00906125" w:rsidRPr="007830C2">
        <w:rPr>
          <w:rFonts w:ascii="Times New Roman" w:hAnsi="Times New Roman" w:cs="Times New Roman"/>
          <w:color w:val="000000" w:themeColor="text1"/>
          <w:sz w:val="24"/>
          <w:szCs w:val="24"/>
          <w:lang w:val="en-US"/>
        </w:rPr>
        <w:t xml:space="preserve">This data is part of a cross-sectional study performed before </w:t>
      </w:r>
      <w:r w:rsidR="00CB5496" w:rsidRPr="007830C2">
        <w:rPr>
          <w:rFonts w:ascii="Times New Roman" w:hAnsi="Times New Roman" w:cs="Times New Roman"/>
          <w:color w:val="000000" w:themeColor="text1"/>
          <w:sz w:val="24"/>
          <w:szCs w:val="24"/>
          <w:lang w:val="en-US"/>
        </w:rPr>
        <w:t xml:space="preserve">(PRE) </w:t>
      </w:r>
      <w:r w:rsidR="00906125" w:rsidRPr="007830C2">
        <w:rPr>
          <w:rFonts w:ascii="Times New Roman" w:hAnsi="Times New Roman" w:cs="Times New Roman"/>
          <w:color w:val="000000" w:themeColor="text1"/>
          <w:sz w:val="24"/>
          <w:szCs w:val="24"/>
          <w:lang w:val="en-US"/>
        </w:rPr>
        <w:t xml:space="preserve">and after </w:t>
      </w:r>
      <w:r w:rsidR="00CB5496" w:rsidRPr="007830C2">
        <w:rPr>
          <w:rFonts w:ascii="Times New Roman" w:hAnsi="Times New Roman" w:cs="Times New Roman"/>
          <w:color w:val="000000" w:themeColor="text1"/>
          <w:sz w:val="24"/>
          <w:szCs w:val="24"/>
          <w:lang w:val="en-US"/>
        </w:rPr>
        <w:t xml:space="preserve">(POST) </w:t>
      </w:r>
      <w:r w:rsidR="00906125" w:rsidRPr="007830C2">
        <w:rPr>
          <w:rFonts w:ascii="Times New Roman" w:hAnsi="Times New Roman" w:cs="Times New Roman"/>
          <w:color w:val="000000" w:themeColor="text1"/>
          <w:sz w:val="24"/>
          <w:szCs w:val="24"/>
          <w:lang w:val="en-US"/>
        </w:rPr>
        <w:t>five-weeks off-season period</w:t>
      </w:r>
      <w:r w:rsidR="00735A14" w:rsidRPr="007830C2">
        <w:rPr>
          <w:rFonts w:ascii="Times New Roman" w:hAnsi="Times New Roman" w:cs="Times New Roman"/>
          <w:color w:val="000000" w:themeColor="text1"/>
          <w:sz w:val="24"/>
          <w:szCs w:val="24"/>
          <w:lang w:val="en-US"/>
        </w:rPr>
        <w:t xml:space="preserve"> (</w:t>
      </w:r>
      <w:r w:rsidR="00735A14" w:rsidRPr="007830C2">
        <w:rPr>
          <w:rFonts w:ascii="Times New Roman" w:hAnsi="Times New Roman" w:cs="Times New Roman"/>
          <w:color w:val="000000" w:themeColor="text1"/>
          <w:sz w:val="24"/>
          <w:szCs w:val="24"/>
          <w:lang w:val="en-GB"/>
        </w:rPr>
        <w:t>Ruiz-Navarro et al., 2022)</w:t>
      </w:r>
      <w:r w:rsidR="00735A14" w:rsidRPr="007830C2">
        <w:rPr>
          <w:rFonts w:ascii="Times New Roman" w:hAnsi="Times New Roman" w:cs="Times New Roman"/>
          <w:color w:val="000000" w:themeColor="text1"/>
          <w:sz w:val="24"/>
          <w:szCs w:val="24"/>
          <w:lang w:val="en-US"/>
        </w:rPr>
        <w:t>. T</w:t>
      </w:r>
      <w:r w:rsidR="00906125" w:rsidRPr="007830C2">
        <w:rPr>
          <w:rFonts w:ascii="Times New Roman" w:hAnsi="Times New Roman" w:cs="Times New Roman"/>
          <w:color w:val="000000" w:themeColor="text1"/>
          <w:sz w:val="24"/>
          <w:szCs w:val="24"/>
          <w:lang w:val="en-US"/>
        </w:rPr>
        <w:t>he PRE test was performed at the end of the week prior the last peak-performance of the competitive season. The POST test was performed before the beginning of the first week of training of the following competitive season.</w:t>
      </w:r>
    </w:p>
    <w:p w:rsidR="00202025" w:rsidRPr="007830C2" w:rsidRDefault="004F1387" w:rsidP="00202025">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US"/>
        </w:rPr>
        <w:t xml:space="preserve">Anthropometric variables were performed following standardized measurement techniques adopted by the International Society for the Advancement of </w:t>
      </w:r>
      <w:proofErr w:type="spellStart"/>
      <w:r w:rsidRPr="007830C2">
        <w:rPr>
          <w:rFonts w:ascii="Times New Roman" w:hAnsi="Times New Roman" w:cs="Times New Roman"/>
          <w:color w:val="000000" w:themeColor="text1"/>
          <w:sz w:val="24"/>
          <w:szCs w:val="24"/>
          <w:lang w:val="en-US"/>
        </w:rPr>
        <w:t>Kinanthropometry</w:t>
      </w:r>
      <w:proofErr w:type="spellEnd"/>
      <w:r w:rsidRPr="007830C2">
        <w:rPr>
          <w:rFonts w:ascii="Times New Roman" w:hAnsi="Times New Roman" w:cs="Times New Roman"/>
          <w:color w:val="000000" w:themeColor="text1"/>
          <w:sz w:val="24"/>
          <w:szCs w:val="24"/>
          <w:lang w:val="en-US"/>
        </w:rPr>
        <w:t xml:space="preserve"> (ISAK)</w:t>
      </w:r>
      <w:r w:rsidR="00F37800" w:rsidRPr="007830C2">
        <w:rPr>
          <w:rFonts w:ascii="Times New Roman" w:hAnsi="Times New Roman" w:cs="Times New Roman"/>
          <w:color w:val="000000" w:themeColor="text1"/>
          <w:sz w:val="24"/>
          <w:szCs w:val="24"/>
          <w:lang w:val="en-US"/>
        </w:rPr>
        <w:t xml:space="preserve"> (Ross et al., 1991). </w:t>
      </w:r>
      <w:r w:rsidR="00686798" w:rsidRPr="007830C2">
        <w:rPr>
          <w:rFonts w:ascii="Times New Roman" w:hAnsi="Times New Roman" w:cs="Times New Roman"/>
          <w:color w:val="000000" w:themeColor="text1"/>
          <w:sz w:val="24"/>
          <w:szCs w:val="24"/>
          <w:lang w:val="en-US"/>
        </w:rPr>
        <w:t>B</w:t>
      </w:r>
      <w:r w:rsidRPr="007830C2">
        <w:rPr>
          <w:rFonts w:ascii="Times New Roman" w:hAnsi="Times New Roman" w:cs="Times New Roman"/>
          <w:color w:val="000000" w:themeColor="text1"/>
          <w:sz w:val="24"/>
          <w:szCs w:val="24"/>
          <w:lang w:val="en-US"/>
        </w:rPr>
        <w:t>ody height, body ma</w:t>
      </w:r>
      <w:r w:rsidR="00E47DD7" w:rsidRPr="007830C2">
        <w:rPr>
          <w:rFonts w:ascii="Times New Roman" w:hAnsi="Times New Roman" w:cs="Times New Roman"/>
          <w:color w:val="000000" w:themeColor="text1"/>
          <w:sz w:val="24"/>
          <w:szCs w:val="24"/>
          <w:lang w:val="en-US"/>
        </w:rPr>
        <w:t xml:space="preserve">ss </w:t>
      </w:r>
      <w:r w:rsidRPr="007830C2">
        <w:rPr>
          <w:rFonts w:ascii="Times New Roman" w:hAnsi="Times New Roman" w:cs="Times New Roman"/>
          <w:color w:val="000000" w:themeColor="text1"/>
          <w:sz w:val="24"/>
          <w:szCs w:val="24"/>
          <w:lang w:val="en-US"/>
        </w:rPr>
        <w:t xml:space="preserve">and arm span; thickness of eight skinfolds (biceps, triceps, subscapular, </w:t>
      </w:r>
      <w:proofErr w:type="spellStart"/>
      <w:r w:rsidRPr="007830C2">
        <w:rPr>
          <w:rFonts w:ascii="Times New Roman" w:hAnsi="Times New Roman" w:cs="Times New Roman"/>
          <w:color w:val="000000" w:themeColor="text1"/>
          <w:sz w:val="24"/>
          <w:szCs w:val="24"/>
          <w:lang w:val="en-US"/>
        </w:rPr>
        <w:t>suprailiac</w:t>
      </w:r>
      <w:proofErr w:type="spellEnd"/>
      <w:r w:rsidRPr="007830C2">
        <w:rPr>
          <w:rFonts w:ascii="Times New Roman" w:hAnsi="Times New Roman" w:cs="Times New Roman"/>
          <w:color w:val="000000" w:themeColor="text1"/>
          <w:sz w:val="24"/>
          <w:szCs w:val="24"/>
          <w:lang w:val="en-US"/>
        </w:rPr>
        <w:t xml:space="preserve">, </w:t>
      </w:r>
      <w:proofErr w:type="spellStart"/>
      <w:r w:rsidRPr="007830C2">
        <w:rPr>
          <w:rFonts w:ascii="Times New Roman" w:hAnsi="Times New Roman" w:cs="Times New Roman"/>
          <w:color w:val="000000" w:themeColor="text1"/>
          <w:sz w:val="24"/>
          <w:szCs w:val="24"/>
          <w:lang w:val="en-US"/>
        </w:rPr>
        <w:t>supraspi</w:t>
      </w:r>
      <w:r w:rsidR="00827F37" w:rsidRPr="007830C2">
        <w:rPr>
          <w:rFonts w:ascii="Times New Roman" w:hAnsi="Times New Roman" w:cs="Times New Roman"/>
          <w:color w:val="000000" w:themeColor="text1"/>
          <w:sz w:val="24"/>
          <w:szCs w:val="24"/>
          <w:lang w:val="en-US"/>
        </w:rPr>
        <w:t>nal</w:t>
      </w:r>
      <w:proofErr w:type="spellEnd"/>
      <w:r w:rsidR="00827F37" w:rsidRPr="007830C2">
        <w:rPr>
          <w:rFonts w:ascii="Times New Roman" w:hAnsi="Times New Roman" w:cs="Times New Roman"/>
          <w:color w:val="000000" w:themeColor="text1"/>
          <w:sz w:val="24"/>
          <w:szCs w:val="24"/>
          <w:lang w:val="en-US"/>
        </w:rPr>
        <w:t>, abdominal, thigh and calf);</w:t>
      </w:r>
      <w:r w:rsidRPr="007830C2">
        <w:rPr>
          <w:rFonts w:ascii="Times New Roman" w:hAnsi="Times New Roman" w:cs="Times New Roman"/>
          <w:color w:val="000000" w:themeColor="text1"/>
          <w:sz w:val="24"/>
          <w:szCs w:val="24"/>
          <w:lang w:val="en-US"/>
        </w:rPr>
        <w:t xml:space="preserve"> and four girths (relaxed upper arm, flexed and tensed upper arm, thigh and maximum calf)</w:t>
      </w:r>
      <w:r w:rsidR="00686798" w:rsidRPr="007830C2">
        <w:rPr>
          <w:rFonts w:ascii="Times New Roman" w:hAnsi="Times New Roman" w:cs="Times New Roman"/>
          <w:color w:val="000000" w:themeColor="text1"/>
          <w:sz w:val="24"/>
          <w:szCs w:val="24"/>
          <w:lang w:val="en-US"/>
        </w:rPr>
        <w:t xml:space="preserve"> were measured</w:t>
      </w:r>
      <w:r w:rsidR="00C40120" w:rsidRPr="007830C2">
        <w:rPr>
          <w:rFonts w:ascii="Times New Roman" w:hAnsi="Times New Roman" w:cs="Times New Roman"/>
          <w:color w:val="000000" w:themeColor="text1"/>
          <w:sz w:val="24"/>
          <w:szCs w:val="24"/>
          <w:lang w:val="en-US"/>
        </w:rPr>
        <w:t xml:space="preserve"> in the same conditions</w:t>
      </w:r>
      <w:r w:rsidR="00CC3E4C" w:rsidRPr="007830C2">
        <w:rPr>
          <w:rFonts w:ascii="Times New Roman" w:hAnsi="Times New Roman" w:cs="Times New Roman"/>
          <w:color w:val="000000" w:themeColor="text1"/>
          <w:sz w:val="24"/>
          <w:szCs w:val="24"/>
          <w:lang w:val="en-US"/>
        </w:rPr>
        <w:t xml:space="preserve">. Body height, body mass, and the sitting height of participants were measured using a </w:t>
      </w:r>
      <w:proofErr w:type="spellStart"/>
      <w:r w:rsidR="00CC3E4C" w:rsidRPr="007830C2">
        <w:rPr>
          <w:rFonts w:ascii="Times New Roman" w:hAnsi="Times New Roman" w:cs="Times New Roman"/>
          <w:color w:val="000000" w:themeColor="text1"/>
          <w:sz w:val="24"/>
          <w:szCs w:val="24"/>
          <w:lang w:val="en-US"/>
        </w:rPr>
        <w:t>stadiometer</w:t>
      </w:r>
      <w:proofErr w:type="spellEnd"/>
      <w:r w:rsidR="00CC3E4C" w:rsidRPr="007830C2">
        <w:rPr>
          <w:rFonts w:ascii="Times New Roman" w:hAnsi="Times New Roman" w:cs="Times New Roman"/>
          <w:color w:val="000000" w:themeColor="text1"/>
          <w:sz w:val="24"/>
          <w:szCs w:val="24"/>
          <w:lang w:val="en-US"/>
        </w:rPr>
        <w:t>/scale (</w:t>
      </w:r>
      <w:proofErr w:type="spellStart"/>
      <w:r w:rsidR="00CC3E4C" w:rsidRPr="007830C2">
        <w:rPr>
          <w:rFonts w:ascii="Times New Roman" w:hAnsi="Times New Roman" w:cs="Times New Roman"/>
          <w:color w:val="000000" w:themeColor="text1"/>
          <w:sz w:val="24"/>
          <w:szCs w:val="24"/>
          <w:lang w:val="en-US"/>
        </w:rPr>
        <w:t>Seca</w:t>
      </w:r>
      <w:proofErr w:type="spellEnd"/>
      <w:r w:rsidR="00CC3E4C" w:rsidRPr="007830C2">
        <w:rPr>
          <w:rFonts w:ascii="Times New Roman" w:hAnsi="Times New Roman" w:cs="Times New Roman"/>
          <w:color w:val="000000" w:themeColor="text1"/>
          <w:sz w:val="24"/>
          <w:szCs w:val="24"/>
          <w:lang w:val="en-US"/>
        </w:rPr>
        <w:t xml:space="preserve"> 799, Hamburg, Germany). Skinfold thickness was measured using a caliper calibrated (</w:t>
      </w:r>
      <w:proofErr w:type="spellStart"/>
      <w:r w:rsidR="00CC3E4C" w:rsidRPr="007830C2">
        <w:rPr>
          <w:rFonts w:ascii="Times New Roman" w:hAnsi="Times New Roman" w:cs="Times New Roman"/>
          <w:color w:val="000000" w:themeColor="text1"/>
          <w:sz w:val="24"/>
          <w:szCs w:val="24"/>
          <w:lang w:val="en-US"/>
        </w:rPr>
        <w:t>Holtain</w:t>
      </w:r>
      <w:proofErr w:type="spellEnd"/>
      <w:r w:rsidR="00CC3E4C" w:rsidRPr="007830C2">
        <w:rPr>
          <w:rFonts w:ascii="Times New Roman" w:hAnsi="Times New Roman" w:cs="Times New Roman"/>
          <w:color w:val="000000" w:themeColor="text1"/>
          <w:sz w:val="24"/>
          <w:szCs w:val="24"/>
          <w:lang w:val="en-US"/>
        </w:rPr>
        <w:t xml:space="preserve"> Ltd, </w:t>
      </w:r>
      <w:proofErr w:type="spellStart"/>
      <w:r w:rsidR="00CC3E4C" w:rsidRPr="007830C2">
        <w:rPr>
          <w:rFonts w:ascii="Times New Roman" w:hAnsi="Times New Roman" w:cs="Times New Roman"/>
          <w:color w:val="000000" w:themeColor="text1"/>
          <w:sz w:val="24"/>
          <w:szCs w:val="24"/>
          <w:lang w:val="en-US"/>
        </w:rPr>
        <w:t>Crymych</w:t>
      </w:r>
      <w:proofErr w:type="spellEnd"/>
      <w:r w:rsidR="00CC3E4C" w:rsidRPr="007830C2">
        <w:rPr>
          <w:rFonts w:ascii="Times New Roman" w:hAnsi="Times New Roman" w:cs="Times New Roman"/>
          <w:color w:val="000000" w:themeColor="text1"/>
          <w:sz w:val="24"/>
          <w:szCs w:val="24"/>
          <w:lang w:val="en-US"/>
        </w:rPr>
        <w:t xml:space="preserve">, UK) and girths measurements were performed using a flexible </w:t>
      </w:r>
      <w:r w:rsidR="00CC3E4C" w:rsidRPr="007830C2">
        <w:rPr>
          <w:rFonts w:ascii="Times New Roman" w:hAnsi="Times New Roman" w:cs="Times New Roman"/>
          <w:color w:val="000000" w:themeColor="text1"/>
          <w:sz w:val="24"/>
          <w:szCs w:val="24"/>
          <w:lang w:val="en-US"/>
        </w:rPr>
        <w:lastRenderedPageBreak/>
        <w:t>anthropometric steel tape (</w:t>
      </w:r>
      <w:proofErr w:type="spellStart"/>
      <w:r w:rsidR="00CC3E4C" w:rsidRPr="007830C2">
        <w:rPr>
          <w:rFonts w:ascii="Times New Roman" w:hAnsi="Times New Roman" w:cs="Times New Roman"/>
          <w:color w:val="000000" w:themeColor="text1"/>
          <w:sz w:val="24"/>
          <w:szCs w:val="24"/>
          <w:lang w:val="en-US"/>
        </w:rPr>
        <w:t>Holtain</w:t>
      </w:r>
      <w:proofErr w:type="spellEnd"/>
      <w:r w:rsidR="00CC3E4C" w:rsidRPr="007830C2">
        <w:rPr>
          <w:rFonts w:ascii="Times New Roman" w:hAnsi="Times New Roman" w:cs="Times New Roman"/>
          <w:color w:val="000000" w:themeColor="text1"/>
          <w:sz w:val="24"/>
          <w:szCs w:val="24"/>
          <w:lang w:val="en-US"/>
        </w:rPr>
        <w:t xml:space="preserve"> Ltd, </w:t>
      </w:r>
      <w:proofErr w:type="spellStart"/>
      <w:r w:rsidR="00CC3E4C" w:rsidRPr="007830C2">
        <w:rPr>
          <w:rFonts w:ascii="Times New Roman" w:hAnsi="Times New Roman" w:cs="Times New Roman"/>
          <w:color w:val="000000" w:themeColor="text1"/>
          <w:sz w:val="24"/>
          <w:szCs w:val="24"/>
          <w:lang w:val="en-US"/>
        </w:rPr>
        <w:t>Crymych</w:t>
      </w:r>
      <w:proofErr w:type="spellEnd"/>
      <w:r w:rsidR="00CC3E4C" w:rsidRPr="007830C2">
        <w:rPr>
          <w:rFonts w:ascii="Times New Roman" w:hAnsi="Times New Roman" w:cs="Times New Roman"/>
          <w:color w:val="000000" w:themeColor="text1"/>
          <w:sz w:val="24"/>
          <w:szCs w:val="24"/>
          <w:lang w:val="en-US"/>
        </w:rPr>
        <w:t xml:space="preserve">, UK). </w:t>
      </w:r>
      <w:r w:rsidR="00C40120" w:rsidRPr="007830C2">
        <w:rPr>
          <w:rFonts w:ascii="Times New Roman" w:hAnsi="Times New Roman" w:cs="Times New Roman"/>
          <w:color w:val="000000" w:themeColor="text1"/>
          <w:sz w:val="24"/>
          <w:szCs w:val="24"/>
          <w:lang w:val="en-US"/>
        </w:rPr>
        <w:t>Body mass index (BMI) was calc</w:t>
      </w:r>
      <w:r w:rsidR="00827F37" w:rsidRPr="007830C2">
        <w:rPr>
          <w:rFonts w:ascii="Times New Roman" w:hAnsi="Times New Roman" w:cs="Times New Roman"/>
          <w:color w:val="000000" w:themeColor="text1"/>
          <w:sz w:val="24"/>
          <w:szCs w:val="24"/>
          <w:lang w:val="en-US"/>
        </w:rPr>
        <w:t>ulated as body mass (kg)/</w:t>
      </w:r>
      <w:proofErr w:type="gramStart"/>
      <w:r w:rsidR="00827F37" w:rsidRPr="007830C2">
        <w:rPr>
          <w:rFonts w:ascii="Times New Roman" w:hAnsi="Times New Roman" w:cs="Times New Roman"/>
          <w:color w:val="000000" w:themeColor="text1"/>
          <w:sz w:val="24"/>
          <w:szCs w:val="24"/>
          <w:lang w:val="en-US"/>
        </w:rPr>
        <w:t>height</w:t>
      </w:r>
      <w:r w:rsidR="00C40120" w:rsidRPr="007830C2">
        <w:rPr>
          <w:rFonts w:ascii="Times New Roman" w:hAnsi="Times New Roman" w:cs="Times New Roman"/>
          <w:color w:val="000000" w:themeColor="text1"/>
          <w:sz w:val="24"/>
          <w:szCs w:val="24"/>
          <w:lang w:val="en-US"/>
        </w:rPr>
        <w:t>(</w:t>
      </w:r>
      <w:proofErr w:type="gramEnd"/>
      <w:r w:rsidR="00C40120" w:rsidRPr="007830C2">
        <w:rPr>
          <w:rFonts w:ascii="Times New Roman" w:hAnsi="Times New Roman" w:cs="Times New Roman"/>
          <w:color w:val="000000" w:themeColor="text1"/>
          <w:sz w:val="24"/>
          <w:szCs w:val="24"/>
          <w:lang w:val="en-US"/>
        </w:rPr>
        <w:t>cm)</w:t>
      </w:r>
      <w:r w:rsidR="00C40120" w:rsidRPr="007830C2">
        <w:rPr>
          <w:rFonts w:ascii="Times New Roman" w:hAnsi="Times New Roman" w:cs="Times New Roman"/>
          <w:color w:val="000000" w:themeColor="text1"/>
          <w:sz w:val="24"/>
          <w:szCs w:val="24"/>
          <w:vertAlign w:val="superscript"/>
          <w:lang w:val="en-US"/>
        </w:rPr>
        <w:t>2</w:t>
      </w:r>
      <w:r w:rsidR="00C40120" w:rsidRPr="007830C2">
        <w:rPr>
          <w:rFonts w:ascii="Times New Roman" w:hAnsi="Times New Roman" w:cs="Times New Roman"/>
          <w:color w:val="000000" w:themeColor="text1"/>
          <w:sz w:val="24"/>
          <w:szCs w:val="24"/>
          <w:lang w:val="en-US"/>
        </w:rPr>
        <w:t xml:space="preserve">. Body density was estimated using the equations of </w:t>
      </w:r>
      <w:proofErr w:type="spellStart"/>
      <w:r w:rsidR="00C40120" w:rsidRPr="007830C2">
        <w:rPr>
          <w:rFonts w:ascii="Times New Roman" w:hAnsi="Times New Roman" w:cs="Times New Roman"/>
          <w:color w:val="000000" w:themeColor="text1"/>
          <w:sz w:val="24"/>
          <w:szCs w:val="24"/>
          <w:lang w:val="en-US"/>
        </w:rPr>
        <w:t>Durnin</w:t>
      </w:r>
      <w:proofErr w:type="spellEnd"/>
      <w:r w:rsidR="00C40120" w:rsidRPr="007830C2">
        <w:rPr>
          <w:rFonts w:ascii="Times New Roman" w:hAnsi="Times New Roman" w:cs="Times New Roman"/>
          <w:color w:val="000000" w:themeColor="text1"/>
          <w:sz w:val="24"/>
          <w:szCs w:val="24"/>
          <w:lang w:val="en-US"/>
        </w:rPr>
        <w:t xml:space="preserve"> &amp; </w:t>
      </w:r>
      <w:proofErr w:type="spellStart"/>
      <w:r w:rsidR="00C40120" w:rsidRPr="007830C2">
        <w:rPr>
          <w:rFonts w:ascii="Times New Roman" w:hAnsi="Times New Roman" w:cs="Times New Roman"/>
          <w:color w:val="000000" w:themeColor="text1"/>
          <w:sz w:val="24"/>
          <w:szCs w:val="24"/>
          <w:lang w:val="en-US"/>
        </w:rPr>
        <w:t>Womersley</w:t>
      </w:r>
      <w:proofErr w:type="spellEnd"/>
      <w:r w:rsidR="00C40120" w:rsidRPr="007830C2">
        <w:rPr>
          <w:rFonts w:ascii="Times New Roman" w:hAnsi="Times New Roman" w:cs="Times New Roman"/>
          <w:color w:val="000000" w:themeColor="text1"/>
          <w:sz w:val="24"/>
          <w:szCs w:val="24"/>
          <w:lang w:val="en-US"/>
        </w:rPr>
        <w:t xml:space="preserve"> (1974) and it was transformed to body fat (%) applying Siri’s formula (Siri, 1961). Muscle mass (kg) was calculated using the methods of Lee at al. (2000) and converted in percentage by subtracting body mass. Somatotype was determined using the Heath-Carter anthropometric method (Carter &amp; Heath, 1990). Following anthropometric measurements, the s</w:t>
      </w:r>
      <w:r w:rsidR="00CC3E4C" w:rsidRPr="007830C2">
        <w:rPr>
          <w:rFonts w:ascii="Times New Roman" w:hAnsi="Times New Roman" w:cs="Times New Roman"/>
          <w:color w:val="000000" w:themeColor="text1"/>
          <w:sz w:val="24"/>
          <w:szCs w:val="24"/>
          <w:lang w:val="en-US"/>
        </w:rPr>
        <w:t xml:space="preserve">wimmers performed a 1200 m </w:t>
      </w:r>
      <w:r w:rsidR="00C40120" w:rsidRPr="007830C2">
        <w:rPr>
          <w:rFonts w:ascii="Times New Roman" w:hAnsi="Times New Roman" w:cs="Times New Roman"/>
          <w:color w:val="000000" w:themeColor="text1"/>
          <w:sz w:val="24"/>
          <w:szCs w:val="24"/>
          <w:lang w:val="en-US"/>
        </w:rPr>
        <w:t>standardized warm-up (</w:t>
      </w:r>
      <w:r w:rsidR="00C40120" w:rsidRPr="007830C2">
        <w:rPr>
          <w:rFonts w:ascii="Times New Roman" w:hAnsi="Times New Roman" w:cs="Times New Roman"/>
          <w:color w:val="000000" w:themeColor="text1"/>
          <w:sz w:val="24"/>
          <w:szCs w:val="24"/>
          <w:lang w:val="en-GB"/>
        </w:rPr>
        <w:t>Ruiz-Navarro et al., 2022)</w:t>
      </w:r>
      <w:r w:rsidR="00C40120" w:rsidRPr="007830C2">
        <w:rPr>
          <w:rFonts w:ascii="Times New Roman" w:hAnsi="Times New Roman" w:cs="Times New Roman"/>
          <w:color w:val="000000" w:themeColor="text1"/>
          <w:sz w:val="24"/>
          <w:szCs w:val="24"/>
          <w:lang w:val="en-US"/>
        </w:rPr>
        <w:t>.</w:t>
      </w:r>
      <w:r w:rsidR="00CC3E4C" w:rsidRPr="007830C2">
        <w:rPr>
          <w:rFonts w:ascii="Times New Roman" w:hAnsi="Times New Roman" w:cs="Times New Roman"/>
          <w:color w:val="000000" w:themeColor="text1"/>
          <w:sz w:val="24"/>
          <w:szCs w:val="24"/>
          <w:lang w:val="en-US"/>
        </w:rPr>
        <w:t xml:space="preserve"> </w:t>
      </w:r>
      <w:r w:rsidR="00896205" w:rsidRPr="007830C2">
        <w:rPr>
          <w:rFonts w:ascii="Times New Roman" w:hAnsi="Times New Roman" w:cs="Times New Roman"/>
          <w:color w:val="000000" w:themeColor="text1"/>
          <w:sz w:val="24"/>
          <w:szCs w:val="24"/>
          <w:lang w:val="en-US"/>
        </w:rPr>
        <w:t>Both in the PRE and POST tests, a</w:t>
      </w:r>
      <w:r w:rsidR="00CB5496" w:rsidRPr="007830C2">
        <w:rPr>
          <w:rFonts w:ascii="Times New Roman" w:hAnsi="Times New Roman" w:cs="Times New Roman"/>
          <w:color w:val="000000" w:themeColor="text1"/>
          <w:sz w:val="24"/>
          <w:szCs w:val="24"/>
          <w:lang w:val="en-US"/>
        </w:rPr>
        <w:t>fter 10 min of r</w:t>
      </w:r>
      <w:r w:rsidR="00896205" w:rsidRPr="007830C2">
        <w:rPr>
          <w:rFonts w:ascii="Times New Roman" w:hAnsi="Times New Roman" w:cs="Times New Roman"/>
          <w:color w:val="000000" w:themeColor="text1"/>
          <w:sz w:val="24"/>
          <w:szCs w:val="24"/>
          <w:lang w:val="en-US"/>
        </w:rPr>
        <w:t xml:space="preserve">est, the swimmers performed </w:t>
      </w:r>
      <w:r w:rsidR="00CB5496" w:rsidRPr="007830C2">
        <w:rPr>
          <w:rFonts w:ascii="Times New Roman" w:hAnsi="Times New Roman" w:cs="Times New Roman"/>
          <w:color w:val="000000" w:themeColor="text1"/>
          <w:sz w:val="24"/>
          <w:szCs w:val="24"/>
          <w:lang w:val="en-US"/>
        </w:rPr>
        <w:t>50 m all out front-crawl with dive start. Swimming performance was determined according to the time obtained in the 50 m</w:t>
      </w:r>
      <w:r w:rsidRPr="007830C2">
        <w:rPr>
          <w:rFonts w:ascii="Times New Roman" w:hAnsi="Times New Roman" w:cs="Times New Roman"/>
          <w:color w:val="000000" w:themeColor="text1"/>
          <w:sz w:val="24"/>
          <w:szCs w:val="24"/>
          <w:lang w:val="en-US"/>
        </w:rPr>
        <w:t xml:space="preserve">. </w:t>
      </w:r>
      <w:r w:rsidR="00CC3E4C" w:rsidRPr="007830C2">
        <w:rPr>
          <w:rFonts w:ascii="Times New Roman" w:hAnsi="Times New Roman" w:cs="Times New Roman"/>
          <w:color w:val="000000" w:themeColor="text1"/>
          <w:sz w:val="24"/>
          <w:szCs w:val="24"/>
          <w:lang w:val="en-US"/>
        </w:rPr>
        <w:t xml:space="preserve">All test were recorded with a Sony FDR-AX53 (Sony electronics Inc., Tokyo, Japan) and the videos were analyzed by one expert evaluator to obtain the swimmers’ time accurately. </w:t>
      </w:r>
      <w:r w:rsidR="00202025" w:rsidRPr="007830C2">
        <w:rPr>
          <w:rFonts w:ascii="Times New Roman" w:hAnsi="Times New Roman" w:cs="Times New Roman"/>
          <w:color w:val="000000" w:themeColor="text1"/>
          <w:sz w:val="24"/>
          <w:szCs w:val="24"/>
          <w:lang w:val="en-GB"/>
        </w:rPr>
        <w:t xml:space="preserve">Non-swimming specific training </w:t>
      </w:r>
      <w:r w:rsidR="00896205" w:rsidRPr="007830C2">
        <w:rPr>
          <w:rFonts w:ascii="Times New Roman" w:hAnsi="Times New Roman" w:cs="Times New Roman"/>
          <w:color w:val="000000" w:themeColor="text1"/>
          <w:sz w:val="24"/>
          <w:szCs w:val="24"/>
          <w:lang w:val="en-GB"/>
        </w:rPr>
        <w:t xml:space="preserve">during the training cessation </w:t>
      </w:r>
      <w:r w:rsidR="00202025" w:rsidRPr="007830C2">
        <w:rPr>
          <w:rFonts w:ascii="Times New Roman" w:hAnsi="Times New Roman" w:cs="Times New Roman"/>
          <w:color w:val="000000" w:themeColor="text1"/>
          <w:sz w:val="24"/>
          <w:szCs w:val="24"/>
          <w:lang w:val="en-GB"/>
        </w:rPr>
        <w:t>was evaluated by a weekly self-reported questionnaire: International Physical Activity Questionnaire</w:t>
      </w:r>
      <w:r w:rsidR="00896205" w:rsidRPr="007830C2">
        <w:rPr>
          <w:rFonts w:ascii="Times New Roman" w:hAnsi="Times New Roman" w:cs="Times New Roman"/>
          <w:color w:val="000000" w:themeColor="text1"/>
          <w:sz w:val="24"/>
          <w:szCs w:val="24"/>
          <w:lang w:val="en-GB"/>
        </w:rPr>
        <w:t xml:space="preserve"> (IPAQ)</w:t>
      </w:r>
      <w:r w:rsidR="00446B3E" w:rsidRPr="007830C2">
        <w:rPr>
          <w:rFonts w:ascii="Times New Roman" w:hAnsi="Times New Roman" w:cs="Times New Roman"/>
          <w:color w:val="000000" w:themeColor="text1"/>
          <w:sz w:val="24"/>
          <w:szCs w:val="24"/>
          <w:lang w:val="en-GB"/>
        </w:rPr>
        <w:t xml:space="preserve"> </w:t>
      </w:r>
      <w:r w:rsidR="00CF021B" w:rsidRPr="007830C2">
        <w:rPr>
          <w:rFonts w:ascii="Times New Roman" w:hAnsi="Times New Roman" w:cs="Times New Roman"/>
          <w:color w:val="000000" w:themeColor="text1"/>
          <w:sz w:val="24"/>
          <w:szCs w:val="24"/>
          <w:lang w:val="en-US"/>
        </w:rPr>
        <w:t>and summarized based on the physical activities recorded (low, moderate and vigorous intensities)</w:t>
      </w:r>
      <w:r w:rsidR="00CF021B" w:rsidRPr="007830C2">
        <w:rPr>
          <w:rFonts w:ascii="Times New Roman" w:hAnsi="Times New Roman" w:cs="Times New Roman"/>
          <w:color w:val="000000" w:themeColor="text1"/>
          <w:sz w:val="24"/>
          <w:szCs w:val="24"/>
          <w:lang w:val="en-GB"/>
        </w:rPr>
        <w:t xml:space="preserve"> (Craig et al., 2003)</w:t>
      </w:r>
      <w:r w:rsidR="00CF021B" w:rsidRPr="007830C2">
        <w:rPr>
          <w:rFonts w:ascii="Times New Roman" w:hAnsi="Times New Roman" w:cs="Times New Roman"/>
          <w:color w:val="000000" w:themeColor="text1"/>
          <w:sz w:val="24"/>
          <w:szCs w:val="24"/>
          <w:lang w:val="en-US"/>
        </w:rPr>
        <w:t>. The results of the swimmers’ questionnaires were transformed into units of metabolic equivalent of task (METs) following the IPAQ conditions</w:t>
      </w:r>
      <w:r w:rsidR="00930336" w:rsidRPr="007830C2">
        <w:rPr>
          <w:rFonts w:ascii="Times New Roman" w:hAnsi="Times New Roman" w:cs="Times New Roman"/>
          <w:color w:val="000000" w:themeColor="text1"/>
          <w:sz w:val="24"/>
          <w:szCs w:val="24"/>
          <w:lang w:val="en-US"/>
        </w:rPr>
        <w:t xml:space="preserve"> </w:t>
      </w:r>
      <w:r w:rsidR="00930336" w:rsidRPr="007830C2">
        <w:rPr>
          <w:rFonts w:ascii="Times New Roman" w:hAnsi="Times New Roman" w:cs="Times New Roman"/>
          <w:color w:val="000000" w:themeColor="text1"/>
          <w:sz w:val="24"/>
          <w:szCs w:val="24"/>
          <w:lang w:val="en-GB"/>
        </w:rPr>
        <w:t>(Craig et al., 2003).</w:t>
      </w:r>
      <w:r w:rsidR="00CF021B" w:rsidRPr="007830C2">
        <w:rPr>
          <w:rFonts w:ascii="Times New Roman" w:hAnsi="Times New Roman" w:cs="Times New Roman"/>
          <w:color w:val="000000" w:themeColor="text1"/>
          <w:sz w:val="24"/>
          <w:szCs w:val="24"/>
          <w:lang w:val="en-US"/>
        </w:rPr>
        <w:t xml:space="preserve"> Swimmers were instructed to record their daily activities for their own control.</w:t>
      </w:r>
    </w:p>
    <w:p w:rsidR="00271F43" w:rsidRPr="007830C2" w:rsidRDefault="00271F43" w:rsidP="00271F43">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271F43" w:rsidRPr="007830C2" w:rsidRDefault="00271F43" w:rsidP="00271F43">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r w:rsidRPr="007830C2">
        <w:rPr>
          <w:rFonts w:ascii="Times New Roman" w:hAnsi="Times New Roman" w:cs="Times New Roman"/>
          <w:b/>
          <w:color w:val="000000" w:themeColor="text1"/>
          <w:sz w:val="24"/>
          <w:szCs w:val="24"/>
          <w:lang w:val="en-GB"/>
        </w:rPr>
        <w:t>Statistical Analysis</w:t>
      </w:r>
    </w:p>
    <w:p w:rsidR="00271F43" w:rsidRPr="007830C2" w:rsidRDefault="00271F43" w:rsidP="00202025">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en-US"/>
        </w:rPr>
      </w:pPr>
      <w:r w:rsidRPr="007830C2">
        <w:rPr>
          <w:rFonts w:ascii="Times New Roman" w:hAnsi="Times New Roman" w:cs="Times New Roman"/>
          <w:color w:val="000000" w:themeColor="text1"/>
          <w:sz w:val="24"/>
          <w:szCs w:val="24"/>
          <w:lang w:val="en-US"/>
        </w:rPr>
        <w:t>Descriptive statistics (mean and standard deviation [SD]) for all variables studied were obtained. The normality of the distribution was checked with Shapiro-Wilk. The paired samples t-test was conducted to verify differences between PRE and POST in the anthropometric measurements and swimming performance.  Effect sizes (d) were calculated and interpreted as follow: small if 0 ≤ |d| ≤ 0.5, medium if 0.5 &lt; |d| ≤ 0.8 and large if |d| &gt; 0.8. Pearson correlation coefficients were calculated to assess the association</w:t>
      </w:r>
      <w:r w:rsidR="00DB182D" w:rsidRPr="007830C2">
        <w:rPr>
          <w:rFonts w:ascii="Times New Roman" w:hAnsi="Times New Roman" w:cs="Times New Roman"/>
          <w:color w:val="000000" w:themeColor="text1"/>
          <w:sz w:val="24"/>
          <w:szCs w:val="24"/>
          <w:lang w:val="en-US"/>
        </w:rPr>
        <w:t xml:space="preserve"> between anthropometric </w:t>
      </w:r>
      <w:r w:rsidRPr="007830C2">
        <w:rPr>
          <w:rFonts w:ascii="Times New Roman" w:hAnsi="Times New Roman" w:cs="Times New Roman"/>
          <w:color w:val="000000" w:themeColor="text1"/>
          <w:sz w:val="24"/>
          <w:szCs w:val="24"/>
          <w:lang w:val="en-US"/>
        </w:rPr>
        <w:t>and swimming performance changes. Partial correlations, controlling for total physical activity values, were used to quantify the degree of association between anthropometric changes and the variation in swimming performance. Statistical analyses were conducted using the Statistical Package for Social Sciences (SPSS 25.0, IBM Corporation Chicago, IL, USA) being the level of statistical significance set at p &lt; 0.05.</w:t>
      </w:r>
    </w:p>
    <w:p w:rsidR="001E442E" w:rsidRPr="007830C2" w:rsidRDefault="001E442E" w:rsidP="00202025">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en-US"/>
        </w:rPr>
      </w:pPr>
    </w:p>
    <w:p w:rsidR="00B0790B" w:rsidRPr="007830C2" w:rsidRDefault="001E442E" w:rsidP="001E442E">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7830C2">
        <w:rPr>
          <w:rFonts w:ascii="Times New Roman" w:hAnsi="Times New Roman" w:cs="Times New Roman"/>
          <w:b/>
          <w:color w:val="000000" w:themeColor="text1"/>
          <w:sz w:val="24"/>
          <w:szCs w:val="24"/>
          <w:lang w:val="en-US"/>
        </w:rPr>
        <w:t>RESULTS</w:t>
      </w:r>
    </w:p>
    <w:p w:rsidR="007C2F04" w:rsidRPr="007830C2" w:rsidRDefault="007C2F04" w:rsidP="001E442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7830C2">
        <w:rPr>
          <w:rFonts w:ascii="Times New Roman" w:hAnsi="Times New Roman" w:cs="Times New Roman"/>
          <w:color w:val="000000" w:themeColor="text1"/>
          <w:sz w:val="24"/>
          <w:szCs w:val="24"/>
          <w:lang w:val="en-US"/>
        </w:rPr>
        <w:t>The mean difference in anthropometric measuremen</w:t>
      </w:r>
      <w:r w:rsidR="0031322A" w:rsidRPr="007830C2">
        <w:rPr>
          <w:rFonts w:ascii="Times New Roman" w:hAnsi="Times New Roman" w:cs="Times New Roman"/>
          <w:color w:val="000000" w:themeColor="text1"/>
          <w:sz w:val="24"/>
          <w:szCs w:val="24"/>
          <w:lang w:val="en-US"/>
        </w:rPr>
        <w:t xml:space="preserve">ts between PRE and POST </w:t>
      </w:r>
      <w:r w:rsidRPr="007830C2">
        <w:rPr>
          <w:rFonts w:ascii="Times New Roman" w:hAnsi="Times New Roman" w:cs="Times New Roman"/>
          <w:color w:val="000000" w:themeColor="text1"/>
          <w:sz w:val="24"/>
          <w:szCs w:val="24"/>
          <w:lang w:val="en-US"/>
        </w:rPr>
        <w:t>and effect size</w:t>
      </w:r>
      <w:r w:rsidR="0031322A" w:rsidRPr="007830C2">
        <w:rPr>
          <w:rFonts w:ascii="Times New Roman" w:hAnsi="Times New Roman" w:cs="Times New Roman"/>
          <w:color w:val="000000" w:themeColor="text1"/>
          <w:sz w:val="24"/>
          <w:szCs w:val="24"/>
          <w:lang w:val="en-US"/>
        </w:rPr>
        <w:t>s are repo</w:t>
      </w:r>
      <w:r w:rsidR="00DB182D" w:rsidRPr="007830C2">
        <w:rPr>
          <w:rFonts w:ascii="Times New Roman" w:hAnsi="Times New Roman" w:cs="Times New Roman"/>
          <w:color w:val="000000" w:themeColor="text1"/>
          <w:sz w:val="24"/>
          <w:szCs w:val="24"/>
          <w:lang w:val="en-US"/>
        </w:rPr>
        <w:t>rted in Table 1.</w:t>
      </w:r>
    </w:p>
    <w:p w:rsidR="007C2F04" w:rsidRPr="007830C2" w:rsidRDefault="007C2F04" w:rsidP="001E442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tbl>
      <w:tblPr>
        <w:tblpPr w:leftFromText="141" w:rightFromText="141" w:vertAnchor="text" w:horzAnchor="margin" w:tblpXSpec="center" w:tblpY="132"/>
        <w:tblW w:w="9606" w:type="dxa"/>
        <w:tblLayout w:type="fixed"/>
        <w:tblLook w:val="01E0" w:firstRow="1" w:lastRow="1" w:firstColumn="1" w:lastColumn="1" w:noHBand="0" w:noVBand="0"/>
      </w:tblPr>
      <w:tblGrid>
        <w:gridCol w:w="2235"/>
        <w:gridCol w:w="1134"/>
        <w:gridCol w:w="1134"/>
        <w:gridCol w:w="1417"/>
        <w:gridCol w:w="1134"/>
        <w:gridCol w:w="1274"/>
        <w:gridCol w:w="1278"/>
      </w:tblGrid>
      <w:tr w:rsidR="007830C2" w:rsidRPr="007830C2" w:rsidTr="00810955">
        <w:tc>
          <w:tcPr>
            <w:tcW w:w="9606" w:type="dxa"/>
            <w:gridSpan w:val="7"/>
            <w:tcBorders>
              <w:bottom w:val="single" w:sz="4" w:space="0" w:color="auto"/>
            </w:tcBorders>
          </w:tcPr>
          <w:p w:rsidR="00E33AE1" w:rsidRPr="007830C2" w:rsidRDefault="00E33AE1" w:rsidP="00E33AE1">
            <w:pPr>
              <w:spacing w:after="0" w:line="240" w:lineRule="auto"/>
              <w:jc w:val="both"/>
              <w:rPr>
                <w:rFonts w:ascii="Times New Roman" w:eastAsia="Times New Roman" w:hAnsi="Times New Roman" w:cs="Times New Roman"/>
                <w:b/>
                <w:color w:val="000000" w:themeColor="text1"/>
                <w:sz w:val="20"/>
                <w:szCs w:val="20"/>
                <w:lang w:val="en-GB" w:eastAsia="es-ES_tradnl"/>
              </w:rPr>
            </w:pPr>
            <w:r w:rsidRPr="007830C2">
              <w:rPr>
                <w:rFonts w:ascii="Times New Roman" w:eastAsia="Times New Roman" w:hAnsi="Times New Roman" w:cs="Times New Roman"/>
                <w:b/>
                <w:color w:val="000000" w:themeColor="text1"/>
                <w:sz w:val="20"/>
                <w:szCs w:val="20"/>
                <w:lang w:val="en-GB" w:eastAsia="es-ES_tradnl"/>
              </w:rPr>
              <w:t>Table 1.</w:t>
            </w:r>
            <w:r w:rsidRPr="007830C2">
              <w:rPr>
                <w:rFonts w:ascii="Times New Roman" w:eastAsia="Times New Roman" w:hAnsi="Times New Roman" w:cs="Times New Roman"/>
                <w:color w:val="000000" w:themeColor="text1"/>
                <w:sz w:val="20"/>
                <w:szCs w:val="20"/>
                <w:lang w:val="en-GB" w:eastAsia="es-ES_tradnl"/>
              </w:rPr>
              <w:t xml:space="preserve"> Mean and standard deviation (SD) for anthropometric measure</w:t>
            </w:r>
            <w:r w:rsidR="009A5CE8" w:rsidRPr="007830C2">
              <w:rPr>
                <w:rFonts w:ascii="Times New Roman" w:eastAsia="Times New Roman" w:hAnsi="Times New Roman" w:cs="Times New Roman"/>
                <w:color w:val="000000" w:themeColor="text1"/>
                <w:sz w:val="20"/>
                <w:szCs w:val="20"/>
                <w:lang w:val="en-GB" w:eastAsia="es-ES_tradnl"/>
              </w:rPr>
              <w:t xml:space="preserve">ments, body composition and swimming performance </w:t>
            </w:r>
            <w:r w:rsidRPr="007830C2">
              <w:rPr>
                <w:rFonts w:ascii="Times New Roman" w:eastAsia="Times New Roman" w:hAnsi="Times New Roman" w:cs="Times New Roman"/>
                <w:color w:val="000000" w:themeColor="text1"/>
                <w:sz w:val="20"/>
                <w:szCs w:val="20"/>
                <w:lang w:val="en-GB" w:eastAsia="es-ES_tradnl"/>
              </w:rPr>
              <w:t>for male</w:t>
            </w:r>
            <w:r w:rsidR="009A5CE8" w:rsidRPr="007830C2">
              <w:rPr>
                <w:rFonts w:ascii="Times New Roman" w:eastAsia="Times New Roman" w:hAnsi="Times New Roman" w:cs="Times New Roman"/>
                <w:color w:val="000000" w:themeColor="text1"/>
                <w:sz w:val="20"/>
                <w:szCs w:val="20"/>
                <w:lang w:val="en-GB" w:eastAsia="es-ES_tradnl"/>
              </w:rPr>
              <w:t xml:space="preserve"> and female</w:t>
            </w:r>
            <w:r w:rsidRPr="007830C2">
              <w:rPr>
                <w:rFonts w:ascii="Times New Roman" w:eastAsia="Times New Roman" w:hAnsi="Times New Roman" w:cs="Times New Roman"/>
                <w:color w:val="000000" w:themeColor="text1"/>
                <w:sz w:val="20"/>
                <w:szCs w:val="20"/>
                <w:lang w:val="en-GB" w:eastAsia="es-ES_tradnl"/>
              </w:rPr>
              <w:t xml:space="preserve"> swimmers before </w:t>
            </w:r>
            <w:r w:rsidR="009A5CE8" w:rsidRPr="007830C2">
              <w:rPr>
                <w:rFonts w:ascii="Times New Roman" w:eastAsia="Times New Roman" w:hAnsi="Times New Roman" w:cs="Times New Roman"/>
                <w:color w:val="000000" w:themeColor="text1"/>
                <w:sz w:val="20"/>
                <w:szCs w:val="20"/>
                <w:lang w:val="en-GB" w:eastAsia="es-ES_tradnl"/>
              </w:rPr>
              <w:t xml:space="preserve">(PRE) and after (POST) the five </w:t>
            </w:r>
            <w:r w:rsidR="00703B99" w:rsidRPr="007830C2">
              <w:rPr>
                <w:rFonts w:ascii="Times New Roman" w:eastAsia="Times New Roman" w:hAnsi="Times New Roman" w:cs="Times New Roman"/>
                <w:color w:val="000000" w:themeColor="text1"/>
                <w:sz w:val="20"/>
                <w:szCs w:val="20"/>
                <w:lang w:val="en-GB" w:eastAsia="es-ES_tradnl"/>
              </w:rPr>
              <w:t>weeks of training cessation</w:t>
            </w:r>
            <w:r w:rsidRPr="007830C2">
              <w:rPr>
                <w:rFonts w:ascii="Times New Roman" w:eastAsia="Times New Roman" w:hAnsi="Times New Roman" w:cs="Times New Roman"/>
                <w:color w:val="000000" w:themeColor="text1"/>
                <w:sz w:val="20"/>
                <w:szCs w:val="20"/>
                <w:lang w:val="en-GB" w:eastAsia="es-ES_tradnl"/>
              </w:rPr>
              <w:t xml:space="preserve"> and comparison between both periods.</w:t>
            </w:r>
          </w:p>
        </w:tc>
      </w:tr>
      <w:tr w:rsidR="007830C2" w:rsidRPr="007830C2" w:rsidTr="00810955">
        <w:tc>
          <w:tcPr>
            <w:tcW w:w="9606" w:type="dxa"/>
            <w:gridSpan w:val="7"/>
            <w:tcBorders>
              <w:bottom w:val="single" w:sz="4" w:space="0" w:color="auto"/>
            </w:tcBorders>
          </w:tcPr>
          <w:p w:rsidR="00E33AE1" w:rsidRPr="007830C2" w:rsidRDefault="00E33AE1" w:rsidP="00E33AE1">
            <w:pPr>
              <w:spacing w:after="0" w:line="240" w:lineRule="auto"/>
              <w:jc w:val="both"/>
              <w:rPr>
                <w:rFonts w:ascii="Times New Roman" w:eastAsia="Times New Roman" w:hAnsi="Times New Roman" w:cs="Times New Roman"/>
                <w:color w:val="000000" w:themeColor="text1"/>
                <w:sz w:val="20"/>
                <w:szCs w:val="20"/>
                <w:lang w:val="en-GB" w:eastAsia="es-ES_tradnl"/>
              </w:rPr>
            </w:pPr>
            <w:r w:rsidRPr="007830C2">
              <w:rPr>
                <w:rFonts w:ascii="Times New Roman" w:eastAsia="Times New Roman" w:hAnsi="Times New Roman" w:cs="Times New Roman"/>
                <w:color w:val="000000" w:themeColor="text1"/>
                <w:sz w:val="20"/>
                <w:szCs w:val="20"/>
                <w:lang w:val="en-GB" w:eastAsia="es-ES_tradnl"/>
              </w:rPr>
              <w:t xml:space="preserve">                                                            Male swimmers (n = 12)                               Female swimmers (n = 8)</w:t>
            </w:r>
          </w:p>
        </w:tc>
      </w:tr>
      <w:tr w:rsidR="007830C2" w:rsidRPr="007830C2" w:rsidTr="00810955">
        <w:trPr>
          <w:trHeight w:val="277"/>
        </w:trPr>
        <w:tc>
          <w:tcPr>
            <w:tcW w:w="2235" w:type="dxa"/>
            <w:tcBorders>
              <w:top w:val="single" w:sz="4" w:space="0" w:color="auto"/>
              <w:bottom w:val="single" w:sz="4" w:space="0" w:color="auto"/>
            </w:tcBorders>
            <w:vAlign w:val="center"/>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Variables</w:t>
            </w:r>
          </w:p>
        </w:tc>
        <w:tc>
          <w:tcPr>
            <w:tcW w:w="1134" w:type="dxa"/>
            <w:tcBorders>
              <w:top w:val="single" w:sz="4" w:space="0" w:color="FFFFFF"/>
              <w:bottom w:val="single" w:sz="4" w:space="0" w:color="auto"/>
            </w:tcBorders>
            <w:shd w:val="clear" w:color="auto" w:fill="auto"/>
            <w:vAlign w:val="center"/>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PRE</w:t>
            </w:r>
          </w:p>
        </w:tc>
        <w:tc>
          <w:tcPr>
            <w:tcW w:w="1134" w:type="dxa"/>
            <w:tcBorders>
              <w:top w:val="single" w:sz="4" w:space="0" w:color="auto"/>
              <w:left w:val="single" w:sz="4" w:space="0" w:color="FFFFFF"/>
              <w:bottom w:val="single" w:sz="4" w:space="0" w:color="auto"/>
              <w:right w:val="single" w:sz="4" w:space="0" w:color="FFFFFF"/>
            </w:tcBorders>
            <w:vAlign w:val="center"/>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POST</w:t>
            </w:r>
          </w:p>
        </w:tc>
        <w:tc>
          <w:tcPr>
            <w:tcW w:w="1417" w:type="dxa"/>
            <w:tcBorders>
              <w:top w:val="single" w:sz="4" w:space="0" w:color="auto"/>
              <w:left w:val="single" w:sz="4" w:space="0" w:color="FFFFFF"/>
              <w:bottom w:val="single" w:sz="4" w:space="0" w:color="auto"/>
            </w:tcBorders>
            <w:vAlign w:val="center"/>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i/>
                <w:color w:val="000000" w:themeColor="text1"/>
                <w:sz w:val="18"/>
                <w:szCs w:val="18"/>
                <w:lang w:val="en-GB" w:eastAsia="es-ES_tradnl"/>
              </w:rPr>
              <w:t>p</w:t>
            </w:r>
            <w:r w:rsidRPr="007830C2">
              <w:rPr>
                <w:rFonts w:ascii="Times New Roman" w:eastAsia="Times New Roman" w:hAnsi="Times New Roman" w:cs="Times New Roman"/>
                <w:color w:val="000000" w:themeColor="text1"/>
                <w:sz w:val="18"/>
                <w:szCs w:val="18"/>
                <w:lang w:val="en-GB" w:eastAsia="es-ES_tradnl"/>
              </w:rPr>
              <w:t>-value (d)</w:t>
            </w:r>
          </w:p>
        </w:tc>
        <w:tc>
          <w:tcPr>
            <w:tcW w:w="1134" w:type="dxa"/>
            <w:tcBorders>
              <w:top w:val="single" w:sz="4" w:space="0" w:color="auto"/>
              <w:left w:val="single" w:sz="4" w:space="0" w:color="FFFFFF"/>
              <w:bottom w:val="single" w:sz="4" w:space="0" w:color="auto"/>
            </w:tcBorders>
            <w:vAlign w:val="center"/>
          </w:tcPr>
          <w:p w:rsidR="00E33AE1" w:rsidRPr="007830C2" w:rsidRDefault="00E33AE1" w:rsidP="00E33AE1">
            <w:pPr>
              <w:spacing w:after="0" w:line="240" w:lineRule="auto"/>
              <w:jc w:val="center"/>
              <w:rPr>
                <w:rFonts w:ascii="Times New Roman" w:eastAsia="Times New Roman" w:hAnsi="Times New Roman" w:cs="Times New Roman"/>
                <w:i/>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PRE</w:t>
            </w:r>
          </w:p>
        </w:tc>
        <w:tc>
          <w:tcPr>
            <w:tcW w:w="1274" w:type="dxa"/>
            <w:tcBorders>
              <w:top w:val="single" w:sz="4" w:space="0" w:color="auto"/>
              <w:left w:val="single" w:sz="4" w:space="0" w:color="FFFFFF"/>
              <w:bottom w:val="single" w:sz="4" w:space="0" w:color="auto"/>
            </w:tcBorders>
            <w:vAlign w:val="center"/>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POST</w:t>
            </w:r>
          </w:p>
        </w:tc>
        <w:tc>
          <w:tcPr>
            <w:tcW w:w="1278" w:type="dxa"/>
            <w:tcBorders>
              <w:top w:val="single" w:sz="4" w:space="0" w:color="auto"/>
              <w:left w:val="single" w:sz="4" w:space="0" w:color="FFFFFF"/>
              <w:bottom w:val="single" w:sz="4" w:space="0" w:color="auto"/>
            </w:tcBorders>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i/>
                <w:color w:val="000000" w:themeColor="text1"/>
                <w:sz w:val="18"/>
                <w:szCs w:val="18"/>
                <w:lang w:val="en-GB" w:eastAsia="es-ES_tradnl"/>
              </w:rPr>
              <w:t>p</w:t>
            </w:r>
            <w:r w:rsidRPr="007830C2">
              <w:rPr>
                <w:rFonts w:ascii="Times New Roman" w:eastAsia="Times New Roman" w:hAnsi="Times New Roman" w:cs="Times New Roman"/>
                <w:color w:val="000000" w:themeColor="text1"/>
                <w:sz w:val="18"/>
                <w:szCs w:val="18"/>
                <w:lang w:val="en-GB" w:eastAsia="es-ES_tradnl"/>
              </w:rPr>
              <w:t>-value (d)</w:t>
            </w:r>
          </w:p>
        </w:tc>
      </w:tr>
      <w:tr w:rsidR="007830C2" w:rsidRPr="007830C2" w:rsidTr="00810955">
        <w:tc>
          <w:tcPr>
            <w:tcW w:w="2235" w:type="dxa"/>
            <w:tcBorders>
              <w:top w:val="single" w:sz="4" w:space="0" w:color="auto"/>
            </w:tcBorders>
          </w:tcPr>
          <w:p w:rsidR="00E33AE1" w:rsidRPr="007830C2" w:rsidRDefault="00E33AE1" w:rsidP="00E33AE1">
            <w:pPr>
              <w:spacing w:before="40"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Body height (cm)</w:t>
            </w:r>
          </w:p>
        </w:tc>
        <w:tc>
          <w:tcPr>
            <w:tcW w:w="1134" w:type="dxa"/>
            <w:tcBorders>
              <w:top w:val="single" w:sz="4" w:space="0" w:color="auto"/>
            </w:tcBorders>
            <w:shd w:val="clear" w:color="auto" w:fill="auto"/>
          </w:tcPr>
          <w:p w:rsidR="00E33AE1" w:rsidRPr="007830C2" w:rsidRDefault="00E33AE1" w:rsidP="00E33AE1">
            <w:pPr>
              <w:spacing w:before="40"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175.7 </w:t>
            </w:r>
            <w:r w:rsidRPr="007830C2">
              <w:rPr>
                <w:rFonts w:ascii="Times New Roman" w:eastAsia="Times New Roman" w:hAnsi="Times New Roman" w:cs="Times New Roman"/>
                <w:color w:val="000000" w:themeColor="text1"/>
                <w:sz w:val="18"/>
                <w:szCs w:val="18"/>
                <w:lang w:val="en-GB" w:eastAsia="es-ES_tradnl"/>
              </w:rPr>
              <w:t>± 8.2</w:t>
            </w:r>
          </w:p>
        </w:tc>
        <w:tc>
          <w:tcPr>
            <w:tcW w:w="1134" w:type="dxa"/>
            <w:tcBorders>
              <w:top w:val="single" w:sz="4" w:space="0" w:color="auto"/>
              <w:left w:val="single" w:sz="4" w:space="0" w:color="FFFFFF"/>
              <w:right w:val="single" w:sz="4" w:space="0" w:color="FFFFFF"/>
            </w:tcBorders>
          </w:tcPr>
          <w:p w:rsidR="00E33AE1" w:rsidRPr="007830C2" w:rsidRDefault="00E33AE1" w:rsidP="00E33AE1">
            <w:pPr>
              <w:spacing w:before="40"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175.9 </w:t>
            </w:r>
            <w:r w:rsidRPr="007830C2">
              <w:rPr>
                <w:rFonts w:ascii="Times New Roman" w:eastAsia="Times New Roman" w:hAnsi="Times New Roman" w:cs="Times New Roman"/>
                <w:color w:val="000000" w:themeColor="text1"/>
                <w:sz w:val="18"/>
                <w:szCs w:val="18"/>
                <w:lang w:val="en-GB" w:eastAsia="es-ES_tradnl"/>
              </w:rPr>
              <w:t>± 8.0</w:t>
            </w:r>
          </w:p>
        </w:tc>
        <w:tc>
          <w:tcPr>
            <w:tcW w:w="1417" w:type="dxa"/>
            <w:tcBorders>
              <w:top w:val="single" w:sz="4" w:space="0" w:color="auto"/>
            </w:tcBorders>
          </w:tcPr>
          <w:p w:rsidR="00E33AE1" w:rsidRPr="007830C2" w:rsidRDefault="00E33AE1" w:rsidP="00E33AE1">
            <w:pPr>
              <w:spacing w:before="40"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0.060 (0.02)</w:t>
            </w:r>
          </w:p>
        </w:tc>
        <w:tc>
          <w:tcPr>
            <w:tcW w:w="1134" w:type="dxa"/>
            <w:tcBorders>
              <w:top w:val="single" w:sz="4" w:space="0" w:color="auto"/>
            </w:tcBorders>
          </w:tcPr>
          <w:p w:rsidR="00E33AE1" w:rsidRPr="007830C2" w:rsidRDefault="00E33AE1" w:rsidP="00E33AE1">
            <w:pPr>
              <w:spacing w:before="40"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165.6 </w:t>
            </w:r>
            <w:r w:rsidRPr="007830C2">
              <w:rPr>
                <w:rFonts w:ascii="Times New Roman" w:eastAsia="Times New Roman" w:hAnsi="Times New Roman" w:cs="Times New Roman"/>
                <w:color w:val="000000" w:themeColor="text1"/>
                <w:sz w:val="18"/>
                <w:szCs w:val="20"/>
                <w:lang w:val="en-GB" w:eastAsia="es-ES_tradnl"/>
              </w:rPr>
              <w:t>± 3.3</w:t>
            </w:r>
          </w:p>
        </w:tc>
        <w:tc>
          <w:tcPr>
            <w:tcW w:w="1274" w:type="dxa"/>
            <w:tcBorders>
              <w:top w:val="single" w:sz="4" w:space="0" w:color="auto"/>
            </w:tcBorders>
          </w:tcPr>
          <w:p w:rsidR="00E33AE1" w:rsidRPr="007830C2" w:rsidRDefault="00E33AE1" w:rsidP="00E33AE1">
            <w:pPr>
              <w:spacing w:before="40"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166.0 </w:t>
            </w:r>
            <w:r w:rsidRPr="007830C2">
              <w:rPr>
                <w:rFonts w:ascii="Times New Roman" w:eastAsia="Times New Roman" w:hAnsi="Times New Roman" w:cs="Times New Roman"/>
                <w:color w:val="000000" w:themeColor="text1"/>
                <w:sz w:val="18"/>
                <w:szCs w:val="20"/>
                <w:lang w:val="en-GB" w:eastAsia="es-ES_tradnl"/>
              </w:rPr>
              <w:t>± 3.5</w:t>
            </w:r>
          </w:p>
        </w:tc>
        <w:tc>
          <w:tcPr>
            <w:tcW w:w="1278" w:type="dxa"/>
            <w:tcBorders>
              <w:top w:val="single" w:sz="4" w:space="0" w:color="auto"/>
            </w:tcBorders>
          </w:tcPr>
          <w:p w:rsidR="00E33AE1" w:rsidRPr="007830C2" w:rsidRDefault="00E33AE1" w:rsidP="00E33AE1">
            <w:pPr>
              <w:spacing w:before="40"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0.012 (0.12)</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Body mass (kg)</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65.8 </w:t>
            </w:r>
            <w:r w:rsidRPr="007830C2">
              <w:rPr>
                <w:rFonts w:ascii="Times New Roman" w:eastAsia="Times New Roman" w:hAnsi="Times New Roman" w:cs="Times New Roman"/>
                <w:color w:val="000000" w:themeColor="text1"/>
                <w:sz w:val="18"/>
                <w:szCs w:val="18"/>
                <w:lang w:val="en-GB" w:eastAsia="es-ES_tradnl"/>
              </w:rPr>
              <w:t>± 9.4</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67.1 </w:t>
            </w:r>
            <w:r w:rsidRPr="007830C2">
              <w:rPr>
                <w:rFonts w:ascii="Times New Roman" w:eastAsia="Times New Roman" w:hAnsi="Times New Roman" w:cs="Times New Roman"/>
                <w:color w:val="000000" w:themeColor="text1"/>
                <w:sz w:val="18"/>
                <w:szCs w:val="18"/>
                <w:lang w:val="en-GB" w:eastAsia="es-ES_tradnl"/>
              </w:rPr>
              <w:t>± 9.3</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0.008 (0.14)</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58.1 </w:t>
            </w:r>
            <w:r w:rsidRPr="007830C2">
              <w:rPr>
                <w:rFonts w:ascii="Times New Roman" w:eastAsia="Times New Roman" w:hAnsi="Times New Roman" w:cs="Times New Roman"/>
                <w:color w:val="000000" w:themeColor="text1"/>
                <w:sz w:val="18"/>
                <w:szCs w:val="20"/>
                <w:lang w:val="en-GB" w:eastAsia="es-ES_tradnl"/>
              </w:rPr>
              <w:t>± 6.2</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59.2 </w:t>
            </w:r>
            <w:r w:rsidRPr="007830C2">
              <w:rPr>
                <w:rFonts w:ascii="Times New Roman" w:eastAsia="Times New Roman" w:hAnsi="Times New Roman" w:cs="Times New Roman"/>
                <w:color w:val="000000" w:themeColor="text1"/>
                <w:sz w:val="18"/>
                <w:szCs w:val="20"/>
                <w:lang w:val="en-GB" w:eastAsia="es-ES_tradnl"/>
              </w:rPr>
              <w:t>± 5.5</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0.065 (0.19)</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Arm span (cm)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180.8 </w:t>
            </w:r>
            <w:r w:rsidRPr="007830C2">
              <w:rPr>
                <w:rFonts w:ascii="Times New Roman" w:eastAsia="Times New Roman" w:hAnsi="Times New Roman" w:cs="Times New Roman"/>
                <w:color w:val="000000" w:themeColor="text1"/>
                <w:sz w:val="18"/>
                <w:szCs w:val="18"/>
                <w:lang w:val="en-GB" w:eastAsia="es-ES_tradnl"/>
              </w:rPr>
              <w:t>± 10.3</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181.1 </w:t>
            </w:r>
            <w:r w:rsidRPr="007830C2">
              <w:rPr>
                <w:rFonts w:ascii="Times New Roman" w:eastAsia="Times New Roman" w:hAnsi="Times New Roman" w:cs="Times New Roman"/>
                <w:color w:val="000000" w:themeColor="text1"/>
                <w:sz w:val="18"/>
                <w:szCs w:val="18"/>
                <w:lang w:val="en-GB" w:eastAsia="es-ES_tradnl"/>
              </w:rPr>
              <w:t>± 10.3</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0.061 (0.03)</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169.9 </w:t>
            </w:r>
            <w:r w:rsidRPr="007830C2">
              <w:rPr>
                <w:rFonts w:ascii="Times New Roman" w:eastAsia="Times New Roman" w:hAnsi="Times New Roman" w:cs="Times New Roman"/>
                <w:color w:val="000000" w:themeColor="text1"/>
                <w:sz w:val="18"/>
                <w:szCs w:val="20"/>
                <w:lang w:val="en-GB" w:eastAsia="es-ES_tradnl"/>
              </w:rPr>
              <w:t>± 4.7</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170.0 </w:t>
            </w:r>
            <w:r w:rsidRPr="007830C2">
              <w:rPr>
                <w:rFonts w:ascii="Times New Roman" w:eastAsia="Times New Roman" w:hAnsi="Times New Roman" w:cs="Times New Roman"/>
                <w:color w:val="000000" w:themeColor="text1"/>
                <w:sz w:val="18"/>
                <w:szCs w:val="20"/>
                <w:lang w:val="en-GB" w:eastAsia="es-ES_tradnl"/>
              </w:rPr>
              <w:t>± 4.2</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0.698 (0.02)</w:t>
            </w:r>
          </w:p>
        </w:tc>
      </w:tr>
      <w:tr w:rsidR="007830C2" w:rsidRPr="007830C2" w:rsidTr="00810955">
        <w:tc>
          <w:tcPr>
            <w:tcW w:w="2235" w:type="dxa"/>
          </w:tcPr>
          <w:p w:rsidR="00E33AE1" w:rsidRPr="007830C2" w:rsidRDefault="00871165"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Body mass index</w:t>
            </w:r>
            <w:r w:rsidR="00E33AE1" w:rsidRPr="007830C2">
              <w:rPr>
                <w:rFonts w:ascii="Times New Roman" w:eastAsia="Times New Roman" w:hAnsi="Times New Roman" w:cs="Times New Roman"/>
                <w:color w:val="000000" w:themeColor="text1"/>
                <w:sz w:val="18"/>
                <w:szCs w:val="18"/>
                <w:lang w:val="en-GB" w:eastAsia="es-ES_tradnl"/>
              </w:rPr>
              <w:t xml:space="preserve"> (kg/m</w:t>
            </w:r>
            <w:r w:rsidR="00E33AE1" w:rsidRPr="007830C2">
              <w:rPr>
                <w:rFonts w:ascii="Times New Roman" w:eastAsia="Times New Roman" w:hAnsi="Times New Roman" w:cs="Times New Roman"/>
                <w:color w:val="000000" w:themeColor="text1"/>
                <w:sz w:val="18"/>
                <w:szCs w:val="18"/>
                <w:vertAlign w:val="superscript"/>
                <w:lang w:val="en-GB" w:eastAsia="es-ES_tradnl"/>
              </w:rPr>
              <w:t>2</w:t>
            </w:r>
            <w:r w:rsidR="00E33AE1" w:rsidRPr="007830C2">
              <w:rPr>
                <w:rFonts w:ascii="Times New Roman" w:eastAsia="Times New Roman" w:hAnsi="Times New Roman" w:cs="Times New Roman"/>
                <w:color w:val="000000" w:themeColor="text1"/>
                <w:sz w:val="18"/>
                <w:szCs w:val="18"/>
                <w:lang w:val="en-GB" w:eastAsia="es-ES_tradnl"/>
              </w:rPr>
              <w:t>)</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21.3 </w:t>
            </w:r>
            <w:r w:rsidRPr="007830C2">
              <w:rPr>
                <w:rFonts w:ascii="Times New Roman" w:eastAsia="Times New Roman" w:hAnsi="Times New Roman" w:cs="Times New Roman"/>
                <w:color w:val="000000" w:themeColor="text1"/>
                <w:sz w:val="18"/>
                <w:szCs w:val="18"/>
                <w:lang w:val="en-GB" w:eastAsia="es-ES_tradnl"/>
              </w:rPr>
              <w:t>± 2.4</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21.7 </w:t>
            </w:r>
            <w:r w:rsidRPr="007830C2">
              <w:rPr>
                <w:rFonts w:ascii="Times New Roman" w:eastAsia="Times New Roman" w:hAnsi="Times New Roman" w:cs="Times New Roman"/>
                <w:color w:val="000000" w:themeColor="text1"/>
                <w:sz w:val="18"/>
                <w:szCs w:val="18"/>
                <w:lang w:val="en-GB" w:eastAsia="es-ES_tradnl"/>
              </w:rPr>
              <w:t>± 2.6</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0.012 (0.16)</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21.2 </w:t>
            </w:r>
            <w:r w:rsidRPr="007830C2">
              <w:rPr>
                <w:rFonts w:ascii="Times New Roman" w:eastAsia="Times New Roman" w:hAnsi="Times New Roman" w:cs="Times New Roman"/>
                <w:color w:val="000000" w:themeColor="text1"/>
                <w:sz w:val="18"/>
                <w:szCs w:val="20"/>
                <w:lang w:val="en-GB" w:eastAsia="es-ES_tradnl"/>
              </w:rPr>
              <w:t>± 2.4</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21.5 </w:t>
            </w:r>
            <w:r w:rsidRPr="007830C2">
              <w:rPr>
                <w:rFonts w:ascii="Times New Roman" w:eastAsia="Times New Roman" w:hAnsi="Times New Roman" w:cs="Times New Roman"/>
                <w:color w:val="000000" w:themeColor="text1"/>
                <w:sz w:val="18"/>
                <w:szCs w:val="20"/>
                <w:lang w:val="en-GB" w:eastAsia="es-ES_tradnl"/>
              </w:rPr>
              <w:t>± 2.2</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0.204 (0.13)</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Body fat (%)</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15.4 </w:t>
            </w:r>
            <w:r w:rsidRPr="007830C2">
              <w:rPr>
                <w:rFonts w:ascii="Times New Roman" w:eastAsia="Times New Roman" w:hAnsi="Times New Roman" w:cs="Times New Roman"/>
                <w:color w:val="000000" w:themeColor="text1"/>
                <w:sz w:val="18"/>
                <w:szCs w:val="18"/>
                <w:lang w:val="en-GB" w:eastAsia="es-ES_tradnl"/>
              </w:rPr>
              <w:t>± 4.1</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17.9 </w:t>
            </w:r>
            <w:r w:rsidRPr="007830C2">
              <w:rPr>
                <w:rFonts w:ascii="Times New Roman" w:eastAsia="Times New Roman" w:hAnsi="Times New Roman" w:cs="Times New Roman"/>
                <w:color w:val="000000" w:themeColor="text1"/>
                <w:sz w:val="18"/>
                <w:szCs w:val="18"/>
                <w:lang w:val="en-GB" w:eastAsia="es-ES_tradnl"/>
              </w:rPr>
              <w:t>± 3.7</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&lt;0.001 (0.64)</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20.1 </w:t>
            </w:r>
            <w:r w:rsidRPr="007830C2">
              <w:rPr>
                <w:rFonts w:ascii="Times New Roman" w:eastAsia="Times New Roman" w:hAnsi="Times New Roman" w:cs="Times New Roman"/>
                <w:color w:val="000000" w:themeColor="text1"/>
                <w:sz w:val="18"/>
                <w:szCs w:val="20"/>
                <w:lang w:val="en-GB" w:eastAsia="es-ES_tradnl"/>
              </w:rPr>
              <w:t>± 6.3</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22.8 </w:t>
            </w:r>
            <w:r w:rsidRPr="007830C2">
              <w:rPr>
                <w:rFonts w:ascii="Times New Roman" w:eastAsia="Times New Roman" w:hAnsi="Times New Roman" w:cs="Times New Roman"/>
                <w:color w:val="000000" w:themeColor="text1"/>
                <w:sz w:val="18"/>
                <w:szCs w:val="20"/>
                <w:lang w:val="en-GB" w:eastAsia="es-ES_tradnl"/>
              </w:rPr>
              <w:t>± 4.9</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0.018 (0.48)</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Muscle mass (%)</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45.7 </w:t>
            </w:r>
            <w:r w:rsidRPr="007830C2">
              <w:rPr>
                <w:rFonts w:ascii="Times New Roman" w:eastAsia="Times New Roman" w:hAnsi="Times New Roman" w:cs="Times New Roman"/>
                <w:color w:val="000000" w:themeColor="text1"/>
                <w:sz w:val="18"/>
                <w:szCs w:val="18"/>
                <w:lang w:val="en-GB" w:eastAsia="es-ES_tradnl"/>
              </w:rPr>
              <w:t>± 4.8</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39.2 </w:t>
            </w:r>
            <w:r w:rsidRPr="007830C2">
              <w:rPr>
                <w:rFonts w:ascii="Times New Roman" w:eastAsia="Times New Roman" w:hAnsi="Times New Roman" w:cs="Times New Roman"/>
                <w:color w:val="000000" w:themeColor="text1"/>
                <w:sz w:val="18"/>
                <w:szCs w:val="18"/>
                <w:lang w:val="en-GB" w:eastAsia="es-ES_tradnl"/>
              </w:rPr>
              <w:t>± 3.8</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 xml:space="preserve"> 0.003 (1.50)</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41.4 </w:t>
            </w:r>
            <w:r w:rsidRPr="007830C2">
              <w:rPr>
                <w:rFonts w:ascii="Times New Roman" w:eastAsia="Times New Roman" w:hAnsi="Times New Roman" w:cs="Times New Roman"/>
                <w:color w:val="000000" w:themeColor="text1"/>
                <w:sz w:val="18"/>
                <w:szCs w:val="20"/>
                <w:lang w:val="en-GB" w:eastAsia="es-ES_tradnl"/>
              </w:rPr>
              <w:t>± 6.3</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32.6 </w:t>
            </w:r>
            <w:r w:rsidRPr="007830C2">
              <w:rPr>
                <w:rFonts w:ascii="Times New Roman" w:eastAsia="Times New Roman" w:hAnsi="Times New Roman" w:cs="Times New Roman"/>
                <w:color w:val="000000" w:themeColor="text1"/>
                <w:sz w:val="18"/>
                <w:szCs w:val="20"/>
                <w:lang w:val="en-GB" w:eastAsia="es-ES_tradnl"/>
              </w:rPr>
              <w:t>± 1.5</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 xml:space="preserve"> 0.002 (1.92)</w:t>
            </w:r>
          </w:p>
        </w:tc>
      </w:tr>
      <w:tr w:rsidR="007830C2" w:rsidRPr="007830C2" w:rsidTr="00810955">
        <w:tc>
          <w:tcPr>
            <w:tcW w:w="2235" w:type="dxa"/>
          </w:tcPr>
          <w:p w:rsidR="00E33AE1" w:rsidRPr="007830C2" w:rsidRDefault="00E33AE1" w:rsidP="00E33AE1">
            <w:pPr>
              <w:spacing w:before="60" w:after="0" w:line="240" w:lineRule="auto"/>
              <w:jc w:val="center"/>
              <w:rPr>
                <w:rFonts w:ascii="Times New Roman" w:eastAsia="Times New Roman" w:hAnsi="Times New Roman" w:cs="Times New Roman"/>
                <w:b/>
                <w:color w:val="000000" w:themeColor="text1"/>
                <w:sz w:val="18"/>
                <w:szCs w:val="18"/>
                <w:lang w:val="en-GB" w:eastAsia="es-ES_tradnl"/>
              </w:rPr>
            </w:pPr>
            <w:r w:rsidRPr="007830C2">
              <w:rPr>
                <w:rFonts w:ascii="Times New Roman" w:eastAsia="Times New Roman" w:hAnsi="Times New Roman" w:cs="Times New Roman"/>
                <w:b/>
                <w:color w:val="000000" w:themeColor="text1"/>
                <w:sz w:val="18"/>
                <w:szCs w:val="18"/>
                <w:lang w:val="en-GB" w:eastAsia="es-ES_tradnl"/>
              </w:rPr>
              <w:t>Skinfolds thickness</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Triceps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8.6 </w:t>
            </w:r>
            <w:r w:rsidRPr="007830C2">
              <w:rPr>
                <w:rFonts w:ascii="Times New Roman" w:eastAsia="Times New Roman" w:hAnsi="Times New Roman" w:cs="Times New Roman"/>
                <w:color w:val="000000" w:themeColor="text1"/>
                <w:sz w:val="18"/>
                <w:szCs w:val="18"/>
                <w:lang w:val="en-GB" w:eastAsia="es-ES_tradnl"/>
              </w:rPr>
              <w:t>± 3.6</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9.6 </w:t>
            </w:r>
            <w:r w:rsidRPr="007830C2">
              <w:rPr>
                <w:rFonts w:ascii="Times New Roman" w:eastAsia="Times New Roman" w:hAnsi="Times New Roman" w:cs="Times New Roman"/>
                <w:color w:val="000000" w:themeColor="text1"/>
                <w:sz w:val="18"/>
                <w:szCs w:val="18"/>
                <w:lang w:val="en-GB" w:eastAsia="es-ES_tradnl"/>
              </w:rPr>
              <w:t>± 3.9</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 xml:space="preserve"> 0.040 (0.27)</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15.0 </w:t>
            </w:r>
            <w:r w:rsidRPr="007830C2">
              <w:rPr>
                <w:rFonts w:ascii="Times New Roman" w:eastAsia="Times New Roman" w:hAnsi="Times New Roman" w:cs="Times New Roman"/>
                <w:color w:val="000000" w:themeColor="text1"/>
                <w:sz w:val="18"/>
                <w:szCs w:val="20"/>
                <w:lang w:val="en-GB" w:eastAsia="es-ES_tradnl"/>
              </w:rPr>
              <w:t>± 6.8</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17.9 </w:t>
            </w:r>
            <w:r w:rsidRPr="007830C2">
              <w:rPr>
                <w:rFonts w:ascii="Times New Roman" w:eastAsia="Times New Roman" w:hAnsi="Times New Roman" w:cs="Times New Roman"/>
                <w:color w:val="000000" w:themeColor="text1"/>
                <w:sz w:val="18"/>
                <w:szCs w:val="20"/>
                <w:lang w:val="en-GB" w:eastAsia="es-ES_tradnl"/>
              </w:rPr>
              <w:t>± 6.1</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 xml:space="preserve"> 0.001 (0.45)</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Biceps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4.4 </w:t>
            </w:r>
            <w:r w:rsidRPr="007830C2">
              <w:rPr>
                <w:rFonts w:ascii="Times New Roman" w:eastAsia="Times New Roman" w:hAnsi="Times New Roman" w:cs="Times New Roman"/>
                <w:color w:val="000000" w:themeColor="text1"/>
                <w:sz w:val="18"/>
                <w:szCs w:val="18"/>
                <w:lang w:val="en-GB" w:eastAsia="es-ES_tradnl"/>
              </w:rPr>
              <w:t>± 2.0</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4.4 </w:t>
            </w:r>
            <w:r w:rsidRPr="007830C2">
              <w:rPr>
                <w:rFonts w:ascii="Times New Roman" w:eastAsia="Times New Roman" w:hAnsi="Times New Roman" w:cs="Times New Roman"/>
                <w:color w:val="000000" w:themeColor="text1"/>
                <w:sz w:val="18"/>
                <w:szCs w:val="18"/>
                <w:lang w:val="en-GB" w:eastAsia="es-ES_tradnl"/>
              </w:rPr>
              <w:t>± 1.4</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0.936 (0)</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7.8 </w:t>
            </w:r>
            <w:r w:rsidRPr="007830C2">
              <w:rPr>
                <w:rFonts w:ascii="Times New Roman" w:eastAsia="Times New Roman" w:hAnsi="Times New Roman" w:cs="Times New Roman"/>
                <w:color w:val="000000" w:themeColor="text1"/>
                <w:sz w:val="18"/>
                <w:szCs w:val="20"/>
                <w:lang w:val="en-GB" w:eastAsia="es-ES_tradnl"/>
              </w:rPr>
              <w:t>± 4.0</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8.0 </w:t>
            </w:r>
            <w:r w:rsidRPr="007830C2">
              <w:rPr>
                <w:rFonts w:ascii="Times New Roman" w:eastAsia="Times New Roman" w:hAnsi="Times New Roman" w:cs="Times New Roman"/>
                <w:color w:val="000000" w:themeColor="text1"/>
                <w:sz w:val="18"/>
                <w:szCs w:val="20"/>
                <w:lang w:val="en-GB" w:eastAsia="es-ES_tradnl"/>
              </w:rPr>
              <w:t>± 3.9</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0.731 (0.05)</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lastRenderedPageBreak/>
              <w:t>Subscapular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8.2 </w:t>
            </w:r>
            <w:r w:rsidRPr="007830C2">
              <w:rPr>
                <w:rFonts w:ascii="Times New Roman" w:eastAsia="Times New Roman" w:hAnsi="Times New Roman" w:cs="Times New Roman"/>
                <w:color w:val="000000" w:themeColor="text1"/>
                <w:sz w:val="18"/>
                <w:szCs w:val="18"/>
                <w:lang w:val="en-GB" w:eastAsia="es-ES_tradnl"/>
              </w:rPr>
              <w:t>± 1.6</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9.2 </w:t>
            </w:r>
            <w:r w:rsidRPr="007830C2">
              <w:rPr>
                <w:rFonts w:ascii="Times New Roman" w:eastAsia="Times New Roman" w:hAnsi="Times New Roman" w:cs="Times New Roman"/>
                <w:color w:val="000000" w:themeColor="text1"/>
                <w:sz w:val="18"/>
                <w:szCs w:val="18"/>
                <w:lang w:val="en-GB" w:eastAsia="es-ES_tradnl"/>
              </w:rPr>
              <w:t>± 1.6</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0.002 (0.63)</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10.2 </w:t>
            </w:r>
            <w:r w:rsidRPr="007830C2">
              <w:rPr>
                <w:rFonts w:ascii="Times New Roman" w:eastAsia="Times New Roman" w:hAnsi="Times New Roman" w:cs="Times New Roman"/>
                <w:color w:val="000000" w:themeColor="text1"/>
                <w:sz w:val="18"/>
                <w:szCs w:val="20"/>
                <w:lang w:val="en-GB" w:eastAsia="es-ES_tradnl"/>
              </w:rPr>
              <w:t>± 4.3</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11.4 </w:t>
            </w:r>
            <w:r w:rsidRPr="007830C2">
              <w:rPr>
                <w:rFonts w:ascii="Times New Roman" w:eastAsia="Times New Roman" w:hAnsi="Times New Roman" w:cs="Times New Roman"/>
                <w:color w:val="000000" w:themeColor="text1"/>
                <w:sz w:val="18"/>
                <w:szCs w:val="20"/>
                <w:lang w:val="en-GB" w:eastAsia="es-ES_tradnl"/>
              </w:rPr>
              <w:t>± 4.2</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0.096 (0.28)</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s-ES" w:eastAsia="es-ES_tradnl"/>
              </w:rPr>
            </w:pPr>
            <w:proofErr w:type="spellStart"/>
            <w:r w:rsidRPr="007830C2">
              <w:rPr>
                <w:rFonts w:ascii="Times New Roman" w:eastAsia="Times New Roman" w:hAnsi="Times New Roman" w:cs="Times New Roman"/>
                <w:color w:val="000000" w:themeColor="text1"/>
                <w:sz w:val="18"/>
                <w:szCs w:val="18"/>
                <w:lang w:val="en-GB" w:eastAsia="es-ES_tradnl"/>
              </w:rPr>
              <w:t>Supraili</w:t>
            </w:r>
            <w:r w:rsidRPr="007830C2">
              <w:rPr>
                <w:rFonts w:ascii="Times New Roman" w:eastAsia="Times New Roman" w:hAnsi="Times New Roman" w:cs="Times New Roman"/>
                <w:color w:val="000000" w:themeColor="text1"/>
                <w:sz w:val="18"/>
                <w:szCs w:val="18"/>
                <w:lang w:val="es-ES" w:eastAsia="es-ES_tradnl"/>
              </w:rPr>
              <w:t>ac</w:t>
            </w:r>
            <w:proofErr w:type="spellEnd"/>
            <w:r w:rsidRPr="007830C2">
              <w:rPr>
                <w:rFonts w:ascii="Times New Roman" w:eastAsia="Times New Roman" w:hAnsi="Times New Roman" w:cs="Times New Roman"/>
                <w:color w:val="000000" w:themeColor="text1"/>
                <w:sz w:val="18"/>
                <w:szCs w:val="18"/>
                <w:lang w:val="es-ES" w:eastAsia="es-ES_tradnl"/>
              </w:rPr>
              <w:t xml:space="preserve">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12.9 </w:t>
            </w:r>
            <w:r w:rsidRPr="007830C2">
              <w:rPr>
                <w:rFonts w:ascii="Times New Roman" w:eastAsia="Times New Roman" w:hAnsi="Times New Roman" w:cs="Times New Roman"/>
                <w:color w:val="000000" w:themeColor="text1"/>
                <w:sz w:val="18"/>
                <w:szCs w:val="18"/>
                <w:lang w:val="en-GB" w:eastAsia="es-ES_tradnl"/>
              </w:rPr>
              <w:t>± 4.8</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17.2 </w:t>
            </w:r>
            <w:r w:rsidRPr="007830C2">
              <w:rPr>
                <w:rFonts w:ascii="Times New Roman" w:eastAsia="Times New Roman" w:hAnsi="Times New Roman" w:cs="Times New Roman"/>
                <w:color w:val="000000" w:themeColor="text1"/>
                <w:sz w:val="18"/>
                <w:szCs w:val="18"/>
                <w:lang w:val="en-GB" w:eastAsia="es-ES_tradnl"/>
              </w:rPr>
              <w:t>± 5.7</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&lt;0.001 (0.82)</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16.1 </w:t>
            </w:r>
            <w:r w:rsidRPr="007830C2">
              <w:rPr>
                <w:rFonts w:ascii="Times New Roman" w:eastAsia="Times New Roman" w:hAnsi="Times New Roman" w:cs="Times New Roman"/>
                <w:color w:val="000000" w:themeColor="text1"/>
                <w:sz w:val="18"/>
                <w:szCs w:val="20"/>
                <w:lang w:val="en-GB" w:eastAsia="es-ES_tradnl"/>
              </w:rPr>
              <w:t>± 7.0</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19.2 </w:t>
            </w:r>
            <w:r w:rsidRPr="007830C2">
              <w:rPr>
                <w:rFonts w:ascii="Times New Roman" w:eastAsia="Times New Roman" w:hAnsi="Times New Roman" w:cs="Times New Roman"/>
                <w:color w:val="000000" w:themeColor="text1"/>
                <w:sz w:val="18"/>
                <w:szCs w:val="20"/>
                <w:lang w:val="en-GB" w:eastAsia="es-ES_tradnl"/>
              </w:rPr>
              <w:t>± 6.3</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0.036 (0.47)</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proofErr w:type="spellStart"/>
            <w:r w:rsidRPr="007830C2">
              <w:rPr>
                <w:rFonts w:ascii="Times New Roman" w:eastAsia="Times New Roman" w:hAnsi="Times New Roman" w:cs="Times New Roman"/>
                <w:color w:val="000000" w:themeColor="text1"/>
                <w:sz w:val="18"/>
                <w:szCs w:val="18"/>
                <w:lang w:val="en-GB" w:eastAsia="es-ES_tradnl"/>
              </w:rPr>
              <w:t>Supraespinale</w:t>
            </w:r>
            <w:proofErr w:type="spellEnd"/>
            <w:r w:rsidRPr="007830C2">
              <w:rPr>
                <w:rFonts w:ascii="Times New Roman" w:eastAsia="Times New Roman" w:hAnsi="Times New Roman" w:cs="Times New Roman"/>
                <w:color w:val="000000" w:themeColor="text1"/>
                <w:sz w:val="18"/>
                <w:szCs w:val="18"/>
                <w:lang w:val="en-GB" w:eastAsia="es-ES_tradnl"/>
              </w:rPr>
              <w:t xml:space="preserve">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7.9 </w:t>
            </w:r>
            <w:r w:rsidRPr="007830C2">
              <w:rPr>
                <w:rFonts w:ascii="Times New Roman" w:eastAsia="Times New Roman" w:hAnsi="Times New Roman" w:cs="Times New Roman"/>
                <w:color w:val="000000" w:themeColor="text1"/>
                <w:sz w:val="18"/>
                <w:szCs w:val="18"/>
                <w:lang w:val="en-GB" w:eastAsia="es-ES_tradnl"/>
              </w:rPr>
              <w:t>± 2.5</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9.5 </w:t>
            </w:r>
            <w:r w:rsidRPr="007830C2">
              <w:rPr>
                <w:rFonts w:ascii="Times New Roman" w:eastAsia="Times New Roman" w:hAnsi="Times New Roman" w:cs="Times New Roman"/>
                <w:color w:val="000000" w:themeColor="text1"/>
                <w:sz w:val="18"/>
                <w:szCs w:val="18"/>
                <w:lang w:val="en-GB" w:eastAsia="es-ES_tradnl"/>
              </w:rPr>
              <w:t>± 2.9</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0.002 (0.59)</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11.4 </w:t>
            </w:r>
            <w:r w:rsidRPr="007830C2">
              <w:rPr>
                <w:rFonts w:ascii="Times New Roman" w:eastAsia="Times New Roman" w:hAnsi="Times New Roman" w:cs="Times New Roman"/>
                <w:color w:val="000000" w:themeColor="text1"/>
                <w:sz w:val="18"/>
                <w:szCs w:val="20"/>
                <w:lang w:val="en-GB" w:eastAsia="es-ES_tradnl"/>
              </w:rPr>
              <w:t>± 6.9</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13.2 </w:t>
            </w:r>
            <w:r w:rsidRPr="007830C2">
              <w:rPr>
                <w:rFonts w:ascii="Times New Roman" w:eastAsia="Times New Roman" w:hAnsi="Times New Roman" w:cs="Times New Roman"/>
                <w:color w:val="000000" w:themeColor="text1"/>
                <w:sz w:val="18"/>
                <w:szCs w:val="20"/>
                <w:lang w:val="en-GB" w:eastAsia="es-ES_tradnl"/>
              </w:rPr>
              <w:t>± 5.6</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0.107 (0.29)</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Abdominal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10.8 </w:t>
            </w:r>
            <w:r w:rsidRPr="007830C2">
              <w:rPr>
                <w:rFonts w:ascii="Times New Roman" w:eastAsia="Times New Roman" w:hAnsi="Times New Roman" w:cs="Times New Roman"/>
                <w:color w:val="000000" w:themeColor="text1"/>
                <w:sz w:val="18"/>
                <w:szCs w:val="18"/>
                <w:lang w:val="en-GB" w:eastAsia="es-ES_tradnl"/>
              </w:rPr>
              <w:t>± 4.3</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13.0 </w:t>
            </w:r>
            <w:r w:rsidRPr="007830C2">
              <w:rPr>
                <w:rFonts w:ascii="Times New Roman" w:eastAsia="Times New Roman" w:hAnsi="Times New Roman" w:cs="Times New Roman"/>
                <w:color w:val="000000" w:themeColor="text1"/>
                <w:sz w:val="18"/>
                <w:szCs w:val="18"/>
                <w:lang w:val="en-GB" w:eastAsia="es-ES_tradnl"/>
              </w:rPr>
              <w:t>± 5.1</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 xml:space="preserve"> 0.003 (0.47)</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15.2 </w:t>
            </w:r>
            <w:r w:rsidRPr="007830C2">
              <w:rPr>
                <w:rFonts w:ascii="Times New Roman" w:eastAsia="Times New Roman" w:hAnsi="Times New Roman" w:cs="Times New Roman"/>
                <w:color w:val="000000" w:themeColor="text1"/>
                <w:sz w:val="18"/>
                <w:szCs w:val="20"/>
                <w:lang w:val="en-GB" w:eastAsia="es-ES_tradnl"/>
              </w:rPr>
              <w:t>± 6.1</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17.9 </w:t>
            </w:r>
            <w:r w:rsidRPr="007830C2">
              <w:rPr>
                <w:rFonts w:ascii="Times New Roman" w:eastAsia="Times New Roman" w:hAnsi="Times New Roman" w:cs="Times New Roman"/>
                <w:color w:val="000000" w:themeColor="text1"/>
                <w:sz w:val="18"/>
                <w:szCs w:val="20"/>
                <w:lang w:val="en-GB" w:eastAsia="es-ES_tradnl"/>
              </w:rPr>
              <w:t>± 5.6</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 xml:space="preserve"> 0.009 (0.46)</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Thigh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12.9 </w:t>
            </w:r>
            <w:r w:rsidRPr="007830C2">
              <w:rPr>
                <w:rFonts w:ascii="Times New Roman" w:eastAsia="Times New Roman" w:hAnsi="Times New Roman" w:cs="Times New Roman"/>
                <w:color w:val="000000" w:themeColor="text1"/>
                <w:sz w:val="18"/>
                <w:szCs w:val="18"/>
                <w:lang w:val="en-GB" w:eastAsia="es-ES_tradnl"/>
              </w:rPr>
              <w:t>± 5.4</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13.7 </w:t>
            </w:r>
            <w:r w:rsidRPr="007830C2">
              <w:rPr>
                <w:rFonts w:ascii="Times New Roman" w:eastAsia="Times New Roman" w:hAnsi="Times New Roman" w:cs="Times New Roman"/>
                <w:color w:val="000000" w:themeColor="text1"/>
                <w:sz w:val="18"/>
                <w:szCs w:val="18"/>
                <w:lang w:val="en-GB" w:eastAsia="es-ES_tradnl"/>
              </w:rPr>
              <w:t>± 4.6</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0.288 (0.16)</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23.0 </w:t>
            </w:r>
            <w:r w:rsidRPr="007830C2">
              <w:rPr>
                <w:rFonts w:ascii="Times New Roman" w:eastAsia="Times New Roman" w:hAnsi="Times New Roman" w:cs="Times New Roman"/>
                <w:color w:val="000000" w:themeColor="text1"/>
                <w:sz w:val="18"/>
                <w:szCs w:val="20"/>
                <w:lang w:val="en-GB" w:eastAsia="es-ES_tradnl"/>
              </w:rPr>
              <w:t>± 9.6</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24.3 </w:t>
            </w:r>
            <w:r w:rsidRPr="007830C2">
              <w:rPr>
                <w:rFonts w:ascii="Times New Roman" w:eastAsia="Times New Roman" w:hAnsi="Times New Roman" w:cs="Times New Roman"/>
                <w:color w:val="000000" w:themeColor="text1"/>
                <w:sz w:val="18"/>
                <w:szCs w:val="20"/>
                <w:lang w:val="en-GB" w:eastAsia="es-ES_tradnl"/>
              </w:rPr>
              <w:t>± 9.4</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0.462 (0.14)</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Calf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10.0 </w:t>
            </w:r>
            <w:r w:rsidRPr="007830C2">
              <w:rPr>
                <w:rFonts w:ascii="Times New Roman" w:eastAsia="Times New Roman" w:hAnsi="Times New Roman" w:cs="Times New Roman"/>
                <w:color w:val="000000" w:themeColor="text1"/>
                <w:sz w:val="18"/>
                <w:szCs w:val="18"/>
                <w:lang w:val="en-GB" w:eastAsia="es-ES_tradnl"/>
              </w:rPr>
              <w:t>± 2.6</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9.8 </w:t>
            </w:r>
            <w:r w:rsidRPr="007830C2">
              <w:rPr>
                <w:rFonts w:ascii="Times New Roman" w:eastAsia="Times New Roman" w:hAnsi="Times New Roman" w:cs="Times New Roman"/>
                <w:color w:val="000000" w:themeColor="text1"/>
                <w:sz w:val="18"/>
                <w:szCs w:val="18"/>
                <w:lang w:val="en-GB" w:eastAsia="es-ES_tradnl"/>
              </w:rPr>
              <w:t>± 3.3</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0.640 (0.07)</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14.4 </w:t>
            </w:r>
            <w:r w:rsidRPr="007830C2">
              <w:rPr>
                <w:rFonts w:ascii="Times New Roman" w:eastAsia="Times New Roman" w:hAnsi="Times New Roman" w:cs="Times New Roman"/>
                <w:color w:val="000000" w:themeColor="text1"/>
                <w:sz w:val="18"/>
                <w:szCs w:val="20"/>
                <w:lang w:val="en-GB" w:eastAsia="es-ES_tradnl"/>
              </w:rPr>
              <w:t>± 6.8</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15.6 </w:t>
            </w:r>
            <w:r w:rsidRPr="007830C2">
              <w:rPr>
                <w:rFonts w:ascii="Times New Roman" w:eastAsia="Times New Roman" w:hAnsi="Times New Roman" w:cs="Times New Roman"/>
                <w:color w:val="000000" w:themeColor="text1"/>
                <w:sz w:val="18"/>
                <w:szCs w:val="20"/>
                <w:lang w:val="en-GB" w:eastAsia="es-ES_tradnl"/>
              </w:rPr>
              <w:t>± 7.3</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0.017 (0.17)</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Sum of 3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24.7 </w:t>
            </w:r>
            <w:r w:rsidRPr="007830C2">
              <w:rPr>
                <w:rFonts w:ascii="Times New Roman" w:eastAsia="Times New Roman" w:hAnsi="Times New Roman" w:cs="Times New Roman"/>
                <w:color w:val="000000" w:themeColor="text1"/>
                <w:sz w:val="18"/>
                <w:szCs w:val="18"/>
                <w:lang w:val="en-GB" w:eastAsia="es-ES_tradnl"/>
              </w:rPr>
              <w:t>± 6.7</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28.4 </w:t>
            </w:r>
            <w:r w:rsidRPr="007830C2">
              <w:rPr>
                <w:rFonts w:ascii="Times New Roman" w:eastAsia="Times New Roman" w:hAnsi="Times New Roman" w:cs="Times New Roman"/>
                <w:color w:val="000000" w:themeColor="text1"/>
                <w:sz w:val="18"/>
                <w:szCs w:val="18"/>
                <w:lang w:val="en-GB" w:eastAsia="es-ES_tradnl"/>
              </w:rPr>
              <w:t>± 6.8</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 xml:space="preserve"> 0.001 (0.55)</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36.6 </w:t>
            </w:r>
            <w:r w:rsidRPr="007830C2">
              <w:rPr>
                <w:rFonts w:ascii="Times New Roman" w:eastAsia="Times New Roman" w:hAnsi="Times New Roman" w:cs="Times New Roman"/>
                <w:color w:val="000000" w:themeColor="text1"/>
                <w:sz w:val="18"/>
                <w:szCs w:val="20"/>
                <w:lang w:val="en-GB" w:eastAsia="es-ES_tradnl"/>
              </w:rPr>
              <w:t>± 17.0</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42.5 </w:t>
            </w:r>
            <w:r w:rsidRPr="007830C2">
              <w:rPr>
                <w:rFonts w:ascii="Times New Roman" w:eastAsia="Times New Roman" w:hAnsi="Times New Roman" w:cs="Times New Roman"/>
                <w:color w:val="000000" w:themeColor="text1"/>
                <w:sz w:val="18"/>
                <w:szCs w:val="20"/>
                <w:lang w:val="en-GB" w:eastAsia="es-ES_tradnl"/>
              </w:rPr>
              <w:t>± 15.5</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 xml:space="preserve"> 0.015 (0.36)</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Sum of 6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61.3 </w:t>
            </w:r>
            <w:r w:rsidRPr="007830C2">
              <w:rPr>
                <w:rFonts w:ascii="Times New Roman" w:eastAsia="Times New Roman" w:hAnsi="Times New Roman" w:cs="Times New Roman"/>
                <w:color w:val="000000" w:themeColor="text1"/>
                <w:sz w:val="18"/>
                <w:szCs w:val="18"/>
                <w:lang w:val="en-GB" w:eastAsia="es-ES_tradnl"/>
              </w:rPr>
              <w:t>± 19.8</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72.4 </w:t>
            </w:r>
            <w:r w:rsidRPr="007830C2">
              <w:rPr>
                <w:rFonts w:ascii="Times New Roman" w:eastAsia="Times New Roman" w:hAnsi="Times New Roman" w:cs="Times New Roman"/>
                <w:color w:val="000000" w:themeColor="text1"/>
                <w:sz w:val="18"/>
                <w:szCs w:val="18"/>
                <w:lang w:val="en-GB" w:eastAsia="es-ES_tradnl"/>
              </w:rPr>
              <w:t>± 20.2</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 xml:space="preserve"> 0.001 (0.55)</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90.9 </w:t>
            </w:r>
            <w:r w:rsidRPr="007830C2">
              <w:rPr>
                <w:rFonts w:ascii="Times New Roman" w:eastAsia="Times New Roman" w:hAnsi="Times New Roman" w:cs="Times New Roman"/>
                <w:color w:val="000000" w:themeColor="text1"/>
                <w:sz w:val="18"/>
                <w:szCs w:val="20"/>
                <w:lang w:val="en-GB" w:eastAsia="es-ES_tradnl"/>
              </w:rPr>
              <w:t>± 38.7</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103.9 </w:t>
            </w:r>
            <w:r w:rsidRPr="007830C2">
              <w:rPr>
                <w:rFonts w:ascii="Times New Roman" w:eastAsia="Times New Roman" w:hAnsi="Times New Roman" w:cs="Times New Roman"/>
                <w:color w:val="000000" w:themeColor="text1"/>
                <w:sz w:val="18"/>
                <w:szCs w:val="20"/>
                <w:lang w:val="en-GB" w:eastAsia="es-ES_tradnl"/>
              </w:rPr>
              <w:t>± 34.4</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 xml:space="preserve"> 0.034 (0.35)</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Sum of 8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75.7 </w:t>
            </w:r>
            <w:r w:rsidRPr="007830C2">
              <w:rPr>
                <w:rFonts w:ascii="Times New Roman" w:eastAsia="Times New Roman" w:hAnsi="Times New Roman" w:cs="Times New Roman"/>
                <w:color w:val="000000" w:themeColor="text1"/>
                <w:sz w:val="18"/>
                <w:szCs w:val="18"/>
                <w:lang w:val="en-GB" w:eastAsia="es-ES_tradnl"/>
              </w:rPr>
              <w:t>± 23.4</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86.6 </w:t>
            </w:r>
            <w:r w:rsidRPr="007830C2">
              <w:rPr>
                <w:rFonts w:ascii="Times New Roman" w:eastAsia="Times New Roman" w:hAnsi="Times New Roman" w:cs="Times New Roman"/>
                <w:color w:val="000000" w:themeColor="text1"/>
                <w:sz w:val="18"/>
                <w:szCs w:val="18"/>
                <w:lang w:val="en-GB" w:eastAsia="es-ES_tradnl"/>
              </w:rPr>
              <w:t>± 24.0</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 xml:space="preserve"> 0.002 (0.46)</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113.1 </w:t>
            </w:r>
            <w:r w:rsidRPr="007830C2">
              <w:rPr>
                <w:rFonts w:ascii="Times New Roman" w:eastAsia="Times New Roman" w:hAnsi="Times New Roman" w:cs="Times New Roman"/>
                <w:color w:val="000000" w:themeColor="text1"/>
                <w:sz w:val="18"/>
                <w:szCs w:val="20"/>
                <w:lang w:val="en-GB" w:eastAsia="es-ES_tradnl"/>
              </w:rPr>
              <w:t>± 49.0</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127.5 </w:t>
            </w:r>
            <w:r w:rsidRPr="007830C2">
              <w:rPr>
                <w:rFonts w:ascii="Times New Roman" w:eastAsia="Times New Roman" w:hAnsi="Times New Roman" w:cs="Times New Roman"/>
                <w:color w:val="000000" w:themeColor="text1"/>
                <w:sz w:val="18"/>
                <w:szCs w:val="20"/>
                <w:lang w:val="en-GB" w:eastAsia="es-ES_tradnl"/>
              </w:rPr>
              <w:t>± 44.0</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 xml:space="preserve"> 0.027 (0.31)</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Sum of upper limb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52.8 </w:t>
            </w:r>
            <w:r w:rsidRPr="007830C2">
              <w:rPr>
                <w:rFonts w:ascii="Times New Roman" w:eastAsia="Times New Roman" w:hAnsi="Times New Roman" w:cs="Times New Roman"/>
                <w:color w:val="000000" w:themeColor="text1"/>
                <w:sz w:val="18"/>
                <w:szCs w:val="18"/>
                <w:lang w:val="en-GB" w:eastAsia="es-ES_tradnl"/>
              </w:rPr>
              <w:t>± 16.7</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63.0 </w:t>
            </w:r>
            <w:r w:rsidRPr="007830C2">
              <w:rPr>
                <w:rFonts w:ascii="Times New Roman" w:eastAsia="Times New Roman" w:hAnsi="Times New Roman" w:cs="Times New Roman"/>
                <w:color w:val="000000" w:themeColor="text1"/>
                <w:sz w:val="18"/>
                <w:szCs w:val="18"/>
                <w:lang w:val="en-GB" w:eastAsia="es-ES_tradnl"/>
              </w:rPr>
              <w:t>± 17.6</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&lt;0.001 (0.59)</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75.7 </w:t>
            </w:r>
            <w:r w:rsidRPr="007830C2">
              <w:rPr>
                <w:rFonts w:ascii="Times New Roman" w:eastAsia="Times New Roman" w:hAnsi="Times New Roman" w:cs="Times New Roman"/>
                <w:color w:val="000000" w:themeColor="text1"/>
                <w:sz w:val="18"/>
                <w:szCs w:val="20"/>
                <w:lang w:val="en-GB" w:eastAsia="es-ES_tradnl"/>
              </w:rPr>
              <w:t>± 33.6</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87.6 </w:t>
            </w:r>
            <w:r w:rsidRPr="007830C2">
              <w:rPr>
                <w:rFonts w:ascii="Times New Roman" w:eastAsia="Times New Roman" w:hAnsi="Times New Roman" w:cs="Times New Roman"/>
                <w:color w:val="000000" w:themeColor="text1"/>
                <w:sz w:val="18"/>
                <w:szCs w:val="20"/>
                <w:lang w:val="en-GB" w:eastAsia="es-ES_tradnl"/>
              </w:rPr>
              <w:t>± 29.9</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0.018 (0.37)</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Sum of lower limb (mm)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23.0 </w:t>
            </w:r>
            <w:r w:rsidRPr="007830C2">
              <w:rPr>
                <w:rFonts w:ascii="Times New Roman" w:eastAsia="Times New Roman" w:hAnsi="Times New Roman" w:cs="Times New Roman"/>
                <w:color w:val="000000" w:themeColor="text1"/>
                <w:sz w:val="18"/>
                <w:szCs w:val="18"/>
                <w:lang w:val="en-GB" w:eastAsia="es-ES_tradnl"/>
              </w:rPr>
              <w:t>± 7.9</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23.5 </w:t>
            </w:r>
            <w:r w:rsidRPr="007830C2">
              <w:rPr>
                <w:rFonts w:ascii="Times New Roman" w:eastAsia="Times New Roman" w:hAnsi="Times New Roman" w:cs="Times New Roman"/>
                <w:color w:val="000000" w:themeColor="text1"/>
                <w:sz w:val="18"/>
                <w:szCs w:val="18"/>
                <w:lang w:val="en-GB" w:eastAsia="es-ES_tradnl"/>
              </w:rPr>
              <w:t>± 7.6</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0.627 (0.06)</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37.4 </w:t>
            </w:r>
            <w:r w:rsidRPr="007830C2">
              <w:rPr>
                <w:rFonts w:ascii="Times New Roman" w:eastAsia="Times New Roman" w:hAnsi="Times New Roman" w:cs="Times New Roman"/>
                <w:color w:val="000000" w:themeColor="text1"/>
                <w:sz w:val="18"/>
                <w:szCs w:val="20"/>
                <w:lang w:val="en-GB" w:eastAsia="es-ES_tradnl"/>
              </w:rPr>
              <w:t>± 15.9</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39.9 </w:t>
            </w:r>
            <w:r w:rsidRPr="007830C2">
              <w:rPr>
                <w:rFonts w:ascii="Times New Roman" w:eastAsia="Times New Roman" w:hAnsi="Times New Roman" w:cs="Times New Roman"/>
                <w:color w:val="000000" w:themeColor="text1"/>
                <w:sz w:val="18"/>
                <w:szCs w:val="20"/>
                <w:lang w:val="en-GB" w:eastAsia="es-ES_tradnl"/>
              </w:rPr>
              <w:t>± 14.7</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0.121 (0.16)</w:t>
            </w:r>
          </w:p>
        </w:tc>
      </w:tr>
      <w:tr w:rsidR="007830C2" w:rsidRPr="007830C2" w:rsidTr="00810955">
        <w:tc>
          <w:tcPr>
            <w:tcW w:w="2235" w:type="dxa"/>
          </w:tcPr>
          <w:p w:rsidR="00E33AE1" w:rsidRPr="007830C2" w:rsidRDefault="00E33AE1" w:rsidP="00E33AE1">
            <w:pPr>
              <w:spacing w:before="60" w:after="0" w:line="240" w:lineRule="auto"/>
              <w:jc w:val="center"/>
              <w:rPr>
                <w:rFonts w:ascii="Times New Roman" w:eastAsia="Times New Roman" w:hAnsi="Times New Roman" w:cs="Times New Roman"/>
                <w:b/>
                <w:color w:val="000000" w:themeColor="text1"/>
                <w:sz w:val="18"/>
                <w:szCs w:val="18"/>
                <w:lang w:val="en-GB" w:eastAsia="es-ES_tradnl"/>
              </w:rPr>
            </w:pPr>
            <w:r w:rsidRPr="007830C2">
              <w:rPr>
                <w:rFonts w:ascii="Times New Roman" w:eastAsia="Times New Roman" w:hAnsi="Times New Roman" w:cs="Times New Roman"/>
                <w:b/>
                <w:color w:val="000000" w:themeColor="text1"/>
                <w:sz w:val="18"/>
                <w:szCs w:val="18"/>
                <w:lang w:val="en-GB" w:eastAsia="es-ES_tradnl"/>
              </w:rPr>
              <w:t>Girths</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vertAlign w:val="superscript"/>
                <w:lang w:val="en-GB" w:eastAsia="es-ES_tradnl"/>
              </w:rPr>
            </w:pPr>
            <w:r w:rsidRPr="007830C2">
              <w:rPr>
                <w:rFonts w:ascii="Times New Roman" w:eastAsia="Times New Roman" w:hAnsi="Times New Roman" w:cs="Times New Roman"/>
                <w:color w:val="000000" w:themeColor="text1"/>
                <w:sz w:val="18"/>
                <w:szCs w:val="18"/>
                <w:lang w:val="en-GB" w:eastAsia="es-ES_tradnl"/>
              </w:rPr>
              <w:t>Relaxed upper arm (cm)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29.1 </w:t>
            </w:r>
            <w:r w:rsidRPr="007830C2">
              <w:rPr>
                <w:rFonts w:ascii="Times New Roman" w:eastAsia="Times New Roman" w:hAnsi="Times New Roman" w:cs="Times New Roman"/>
                <w:color w:val="000000" w:themeColor="text1"/>
                <w:sz w:val="18"/>
                <w:szCs w:val="18"/>
                <w:lang w:val="en-GB" w:eastAsia="es-ES_tradnl"/>
              </w:rPr>
              <w:t>± 3.1</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29.4 </w:t>
            </w:r>
            <w:r w:rsidRPr="007830C2">
              <w:rPr>
                <w:rFonts w:ascii="Times New Roman" w:eastAsia="Times New Roman" w:hAnsi="Times New Roman" w:cs="Times New Roman"/>
                <w:color w:val="000000" w:themeColor="text1"/>
                <w:sz w:val="18"/>
                <w:szCs w:val="18"/>
                <w:lang w:val="en-GB" w:eastAsia="es-ES_tradnl"/>
              </w:rPr>
              <w:t>± 3.2</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0.310 (0.09)</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27.9 </w:t>
            </w:r>
            <w:r w:rsidRPr="007830C2">
              <w:rPr>
                <w:rFonts w:ascii="Times New Roman" w:eastAsia="Times New Roman" w:hAnsi="Times New Roman" w:cs="Times New Roman"/>
                <w:color w:val="000000" w:themeColor="text1"/>
                <w:sz w:val="18"/>
                <w:szCs w:val="20"/>
                <w:lang w:val="en-GB" w:eastAsia="es-ES_tradnl"/>
              </w:rPr>
              <w:t>± 2.4</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27.9 </w:t>
            </w:r>
            <w:r w:rsidRPr="007830C2">
              <w:rPr>
                <w:rFonts w:ascii="Times New Roman" w:eastAsia="Times New Roman" w:hAnsi="Times New Roman" w:cs="Times New Roman"/>
                <w:color w:val="000000" w:themeColor="text1"/>
                <w:sz w:val="18"/>
                <w:szCs w:val="20"/>
                <w:lang w:val="en-GB" w:eastAsia="es-ES_tradnl"/>
              </w:rPr>
              <w:t>± 2.1</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0.836 (0)</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i/>
                <w:color w:val="000000" w:themeColor="text1"/>
                <w:sz w:val="18"/>
                <w:szCs w:val="18"/>
                <w:vertAlign w:val="superscript"/>
                <w:lang w:val="en-GB" w:eastAsia="es-ES_tradnl"/>
              </w:rPr>
            </w:pPr>
            <w:r w:rsidRPr="007830C2">
              <w:rPr>
                <w:rFonts w:ascii="Times New Roman" w:eastAsia="Times New Roman" w:hAnsi="Times New Roman" w:cs="Times New Roman"/>
                <w:color w:val="000000" w:themeColor="text1"/>
                <w:sz w:val="18"/>
                <w:szCs w:val="18"/>
                <w:lang w:val="en-GB" w:eastAsia="es-ES_tradnl"/>
              </w:rPr>
              <w:t>Flexed and tensed arm (cm)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31.8 </w:t>
            </w:r>
            <w:r w:rsidRPr="007830C2">
              <w:rPr>
                <w:rFonts w:ascii="Times New Roman" w:eastAsia="Times New Roman" w:hAnsi="Times New Roman" w:cs="Times New Roman"/>
                <w:color w:val="000000" w:themeColor="text1"/>
                <w:sz w:val="18"/>
                <w:szCs w:val="18"/>
                <w:lang w:val="en-GB" w:eastAsia="es-ES_tradnl"/>
              </w:rPr>
              <w:t>± 2.9</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31.4 </w:t>
            </w:r>
            <w:r w:rsidRPr="007830C2">
              <w:rPr>
                <w:rFonts w:ascii="Times New Roman" w:eastAsia="Times New Roman" w:hAnsi="Times New Roman" w:cs="Times New Roman"/>
                <w:color w:val="000000" w:themeColor="text1"/>
                <w:sz w:val="18"/>
                <w:szCs w:val="18"/>
                <w:lang w:val="en-GB" w:eastAsia="es-ES_tradnl"/>
              </w:rPr>
              <w:t>± 3.2</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0.187 (0.13)</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29.3 </w:t>
            </w:r>
            <w:r w:rsidRPr="007830C2">
              <w:rPr>
                <w:rFonts w:ascii="Times New Roman" w:eastAsia="Times New Roman" w:hAnsi="Times New Roman" w:cs="Times New Roman"/>
                <w:color w:val="000000" w:themeColor="text1"/>
                <w:sz w:val="18"/>
                <w:szCs w:val="20"/>
                <w:lang w:val="en-GB" w:eastAsia="es-ES_tradnl"/>
              </w:rPr>
              <w:t>± 2.0</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28.7 </w:t>
            </w:r>
            <w:r w:rsidRPr="007830C2">
              <w:rPr>
                <w:rFonts w:ascii="Times New Roman" w:eastAsia="Times New Roman" w:hAnsi="Times New Roman" w:cs="Times New Roman"/>
                <w:color w:val="000000" w:themeColor="text1"/>
                <w:sz w:val="18"/>
                <w:szCs w:val="20"/>
                <w:lang w:val="en-GB" w:eastAsia="es-ES_tradnl"/>
              </w:rPr>
              <w:t>± 2.0</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0.028 (0.30)</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Thigh (cm)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51.1 </w:t>
            </w:r>
            <w:r w:rsidRPr="007830C2">
              <w:rPr>
                <w:rFonts w:ascii="Times New Roman" w:eastAsia="Times New Roman" w:hAnsi="Times New Roman" w:cs="Times New Roman"/>
                <w:color w:val="000000" w:themeColor="text1"/>
                <w:sz w:val="18"/>
                <w:szCs w:val="18"/>
                <w:lang w:val="en-GB" w:eastAsia="es-ES_tradnl"/>
              </w:rPr>
              <w:t>± 4.2</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51.9 </w:t>
            </w:r>
            <w:r w:rsidRPr="007830C2">
              <w:rPr>
                <w:rFonts w:ascii="Times New Roman" w:eastAsia="Times New Roman" w:hAnsi="Times New Roman" w:cs="Times New Roman"/>
                <w:color w:val="000000" w:themeColor="text1"/>
                <w:sz w:val="18"/>
                <w:szCs w:val="18"/>
                <w:lang w:val="en-GB" w:eastAsia="es-ES_tradnl"/>
              </w:rPr>
              <w:t>± 4.5</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0.108 (0.18)</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50.8 </w:t>
            </w:r>
            <w:r w:rsidRPr="007830C2">
              <w:rPr>
                <w:rFonts w:ascii="Times New Roman" w:eastAsia="Times New Roman" w:hAnsi="Times New Roman" w:cs="Times New Roman"/>
                <w:color w:val="000000" w:themeColor="text1"/>
                <w:sz w:val="18"/>
                <w:szCs w:val="20"/>
                <w:lang w:val="en-GB" w:eastAsia="es-ES_tradnl"/>
              </w:rPr>
              <w:t>± 3.9</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51.4 </w:t>
            </w:r>
            <w:r w:rsidRPr="007830C2">
              <w:rPr>
                <w:rFonts w:ascii="Times New Roman" w:eastAsia="Times New Roman" w:hAnsi="Times New Roman" w:cs="Times New Roman"/>
                <w:color w:val="000000" w:themeColor="text1"/>
                <w:sz w:val="18"/>
                <w:szCs w:val="20"/>
                <w:lang w:val="en-GB" w:eastAsia="es-ES_tradnl"/>
              </w:rPr>
              <w:t>± 3.9</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0.229 (0.15)</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Calf (maximum) (cm)</w:t>
            </w:r>
          </w:p>
        </w:tc>
        <w:tc>
          <w:tcPr>
            <w:tcW w:w="1134" w:type="dxa"/>
            <w:shd w:val="clear" w:color="auto" w:fill="auto"/>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33.3 </w:t>
            </w:r>
            <w:r w:rsidRPr="007830C2">
              <w:rPr>
                <w:rFonts w:ascii="Times New Roman" w:eastAsia="Times New Roman" w:hAnsi="Times New Roman" w:cs="Times New Roman"/>
                <w:color w:val="000000" w:themeColor="text1"/>
                <w:sz w:val="18"/>
                <w:szCs w:val="18"/>
                <w:lang w:val="en-GB" w:eastAsia="es-ES_tradnl"/>
              </w:rPr>
              <w:t>± 2.8</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34.4 </w:t>
            </w:r>
            <w:r w:rsidRPr="007830C2">
              <w:rPr>
                <w:rFonts w:ascii="Times New Roman" w:eastAsia="Times New Roman" w:hAnsi="Times New Roman" w:cs="Times New Roman"/>
                <w:color w:val="000000" w:themeColor="text1"/>
                <w:sz w:val="18"/>
                <w:szCs w:val="18"/>
                <w:lang w:val="en-GB" w:eastAsia="es-ES_tradnl"/>
              </w:rPr>
              <w:t>± 2.6</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&lt;0.001 (0.41)</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32.7 </w:t>
            </w:r>
            <w:r w:rsidRPr="007830C2">
              <w:rPr>
                <w:rFonts w:ascii="Times New Roman" w:eastAsia="Times New Roman" w:hAnsi="Times New Roman" w:cs="Times New Roman"/>
                <w:color w:val="000000" w:themeColor="text1"/>
                <w:sz w:val="18"/>
                <w:szCs w:val="20"/>
                <w:lang w:val="en-GB" w:eastAsia="es-ES_tradnl"/>
              </w:rPr>
              <w:t>± 1.8</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33.7 </w:t>
            </w:r>
            <w:r w:rsidRPr="007830C2">
              <w:rPr>
                <w:rFonts w:ascii="Times New Roman" w:eastAsia="Times New Roman" w:hAnsi="Times New Roman" w:cs="Times New Roman"/>
                <w:color w:val="000000" w:themeColor="text1"/>
                <w:sz w:val="18"/>
                <w:szCs w:val="20"/>
                <w:lang w:val="en-GB" w:eastAsia="es-ES_tradnl"/>
              </w:rPr>
              <w:t>± 1.9</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0.032 (0.54)</w:t>
            </w:r>
          </w:p>
        </w:tc>
      </w:tr>
      <w:tr w:rsidR="007830C2" w:rsidRPr="007830C2" w:rsidTr="00810955">
        <w:tc>
          <w:tcPr>
            <w:tcW w:w="2235" w:type="dxa"/>
          </w:tcPr>
          <w:p w:rsidR="00E33AE1" w:rsidRPr="007830C2" w:rsidRDefault="00E33AE1" w:rsidP="00E33AE1">
            <w:pPr>
              <w:spacing w:before="60" w:after="0" w:line="240" w:lineRule="auto"/>
              <w:jc w:val="center"/>
              <w:rPr>
                <w:rFonts w:ascii="Times New Roman" w:eastAsia="Times New Roman" w:hAnsi="Times New Roman" w:cs="Times New Roman"/>
                <w:b/>
                <w:color w:val="000000" w:themeColor="text1"/>
                <w:sz w:val="18"/>
                <w:szCs w:val="18"/>
                <w:lang w:val="en-GB" w:eastAsia="es-ES_tradnl"/>
              </w:rPr>
            </w:pPr>
            <w:r w:rsidRPr="007830C2">
              <w:rPr>
                <w:rFonts w:ascii="Times New Roman" w:eastAsia="Times New Roman" w:hAnsi="Times New Roman" w:cs="Times New Roman"/>
                <w:b/>
                <w:color w:val="000000" w:themeColor="text1"/>
                <w:sz w:val="18"/>
                <w:szCs w:val="18"/>
                <w:lang w:val="en-GB" w:eastAsia="es-ES_tradnl"/>
              </w:rPr>
              <w:t>Somatotype</w:t>
            </w:r>
          </w:p>
        </w:tc>
        <w:tc>
          <w:tcPr>
            <w:tcW w:w="1134"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proofErr w:type="spellStart"/>
            <w:r w:rsidRPr="007830C2">
              <w:rPr>
                <w:rFonts w:ascii="Times New Roman" w:eastAsia="Times New Roman" w:hAnsi="Times New Roman" w:cs="Times New Roman"/>
                <w:color w:val="000000" w:themeColor="text1"/>
                <w:sz w:val="18"/>
                <w:szCs w:val="18"/>
                <w:lang w:val="en-GB" w:eastAsia="es-ES_tradnl"/>
              </w:rPr>
              <w:t>Endomorphy</w:t>
            </w:r>
            <w:proofErr w:type="spellEnd"/>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2.9 </w:t>
            </w:r>
            <w:r w:rsidRPr="007830C2">
              <w:rPr>
                <w:rFonts w:ascii="Times New Roman" w:eastAsia="Times New Roman" w:hAnsi="Times New Roman" w:cs="Times New Roman"/>
                <w:color w:val="000000" w:themeColor="text1"/>
                <w:sz w:val="18"/>
                <w:szCs w:val="18"/>
                <w:lang w:val="en-GB" w:eastAsia="es-ES_tradnl"/>
              </w:rPr>
              <w:t>± 0.9</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3.5 </w:t>
            </w:r>
            <w:r w:rsidRPr="007830C2">
              <w:rPr>
                <w:rFonts w:ascii="Times New Roman" w:eastAsia="Times New Roman" w:hAnsi="Times New Roman" w:cs="Times New Roman"/>
                <w:color w:val="000000" w:themeColor="text1"/>
                <w:sz w:val="18"/>
                <w:szCs w:val="18"/>
                <w:lang w:val="en-GB" w:eastAsia="es-ES_tradnl"/>
              </w:rPr>
              <w:t>± 1.0</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&lt;0.001 (0.63)</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4.2 </w:t>
            </w:r>
            <w:r w:rsidRPr="007830C2">
              <w:rPr>
                <w:rFonts w:ascii="Times New Roman" w:eastAsia="Times New Roman" w:hAnsi="Times New Roman" w:cs="Times New Roman"/>
                <w:color w:val="000000" w:themeColor="text1"/>
                <w:sz w:val="18"/>
                <w:szCs w:val="20"/>
                <w:lang w:val="en-GB" w:eastAsia="es-ES_tradnl"/>
              </w:rPr>
              <w:t>± 1.7</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5.1 </w:t>
            </w:r>
            <w:r w:rsidRPr="007830C2">
              <w:rPr>
                <w:rFonts w:ascii="Times New Roman" w:eastAsia="Times New Roman" w:hAnsi="Times New Roman" w:cs="Times New Roman"/>
                <w:color w:val="000000" w:themeColor="text1"/>
                <w:sz w:val="18"/>
                <w:szCs w:val="20"/>
                <w:lang w:val="en-GB" w:eastAsia="es-ES_tradnl"/>
              </w:rPr>
              <w:t>± 1.6</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0.019 (0.55)</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s-ES_tradnl" w:eastAsia="es-ES_tradnl"/>
              </w:rPr>
            </w:pPr>
            <w:proofErr w:type="spellStart"/>
            <w:r w:rsidRPr="007830C2">
              <w:rPr>
                <w:rFonts w:ascii="Times New Roman" w:eastAsia="Times New Roman" w:hAnsi="Times New Roman" w:cs="Times New Roman"/>
                <w:color w:val="000000" w:themeColor="text1"/>
                <w:sz w:val="18"/>
                <w:szCs w:val="18"/>
                <w:lang w:val="es-ES_tradnl" w:eastAsia="es-ES_tradnl"/>
              </w:rPr>
              <w:t>Mesomorphy</w:t>
            </w:r>
            <w:proofErr w:type="spellEnd"/>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3.9 </w:t>
            </w:r>
            <w:r w:rsidRPr="007830C2">
              <w:rPr>
                <w:rFonts w:ascii="Times New Roman" w:eastAsia="Times New Roman" w:hAnsi="Times New Roman" w:cs="Times New Roman"/>
                <w:color w:val="000000" w:themeColor="text1"/>
                <w:sz w:val="18"/>
                <w:szCs w:val="18"/>
                <w:lang w:val="en-GB" w:eastAsia="es-ES_tradnl"/>
              </w:rPr>
              <w:t>± 1.5</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4.2 </w:t>
            </w:r>
            <w:r w:rsidRPr="007830C2">
              <w:rPr>
                <w:rFonts w:ascii="Times New Roman" w:eastAsia="Times New Roman" w:hAnsi="Times New Roman" w:cs="Times New Roman"/>
                <w:color w:val="000000" w:themeColor="text1"/>
                <w:sz w:val="18"/>
                <w:szCs w:val="18"/>
                <w:lang w:val="en-GB" w:eastAsia="es-ES_tradnl"/>
              </w:rPr>
              <w:t>± 1.2</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_tradnl" w:eastAsia="es-ES_tradnl"/>
              </w:rPr>
            </w:pPr>
            <w:r w:rsidRPr="007830C2">
              <w:rPr>
                <w:rFonts w:ascii="Times New Roman" w:eastAsia="Times New Roman" w:hAnsi="Times New Roman" w:cs="Times New Roman"/>
                <w:color w:val="000000" w:themeColor="text1"/>
                <w:sz w:val="18"/>
                <w:szCs w:val="18"/>
                <w:lang w:val="es-ES_tradnl" w:eastAsia="es-ES_tradnl"/>
              </w:rPr>
              <w:t>0.110 (0.22)</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_tradnl" w:eastAsia="es-ES_tradnl"/>
              </w:rPr>
            </w:pPr>
            <w:r w:rsidRPr="007830C2">
              <w:rPr>
                <w:rFonts w:ascii="Times New Roman" w:eastAsia="Times New Roman" w:hAnsi="Times New Roman" w:cs="Times New Roman"/>
                <w:color w:val="000000" w:themeColor="text1"/>
                <w:sz w:val="18"/>
                <w:szCs w:val="20"/>
                <w:lang w:val="es-ES" w:eastAsia="es-ES_tradnl"/>
              </w:rPr>
              <w:t xml:space="preserve">3.7 </w:t>
            </w:r>
            <w:r w:rsidRPr="007830C2">
              <w:rPr>
                <w:rFonts w:ascii="Times New Roman" w:eastAsia="Times New Roman" w:hAnsi="Times New Roman" w:cs="Times New Roman"/>
                <w:color w:val="000000" w:themeColor="text1"/>
                <w:sz w:val="18"/>
                <w:szCs w:val="20"/>
                <w:lang w:val="en-GB" w:eastAsia="es-ES_tradnl"/>
              </w:rPr>
              <w:t>± 0.7</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3.3 </w:t>
            </w:r>
            <w:r w:rsidRPr="007830C2">
              <w:rPr>
                <w:rFonts w:ascii="Times New Roman" w:eastAsia="Times New Roman" w:hAnsi="Times New Roman" w:cs="Times New Roman"/>
                <w:color w:val="000000" w:themeColor="text1"/>
                <w:sz w:val="18"/>
                <w:szCs w:val="20"/>
                <w:lang w:val="en-GB" w:eastAsia="es-ES_tradnl"/>
              </w:rPr>
              <w:t>± 0.7</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_tradnl" w:eastAsia="es-ES_tradnl"/>
              </w:rPr>
              <w:t>0.222 (0.57)</w:t>
            </w:r>
          </w:p>
        </w:tc>
      </w:tr>
      <w:tr w:rsidR="007830C2" w:rsidRPr="007830C2" w:rsidTr="00810955">
        <w:tc>
          <w:tcPr>
            <w:tcW w:w="2235" w:type="dxa"/>
          </w:tcPr>
          <w:p w:rsidR="00E33AE1" w:rsidRPr="007830C2" w:rsidRDefault="00E33AE1" w:rsidP="00E33AE1">
            <w:pPr>
              <w:spacing w:after="0" w:line="240" w:lineRule="auto"/>
              <w:rPr>
                <w:rFonts w:ascii="Times New Roman" w:eastAsia="Times New Roman" w:hAnsi="Times New Roman" w:cs="Times New Roman"/>
                <w:color w:val="000000" w:themeColor="text1"/>
                <w:sz w:val="18"/>
                <w:szCs w:val="18"/>
                <w:lang w:val="en-GB" w:eastAsia="es-ES_tradnl"/>
              </w:rPr>
            </w:pPr>
            <w:proofErr w:type="spellStart"/>
            <w:r w:rsidRPr="007830C2">
              <w:rPr>
                <w:rFonts w:ascii="Times New Roman" w:eastAsia="Times New Roman" w:hAnsi="Times New Roman" w:cs="Times New Roman"/>
                <w:color w:val="000000" w:themeColor="text1"/>
                <w:sz w:val="18"/>
                <w:szCs w:val="18"/>
                <w:lang w:val="en-GB" w:eastAsia="es-ES_tradnl"/>
              </w:rPr>
              <w:t>Ectomorphy</w:t>
            </w:r>
            <w:proofErr w:type="spellEnd"/>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s-ES" w:eastAsia="es-ES_tradnl"/>
              </w:rPr>
              <w:t xml:space="preserve">3.4 </w:t>
            </w:r>
            <w:r w:rsidRPr="007830C2">
              <w:rPr>
                <w:rFonts w:ascii="Times New Roman" w:eastAsia="Times New Roman" w:hAnsi="Times New Roman" w:cs="Times New Roman"/>
                <w:color w:val="000000" w:themeColor="text1"/>
                <w:sz w:val="18"/>
                <w:szCs w:val="18"/>
                <w:lang w:val="en-GB" w:eastAsia="es-ES_tradnl"/>
              </w:rPr>
              <w:t>± 1.3</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3.2 </w:t>
            </w:r>
            <w:r w:rsidRPr="007830C2">
              <w:rPr>
                <w:rFonts w:ascii="Times New Roman" w:eastAsia="Times New Roman" w:hAnsi="Times New Roman" w:cs="Times New Roman"/>
                <w:color w:val="000000" w:themeColor="text1"/>
                <w:sz w:val="18"/>
                <w:szCs w:val="18"/>
                <w:lang w:val="en-GB" w:eastAsia="es-ES_tradnl"/>
              </w:rPr>
              <w:t>± 1.3</w:t>
            </w: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&lt;0.001 (0.15)</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2.8 </w:t>
            </w:r>
            <w:r w:rsidRPr="007830C2">
              <w:rPr>
                <w:rFonts w:ascii="Times New Roman" w:eastAsia="Times New Roman" w:hAnsi="Times New Roman" w:cs="Times New Roman"/>
                <w:color w:val="000000" w:themeColor="text1"/>
                <w:sz w:val="18"/>
                <w:szCs w:val="20"/>
                <w:lang w:val="en-GB" w:eastAsia="es-ES_tradnl"/>
              </w:rPr>
              <w:t>± 1.2</w:t>
            </w: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2.7 </w:t>
            </w:r>
            <w:r w:rsidRPr="007830C2">
              <w:rPr>
                <w:rFonts w:ascii="Times New Roman" w:eastAsia="Times New Roman" w:hAnsi="Times New Roman" w:cs="Times New Roman"/>
                <w:color w:val="000000" w:themeColor="text1"/>
                <w:sz w:val="18"/>
                <w:szCs w:val="20"/>
                <w:lang w:val="en-GB" w:eastAsia="es-ES_tradnl"/>
              </w:rPr>
              <w:t>± 1.1</w:t>
            </w: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0.143 (0.08)</w:t>
            </w:r>
          </w:p>
        </w:tc>
      </w:tr>
      <w:tr w:rsidR="007830C2" w:rsidRPr="007830C2" w:rsidTr="009A5CE8">
        <w:tc>
          <w:tcPr>
            <w:tcW w:w="2235" w:type="dxa"/>
          </w:tcPr>
          <w:p w:rsidR="00E33AE1" w:rsidRPr="007830C2" w:rsidRDefault="00E33AE1" w:rsidP="00E33AE1">
            <w:pPr>
              <w:spacing w:before="60" w:after="0" w:line="240" w:lineRule="auto"/>
              <w:jc w:val="center"/>
              <w:rPr>
                <w:rFonts w:ascii="Times New Roman" w:eastAsia="Times New Roman" w:hAnsi="Times New Roman" w:cs="Times New Roman"/>
                <w:b/>
                <w:color w:val="000000" w:themeColor="text1"/>
                <w:sz w:val="18"/>
                <w:szCs w:val="18"/>
                <w:lang w:val="en-GB" w:eastAsia="es-ES_tradnl"/>
              </w:rPr>
            </w:pPr>
            <w:r w:rsidRPr="007830C2">
              <w:rPr>
                <w:rFonts w:ascii="Times New Roman" w:eastAsia="Times New Roman" w:hAnsi="Times New Roman" w:cs="Times New Roman"/>
                <w:b/>
                <w:color w:val="000000" w:themeColor="text1"/>
                <w:sz w:val="18"/>
                <w:szCs w:val="18"/>
                <w:lang w:val="en-GB" w:eastAsia="es-ES_tradnl"/>
              </w:rPr>
              <w:t xml:space="preserve">Swimming performance </w:t>
            </w: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417"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13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4"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c>
          <w:tcPr>
            <w:tcW w:w="1278" w:type="dxa"/>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p>
        </w:tc>
      </w:tr>
      <w:tr w:rsidR="007830C2" w:rsidRPr="007830C2" w:rsidTr="00991BA6">
        <w:tc>
          <w:tcPr>
            <w:tcW w:w="2235" w:type="dxa"/>
            <w:tcBorders>
              <w:bottom w:val="single" w:sz="4" w:space="0" w:color="auto"/>
            </w:tcBorders>
          </w:tcPr>
          <w:p w:rsidR="00E33AE1" w:rsidRPr="007830C2" w:rsidRDefault="00E33AE1" w:rsidP="00E33AE1">
            <w:pPr>
              <w:spacing w:after="0" w:line="276" w:lineRule="auto"/>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50 m front crawl time (s)</w:t>
            </w:r>
          </w:p>
        </w:tc>
        <w:tc>
          <w:tcPr>
            <w:tcW w:w="1134" w:type="dxa"/>
            <w:tcBorders>
              <w:bottom w:val="single" w:sz="4" w:space="0" w:color="auto"/>
            </w:tcBorders>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27.9 </w:t>
            </w:r>
            <w:r w:rsidRPr="007830C2">
              <w:rPr>
                <w:rFonts w:ascii="Times New Roman" w:eastAsia="Times New Roman" w:hAnsi="Times New Roman" w:cs="Times New Roman"/>
                <w:color w:val="000000" w:themeColor="text1"/>
                <w:sz w:val="18"/>
                <w:szCs w:val="18"/>
                <w:lang w:val="en-GB" w:eastAsia="es-ES_tradnl"/>
              </w:rPr>
              <w:t>± 1.7</w:t>
            </w:r>
          </w:p>
        </w:tc>
        <w:tc>
          <w:tcPr>
            <w:tcW w:w="1134" w:type="dxa"/>
            <w:tcBorders>
              <w:bottom w:val="single" w:sz="4" w:space="0" w:color="auto"/>
            </w:tcBorders>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s-ES" w:eastAsia="es-ES_tradnl"/>
              </w:rPr>
            </w:pPr>
            <w:r w:rsidRPr="007830C2">
              <w:rPr>
                <w:rFonts w:ascii="Times New Roman" w:eastAsia="Times New Roman" w:hAnsi="Times New Roman" w:cs="Times New Roman"/>
                <w:color w:val="000000" w:themeColor="text1"/>
                <w:sz w:val="18"/>
                <w:szCs w:val="18"/>
                <w:lang w:val="es-ES" w:eastAsia="es-ES_tradnl"/>
              </w:rPr>
              <w:t xml:space="preserve">28.4 </w:t>
            </w:r>
            <w:r w:rsidRPr="007830C2">
              <w:rPr>
                <w:rFonts w:ascii="Times New Roman" w:eastAsia="Times New Roman" w:hAnsi="Times New Roman" w:cs="Times New Roman"/>
                <w:color w:val="000000" w:themeColor="text1"/>
                <w:sz w:val="18"/>
                <w:szCs w:val="18"/>
                <w:lang w:val="en-GB" w:eastAsia="es-ES_tradnl"/>
              </w:rPr>
              <w:t>± 2.1</w:t>
            </w:r>
          </w:p>
        </w:tc>
        <w:tc>
          <w:tcPr>
            <w:tcW w:w="1417" w:type="dxa"/>
            <w:tcBorders>
              <w:bottom w:val="single" w:sz="4" w:space="0" w:color="auto"/>
            </w:tcBorders>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18"/>
                <w:lang w:val="en-GB" w:eastAsia="es-ES_tradnl"/>
              </w:rPr>
              <w:t>0.014 (0.26)</w:t>
            </w:r>
          </w:p>
        </w:tc>
        <w:tc>
          <w:tcPr>
            <w:tcW w:w="1134" w:type="dxa"/>
            <w:tcBorders>
              <w:bottom w:val="single" w:sz="4" w:space="0" w:color="auto"/>
            </w:tcBorders>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18"/>
                <w:lang w:val="en-GB" w:eastAsia="es-ES_tradnl"/>
              </w:rPr>
            </w:pPr>
            <w:r w:rsidRPr="007830C2">
              <w:rPr>
                <w:rFonts w:ascii="Times New Roman" w:eastAsia="Times New Roman" w:hAnsi="Times New Roman" w:cs="Times New Roman"/>
                <w:color w:val="000000" w:themeColor="text1"/>
                <w:sz w:val="18"/>
                <w:szCs w:val="20"/>
                <w:lang w:val="es-ES" w:eastAsia="es-ES_tradnl"/>
              </w:rPr>
              <w:t xml:space="preserve">31.0 </w:t>
            </w:r>
            <w:r w:rsidRPr="007830C2">
              <w:rPr>
                <w:rFonts w:ascii="Times New Roman" w:eastAsia="Times New Roman" w:hAnsi="Times New Roman" w:cs="Times New Roman"/>
                <w:color w:val="000000" w:themeColor="text1"/>
                <w:sz w:val="18"/>
                <w:szCs w:val="20"/>
                <w:lang w:val="en-GB" w:eastAsia="es-ES_tradnl"/>
              </w:rPr>
              <w:t>± 2.5</w:t>
            </w:r>
          </w:p>
        </w:tc>
        <w:tc>
          <w:tcPr>
            <w:tcW w:w="1274" w:type="dxa"/>
            <w:tcBorders>
              <w:bottom w:val="single" w:sz="4" w:space="0" w:color="auto"/>
            </w:tcBorders>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s-ES" w:eastAsia="es-ES_tradnl"/>
              </w:rPr>
              <w:t xml:space="preserve">31.9 </w:t>
            </w:r>
            <w:r w:rsidRPr="007830C2">
              <w:rPr>
                <w:rFonts w:ascii="Times New Roman" w:eastAsia="Times New Roman" w:hAnsi="Times New Roman" w:cs="Times New Roman"/>
                <w:color w:val="000000" w:themeColor="text1"/>
                <w:sz w:val="18"/>
                <w:szCs w:val="20"/>
                <w:lang w:val="en-GB" w:eastAsia="es-ES_tradnl"/>
              </w:rPr>
              <w:t>± 2.2</w:t>
            </w:r>
          </w:p>
        </w:tc>
        <w:tc>
          <w:tcPr>
            <w:tcW w:w="1278" w:type="dxa"/>
            <w:tcBorders>
              <w:bottom w:val="single" w:sz="4" w:space="0" w:color="auto"/>
            </w:tcBorders>
          </w:tcPr>
          <w:p w:rsidR="00E33AE1" w:rsidRPr="007830C2" w:rsidRDefault="00E33AE1" w:rsidP="00E33AE1">
            <w:pPr>
              <w:spacing w:after="0" w:line="240" w:lineRule="auto"/>
              <w:jc w:val="center"/>
              <w:rPr>
                <w:rFonts w:ascii="Times New Roman" w:eastAsia="Times New Roman" w:hAnsi="Times New Roman" w:cs="Times New Roman"/>
                <w:color w:val="000000" w:themeColor="text1"/>
                <w:sz w:val="18"/>
                <w:szCs w:val="20"/>
                <w:lang w:val="es-ES" w:eastAsia="es-ES_tradnl"/>
              </w:rPr>
            </w:pPr>
            <w:r w:rsidRPr="007830C2">
              <w:rPr>
                <w:rFonts w:ascii="Times New Roman" w:eastAsia="Times New Roman" w:hAnsi="Times New Roman" w:cs="Times New Roman"/>
                <w:color w:val="000000" w:themeColor="text1"/>
                <w:sz w:val="18"/>
                <w:szCs w:val="20"/>
                <w:lang w:val="en-GB" w:eastAsia="es-ES_tradnl"/>
              </w:rPr>
              <w:t>0.033 (0.38)</w:t>
            </w:r>
          </w:p>
        </w:tc>
      </w:tr>
      <w:tr w:rsidR="007830C2" w:rsidRPr="007830C2" w:rsidTr="00762DD0">
        <w:tc>
          <w:tcPr>
            <w:tcW w:w="9606" w:type="dxa"/>
            <w:gridSpan w:val="7"/>
            <w:tcBorders>
              <w:top w:val="single" w:sz="4" w:space="0" w:color="auto"/>
              <w:bottom w:val="single" w:sz="4" w:space="0" w:color="auto"/>
            </w:tcBorders>
          </w:tcPr>
          <w:p w:rsidR="00991BA6" w:rsidRPr="007830C2" w:rsidRDefault="00991BA6" w:rsidP="00991BA6">
            <w:pPr>
              <w:spacing w:after="0" w:line="240" w:lineRule="auto"/>
              <w:jc w:val="both"/>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6"/>
                <w:szCs w:val="18"/>
                <w:lang w:val="en-GB" w:eastAsia="es-ES_tradnl"/>
              </w:rPr>
              <w:t xml:space="preserve">Sum of 3 = triceps, subscapular and </w:t>
            </w:r>
            <w:proofErr w:type="spellStart"/>
            <w:r w:rsidRPr="007830C2">
              <w:rPr>
                <w:rFonts w:ascii="Times New Roman" w:eastAsia="Times New Roman" w:hAnsi="Times New Roman" w:cs="Times New Roman"/>
                <w:color w:val="000000" w:themeColor="text1"/>
                <w:sz w:val="16"/>
                <w:szCs w:val="18"/>
                <w:lang w:val="en-GB" w:eastAsia="es-ES_tradnl"/>
              </w:rPr>
              <w:t>supraespinale</w:t>
            </w:r>
            <w:proofErr w:type="spellEnd"/>
            <w:r w:rsidRPr="007830C2">
              <w:rPr>
                <w:rFonts w:ascii="Times New Roman" w:eastAsia="Times New Roman" w:hAnsi="Times New Roman" w:cs="Times New Roman"/>
                <w:color w:val="000000" w:themeColor="text1"/>
                <w:sz w:val="16"/>
                <w:szCs w:val="18"/>
                <w:lang w:val="en-GB" w:eastAsia="es-ES_tradnl"/>
              </w:rPr>
              <w:t xml:space="preserve">; Sum of 6 = sum of 3, </w:t>
            </w:r>
            <w:proofErr w:type="spellStart"/>
            <w:r w:rsidRPr="007830C2">
              <w:rPr>
                <w:rFonts w:ascii="Times New Roman" w:eastAsia="Times New Roman" w:hAnsi="Times New Roman" w:cs="Times New Roman"/>
                <w:color w:val="000000" w:themeColor="text1"/>
                <w:sz w:val="16"/>
                <w:szCs w:val="18"/>
                <w:lang w:val="en-GB" w:eastAsia="es-ES_tradnl"/>
              </w:rPr>
              <w:t>suprailiac</w:t>
            </w:r>
            <w:proofErr w:type="spellEnd"/>
            <w:r w:rsidRPr="007830C2">
              <w:rPr>
                <w:rFonts w:ascii="Times New Roman" w:eastAsia="Times New Roman" w:hAnsi="Times New Roman" w:cs="Times New Roman"/>
                <w:color w:val="000000" w:themeColor="text1"/>
                <w:sz w:val="16"/>
                <w:szCs w:val="18"/>
                <w:lang w:val="en-GB" w:eastAsia="es-ES_tradnl"/>
              </w:rPr>
              <w:t xml:space="preserve">, abdominal and thigh; Sum of 8 = sum of 6, biceps and calf. </w:t>
            </w:r>
          </w:p>
        </w:tc>
      </w:tr>
    </w:tbl>
    <w:p w:rsidR="007C2F04" w:rsidRPr="007830C2" w:rsidRDefault="007C2F04" w:rsidP="00F11F0D">
      <w:pPr>
        <w:autoSpaceDE w:val="0"/>
        <w:autoSpaceDN w:val="0"/>
        <w:adjustRightInd w:val="0"/>
        <w:spacing w:before="120" w:after="0" w:line="240" w:lineRule="auto"/>
        <w:jc w:val="both"/>
        <w:rPr>
          <w:rFonts w:ascii="Times New Roman" w:hAnsi="Times New Roman" w:cs="Times New Roman"/>
          <w:color w:val="000000" w:themeColor="text1"/>
          <w:sz w:val="24"/>
          <w:szCs w:val="24"/>
          <w:lang w:val="en-US"/>
        </w:rPr>
      </w:pPr>
      <w:r w:rsidRPr="007830C2">
        <w:rPr>
          <w:rFonts w:ascii="Times New Roman" w:hAnsi="Times New Roman" w:cs="Times New Roman"/>
          <w:color w:val="000000" w:themeColor="text1"/>
          <w:sz w:val="24"/>
          <w:szCs w:val="24"/>
          <w:lang w:val="en-US"/>
        </w:rPr>
        <w:t xml:space="preserve">The somatotypes of each swimmer, before and after the five weeks off-season period, are shown in Figure 1. Males’ mean somatotype was </w:t>
      </w:r>
      <w:proofErr w:type="spellStart"/>
      <w:r w:rsidRPr="007830C2">
        <w:rPr>
          <w:rFonts w:ascii="Times New Roman" w:hAnsi="Times New Roman" w:cs="Times New Roman"/>
          <w:color w:val="000000" w:themeColor="text1"/>
          <w:sz w:val="24"/>
          <w:szCs w:val="24"/>
          <w:lang w:val="en-US"/>
        </w:rPr>
        <w:t>ecto</w:t>
      </w:r>
      <w:proofErr w:type="spellEnd"/>
      <w:r w:rsidRPr="007830C2">
        <w:rPr>
          <w:rFonts w:ascii="Times New Roman" w:hAnsi="Times New Roman" w:cs="Times New Roman"/>
          <w:color w:val="000000" w:themeColor="text1"/>
          <w:sz w:val="24"/>
          <w:szCs w:val="24"/>
          <w:lang w:val="en-US"/>
        </w:rPr>
        <w:t>-mesomorph (2.9-3.9-3.4</w:t>
      </w:r>
      <w:r w:rsidR="00717871" w:rsidRPr="007830C2">
        <w:rPr>
          <w:rFonts w:ascii="Times New Roman" w:hAnsi="Times New Roman" w:cs="Times New Roman"/>
          <w:color w:val="000000" w:themeColor="text1"/>
          <w:sz w:val="24"/>
          <w:szCs w:val="24"/>
          <w:lang w:val="en-US"/>
        </w:rPr>
        <w:t xml:space="preserve"> of </w:t>
      </w:r>
      <w:proofErr w:type="spellStart"/>
      <w:r w:rsidR="00717871" w:rsidRPr="007830C2">
        <w:rPr>
          <w:rFonts w:ascii="Times New Roman" w:hAnsi="Times New Roman" w:cs="Times New Roman"/>
          <w:color w:val="000000" w:themeColor="text1"/>
          <w:sz w:val="24"/>
          <w:szCs w:val="24"/>
          <w:lang w:val="en-US"/>
        </w:rPr>
        <w:t>endomorphy</w:t>
      </w:r>
      <w:proofErr w:type="spellEnd"/>
      <w:r w:rsidR="00717871" w:rsidRPr="007830C2">
        <w:rPr>
          <w:rFonts w:ascii="Times New Roman" w:hAnsi="Times New Roman" w:cs="Times New Roman"/>
          <w:color w:val="000000" w:themeColor="text1"/>
          <w:sz w:val="24"/>
          <w:szCs w:val="24"/>
          <w:lang w:val="en-US"/>
        </w:rPr>
        <w:t xml:space="preserve">, </w:t>
      </w:r>
      <w:proofErr w:type="spellStart"/>
      <w:r w:rsidR="00717871" w:rsidRPr="007830C2">
        <w:rPr>
          <w:rFonts w:ascii="Times New Roman" w:hAnsi="Times New Roman" w:cs="Times New Roman"/>
          <w:color w:val="000000" w:themeColor="text1"/>
          <w:sz w:val="24"/>
          <w:szCs w:val="24"/>
          <w:lang w:val="en-US"/>
        </w:rPr>
        <w:t>mosomorphy</w:t>
      </w:r>
      <w:proofErr w:type="spellEnd"/>
      <w:r w:rsidR="00717871" w:rsidRPr="007830C2">
        <w:rPr>
          <w:rFonts w:ascii="Times New Roman" w:hAnsi="Times New Roman" w:cs="Times New Roman"/>
          <w:color w:val="000000" w:themeColor="text1"/>
          <w:sz w:val="24"/>
          <w:szCs w:val="24"/>
          <w:lang w:val="en-US"/>
        </w:rPr>
        <w:t xml:space="preserve"> and </w:t>
      </w:r>
      <w:proofErr w:type="spellStart"/>
      <w:r w:rsidR="00717871" w:rsidRPr="007830C2">
        <w:rPr>
          <w:rFonts w:ascii="Times New Roman" w:hAnsi="Times New Roman" w:cs="Times New Roman"/>
          <w:color w:val="000000" w:themeColor="text1"/>
          <w:sz w:val="24"/>
          <w:szCs w:val="24"/>
          <w:lang w:val="en-US"/>
        </w:rPr>
        <w:t>ectomorphy</w:t>
      </w:r>
      <w:proofErr w:type="spellEnd"/>
      <w:r w:rsidR="00717871" w:rsidRPr="007830C2">
        <w:rPr>
          <w:rFonts w:ascii="Times New Roman" w:hAnsi="Times New Roman" w:cs="Times New Roman"/>
          <w:color w:val="000000" w:themeColor="text1"/>
          <w:sz w:val="24"/>
          <w:szCs w:val="24"/>
          <w:lang w:val="en-US"/>
        </w:rPr>
        <w:t>, respectively</w:t>
      </w:r>
      <w:r w:rsidRPr="007830C2">
        <w:rPr>
          <w:rFonts w:ascii="Times New Roman" w:hAnsi="Times New Roman" w:cs="Times New Roman"/>
          <w:color w:val="000000" w:themeColor="text1"/>
          <w:sz w:val="24"/>
          <w:szCs w:val="24"/>
          <w:lang w:val="en-US"/>
        </w:rPr>
        <w:t xml:space="preserve">) in the PRE while it changed to endo-mesomorph (3.5-3.9-3.4) in the POST. Females’ mean somatotype was </w:t>
      </w:r>
      <w:proofErr w:type="spellStart"/>
      <w:r w:rsidRPr="007830C2">
        <w:rPr>
          <w:rFonts w:ascii="Times New Roman" w:hAnsi="Times New Roman" w:cs="Times New Roman"/>
          <w:color w:val="000000" w:themeColor="text1"/>
          <w:sz w:val="24"/>
          <w:szCs w:val="24"/>
          <w:lang w:val="en-US"/>
        </w:rPr>
        <w:t>meso</w:t>
      </w:r>
      <w:proofErr w:type="spellEnd"/>
      <w:r w:rsidRPr="007830C2">
        <w:rPr>
          <w:rFonts w:ascii="Times New Roman" w:hAnsi="Times New Roman" w:cs="Times New Roman"/>
          <w:color w:val="000000" w:themeColor="text1"/>
          <w:sz w:val="24"/>
          <w:szCs w:val="24"/>
          <w:lang w:val="en-US"/>
        </w:rPr>
        <w:t xml:space="preserve">-endomorph in the PRE (4.2-3.7-2.8) and endomorph in the POST (5.1-3.3-2.7). </w:t>
      </w:r>
    </w:p>
    <w:p w:rsidR="00B0790B" w:rsidRPr="007830C2" w:rsidRDefault="00B0790B" w:rsidP="001E442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02025" w:rsidRPr="007830C2" w:rsidRDefault="00B0790B" w:rsidP="00703B9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7830C2">
        <w:rPr>
          <w:rFonts w:ascii="Times New Roman" w:hAnsi="Times New Roman" w:cs="Times New Roman"/>
          <w:b/>
          <w:noProof/>
          <w:color w:val="000000" w:themeColor="text1"/>
          <w:sz w:val="24"/>
          <w:szCs w:val="24"/>
          <w:lang w:val="es-ES" w:eastAsia="es-ES"/>
        </w:rPr>
        <w:drawing>
          <wp:inline distT="0" distB="0" distL="0" distR="0">
            <wp:extent cx="5399405" cy="2247868"/>
            <wp:effectExtent l="0" t="0" r="0" b="635"/>
            <wp:docPr id="1" name="Imagen 1" descr="C:\Users\oscar\OneDrive\Escritorio\Aquatics Lab\Manuscript_Anthropometric\The Journal of Sports Medicine and Physical Fitness\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OneDrive\Escritorio\Aquatics Lab\Manuscript_Anthropometric\The Journal of Sports Medicine and Physical Fitness\Figure_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527" b="18460"/>
                    <a:stretch/>
                  </pic:blipFill>
                  <pic:spPr bwMode="auto">
                    <a:xfrm>
                      <a:off x="0" y="0"/>
                      <a:ext cx="5399405" cy="2247868"/>
                    </a:xfrm>
                    <a:prstGeom prst="rect">
                      <a:avLst/>
                    </a:prstGeom>
                    <a:noFill/>
                    <a:ln>
                      <a:noFill/>
                    </a:ln>
                    <a:extLst>
                      <a:ext uri="{53640926-AAD7-44D8-BBD7-CCE9431645EC}">
                        <a14:shadowObscured xmlns:a14="http://schemas.microsoft.com/office/drawing/2010/main"/>
                      </a:ext>
                    </a:extLst>
                  </pic:spPr>
                </pic:pic>
              </a:graphicData>
            </a:graphic>
          </wp:inline>
        </w:drawing>
      </w:r>
    </w:p>
    <w:p w:rsidR="008B5E6E" w:rsidRPr="007830C2" w:rsidRDefault="008B5E6E" w:rsidP="00703B99">
      <w:pPr>
        <w:autoSpaceDE w:val="0"/>
        <w:autoSpaceDN w:val="0"/>
        <w:adjustRightInd w:val="0"/>
        <w:spacing w:before="80" w:after="0" w:line="240" w:lineRule="auto"/>
        <w:jc w:val="both"/>
        <w:rPr>
          <w:rFonts w:ascii="Times New Roman" w:hAnsi="Times New Roman" w:cs="Times New Roman"/>
          <w:color w:val="000000" w:themeColor="text1"/>
          <w:sz w:val="20"/>
          <w:szCs w:val="24"/>
          <w:lang w:val="en-US"/>
        </w:rPr>
      </w:pPr>
      <w:r w:rsidRPr="007830C2">
        <w:rPr>
          <w:rFonts w:ascii="Times New Roman" w:hAnsi="Times New Roman" w:cs="Times New Roman"/>
          <w:color w:val="000000" w:themeColor="text1"/>
          <w:sz w:val="20"/>
          <w:szCs w:val="24"/>
          <w:lang w:val="en-US"/>
        </w:rPr>
        <w:t xml:space="preserve">Figure 1. Somatotype distribution observed in male (left panel) and female (right panel) swimmers. Each participant is represented by the same number before (PRE = </w:t>
      </w:r>
      <w:r w:rsidRPr="007830C2">
        <w:rPr>
          <w:rFonts w:ascii="Times New Roman" w:hAnsi="Times New Roman" w:cs="Times New Roman"/>
          <w:color w:val="000000" w:themeColor="text1"/>
          <w:sz w:val="20"/>
          <w:szCs w:val="24"/>
          <w:lang w:val="en-US"/>
          <w14:textOutline w14:w="9525" w14:cap="rnd" w14:cmpd="sng" w14:algn="ctr">
            <w14:solidFill>
              <w14:schemeClr w14:val="tx1"/>
            </w14:solidFill>
            <w14:prstDash w14:val="solid"/>
            <w14:bevel/>
          </w14:textOutline>
        </w:rPr>
        <w:t>○</w:t>
      </w:r>
      <w:r w:rsidRPr="007830C2">
        <w:rPr>
          <w:rFonts w:ascii="Times New Roman" w:hAnsi="Times New Roman" w:cs="Times New Roman"/>
          <w:color w:val="000000" w:themeColor="text1"/>
          <w:sz w:val="20"/>
          <w:szCs w:val="24"/>
          <w:lang w:val="en-US"/>
        </w:rPr>
        <w:t xml:space="preserve">) and after (POST = </w:t>
      </w:r>
      <w:r w:rsidRPr="007830C2">
        <w:rPr>
          <w:rFonts w:ascii="Times New Roman" w:hAnsi="Times New Roman" w:cs="Times New Roman"/>
          <w:color w:val="000000" w:themeColor="text1"/>
          <w:sz w:val="20"/>
          <w:szCs w:val="24"/>
          <w:lang w:val="en-US"/>
          <w14:textOutline w14:w="9525" w14:cap="rnd" w14:cmpd="sng" w14:algn="ctr">
            <w14:solidFill>
              <w14:schemeClr w14:val="tx1"/>
            </w14:solidFill>
            <w14:prstDash w14:val="solid"/>
            <w14:bevel/>
          </w14:textOutline>
        </w:rPr>
        <w:t>▲</w:t>
      </w:r>
      <w:r w:rsidRPr="007830C2">
        <w:rPr>
          <w:rFonts w:ascii="Times New Roman" w:hAnsi="Times New Roman" w:cs="Times New Roman"/>
          <w:color w:val="000000" w:themeColor="text1"/>
          <w:sz w:val="20"/>
          <w:szCs w:val="24"/>
          <w:lang w:val="en-US"/>
        </w:rPr>
        <w:t xml:space="preserve">) the five week of </w:t>
      </w:r>
      <w:r w:rsidR="00703B99" w:rsidRPr="007830C2">
        <w:rPr>
          <w:rFonts w:ascii="Times New Roman" w:hAnsi="Times New Roman" w:cs="Times New Roman"/>
          <w:color w:val="000000" w:themeColor="text1"/>
          <w:sz w:val="20"/>
          <w:szCs w:val="24"/>
          <w:lang w:val="en-US"/>
        </w:rPr>
        <w:t>training cessation</w:t>
      </w:r>
      <w:r w:rsidRPr="007830C2">
        <w:rPr>
          <w:rFonts w:ascii="Times New Roman" w:hAnsi="Times New Roman" w:cs="Times New Roman"/>
          <w:color w:val="000000" w:themeColor="text1"/>
          <w:sz w:val="20"/>
          <w:szCs w:val="24"/>
          <w:lang w:val="en-US"/>
        </w:rPr>
        <w:t xml:space="preserve"> on its corresponding panel. The mean somatotypes for each sex in the PRE (●) and in the POST (▲) are represented.</w:t>
      </w:r>
    </w:p>
    <w:p w:rsidR="00D84ADF" w:rsidRPr="007830C2" w:rsidRDefault="007C2F04" w:rsidP="00EC0FE9">
      <w:pPr>
        <w:spacing w:before="120" w:after="120"/>
        <w:ind w:firstLine="709"/>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 xml:space="preserve">In male swimmers, the body height changes showed positive correlation with 50 m front-crawl performance changes (r = 0.66; p = 0.010). In female swimmers, the 50 m front-crawl performance changes were negatively correlated with the changes in girth of tensed arm (r = -0.64; p = 0.043) and muscle mass (r = -0.66; p = 0.037). The total physical activity during the </w:t>
      </w:r>
      <w:r w:rsidR="007B24CC" w:rsidRPr="007830C2">
        <w:rPr>
          <w:rFonts w:ascii="Times New Roman" w:hAnsi="Times New Roman" w:cs="Times New Roman"/>
          <w:color w:val="000000" w:themeColor="text1"/>
          <w:sz w:val="24"/>
          <w:szCs w:val="24"/>
          <w:lang w:val="en-GB"/>
        </w:rPr>
        <w:t xml:space="preserve">off-season (Table 2) </w:t>
      </w:r>
      <w:r w:rsidRPr="007830C2">
        <w:rPr>
          <w:rFonts w:ascii="Times New Roman" w:hAnsi="Times New Roman" w:cs="Times New Roman"/>
          <w:color w:val="000000" w:themeColor="text1"/>
          <w:sz w:val="24"/>
          <w:szCs w:val="24"/>
          <w:lang w:val="en-GB"/>
        </w:rPr>
        <w:t>was not associated with the variation in 50 m front-crawl performance. Moreover, when conducting partial correlations, controlling for total physical activity values, the male and female swimmers exhibited the same associations as the Pearson’s.</w:t>
      </w:r>
    </w:p>
    <w:tbl>
      <w:tblPr>
        <w:tblStyle w:val="Tablaconcuadrcula"/>
        <w:tblW w:w="0" w:type="auto"/>
        <w:jc w:val="center"/>
        <w:tblLook w:val="04A0" w:firstRow="1" w:lastRow="0" w:firstColumn="1" w:lastColumn="0" w:noHBand="0" w:noVBand="1"/>
      </w:tblPr>
      <w:tblGrid>
        <w:gridCol w:w="2977"/>
        <w:gridCol w:w="236"/>
        <w:gridCol w:w="1465"/>
        <w:gridCol w:w="284"/>
        <w:gridCol w:w="1984"/>
      </w:tblGrid>
      <w:tr w:rsidR="007830C2" w:rsidRPr="007830C2" w:rsidTr="00EC0FE9">
        <w:trPr>
          <w:jc w:val="center"/>
        </w:trPr>
        <w:tc>
          <w:tcPr>
            <w:tcW w:w="6946" w:type="dxa"/>
            <w:gridSpan w:val="5"/>
            <w:tcBorders>
              <w:top w:val="nil"/>
              <w:left w:val="nil"/>
              <w:bottom w:val="single" w:sz="4" w:space="0" w:color="auto"/>
              <w:right w:val="nil"/>
            </w:tcBorders>
          </w:tcPr>
          <w:p w:rsidR="00D84ADF" w:rsidRPr="007830C2" w:rsidRDefault="00D84ADF" w:rsidP="00D84ADF">
            <w:pPr>
              <w:jc w:val="both"/>
              <w:rPr>
                <w:rFonts w:ascii="Times New Roman" w:hAnsi="Times New Roman" w:cs="Times New Roman"/>
                <w:color w:val="000000" w:themeColor="text1"/>
                <w:sz w:val="24"/>
                <w:szCs w:val="24"/>
                <w:lang w:val="en-GB"/>
              </w:rPr>
            </w:pPr>
            <w:r w:rsidRPr="007830C2">
              <w:rPr>
                <w:rFonts w:ascii="Times New Roman" w:eastAsia="Times New Roman" w:hAnsi="Times New Roman" w:cs="Times New Roman"/>
                <w:b/>
                <w:color w:val="000000" w:themeColor="text1"/>
                <w:sz w:val="20"/>
                <w:szCs w:val="20"/>
                <w:lang w:val="en-GB" w:eastAsia="es-ES_tradnl"/>
              </w:rPr>
              <w:lastRenderedPageBreak/>
              <w:t>Table 2.</w:t>
            </w:r>
            <w:r w:rsidRPr="007830C2">
              <w:rPr>
                <w:rFonts w:ascii="Times New Roman" w:eastAsia="Times New Roman" w:hAnsi="Times New Roman" w:cs="Times New Roman"/>
                <w:color w:val="000000" w:themeColor="text1"/>
                <w:sz w:val="20"/>
                <w:szCs w:val="20"/>
                <w:lang w:val="en-GB" w:eastAsia="es-ES_tradnl"/>
              </w:rPr>
              <w:t xml:space="preserve"> Physical activity levels for male (n = 12) and female swimmers (n = 8) during the</w:t>
            </w:r>
            <w:r w:rsidR="00EC0FE9" w:rsidRPr="007830C2">
              <w:rPr>
                <w:rFonts w:ascii="Times New Roman" w:eastAsia="Times New Roman" w:hAnsi="Times New Roman" w:cs="Times New Roman"/>
                <w:color w:val="000000" w:themeColor="text1"/>
                <w:sz w:val="20"/>
                <w:szCs w:val="20"/>
                <w:lang w:val="en-GB" w:eastAsia="es-ES_tradnl"/>
              </w:rPr>
              <w:t xml:space="preserve"> five weeks of training cessation</w:t>
            </w:r>
            <w:r w:rsidRPr="007830C2">
              <w:rPr>
                <w:rFonts w:ascii="Times New Roman" w:eastAsia="Times New Roman" w:hAnsi="Times New Roman" w:cs="Times New Roman"/>
                <w:color w:val="000000" w:themeColor="text1"/>
                <w:sz w:val="20"/>
                <w:szCs w:val="20"/>
                <w:lang w:val="en-GB" w:eastAsia="es-ES_tradnl"/>
              </w:rPr>
              <w:t>.</w:t>
            </w:r>
          </w:p>
        </w:tc>
      </w:tr>
      <w:tr w:rsidR="007830C2" w:rsidRPr="007830C2" w:rsidTr="00EC0FE9">
        <w:trPr>
          <w:jc w:val="center"/>
        </w:trPr>
        <w:tc>
          <w:tcPr>
            <w:tcW w:w="2977" w:type="dxa"/>
            <w:tcBorders>
              <w:left w:val="nil"/>
              <w:bottom w:val="single" w:sz="4" w:space="0" w:color="auto"/>
              <w:right w:val="nil"/>
            </w:tcBorders>
            <w:vAlign w:val="center"/>
          </w:tcPr>
          <w:p w:rsidR="00D84ADF" w:rsidRPr="007830C2" w:rsidRDefault="00D84ADF" w:rsidP="00EC0FE9">
            <w:pPr>
              <w:jc w:val="cente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b/>
                <w:color w:val="000000" w:themeColor="text1"/>
                <w:sz w:val="18"/>
                <w:szCs w:val="20"/>
                <w:lang w:val="en-GB" w:eastAsia="es-ES_tradnl"/>
              </w:rPr>
              <w:t>Physical activity</w:t>
            </w:r>
          </w:p>
        </w:tc>
        <w:tc>
          <w:tcPr>
            <w:tcW w:w="236" w:type="dxa"/>
            <w:tcBorders>
              <w:left w:val="nil"/>
              <w:bottom w:val="single" w:sz="4" w:space="0" w:color="auto"/>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465" w:type="dxa"/>
            <w:tcBorders>
              <w:left w:val="nil"/>
              <w:bottom w:val="single" w:sz="4" w:space="0" w:color="auto"/>
              <w:right w:val="nil"/>
            </w:tcBorders>
            <w:vAlign w:val="center"/>
          </w:tcPr>
          <w:p w:rsidR="00D84ADF" w:rsidRPr="007830C2" w:rsidRDefault="00D84ADF" w:rsidP="00EC0FE9">
            <w:pPr>
              <w:jc w:val="center"/>
              <w:rPr>
                <w:rFonts w:ascii="Times New Roman" w:eastAsia="Times New Roman" w:hAnsi="Times New Roman" w:cs="Times New Roman"/>
                <w:b/>
                <w:color w:val="000000" w:themeColor="text1"/>
                <w:sz w:val="18"/>
                <w:szCs w:val="20"/>
                <w:lang w:val="en-GB" w:eastAsia="es-ES_tradnl"/>
              </w:rPr>
            </w:pPr>
            <w:r w:rsidRPr="007830C2">
              <w:rPr>
                <w:rFonts w:ascii="Times New Roman" w:eastAsia="Times New Roman" w:hAnsi="Times New Roman" w:cs="Times New Roman"/>
                <w:b/>
                <w:color w:val="000000" w:themeColor="text1"/>
                <w:sz w:val="18"/>
                <w:szCs w:val="20"/>
                <w:lang w:val="en-GB" w:eastAsia="es-ES_tradnl"/>
              </w:rPr>
              <w:t>Male swimmers</w:t>
            </w:r>
          </w:p>
        </w:tc>
        <w:tc>
          <w:tcPr>
            <w:tcW w:w="284" w:type="dxa"/>
            <w:tcBorders>
              <w:left w:val="nil"/>
              <w:bottom w:val="single" w:sz="4" w:space="0" w:color="auto"/>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984" w:type="dxa"/>
            <w:tcBorders>
              <w:left w:val="nil"/>
              <w:bottom w:val="single" w:sz="4" w:space="0" w:color="auto"/>
              <w:right w:val="nil"/>
            </w:tcBorders>
            <w:vAlign w:val="center"/>
          </w:tcPr>
          <w:p w:rsidR="00D84ADF" w:rsidRPr="007830C2" w:rsidRDefault="00D84ADF" w:rsidP="00EC0FE9">
            <w:pPr>
              <w:jc w:val="center"/>
              <w:rPr>
                <w:rFonts w:ascii="Times New Roman" w:eastAsia="Times New Roman" w:hAnsi="Times New Roman" w:cs="Times New Roman"/>
                <w:b/>
                <w:color w:val="000000" w:themeColor="text1"/>
                <w:sz w:val="18"/>
                <w:szCs w:val="20"/>
                <w:lang w:val="en-GB" w:eastAsia="es-ES_tradnl"/>
              </w:rPr>
            </w:pPr>
            <w:r w:rsidRPr="007830C2">
              <w:rPr>
                <w:rFonts w:ascii="Times New Roman" w:eastAsia="Times New Roman" w:hAnsi="Times New Roman" w:cs="Times New Roman"/>
                <w:b/>
                <w:color w:val="000000" w:themeColor="text1"/>
                <w:sz w:val="18"/>
                <w:szCs w:val="20"/>
                <w:lang w:val="en-GB" w:eastAsia="es-ES_tradnl"/>
              </w:rPr>
              <w:t>Female swimmers</w:t>
            </w:r>
          </w:p>
        </w:tc>
      </w:tr>
      <w:tr w:rsidR="007830C2" w:rsidRPr="007830C2" w:rsidTr="00EC0FE9">
        <w:trPr>
          <w:jc w:val="center"/>
        </w:trPr>
        <w:tc>
          <w:tcPr>
            <w:tcW w:w="2977" w:type="dxa"/>
            <w:tcBorders>
              <w:left w:val="nil"/>
              <w:bottom w:val="nil"/>
              <w:right w:val="nil"/>
            </w:tcBorders>
            <w:vAlign w:val="center"/>
          </w:tcPr>
          <w:p w:rsidR="00D84ADF" w:rsidRPr="007830C2" w:rsidRDefault="00D84ADF" w:rsidP="00EC0FE9">
            <w:pP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Low intensity (</w:t>
            </w:r>
            <w:r w:rsidRPr="007830C2">
              <w:rPr>
                <w:rFonts w:ascii="Times New Roman" w:eastAsia="Times New Roman" w:hAnsi="Times New Roman" w:cs="Times New Roman"/>
                <w:color w:val="000000" w:themeColor="text1"/>
                <w:sz w:val="18"/>
                <w:szCs w:val="20"/>
                <w:lang w:val="en-US" w:eastAsia="es-ES_tradnl"/>
              </w:rPr>
              <w:t>MET-min·wk</w:t>
            </w:r>
            <w:r w:rsidRPr="007830C2">
              <w:rPr>
                <w:rFonts w:ascii="Times New Roman" w:eastAsia="Times New Roman" w:hAnsi="Times New Roman" w:cs="Times New Roman"/>
                <w:color w:val="000000" w:themeColor="text1"/>
                <w:sz w:val="18"/>
                <w:szCs w:val="20"/>
                <w:vertAlign w:val="superscript"/>
                <w:lang w:val="en-US" w:eastAsia="es-ES_tradnl"/>
              </w:rPr>
              <w:t>−1</w:t>
            </w:r>
            <w:r w:rsidRPr="007830C2">
              <w:rPr>
                <w:rFonts w:ascii="Times New Roman" w:eastAsia="Times New Roman" w:hAnsi="Times New Roman" w:cs="Times New Roman"/>
                <w:color w:val="000000" w:themeColor="text1"/>
                <w:sz w:val="18"/>
                <w:szCs w:val="20"/>
                <w:lang w:val="en-US" w:eastAsia="es-ES_tradnl"/>
              </w:rPr>
              <w:t>)</w:t>
            </w:r>
          </w:p>
        </w:tc>
        <w:tc>
          <w:tcPr>
            <w:tcW w:w="236" w:type="dxa"/>
            <w:tcBorders>
              <w:left w:val="nil"/>
              <w:bottom w:val="nil"/>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465" w:type="dxa"/>
            <w:tcBorders>
              <w:left w:val="nil"/>
              <w:bottom w:val="nil"/>
              <w:right w:val="nil"/>
            </w:tcBorders>
            <w:vAlign w:val="center"/>
          </w:tcPr>
          <w:p w:rsidR="00D84ADF" w:rsidRPr="007830C2" w:rsidRDefault="00D84ADF" w:rsidP="00EC0FE9">
            <w:pPr>
              <w:jc w:val="cente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943.4 ± 711.2</w:t>
            </w:r>
          </w:p>
        </w:tc>
        <w:tc>
          <w:tcPr>
            <w:tcW w:w="284" w:type="dxa"/>
            <w:tcBorders>
              <w:left w:val="nil"/>
              <w:bottom w:val="nil"/>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984" w:type="dxa"/>
            <w:tcBorders>
              <w:left w:val="nil"/>
              <w:bottom w:val="nil"/>
              <w:right w:val="nil"/>
            </w:tcBorders>
            <w:vAlign w:val="center"/>
          </w:tcPr>
          <w:p w:rsidR="00D84ADF" w:rsidRPr="007830C2" w:rsidRDefault="00D84ADF" w:rsidP="00EC0FE9">
            <w:pPr>
              <w:jc w:val="cente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817.2 ± 165.8</w:t>
            </w:r>
          </w:p>
        </w:tc>
      </w:tr>
      <w:tr w:rsidR="007830C2" w:rsidRPr="007830C2" w:rsidTr="00EC0FE9">
        <w:trPr>
          <w:jc w:val="center"/>
        </w:trPr>
        <w:tc>
          <w:tcPr>
            <w:tcW w:w="2977" w:type="dxa"/>
            <w:tcBorders>
              <w:top w:val="nil"/>
              <w:left w:val="nil"/>
              <w:bottom w:val="nil"/>
              <w:right w:val="nil"/>
            </w:tcBorders>
            <w:vAlign w:val="center"/>
          </w:tcPr>
          <w:p w:rsidR="00D84ADF" w:rsidRPr="007830C2" w:rsidRDefault="00D84ADF" w:rsidP="00EC0FE9">
            <w:pP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Moderate intensity (</w:t>
            </w:r>
            <w:r w:rsidRPr="007830C2">
              <w:rPr>
                <w:rFonts w:ascii="Times New Roman" w:eastAsia="Times New Roman" w:hAnsi="Times New Roman" w:cs="Times New Roman"/>
                <w:color w:val="000000" w:themeColor="text1"/>
                <w:sz w:val="18"/>
                <w:szCs w:val="20"/>
                <w:lang w:val="en-US" w:eastAsia="es-ES_tradnl"/>
              </w:rPr>
              <w:t>MET-min·wk</w:t>
            </w:r>
            <w:r w:rsidRPr="007830C2">
              <w:rPr>
                <w:rFonts w:ascii="Times New Roman" w:eastAsia="Times New Roman" w:hAnsi="Times New Roman" w:cs="Times New Roman"/>
                <w:color w:val="000000" w:themeColor="text1"/>
                <w:sz w:val="18"/>
                <w:szCs w:val="20"/>
                <w:vertAlign w:val="superscript"/>
                <w:lang w:val="en-US" w:eastAsia="es-ES_tradnl"/>
              </w:rPr>
              <w:t>−1</w:t>
            </w:r>
            <w:r w:rsidRPr="007830C2">
              <w:rPr>
                <w:rFonts w:ascii="Times New Roman" w:eastAsia="Times New Roman" w:hAnsi="Times New Roman" w:cs="Times New Roman"/>
                <w:color w:val="000000" w:themeColor="text1"/>
                <w:sz w:val="18"/>
                <w:szCs w:val="20"/>
                <w:lang w:val="en-US" w:eastAsia="es-ES_tradnl"/>
              </w:rPr>
              <w:t>)</w:t>
            </w:r>
          </w:p>
        </w:tc>
        <w:tc>
          <w:tcPr>
            <w:tcW w:w="236" w:type="dxa"/>
            <w:tcBorders>
              <w:top w:val="nil"/>
              <w:left w:val="nil"/>
              <w:bottom w:val="nil"/>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465" w:type="dxa"/>
            <w:tcBorders>
              <w:top w:val="nil"/>
              <w:left w:val="nil"/>
              <w:bottom w:val="nil"/>
              <w:right w:val="nil"/>
            </w:tcBorders>
            <w:vAlign w:val="center"/>
          </w:tcPr>
          <w:p w:rsidR="00D84ADF" w:rsidRPr="007830C2" w:rsidRDefault="00D84ADF" w:rsidP="00EC0FE9">
            <w:pPr>
              <w:jc w:val="cente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1111.2 ± 1592.3</w:t>
            </w:r>
          </w:p>
        </w:tc>
        <w:tc>
          <w:tcPr>
            <w:tcW w:w="284" w:type="dxa"/>
            <w:tcBorders>
              <w:top w:val="nil"/>
              <w:left w:val="nil"/>
              <w:bottom w:val="nil"/>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984" w:type="dxa"/>
            <w:tcBorders>
              <w:top w:val="nil"/>
              <w:left w:val="nil"/>
              <w:bottom w:val="nil"/>
              <w:right w:val="nil"/>
            </w:tcBorders>
            <w:vAlign w:val="center"/>
          </w:tcPr>
          <w:p w:rsidR="00D84ADF" w:rsidRPr="007830C2" w:rsidRDefault="00D84ADF" w:rsidP="00EC0FE9">
            <w:pPr>
              <w:jc w:val="cente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322.5 ± 233.9</w:t>
            </w:r>
          </w:p>
        </w:tc>
      </w:tr>
      <w:tr w:rsidR="007830C2" w:rsidRPr="007830C2" w:rsidTr="00F95857">
        <w:trPr>
          <w:jc w:val="center"/>
        </w:trPr>
        <w:tc>
          <w:tcPr>
            <w:tcW w:w="2977" w:type="dxa"/>
            <w:tcBorders>
              <w:top w:val="nil"/>
              <w:left w:val="nil"/>
              <w:bottom w:val="nil"/>
              <w:right w:val="nil"/>
            </w:tcBorders>
            <w:vAlign w:val="center"/>
          </w:tcPr>
          <w:p w:rsidR="00D84ADF" w:rsidRPr="007830C2" w:rsidRDefault="00D84ADF" w:rsidP="00EC0FE9">
            <w:pP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Vigorous intensity (</w:t>
            </w:r>
            <w:r w:rsidRPr="007830C2">
              <w:rPr>
                <w:rFonts w:ascii="Times New Roman" w:eastAsia="Times New Roman" w:hAnsi="Times New Roman" w:cs="Times New Roman"/>
                <w:color w:val="000000" w:themeColor="text1"/>
                <w:sz w:val="18"/>
                <w:szCs w:val="20"/>
                <w:lang w:val="en-US" w:eastAsia="es-ES_tradnl"/>
              </w:rPr>
              <w:t>ME</w:t>
            </w:r>
            <w:bookmarkStart w:id="0" w:name="_GoBack"/>
            <w:bookmarkEnd w:id="0"/>
            <w:r w:rsidRPr="007830C2">
              <w:rPr>
                <w:rFonts w:ascii="Times New Roman" w:eastAsia="Times New Roman" w:hAnsi="Times New Roman" w:cs="Times New Roman"/>
                <w:color w:val="000000" w:themeColor="text1"/>
                <w:sz w:val="18"/>
                <w:szCs w:val="20"/>
                <w:lang w:val="en-US" w:eastAsia="es-ES_tradnl"/>
              </w:rPr>
              <w:t>T-min·wk</w:t>
            </w:r>
            <w:r w:rsidRPr="007830C2">
              <w:rPr>
                <w:rFonts w:ascii="Times New Roman" w:eastAsia="Times New Roman" w:hAnsi="Times New Roman" w:cs="Times New Roman"/>
                <w:color w:val="000000" w:themeColor="text1"/>
                <w:sz w:val="18"/>
                <w:szCs w:val="20"/>
                <w:vertAlign w:val="superscript"/>
                <w:lang w:val="en-US" w:eastAsia="es-ES_tradnl"/>
              </w:rPr>
              <w:t>−1</w:t>
            </w:r>
            <w:r w:rsidRPr="007830C2">
              <w:rPr>
                <w:rFonts w:ascii="Times New Roman" w:eastAsia="Times New Roman" w:hAnsi="Times New Roman" w:cs="Times New Roman"/>
                <w:color w:val="000000" w:themeColor="text1"/>
                <w:sz w:val="18"/>
                <w:szCs w:val="20"/>
                <w:lang w:val="en-US" w:eastAsia="es-ES_tradnl"/>
              </w:rPr>
              <w:t>)</w:t>
            </w:r>
          </w:p>
        </w:tc>
        <w:tc>
          <w:tcPr>
            <w:tcW w:w="236" w:type="dxa"/>
            <w:tcBorders>
              <w:top w:val="nil"/>
              <w:left w:val="nil"/>
              <w:bottom w:val="nil"/>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465" w:type="dxa"/>
            <w:tcBorders>
              <w:top w:val="nil"/>
              <w:left w:val="nil"/>
              <w:bottom w:val="nil"/>
              <w:right w:val="nil"/>
            </w:tcBorders>
            <w:vAlign w:val="center"/>
          </w:tcPr>
          <w:p w:rsidR="00D84ADF" w:rsidRPr="007830C2" w:rsidRDefault="00D84ADF" w:rsidP="00EC0FE9">
            <w:pPr>
              <w:jc w:val="cente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1352.0 ± 1435.1</w:t>
            </w:r>
          </w:p>
        </w:tc>
        <w:tc>
          <w:tcPr>
            <w:tcW w:w="284" w:type="dxa"/>
            <w:tcBorders>
              <w:top w:val="nil"/>
              <w:left w:val="nil"/>
              <w:bottom w:val="nil"/>
              <w:right w:val="nil"/>
            </w:tcBorders>
            <w:vAlign w:val="center"/>
          </w:tcPr>
          <w:p w:rsidR="00D84ADF" w:rsidRPr="007830C2" w:rsidRDefault="00D84ADF" w:rsidP="00EC0FE9">
            <w:pPr>
              <w:jc w:val="center"/>
              <w:rPr>
                <w:rFonts w:ascii="Times New Roman" w:hAnsi="Times New Roman" w:cs="Times New Roman"/>
                <w:color w:val="000000" w:themeColor="text1"/>
                <w:sz w:val="24"/>
                <w:szCs w:val="24"/>
                <w:lang w:val="en-GB"/>
              </w:rPr>
            </w:pPr>
          </w:p>
        </w:tc>
        <w:tc>
          <w:tcPr>
            <w:tcW w:w="1984" w:type="dxa"/>
            <w:tcBorders>
              <w:top w:val="nil"/>
              <w:left w:val="nil"/>
              <w:bottom w:val="nil"/>
              <w:right w:val="nil"/>
            </w:tcBorders>
            <w:vAlign w:val="center"/>
          </w:tcPr>
          <w:p w:rsidR="00D84ADF" w:rsidRPr="007830C2" w:rsidRDefault="00D84ADF" w:rsidP="00EC0FE9">
            <w:pPr>
              <w:jc w:val="center"/>
              <w:rPr>
                <w:rFonts w:ascii="Times New Roman" w:eastAsia="Times New Roman" w:hAnsi="Times New Roman" w:cs="Times New Roman"/>
                <w:color w:val="000000" w:themeColor="text1"/>
                <w:sz w:val="18"/>
                <w:szCs w:val="20"/>
                <w:lang w:val="en-GB" w:eastAsia="es-ES_tradnl"/>
              </w:rPr>
            </w:pPr>
            <w:r w:rsidRPr="007830C2">
              <w:rPr>
                <w:rFonts w:ascii="Times New Roman" w:eastAsia="Times New Roman" w:hAnsi="Times New Roman" w:cs="Times New Roman"/>
                <w:color w:val="000000" w:themeColor="text1"/>
                <w:sz w:val="18"/>
                <w:szCs w:val="20"/>
                <w:lang w:val="en-GB" w:eastAsia="es-ES_tradnl"/>
              </w:rPr>
              <w:t>213.0 ± 281.8</w:t>
            </w:r>
          </w:p>
        </w:tc>
      </w:tr>
      <w:tr w:rsidR="00F95857" w:rsidRPr="007830C2" w:rsidTr="000F11FB">
        <w:trPr>
          <w:jc w:val="center"/>
        </w:trPr>
        <w:tc>
          <w:tcPr>
            <w:tcW w:w="2977" w:type="dxa"/>
            <w:tcBorders>
              <w:top w:val="nil"/>
              <w:left w:val="nil"/>
              <w:bottom w:val="single" w:sz="4" w:space="0" w:color="auto"/>
              <w:right w:val="nil"/>
            </w:tcBorders>
          </w:tcPr>
          <w:p w:rsidR="00F95857" w:rsidRPr="00F95857" w:rsidRDefault="00F95857" w:rsidP="00F95857">
            <w:pPr>
              <w:rPr>
                <w:rFonts w:ascii="Times New Roman" w:hAnsi="Times New Roman" w:cs="Times New Roman"/>
                <w:sz w:val="18"/>
                <w:szCs w:val="20"/>
                <w:lang w:val="en-GB"/>
              </w:rPr>
            </w:pPr>
            <w:r w:rsidRPr="00F95857">
              <w:rPr>
                <w:rFonts w:ascii="Times New Roman" w:hAnsi="Times New Roman" w:cs="Times New Roman"/>
                <w:sz w:val="18"/>
                <w:szCs w:val="20"/>
                <w:lang w:val="en-GB"/>
              </w:rPr>
              <w:t>Total (</w:t>
            </w:r>
            <w:r w:rsidRPr="00F95857">
              <w:rPr>
                <w:rFonts w:ascii="Times New Roman" w:hAnsi="Times New Roman" w:cs="Times New Roman"/>
                <w:color w:val="000000"/>
                <w:sz w:val="18"/>
                <w:szCs w:val="20"/>
              </w:rPr>
              <w:t>MET-min·wk</w:t>
            </w:r>
            <w:r w:rsidRPr="00F95857">
              <w:rPr>
                <w:rFonts w:ascii="Times New Roman" w:hAnsi="Times New Roman" w:cs="Times New Roman"/>
                <w:color w:val="000000"/>
                <w:sz w:val="18"/>
                <w:szCs w:val="20"/>
                <w:vertAlign w:val="superscript"/>
              </w:rPr>
              <w:t>−1</w:t>
            </w:r>
            <w:r w:rsidRPr="00F95857">
              <w:rPr>
                <w:rFonts w:ascii="Times New Roman" w:hAnsi="Times New Roman" w:cs="Times New Roman"/>
                <w:color w:val="000000"/>
                <w:sz w:val="18"/>
                <w:szCs w:val="20"/>
              </w:rPr>
              <w:t>)</w:t>
            </w:r>
          </w:p>
        </w:tc>
        <w:tc>
          <w:tcPr>
            <w:tcW w:w="236" w:type="dxa"/>
            <w:tcBorders>
              <w:top w:val="nil"/>
              <w:left w:val="nil"/>
              <w:bottom w:val="single" w:sz="4" w:space="0" w:color="auto"/>
              <w:right w:val="nil"/>
            </w:tcBorders>
          </w:tcPr>
          <w:p w:rsidR="00F95857" w:rsidRPr="00F95857" w:rsidRDefault="00F95857" w:rsidP="00F95857">
            <w:pPr>
              <w:jc w:val="center"/>
              <w:rPr>
                <w:rFonts w:ascii="Times New Roman" w:hAnsi="Times New Roman" w:cs="Times New Roman"/>
                <w:sz w:val="18"/>
                <w:szCs w:val="20"/>
                <w:lang w:val="en-GB"/>
              </w:rPr>
            </w:pPr>
          </w:p>
        </w:tc>
        <w:tc>
          <w:tcPr>
            <w:tcW w:w="1465" w:type="dxa"/>
            <w:tcBorders>
              <w:top w:val="nil"/>
              <w:left w:val="nil"/>
              <w:bottom w:val="single" w:sz="4" w:space="0" w:color="auto"/>
              <w:right w:val="nil"/>
            </w:tcBorders>
          </w:tcPr>
          <w:p w:rsidR="00F95857" w:rsidRPr="00F95857" w:rsidRDefault="00F95857" w:rsidP="00F95857">
            <w:pPr>
              <w:jc w:val="center"/>
              <w:rPr>
                <w:rFonts w:ascii="Times New Roman" w:hAnsi="Times New Roman" w:cs="Times New Roman"/>
                <w:sz w:val="18"/>
                <w:szCs w:val="20"/>
                <w:lang w:val="en-GB"/>
              </w:rPr>
            </w:pPr>
            <w:r w:rsidRPr="00F95857">
              <w:rPr>
                <w:rFonts w:ascii="Times New Roman" w:hAnsi="Times New Roman" w:cs="Times New Roman"/>
                <w:sz w:val="18"/>
                <w:szCs w:val="20"/>
                <w:lang w:val="en-GB"/>
              </w:rPr>
              <w:t>3404.5 ± 1473.7</w:t>
            </w:r>
          </w:p>
        </w:tc>
        <w:tc>
          <w:tcPr>
            <w:tcW w:w="284" w:type="dxa"/>
            <w:tcBorders>
              <w:top w:val="nil"/>
              <w:left w:val="nil"/>
              <w:bottom w:val="single" w:sz="4" w:space="0" w:color="auto"/>
              <w:right w:val="nil"/>
            </w:tcBorders>
          </w:tcPr>
          <w:p w:rsidR="00F95857" w:rsidRPr="00F95857" w:rsidRDefault="00F95857" w:rsidP="00F95857">
            <w:pPr>
              <w:jc w:val="center"/>
              <w:rPr>
                <w:rFonts w:ascii="Times New Roman" w:hAnsi="Times New Roman" w:cs="Times New Roman"/>
                <w:sz w:val="18"/>
                <w:szCs w:val="20"/>
                <w:lang w:val="en-GB"/>
              </w:rPr>
            </w:pPr>
          </w:p>
        </w:tc>
        <w:tc>
          <w:tcPr>
            <w:tcW w:w="1984" w:type="dxa"/>
            <w:tcBorders>
              <w:top w:val="nil"/>
              <w:left w:val="nil"/>
              <w:bottom w:val="single" w:sz="4" w:space="0" w:color="auto"/>
              <w:right w:val="nil"/>
            </w:tcBorders>
          </w:tcPr>
          <w:p w:rsidR="00F95857" w:rsidRPr="00F95857" w:rsidRDefault="00F95857" w:rsidP="00F95857">
            <w:pPr>
              <w:jc w:val="center"/>
              <w:rPr>
                <w:rFonts w:ascii="Times New Roman" w:hAnsi="Times New Roman" w:cs="Times New Roman"/>
                <w:sz w:val="18"/>
                <w:szCs w:val="20"/>
                <w:lang w:val="en-GB"/>
              </w:rPr>
            </w:pPr>
            <w:r w:rsidRPr="00F95857">
              <w:rPr>
                <w:rFonts w:ascii="Times New Roman" w:hAnsi="Times New Roman" w:cs="Times New Roman"/>
                <w:sz w:val="18"/>
                <w:szCs w:val="20"/>
                <w:lang w:val="en-GB"/>
              </w:rPr>
              <w:t>1306.7 ± 558.3</w:t>
            </w:r>
          </w:p>
        </w:tc>
      </w:tr>
      <w:tr w:rsidR="00D84ADF" w:rsidRPr="007830C2" w:rsidTr="00EC0FE9">
        <w:trPr>
          <w:jc w:val="center"/>
        </w:trPr>
        <w:tc>
          <w:tcPr>
            <w:tcW w:w="6946" w:type="dxa"/>
            <w:gridSpan w:val="5"/>
            <w:tcBorders>
              <w:left w:val="nil"/>
              <w:right w:val="nil"/>
            </w:tcBorders>
          </w:tcPr>
          <w:p w:rsidR="00D84ADF" w:rsidRPr="007830C2" w:rsidRDefault="00D84ADF" w:rsidP="00D84ADF">
            <w:pPr>
              <w:jc w:val="both"/>
              <w:rPr>
                <w:rFonts w:ascii="Times New Roman" w:hAnsi="Times New Roman" w:cs="Times New Roman"/>
                <w:color w:val="000000" w:themeColor="text1"/>
                <w:sz w:val="24"/>
                <w:szCs w:val="24"/>
                <w:lang w:val="en-GB"/>
              </w:rPr>
            </w:pPr>
            <w:r w:rsidRPr="007830C2">
              <w:rPr>
                <w:rFonts w:ascii="Times New Roman" w:eastAsia="Times New Roman" w:hAnsi="Times New Roman" w:cs="Times New Roman"/>
                <w:color w:val="000000" w:themeColor="text1"/>
                <w:sz w:val="16"/>
                <w:szCs w:val="20"/>
                <w:lang w:val="en-GB" w:eastAsia="es-ES_tradnl"/>
              </w:rPr>
              <w:t>MET = metabolic equivalent of task</w:t>
            </w:r>
          </w:p>
        </w:tc>
      </w:tr>
    </w:tbl>
    <w:p w:rsidR="007B24CC" w:rsidRPr="007830C2" w:rsidRDefault="007B24CC" w:rsidP="00202025">
      <w:pPr>
        <w:spacing w:after="0"/>
        <w:rPr>
          <w:rFonts w:ascii="Times New Roman" w:hAnsi="Times New Roman" w:cs="Times New Roman"/>
          <w:b/>
          <w:color w:val="000000" w:themeColor="text1"/>
          <w:sz w:val="24"/>
          <w:szCs w:val="24"/>
          <w:lang w:val="en-GB"/>
        </w:rPr>
      </w:pPr>
    </w:p>
    <w:p w:rsidR="002F3340" w:rsidRPr="007830C2" w:rsidRDefault="002F3340" w:rsidP="00202025">
      <w:pPr>
        <w:spacing w:after="0"/>
        <w:rPr>
          <w:rFonts w:ascii="Times New Roman" w:hAnsi="Times New Roman" w:cs="Times New Roman"/>
          <w:b/>
          <w:color w:val="000000" w:themeColor="text1"/>
          <w:sz w:val="24"/>
          <w:szCs w:val="24"/>
          <w:lang w:val="en-GB"/>
        </w:rPr>
      </w:pPr>
      <w:r w:rsidRPr="007830C2">
        <w:rPr>
          <w:rFonts w:ascii="Times New Roman" w:hAnsi="Times New Roman" w:cs="Times New Roman"/>
          <w:b/>
          <w:color w:val="000000" w:themeColor="text1"/>
          <w:sz w:val="24"/>
          <w:szCs w:val="24"/>
          <w:lang w:val="en-GB"/>
        </w:rPr>
        <w:t>DISCUSSION</w:t>
      </w:r>
    </w:p>
    <w:p w:rsidR="007865E1" w:rsidRPr="007830C2" w:rsidRDefault="004A5226" w:rsidP="004A5226">
      <w:pPr>
        <w:spacing w:after="0"/>
        <w:jc w:val="both"/>
        <w:rPr>
          <w:color w:val="000000" w:themeColor="text1"/>
        </w:rPr>
      </w:pPr>
      <w:r w:rsidRPr="007830C2">
        <w:rPr>
          <w:rFonts w:ascii="Times New Roman" w:hAnsi="Times New Roman" w:cs="Times New Roman"/>
          <w:color w:val="000000" w:themeColor="text1"/>
          <w:sz w:val="24"/>
          <w:szCs w:val="24"/>
          <w:lang w:val="en-GB"/>
        </w:rPr>
        <w:t>The aim of the current study was to analyse the effects of five weeks of training cessation on anthropometric measurements and its influence on the possible changes in swimming performance.</w:t>
      </w:r>
      <w:r w:rsidR="006E4395" w:rsidRPr="007830C2">
        <w:rPr>
          <w:rFonts w:ascii="Times New Roman" w:hAnsi="Times New Roman" w:cs="Times New Roman"/>
          <w:color w:val="000000" w:themeColor="text1"/>
          <w:sz w:val="24"/>
          <w:szCs w:val="24"/>
          <w:lang w:val="en-GB"/>
        </w:rPr>
        <w:t xml:space="preserve"> After the five weeks, the anthropometric measurements and body composition deteriorated in both sexes. However, most of anthropometric changes were not associated to swimming performance impairments, either when conducting Pearson’s or partial correlation controlling for the non-swimming specific training conducted during the off-season. The increase in body height was the only variable that presented a positive correlation with changes in swimming performance in males. Regarding females, the changes in girth of tensed arm and muscle mass were the anthropometric measures directly related with perfor</w:t>
      </w:r>
      <w:r w:rsidR="00855467" w:rsidRPr="007830C2">
        <w:rPr>
          <w:rFonts w:ascii="Times New Roman" w:hAnsi="Times New Roman" w:cs="Times New Roman"/>
          <w:color w:val="000000" w:themeColor="text1"/>
          <w:sz w:val="24"/>
          <w:szCs w:val="24"/>
          <w:lang w:val="en-GB"/>
        </w:rPr>
        <w:t xml:space="preserve">mance maintenance. The </w:t>
      </w:r>
      <w:r w:rsidR="0090223B" w:rsidRPr="007830C2">
        <w:rPr>
          <w:rFonts w:ascii="Times New Roman" w:hAnsi="Times New Roman" w:cs="Times New Roman"/>
          <w:color w:val="000000" w:themeColor="text1"/>
          <w:sz w:val="24"/>
          <w:szCs w:val="24"/>
          <w:lang w:val="en-GB"/>
        </w:rPr>
        <w:t>non-specific swimming activity</w:t>
      </w:r>
      <w:r w:rsidR="006E4395" w:rsidRPr="007830C2">
        <w:rPr>
          <w:rFonts w:ascii="Times New Roman" w:hAnsi="Times New Roman" w:cs="Times New Roman"/>
          <w:color w:val="000000" w:themeColor="text1"/>
          <w:sz w:val="24"/>
          <w:szCs w:val="24"/>
          <w:lang w:val="en-GB"/>
        </w:rPr>
        <w:t xml:space="preserve"> conducted during the off-season was not related with swimming performance.</w:t>
      </w:r>
      <w:r w:rsidR="002834AE" w:rsidRPr="007830C2">
        <w:rPr>
          <w:color w:val="000000" w:themeColor="text1"/>
        </w:rPr>
        <w:t xml:space="preserve"> </w:t>
      </w:r>
    </w:p>
    <w:p w:rsidR="00620276" w:rsidRPr="007830C2" w:rsidRDefault="007865E1" w:rsidP="00620276">
      <w:pPr>
        <w:spacing w:after="0"/>
        <w:ind w:firstLine="708"/>
        <w:jc w:val="both"/>
        <w:rPr>
          <w:color w:val="000000" w:themeColor="text1"/>
        </w:rPr>
      </w:pPr>
      <w:r w:rsidRPr="007830C2">
        <w:rPr>
          <w:rFonts w:ascii="Times New Roman" w:hAnsi="Times New Roman" w:cs="Times New Roman"/>
          <w:color w:val="000000" w:themeColor="text1"/>
          <w:sz w:val="24"/>
          <w:szCs w:val="24"/>
          <w:lang w:val="en-US"/>
        </w:rPr>
        <w:t>A large number of studies have focused on analyzing some anthropometric and body composition changes (</w:t>
      </w:r>
      <w:proofErr w:type="spellStart"/>
      <w:r w:rsidRPr="007830C2">
        <w:rPr>
          <w:rFonts w:ascii="Times New Roman" w:hAnsi="Times New Roman" w:cs="Times New Roman"/>
          <w:color w:val="000000" w:themeColor="text1"/>
          <w:sz w:val="24"/>
          <w:szCs w:val="24"/>
          <w:lang w:val="en-US"/>
        </w:rPr>
        <w:t>Zacca</w:t>
      </w:r>
      <w:proofErr w:type="spellEnd"/>
      <w:r w:rsidRPr="007830C2">
        <w:rPr>
          <w:rFonts w:ascii="Times New Roman" w:hAnsi="Times New Roman" w:cs="Times New Roman"/>
          <w:color w:val="000000" w:themeColor="text1"/>
          <w:sz w:val="24"/>
          <w:szCs w:val="24"/>
          <w:lang w:val="en-US"/>
        </w:rPr>
        <w:t xml:space="preserve"> et al., 2019; </w:t>
      </w:r>
      <w:proofErr w:type="spellStart"/>
      <w:r w:rsidRPr="007830C2">
        <w:rPr>
          <w:rFonts w:ascii="Times New Roman" w:hAnsi="Times New Roman" w:cs="Times New Roman"/>
          <w:color w:val="000000" w:themeColor="text1"/>
          <w:sz w:val="24"/>
          <w:szCs w:val="24"/>
          <w:lang w:val="en-US"/>
        </w:rPr>
        <w:t>Roelofs</w:t>
      </w:r>
      <w:proofErr w:type="spellEnd"/>
      <w:r w:rsidRPr="007830C2">
        <w:rPr>
          <w:rFonts w:ascii="Times New Roman" w:hAnsi="Times New Roman" w:cs="Times New Roman"/>
          <w:color w:val="000000" w:themeColor="text1"/>
          <w:sz w:val="24"/>
          <w:szCs w:val="24"/>
          <w:lang w:val="en-US"/>
        </w:rPr>
        <w:t xml:space="preserve"> et al., 2017), although few research compared the skinfolds variation after a period of detraining and its influence on swimming performance</w:t>
      </w:r>
      <w:r w:rsidR="00684B11" w:rsidRPr="007830C2">
        <w:rPr>
          <w:rFonts w:ascii="Times New Roman" w:hAnsi="Times New Roman" w:cs="Times New Roman"/>
          <w:color w:val="000000" w:themeColor="text1"/>
          <w:sz w:val="24"/>
          <w:szCs w:val="24"/>
          <w:lang w:val="en-US"/>
        </w:rPr>
        <w:t>.</w:t>
      </w:r>
      <w:r w:rsidR="00046C2E" w:rsidRPr="007830C2">
        <w:rPr>
          <w:rFonts w:ascii="Times New Roman" w:hAnsi="Times New Roman" w:cs="Times New Roman"/>
          <w:color w:val="000000" w:themeColor="text1"/>
          <w:sz w:val="24"/>
          <w:szCs w:val="24"/>
          <w:lang w:val="en-US"/>
        </w:rPr>
        <w:t xml:space="preserve"> Among the off-season effects, increases of 62.5% and 50% of skinfolds measurements were observed in males and females, respectively (</w:t>
      </w:r>
      <w:r w:rsidR="007B24CC" w:rsidRPr="007830C2">
        <w:rPr>
          <w:rFonts w:ascii="Times New Roman" w:hAnsi="Times New Roman" w:cs="Times New Roman"/>
          <w:color w:val="000000" w:themeColor="text1"/>
          <w:sz w:val="24"/>
          <w:szCs w:val="24"/>
          <w:lang w:val="en-US"/>
        </w:rPr>
        <w:t>Table 1</w:t>
      </w:r>
      <w:r w:rsidR="00046C2E" w:rsidRPr="007830C2">
        <w:rPr>
          <w:rFonts w:ascii="Times New Roman" w:hAnsi="Times New Roman" w:cs="Times New Roman"/>
          <w:color w:val="000000" w:themeColor="text1"/>
          <w:sz w:val="24"/>
          <w:szCs w:val="24"/>
          <w:lang w:val="en-US"/>
        </w:rPr>
        <w:t>). Moreover, body fat increases and muscle mass reductions were found in both sexes, agreeing with other studies in swimmers</w:t>
      </w:r>
      <w:r w:rsidR="0014776B" w:rsidRPr="007830C2">
        <w:rPr>
          <w:rFonts w:ascii="Times New Roman" w:hAnsi="Times New Roman" w:cs="Times New Roman"/>
          <w:color w:val="000000" w:themeColor="text1"/>
          <w:sz w:val="24"/>
          <w:szCs w:val="24"/>
          <w:lang w:val="en-US"/>
        </w:rPr>
        <w:t xml:space="preserve"> (</w:t>
      </w:r>
      <w:proofErr w:type="spellStart"/>
      <w:r w:rsidR="0014776B" w:rsidRPr="007830C2">
        <w:rPr>
          <w:rFonts w:ascii="Times New Roman" w:hAnsi="Times New Roman" w:cs="Times New Roman"/>
          <w:color w:val="000000" w:themeColor="text1"/>
          <w:sz w:val="24"/>
          <w:szCs w:val="24"/>
          <w:lang w:val="en-US"/>
        </w:rPr>
        <w:t>Roelofs</w:t>
      </w:r>
      <w:proofErr w:type="spellEnd"/>
      <w:r w:rsidR="0014776B" w:rsidRPr="007830C2">
        <w:rPr>
          <w:rFonts w:ascii="Times New Roman" w:hAnsi="Times New Roman" w:cs="Times New Roman"/>
          <w:color w:val="000000" w:themeColor="text1"/>
          <w:sz w:val="24"/>
          <w:szCs w:val="24"/>
          <w:lang w:val="en-US"/>
        </w:rPr>
        <w:t xml:space="preserve"> et al., 2017).</w:t>
      </w:r>
      <w:r w:rsidR="00046C2E" w:rsidRPr="007830C2">
        <w:rPr>
          <w:rFonts w:ascii="Times New Roman" w:hAnsi="Times New Roman" w:cs="Times New Roman"/>
          <w:color w:val="000000" w:themeColor="text1"/>
          <w:sz w:val="24"/>
          <w:szCs w:val="24"/>
          <w:lang w:val="en-US"/>
        </w:rPr>
        <w:t xml:space="preserve"> Although the muscle mass has been related with swimming performance</w:t>
      </w:r>
      <w:r w:rsidR="0014776B" w:rsidRPr="007830C2">
        <w:rPr>
          <w:rFonts w:ascii="Times New Roman" w:hAnsi="Times New Roman" w:cs="Times New Roman"/>
          <w:color w:val="000000" w:themeColor="text1"/>
          <w:sz w:val="24"/>
          <w:szCs w:val="24"/>
          <w:lang w:val="en-US"/>
        </w:rPr>
        <w:t xml:space="preserve"> (Cochrane et al., 2015)</w:t>
      </w:r>
      <w:r w:rsidR="00FF6EC9" w:rsidRPr="007830C2">
        <w:rPr>
          <w:rFonts w:ascii="Times New Roman" w:hAnsi="Times New Roman" w:cs="Times New Roman"/>
          <w:color w:val="000000" w:themeColor="text1"/>
          <w:sz w:val="24"/>
          <w:szCs w:val="24"/>
          <w:lang w:val="en-US"/>
        </w:rPr>
        <w:t>,</w:t>
      </w:r>
      <w:r w:rsidR="00046C2E" w:rsidRPr="007830C2">
        <w:rPr>
          <w:rFonts w:ascii="Times New Roman" w:hAnsi="Times New Roman" w:cs="Times New Roman"/>
          <w:color w:val="000000" w:themeColor="text1"/>
          <w:sz w:val="24"/>
          <w:szCs w:val="24"/>
          <w:lang w:val="en-US"/>
        </w:rPr>
        <w:t xml:space="preserve"> body fat percentages would not be as relevant as in other sports, as it could contribute to increase buoyancy in the water environment</w:t>
      </w:r>
      <w:r w:rsidR="0014776B" w:rsidRPr="007830C2">
        <w:rPr>
          <w:rFonts w:ascii="Times New Roman" w:hAnsi="Times New Roman" w:cs="Times New Roman"/>
          <w:color w:val="000000" w:themeColor="text1"/>
          <w:sz w:val="24"/>
          <w:szCs w:val="24"/>
          <w:lang w:val="en-US"/>
        </w:rPr>
        <w:t xml:space="preserve"> (</w:t>
      </w:r>
      <w:proofErr w:type="spellStart"/>
      <w:r w:rsidR="0014776B" w:rsidRPr="007830C2">
        <w:rPr>
          <w:rFonts w:ascii="Times New Roman" w:hAnsi="Times New Roman" w:cs="Times New Roman"/>
          <w:color w:val="000000" w:themeColor="text1"/>
          <w:sz w:val="24"/>
          <w:szCs w:val="24"/>
          <w:lang w:val="en-US"/>
        </w:rPr>
        <w:t>Lowensteyn</w:t>
      </w:r>
      <w:proofErr w:type="spellEnd"/>
      <w:r w:rsidR="0014776B" w:rsidRPr="007830C2">
        <w:rPr>
          <w:rFonts w:ascii="Times New Roman" w:hAnsi="Times New Roman" w:cs="Times New Roman"/>
          <w:color w:val="000000" w:themeColor="text1"/>
          <w:sz w:val="24"/>
          <w:szCs w:val="24"/>
          <w:lang w:val="en-US"/>
        </w:rPr>
        <w:t xml:space="preserve"> et al., 1994)</w:t>
      </w:r>
      <w:r w:rsidR="009821AD" w:rsidRPr="007830C2">
        <w:rPr>
          <w:rFonts w:ascii="Times New Roman" w:hAnsi="Times New Roman" w:cs="Times New Roman"/>
          <w:color w:val="000000" w:themeColor="text1"/>
          <w:sz w:val="24"/>
          <w:szCs w:val="24"/>
          <w:lang w:val="en-US"/>
        </w:rPr>
        <w:t>.</w:t>
      </w:r>
      <w:r w:rsidR="006B4B79" w:rsidRPr="007830C2">
        <w:rPr>
          <w:rFonts w:ascii="Times New Roman" w:hAnsi="Times New Roman" w:cs="Times New Roman"/>
          <w:color w:val="000000" w:themeColor="text1"/>
          <w:sz w:val="24"/>
          <w:szCs w:val="24"/>
          <w:lang w:val="en-US"/>
        </w:rPr>
        <w:t xml:space="preserve"> </w:t>
      </w:r>
      <w:r w:rsidR="009821AD" w:rsidRPr="007830C2">
        <w:rPr>
          <w:rFonts w:ascii="Times New Roman" w:hAnsi="Times New Roman" w:cs="Times New Roman"/>
          <w:color w:val="000000" w:themeColor="text1"/>
          <w:sz w:val="24"/>
          <w:szCs w:val="24"/>
        </w:rPr>
        <w:t>Regarding t</w:t>
      </w:r>
      <w:r w:rsidR="009821AD" w:rsidRPr="007830C2">
        <w:rPr>
          <w:rFonts w:ascii="Times New Roman" w:hAnsi="Times New Roman" w:cs="Times New Roman"/>
          <w:color w:val="000000" w:themeColor="text1"/>
          <w:sz w:val="24"/>
          <w:szCs w:val="24"/>
          <w:lang w:val="en-US"/>
        </w:rPr>
        <w:t xml:space="preserve">he swimmers’ somatotype, </w:t>
      </w:r>
      <w:r w:rsidR="003300EF" w:rsidRPr="007830C2">
        <w:rPr>
          <w:rFonts w:ascii="Times New Roman" w:hAnsi="Times New Roman" w:cs="Times New Roman"/>
          <w:color w:val="000000" w:themeColor="text1"/>
          <w:sz w:val="24"/>
          <w:szCs w:val="24"/>
          <w:lang w:val="en-US"/>
        </w:rPr>
        <w:t xml:space="preserve">the endomorph component increased in both sexes and the </w:t>
      </w:r>
      <w:proofErr w:type="spellStart"/>
      <w:r w:rsidR="003300EF" w:rsidRPr="007830C2">
        <w:rPr>
          <w:rFonts w:ascii="Times New Roman" w:hAnsi="Times New Roman" w:cs="Times New Roman"/>
          <w:color w:val="000000" w:themeColor="text1"/>
          <w:sz w:val="24"/>
          <w:szCs w:val="24"/>
          <w:lang w:val="en-US"/>
        </w:rPr>
        <w:t>ectomorphy</w:t>
      </w:r>
      <w:proofErr w:type="spellEnd"/>
      <w:r w:rsidR="003300EF" w:rsidRPr="007830C2">
        <w:rPr>
          <w:rFonts w:ascii="Times New Roman" w:hAnsi="Times New Roman" w:cs="Times New Roman"/>
          <w:color w:val="000000" w:themeColor="text1"/>
          <w:sz w:val="24"/>
          <w:szCs w:val="24"/>
          <w:lang w:val="en-US"/>
        </w:rPr>
        <w:t xml:space="preserve"> decreased in males only (</w:t>
      </w:r>
      <w:r w:rsidR="007B24CC" w:rsidRPr="007830C2">
        <w:rPr>
          <w:rFonts w:ascii="Times New Roman" w:hAnsi="Times New Roman" w:cs="Times New Roman"/>
          <w:color w:val="000000" w:themeColor="text1"/>
          <w:sz w:val="24"/>
          <w:szCs w:val="24"/>
          <w:lang w:val="en-US"/>
        </w:rPr>
        <w:t xml:space="preserve">Table 1 </w:t>
      </w:r>
      <w:r w:rsidR="003300EF" w:rsidRPr="007830C2">
        <w:rPr>
          <w:rFonts w:ascii="Times New Roman" w:hAnsi="Times New Roman" w:cs="Times New Roman"/>
          <w:color w:val="000000" w:themeColor="text1"/>
          <w:sz w:val="24"/>
          <w:szCs w:val="24"/>
          <w:lang w:val="en-US"/>
        </w:rPr>
        <w:t xml:space="preserve">and Figure 1). </w:t>
      </w:r>
      <w:r w:rsidR="009821AD" w:rsidRPr="007830C2">
        <w:rPr>
          <w:rFonts w:ascii="Times New Roman" w:hAnsi="Times New Roman" w:cs="Times New Roman"/>
          <w:color w:val="000000" w:themeColor="text1"/>
          <w:sz w:val="24"/>
          <w:szCs w:val="24"/>
          <w:lang w:val="en-US"/>
        </w:rPr>
        <w:t>It may be due to different reasons, such as the assessment moment of anthropometric measurements, different levels of performance, or the specialty (i.e., swimming strokes or distance) of each swimmer (</w:t>
      </w:r>
      <w:r w:rsidR="004B1BD6" w:rsidRPr="007830C2">
        <w:rPr>
          <w:rFonts w:ascii="Times New Roman" w:hAnsi="Times New Roman" w:cs="Times New Roman"/>
          <w:color w:val="000000" w:themeColor="text1"/>
          <w:sz w:val="24"/>
          <w:szCs w:val="24"/>
        </w:rPr>
        <w:t>Stanković et al. 2018</w:t>
      </w:r>
      <w:r w:rsidR="009821AD" w:rsidRPr="007830C2">
        <w:rPr>
          <w:rFonts w:ascii="Times New Roman" w:hAnsi="Times New Roman" w:cs="Times New Roman"/>
          <w:color w:val="000000" w:themeColor="text1"/>
          <w:sz w:val="24"/>
          <w:szCs w:val="24"/>
          <w:lang w:val="en-US"/>
        </w:rPr>
        <w:t xml:space="preserve">). </w:t>
      </w:r>
      <w:r w:rsidR="00B21DCB" w:rsidRPr="007830C2">
        <w:rPr>
          <w:rFonts w:ascii="Times New Roman" w:hAnsi="Times New Roman" w:cs="Times New Roman"/>
          <w:color w:val="000000" w:themeColor="text1"/>
          <w:sz w:val="24"/>
          <w:szCs w:val="24"/>
          <w:lang w:val="en-US"/>
        </w:rPr>
        <w:t>In line with previous studies (</w:t>
      </w:r>
      <w:proofErr w:type="spellStart"/>
      <w:r w:rsidR="00B21DCB" w:rsidRPr="007830C2">
        <w:rPr>
          <w:rFonts w:ascii="Times New Roman" w:hAnsi="Times New Roman" w:cs="Times New Roman"/>
          <w:color w:val="000000" w:themeColor="text1"/>
          <w:sz w:val="24"/>
          <w:szCs w:val="24"/>
          <w:lang w:val="en-US"/>
        </w:rPr>
        <w:t>Zacca</w:t>
      </w:r>
      <w:proofErr w:type="spellEnd"/>
      <w:r w:rsidR="00B21DCB" w:rsidRPr="007830C2">
        <w:rPr>
          <w:rFonts w:ascii="Times New Roman" w:hAnsi="Times New Roman" w:cs="Times New Roman"/>
          <w:color w:val="000000" w:themeColor="text1"/>
          <w:sz w:val="24"/>
          <w:szCs w:val="24"/>
          <w:lang w:val="en-US"/>
        </w:rPr>
        <w:t xml:space="preserve"> et al., 2019; </w:t>
      </w:r>
      <w:proofErr w:type="spellStart"/>
      <w:r w:rsidR="00B21DCB" w:rsidRPr="007830C2">
        <w:rPr>
          <w:rFonts w:ascii="Times New Roman" w:hAnsi="Times New Roman" w:cs="Times New Roman"/>
          <w:color w:val="000000" w:themeColor="text1"/>
          <w:sz w:val="24"/>
          <w:szCs w:val="24"/>
          <w:lang w:val="en-US"/>
        </w:rPr>
        <w:t>Roelofs</w:t>
      </w:r>
      <w:proofErr w:type="spellEnd"/>
      <w:r w:rsidR="00B21DCB" w:rsidRPr="007830C2">
        <w:rPr>
          <w:rFonts w:ascii="Times New Roman" w:hAnsi="Times New Roman" w:cs="Times New Roman"/>
          <w:color w:val="000000" w:themeColor="text1"/>
          <w:sz w:val="24"/>
          <w:szCs w:val="24"/>
          <w:lang w:val="en-US"/>
        </w:rPr>
        <w:t xml:space="preserve"> et al., 2017), body fat increments and muscle mass declines after the training cessation explain the change </w:t>
      </w:r>
      <w:r w:rsidR="000E7C7E" w:rsidRPr="007830C2">
        <w:rPr>
          <w:rFonts w:ascii="Times New Roman" w:hAnsi="Times New Roman" w:cs="Times New Roman"/>
          <w:color w:val="000000" w:themeColor="text1"/>
          <w:sz w:val="24"/>
          <w:szCs w:val="24"/>
          <w:lang w:val="en-US"/>
        </w:rPr>
        <w:t xml:space="preserve">from </w:t>
      </w:r>
      <w:proofErr w:type="spellStart"/>
      <w:r w:rsidR="000E7C7E" w:rsidRPr="007830C2">
        <w:rPr>
          <w:rFonts w:ascii="Times New Roman" w:hAnsi="Times New Roman" w:cs="Times New Roman"/>
          <w:color w:val="000000" w:themeColor="text1"/>
          <w:sz w:val="24"/>
          <w:szCs w:val="24"/>
          <w:lang w:val="en-US"/>
        </w:rPr>
        <w:t>ecto-mesomorphic</w:t>
      </w:r>
      <w:proofErr w:type="spellEnd"/>
      <w:r w:rsidR="000E7C7E" w:rsidRPr="007830C2">
        <w:rPr>
          <w:rFonts w:ascii="Times New Roman" w:hAnsi="Times New Roman" w:cs="Times New Roman"/>
          <w:color w:val="000000" w:themeColor="text1"/>
          <w:sz w:val="24"/>
          <w:szCs w:val="24"/>
          <w:lang w:val="en-US"/>
        </w:rPr>
        <w:t xml:space="preserve"> </w:t>
      </w:r>
      <w:r w:rsidR="00B21DCB" w:rsidRPr="007830C2">
        <w:rPr>
          <w:rFonts w:ascii="Times New Roman" w:hAnsi="Times New Roman" w:cs="Times New Roman"/>
          <w:color w:val="000000" w:themeColor="text1"/>
          <w:sz w:val="24"/>
          <w:szCs w:val="24"/>
          <w:lang w:val="en-US"/>
        </w:rPr>
        <w:t>to endo-</w:t>
      </w:r>
      <w:proofErr w:type="spellStart"/>
      <w:r w:rsidR="00B21DCB" w:rsidRPr="007830C2">
        <w:rPr>
          <w:rFonts w:ascii="Times New Roman" w:hAnsi="Times New Roman" w:cs="Times New Roman"/>
          <w:color w:val="000000" w:themeColor="text1"/>
          <w:sz w:val="24"/>
          <w:szCs w:val="24"/>
          <w:lang w:val="en-US"/>
        </w:rPr>
        <w:t>mesomorphic</w:t>
      </w:r>
      <w:proofErr w:type="spellEnd"/>
      <w:r w:rsidR="00B21DCB" w:rsidRPr="007830C2">
        <w:rPr>
          <w:rFonts w:ascii="Times New Roman" w:hAnsi="Times New Roman" w:cs="Times New Roman"/>
          <w:color w:val="000000" w:themeColor="text1"/>
          <w:sz w:val="24"/>
          <w:szCs w:val="24"/>
          <w:lang w:val="en-US"/>
        </w:rPr>
        <w:t xml:space="preserve"> </w:t>
      </w:r>
      <w:r w:rsidR="000E7C7E" w:rsidRPr="007830C2">
        <w:rPr>
          <w:rFonts w:ascii="Times New Roman" w:hAnsi="Times New Roman" w:cs="Times New Roman"/>
          <w:color w:val="000000" w:themeColor="text1"/>
          <w:sz w:val="24"/>
          <w:szCs w:val="24"/>
          <w:lang w:val="en-US"/>
        </w:rPr>
        <w:t xml:space="preserve">in males </w:t>
      </w:r>
      <w:r w:rsidR="003016F5" w:rsidRPr="007830C2">
        <w:rPr>
          <w:rFonts w:ascii="Times New Roman" w:hAnsi="Times New Roman" w:cs="Times New Roman"/>
          <w:color w:val="000000" w:themeColor="text1"/>
          <w:sz w:val="24"/>
          <w:szCs w:val="24"/>
          <w:lang w:val="en-US"/>
        </w:rPr>
        <w:t xml:space="preserve">and </w:t>
      </w:r>
      <w:r w:rsidR="000E7C7E" w:rsidRPr="007830C2">
        <w:rPr>
          <w:rFonts w:ascii="Times New Roman" w:hAnsi="Times New Roman" w:cs="Times New Roman"/>
          <w:color w:val="000000" w:themeColor="text1"/>
          <w:sz w:val="24"/>
          <w:szCs w:val="24"/>
          <w:lang w:val="en-US"/>
        </w:rPr>
        <w:t xml:space="preserve">from </w:t>
      </w:r>
      <w:proofErr w:type="spellStart"/>
      <w:r w:rsidR="000E7C7E" w:rsidRPr="007830C2">
        <w:rPr>
          <w:rFonts w:ascii="Times New Roman" w:hAnsi="Times New Roman" w:cs="Times New Roman"/>
          <w:color w:val="000000" w:themeColor="text1"/>
          <w:sz w:val="24"/>
          <w:szCs w:val="24"/>
          <w:lang w:val="en-US"/>
        </w:rPr>
        <w:t>meso</w:t>
      </w:r>
      <w:proofErr w:type="spellEnd"/>
      <w:r w:rsidR="000E7C7E" w:rsidRPr="007830C2">
        <w:rPr>
          <w:rFonts w:ascii="Times New Roman" w:hAnsi="Times New Roman" w:cs="Times New Roman"/>
          <w:color w:val="000000" w:themeColor="text1"/>
          <w:sz w:val="24"/>
          <w:szCs w:val="24"/>
          <w:lang w:val="en-US"/>
        </w:rPr>
        <w:t xml:space="preserve">-endomorph to </w:t>
      </w:r>
      <w:r w:rsidR="003016F5" w:rsidRPr="007830C2">
        <w:rPr>
          <w:rFonts w:ascii="Times New Roman" w:hAnsi="Times New Roman" w:cs="Times New Roman"/>
          <w:color w:val="000000" w:themeColor="text1"/>
          <w:sz w:val="24"/>
          <w:szCs w:val="24"/>
          <w:lang w:val="en-US"/>
        </w:rPr>
        <w:t xml:space="preserve">endomorphic </w:t>
      </w:r>
      <w:r w:rsidR="00B21DCB" w:rsidRPr="007830C2">
        <w:rPr>
          <w:rFonts w:ascii="Times New Roman" w:hAnsi="Times New Roman" w:cs="Times New Roman"/>
          <w:color w:val="000000" w:themeColor="text1"/>
          <w:sz w:val="24"/>
          <w:szCs w:val="24"/>
          <w:lang w:val="en-US"/>
        </w:rPr>
        <w:t xml:space="preserve">somatotype in </w:t>
      </w:r>
      <w:r w:rsidR="000E7C7E" w:rsidRPr="007830C2">
        <w:rPr>
          <w:rFonts w:ascii="Times New Roman" w:hAnsi="Times New Roman" w:cs="Times New Roman"/>
          <w:color w:val="000000" w:themeColor="text1"/>
          <w:sz w:val="24"/>
          <w:szCs w:val="24"/>
          <w:lang w:val="en-US"/>
        </w:rPr>
        <w:t>females.</w:t>
      </w:r>
    </w:p>
    <w:p w:rsidR="003016F5" w:rsidRPr="007830C2" w:rsidRDefault="003016F5" w:rsidP="00620276">
      <w:pPr>
        <w:spacing w:after="0"/>
        <w:ind w:firstLine="708"/>
        <w:jc w:val="both"/>
        <w:rPr>
          <w:rFonts w:ascii="Times New Roman" w:hAnsi="Times New Roman" w:cs="Times New Roman"/>
          <w:color w:val="000000" w:themeColor="text1"/>
          <w:sz w:val="24"/>
          <w:szCs w:val="24"/>
          <w:lang w:val="en-US"/>
        </w:rPr>
      </w:pPr>
      <w:r w:rsidRPr="007830C2">
        <w:rPr>
          <w:rFonts w:ascii="Times New Roman" w:hAnsi="Times New Roman" w:cs="Times New Roman"/>
          <w:color w:val="000000" w:themeColor="text1"/>
          <w:sz w:val="24"/>
          <w:szCs w:val="24"/>
          <w:lang w:val="en-US"/>
        </w:rPr>
        <w:t>The anthropometric measures have been related to changes in swimming performance, being the arm span and the body height the most influential variables in young and adolescent front-crawl swimmers (Alves et al., 2022). The changes obtained after the detraining period showed only a positive correlation between body height and 50 m swimming performance in males. It could be explained by the effect of body mass on wave drag</w:t>
      </w:r>
      <w:r w:rsidR="00CC5E65" w:rsidRPr="007830C2">
        <w:rPr>
          <w:rFonts w:ascii="Times New Roman" w:hAnsi="Times New Roman" w:cs="Times New Roman"/>
          <w:color w:val="000000" w:themeColor="text1"/>
          <w:sz w:val="24"/>
          <w:szCs w:val="24"/>
          <w:lang w:val="en-US"/>
        </w:rPr>
        <w:t xml:space="preserve"> </w:t>
      </w:r>
      <w:r w:rsidRPr="007830C2">
        <w:rPr>
          <w:rFonts w:ascii="Times New Roman" w:hAnsi="Times New Roman" w:cs="Times New Roman"/>
          <w:color w:val="000000" w:themeColor="text1"/>
          <w:sz w:val="24"/>
          <w:szCs w:val="24"/>
          <w:lang w:val="en-US"/>
        </w:rPr>
        <w:t>since larger bodies present lower wave drag, hence, taller swimmers present a lower wave-making resistance than shorter swimmers</w:t>
      </w:r>
      <w:r w:rsidR="00A41AB4" w:rsidRPr="007830C2">
        <w:rPr>
          <w:rFonts w:ascii="Times New Roman" w:hAnsi="Times New Roman" w:cs="Times New Roman"/>
          <w:color w:val="000000" w:themeColor="text1"/>
          <w:sz w:val="24"/>
          <w:szCs w:val="24"/>
          <w:lang w:val="en-US"/>
        </w:rPr>
        <w:t xml:space="preserve"> (</w:t>
      </w:r>
      <w:proofErr w:type="spellStart"/>
      <w:r w:rsidR="00A41AB4" w:rsidRPr="007830C2">
        <w:rPr>
          <w:rFonts w:ascii="Times New Roman" w:hAnsi="Times New Roman" w:cs="Times New Roman"/>
          <w:color w:val="000000" w:themeColor="text1"/>
          <w:sz w:val="24"/>
          <w:szCs w:val="24"/>
          <w:lang w:val="en-US"/>
        </w:rPr>
        <w:t>Trujiens</w:t>
      </w:r>
      <w:proofErr w:type="spellEnd"/>
      <w:r w:rsidR="00A41AB4" w:rsidRPr="007830C2">
        <w:rPr>
          <w:rFonts w:ascii="Times New Roman" w:hAnsi="Times New Roman" w:cs="Times New Roman"/>
          <w:color w:val="000000" w:themeColor="text1"/>
          <w:sz w:val="24"/>
          <w:szCs w:val="24"/>
          <w:lang w:val="en-US"/>
        </w:rPr>
        <w:t xml:space="preserve"> &amp; Toussaint, 2005).</w:t>
      </w:r>
      <w:r w:rsidR="00A41AB4" w:rsidRPr="007830C2">
        <w:rPr>
          <w:rFonts w:ascii="Times New Roman" w:hAnsi="Times New Roman" w:cs="Times New Roman"/>
          <w:color w:val="000000" w:themeColor="text1"/>
          <w:sz w:val="24"/>
          <w:szCs w:val="24"/>
          <w:vertAlign w:val="superscript"/>
          <w:lang w:val="en-US"/>
        </w:rPr>
        <w:t xml:space="preserve"> </w:t>
      </w:r>
      <w:r w:rsidR="00302D63" w:rsidRPr="007830C2">
        <w:rPr>
          <w:rFonts w:ascii="Times New Roman" w:hAnsi="Times New Roman" w:cs="Times New Roman"/>
          <w:color w:val="000000" w:themeColor="text1"/>
          <w:sz w:val="24"/>
          <w:szCs w:val="24"/>
          <w:lang w:val="en-US"/>
        </w:rPr>
        <w:t>Regarding female swimmers, 50 m swimming performance changes were related to the girth of tensed arm (i.e., biceps contracted) and muscle mass impairme</w:t>
      </w:r>
      <w:r w:rsidR="00D35D8D" w:rsidRPr="007830C2">
        <w:rPr>
          <w:rFonts w:ascii="Times New Roman" w:hAnsi="Times New Roman" w:cs="Times New Roman"/>
          <w:color w:val="000000" w:themeColor="text1"/>
          <w:sz w:val="24"/>
          <w:szCs w:val="24"/>
          <w:lang w:val="en-US"/>
        </w:rPr>
        <w:t xml:space="preserve">nts. </w:t>
      </w:r>
      <w:r w:rsidR="00302D63" w:rsidRPr="007830C2">
        <w:rPr>
          <w:rFonts w:ascii="Times New Roman" w:hAnsi="Times New Roman" w:cs="Times New Roman"/>
          <w:color w:val="000000" w:themeColor="text1"/>
          <w:sz w:val="24"/>
          <w:szCs w:val="24"/>
          <w:lang w:val="en-US"/>
        </w:rPr>
        <w:t xml:space="preserve">Indeed, the </w:t>
      </w:r>
      <w:r w:rsidR="00302D63" w:rsidRPr="007830C2">
        <w:rPr>
          <w:rFonts w:ascii="Times New Roman" w:hAnsi="Times New Roman" w:cs="Times New Roman"/>
          <w:color w:val="000000" w:themeColor="text1"/>
          <w:sz w:val="24"/>
          <w:szCs w:val="24"/>
          <w:lang w:val="en-US"/>
        </w:rPr>
        <w:lastRenderedPageBreak/>
        <w:t>girth of tensed arm has been recently associated to muscle mass, since higher values of the arm girth may be indicative of the upper limbs strength and, probably, greater arm propulsion</w:t>
      </w:r>
      <w:r w:rsidR="00620276" w:rsidRPr="007830C2">
        <w:rPr>
          <w:rFonts w:ascii="Times New Roman" w:hAnsi="Times New Roman" w:cs="Times New Roman"/>
          <w:color w:val="000000" w:themeColor="text1"/>
          <w:sz w:val="24"/>
          <w:szCs w:val="24"/>
          <w:lang w:val="en-US"/>
        </w:rPr>
        <w:t xml:space="preserve"> (Alves et al., 2022)</w:t>
      </w:r>
      <w:r w:rsidR="00302D63" w:rsidRPr="007830C2">
        <w:rPr>
          <w:rFonts w:ascii="Times New Roman" w:hAnsi="Times New Roman" w:cs="Times New Roman"/>
          <w:color w:val="000000" w:themeColor="text1"/>
          <w:sz w:val="24"/>
          <w:szCs w:val="24"/>
          <w:lang w:val="en-US"/>
        </w:rPr>
        <w:t>. Hence, swimmers that maintained their strength level during the off-season period would be able to reduce the negative effects of detraining on swimming performance.</w:t>
      </w:r>
      <w:r w:rsidR="00D35D8D" w:rsidRPr="007830C2">
        <w:rPr>
          <w:rFonts w:ascii="Times New Roman" w:hAnsi="Times New Roman" w:cs="Times New Roman"/>
          <w:color w:val="000000" w:themeColor="text1"/>
          <w:sz w:val="24"/>
          <w:szCs w:val="24"/>
          <w:lang w:val="en-US"/>
        </w:rPr>
        <w:t xml:space="preserve"> </w:t>
      </w:r>
    </w:p>
    <w:p w:rsidR="00F4734F" w:rsidRPr="007830C2" w:rsidRDefault="00F4734F" w:rsidP="00620276">
      <w:pPr>
        <w:spacing w:after="0"/>
        <w:ind w:firstLine="708"/>
        <w:jc w:val="both"/>
        <w:rPr>
          <w:color w:val="000000" w:themeColor="text1"/>
        </w:rPr>
      </w:pPr>
      <w:r w:rsidRPr="007830C2">
        <w:rPr>
          <w:rFonts w:ascii="Times New Roman" w:hAnsi="Times New Roman" w:cs="Times New Roman"/>
          <w:color w:val="000000" w:themeColor="text1"/>
          <w:sz w:val="24"/>
          <w:szCs w:val="24"/>
          <w:lang w:val="en-US"/>
        </w:rPr>
        <w:t>The non-swimming physical activity intensities showed no correlation with swimming performance in both sexes</w:t>
      </w:r>
      <w:r w:rsidR="008665FC" w:rsidRPr="007830C2">
        <w:rPr>
          <w:rFonts w:ascii="Times New Roman" w:hAnsi="Times New Roman" w:cs="Times New Roman"/>
          <w:color w:val="000000" w:themeColor="text1"/>
          <w:sz w:val="24"/>
          <w:szCs w:val="24"/>
          <w:lang w:val="en-US"/>
        </w:rPr>
        <w:t xml:space="preserve"> in the current study. In addition</w:t>
      </w:r>
      <w:r w:rsidRPr="007830C2">
        <w:rPr>
          <w:rFonts w:ascii="Times New Roman" w:hAnsi="Times New Roman" w:cs="Times New Roman"/>
          <w:color w:val="000000" w:themeColor="text1"/>
          <w:sz w:val="24"/>
          <w:szCs w:val="24"/>
          <w:lang w:val="en-US"/>
        </w:rPr>
        <w:t>, swimming performance impaired after five weeks of detraining in both males (1.7%) and females (2.8%) in the 50 m front-crawl. Slight differences were observed after 11 weeks of break in 100 m front-crawl in young male swimmers (2.1%), while lower impairments were observed in females (1.9%) (</w:t>
      </w:r>
      <w:proofErr w:type="spellStart"/>
      <w:r w:rsidRPr="007830C2">
        <w:rPr>
          <w:rFonts w:ascii="Times New Roman" w:hAnsi="Times New Roman" w:cs="Times New Roman"/>
          <w:color w:val="000000" w:themeColor="text1"/>
          <w:sz w:val="24"/>
          <w:szCs w:val="24"/>
          <w:lang w:val="en-US"/>
        </w:rPr>
        <w:t>Morais</w:t>
      </w:r>
      <w:proofErr w:type="spellEnd"/>
      <w:r w:rsidRPr="007830C2">
        <w:rPr>
          <w:rFonts w:ascii="Times New Roman" w:hAnsi="Times New Roman" w:cs="Times New Roman"/>
          <w:color w:val="000000" w:themeColor="text1"/>
          <w:sz w:val="24"/>
          <w:szCs w:val="24"/>
          <w:lang w:val="en-US"/>
        </w:rPr>
        <w:t xml:space="preserve"> et al., 2020). In this case, despite a longer period of detraining (i.e., 11 vs. 5 weeks), the different performance decrements (1.9% vs. 2.8%) could be explained by the age differences in female swimmers (11.9 vs. 17.3 years). Physical activity declines over the years during childhood and adolescence (Farooq et al., 2020); hence, the greater non-specific activity performed by female children during the off-season compared to older swimmers (i.e., between 16 and 20 years) may explain the smaller reductions in swimming performance.</w:t>
      </w:r>
    </w:p>
    <w:p w:rsidR="002F3340" w:rsidRPr="007830C2" w:rsidRDefault="002834AE" w:rsidP="00620276">
      <w:pPr>
        <w:spacing w:after="0"/>
        <w:ind w:firstLine="708"/>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 xml:space="preserve">The current study showed interesting information about the anthropometric measurements and the </w:t>
      </w:r>
      <w:r w:rsidR="008665FC" w:rsidRPr="007830C2">
        <w:rPr>
          <w:rFonts w:ascii="Times New Roman" w:hAnsi="Times New Roman" w:cs="Times New Roman"/>
          <w:color w:val="000000" w:themeColor="text1"/>
          <w:sz w:val="24"/>
          <w:szCs w:val="24"/>
          <w:lang w:val="en-GB"/>
        </w:rPr>
        <w:t>changes</w:t>
      </w:r>
      <w:r w:rsidRPr="007830C2">
        <w:rPr>
          <w:rFonts w:ascii="Times New Roman" w:hAnsi="Times New Roman" w:cs="Times New Roman"/>
          <w:color w:val="000000" w:themeColor="text1"/>
          <w:sz w:val="24"/>
          <w:szCs w:val="24"/>
          <w:lang w:val="en-GB"/>
        </w:rPr>
        <w:t xml:space="preserve"> produced after a pe</w:t>
      </w:r>
      <w:r w:rsidR="007865E1" w:rsidRPr="007830C2">
        <w:rPr>
          <w:rFonts w:ascii="Times New Roman" w:hAnsi="Times New Roman" w:cs="Times New Roman"/>
          <w:color w:val="000000" w:themeColor="text1"/>
          <w:sz w:val="24"/>
          <w:szCs w:val="24"/>
          <w:lang w:val="en-GB"/>
        </w:rPr>
        <w:t xml:space="preserve">riod of detraining in swimmers. </w:t>
      </w:r>
      <w:r w:rsidRPr="007830C2">
        <w:rPr>
          <w:rFonts w:ascii="Times New Roman" w:hAnsi="Times New Roman" w:cs="Times New Roman"/>
          <w:color w:val="000000" w:themeColor="text1"/>
          <w:sz w:val="24"/>
          <w:szCs w:val="24"/>
          <w:lang w:val="en-GB"/>
        </w:rPr>
        <w:t xml:space="preserve">The limitation of the study was not controlling for the type of physical activity performed by the swimmers during the off-season. Future research should consider the anthropometric changes after </w:t>
      </w:r>
      <w:r w:rsidR="008665FC" w:rsidRPr="007830C2">
        <w:rPr>
          <w:rFonts w:ascii="Times New Roman" w:hAnsi="Times New Roman" w:cs="Times New Roman"/>
          <w:color w:val="000000" w:themeColor="text1"/>
          <w:sz w:val="24"/>
          <w:szCs w:val="24"/>
          <w:lang w:val="en-GB"/>
        </w:rPr>
        <w:t xml:space="preserve">different </w:t>
      </w:r>
      <w:r w:rsidRPr="007830C2">
        <w:rPr>
          <w:rFonts w:ascii="Times New Roman" w:hAnsi="Times New Roman" w:cs="Times New Roman"/>
          <w:color w:val="000000" w:themeColor="text1"/>
          <w:sz w:val="24"/>
          <w:szCs w:val="24"/>
          <w:lang w:val="en-GB"/>
        </w:rPr>
        <w:t>periods of detraining and testing how performance is affected in other swimming distances.</w:t>
      </w:r>
    </w:p>
    <w:p w:rsidR="008D3757" w:rsidRPr="007830C2" w:rsidRDefault="008D3757" w:rsidP="004A5226">
      <w:pPr>
        <w:spacing w:after="0"/>
        <w:jc w:val="both"/>
        <w:rPr>
          <w:rFonts w:ascii="Times New Roman" w:hAnsi="Times New Roman" w:cs="Times New Roman"/>
          <w:color w:val="000000" w:themeColor="text1"/>
          <w:sz w:val="24"/>
          <w:szCs w:val="24"/>
          <w:lang w:val="en-GB"/>
        </w:rPr>
      </w:pPr>
    </w:p>
    <w:p w:rsidR="008D3757" w:rsidRPr="007830C2" w:rsidRDefault="008D3757" w:rsidP="009A5CE8">
      <w:pPr>
        <w:spacing w:after="0" w:line="276" w:lineRule="auto"/>
        <w:jc w:val="both"/>
        <w:rPr>
          <w:rFonts w:ascii="Times New Roman" w:hAnsi="Times New Roman" w:cs="Times New Roman"/>
          <w:b/>
          <w:color w:val="000000" w:themeColor="text1"/>
          <w:sz w:val="24"/>
          <w:szCs w:val="24"/>
          <w:lang w:val="en-GB"/>
        </w:rPr>
      </w:pPr>
      <w:r w:rsidRPr="007830C2">
        <w:rPr>
          <w:rFonts w:ascii="Times New Roman" w:hAnsi="Times New Roman" w:cs="Times New Roman"/>
          <w:b/>
          <w:color w:val="000000" w:themeColor="text1"/>
          <w:sz w:val="24"/>
          <w:szCs w:val="24"/>
          <w:lang w:val="en-GB"/>
        </w:rPr>
        <w:t>REFERENCES</w:t>
      </w:r>
    </w:p>
    <w:p w:rsidR="00BF0C71" w:rsidRPr="007830C2" w:rsidRDefault="008D3757"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 xml:space="preserve">Alves, M., </w:t>
      </w:r>
      <w:proofErr w:type="spellStart"/>
      <w:r w:rsidRPr="007830C2">
        <w:rPr>
          <w:rFonts w:ascii="Times New Roman" w:hAnsi="Times New Roman" w:cs="Times New Roman"/>
          <w:color w:val="000000" w:themeColor="text1"/>
          <w:sz w:val="24"/>
          <w:szCs w:val="24"/>
          <w:lang w:val="en-GB"/>
        </w:rPr>
        <w:t>Carvalho</w:t>
      </w:r>
      <w:proofErr w:type="spellEnd"/>
      <w:r w:rsidRPr="007830C2">
        <w:rPr>
          <w:rFonts w:ascii="Times New Roman" w:hAnsi="Times New Roman" w:cs="Times New Roman"/>
          <w:color w:val="000000" w:themeColor="text1"/>
          <w:sz w:val="24"/>
          <w:szCs w:val="24"/>
          <w:lang w:val="en-GB"/>
        </w:rPr>
        <w:t xml:space="preserve">, D. D., </w:t>
      </w:r>
      <w:proofErr w:type="spellStart"/>
      <w:r w:rsidRPr="007830C2">
        <w:rPr>
          <w:rFonts w:ascii="Times New Roman" w:hAnsi="Times New Roman" w:cs="Times New Roman"/>
          <w:color w:val="000000" w:themeColor="text1"/>
          <w:sz w:val="24"/>
          <w:szCs w:val="24"/>
          <w:lang w:val="en-GB"/>
        </w:rPr>
        <w:t>Fernandes</w:t>
      </w:r>
      <w:proofErr w:type="spellEnd"/>
      <w:r w:rsidRPr="007830C2">
        <w:rPr>
          <w:rFonts w:ascii="Times New Roman" w:hAnsi="Times New Roman" w:cs="Times New Roman"/>
          <w:color w:val="000000" w:themeColor="text1"/>
          <w:sz w:val="24"/>
          <w:szCs w:val="24"/>
          <w:lang w:val="en-GB"/>
        </w:rPr>
        <w:t xml:space="preserve">, R. J., &amp; Vilas-Boas, J. P. (2022). How Anthropometrics of Young and Adolescent Swimmers Influence Stroking Parameters and Performance? A Systematic Review. </w:t>
      </w:r>
      <w:r w:rsidRPr="007830C2">
        <w:rPr>
          <w:rFonts w:ascii="Times New Roman" w:hAnsi="Times New Roman" w:cs="Times New Roman"/>
          <w:i/>
          <w:color w:val="000000" w:themeColor="text1"/>
          <w:sz w:val="24"/>
          <w:szCs w:val="24"/>
          <w:lang w:val="en-GB"/>
        </w:rPr>
        <w:t>International Journal of Environmental Research and Public Health</w:t>
      </w:r>
      <w:r w:rsidRPr="007830C2">
        <w:rPr>
          <w:rFonts w:ascii="Times New Roman" w:hAnsi="Times New Roman" w:cs="Times New Roman"/>
          <w:color w:val="000000" w:themeColor="text1"/>
          <w:sz w:val="24"/>
          <w:szCs w:val="24"/>
          <w:lang w:val="en-GB"/>
        </w:rPr>
        <w:t>, 19(5), 2543.</w:t>
      </w:r>
    </w:p>
    <w:p w:rsidR="00BF0C71" w:rsidRPr="007830C2" w:rsidRDefault="00BF0C71"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Carter, J., &amp; Heath, B. (1990). Somatotyping: development and applications (Vol. 5). Cambridge, UK: Cambridge University Press.</w:t>
      </w:r>
    </w:p>
    <w:p w:rsidR="00FF6EC9" w:rsidRPr="007830C2" w:rsidRDefault="00FF6EC9"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shd w:val="clear" w:color="auto" w:fill="FFFFFF"/>
        </w:rPr>
        <w:t>Cochrane, K. C., Housh, T. J., Smith, C. M., Hill, E. C., Jenkins, N. D., Johnson, G. O., ... &amp; Cramer, J. T. (2015). Relative contributions of strength, anthropometric, and body composition characteristics to estimated propulsive force in young male swimmers. </w:t>
      </w:r>
      <w:r w:rsidRPr="007830C2">
        <w:rPr>
          <w:rFonts w:ascii="Times New Roman" w:hAnsi="Times New Roman" w:cs="Times New Roman"/>
          <w:i/>
          <w:iCs/>
          <w:color w:val="000000" w:themeColor="text1"/>
          <w:sz w:val="24"/>
          <w:szCs w:val="24"/>
          <w:shd w:val="clear" w:color="auto" w:fill="FFFFFF"/>
        </w:rPr>
        <w:t>The Journal of Strength &amp; Conditioning Research</w:t>
      </w:r>
      <w:r w:rsidRPr="007830C2">
        <w:rPr>
          <w:rFonts w:ascii="Times New Roman" w:hAnsi="Times New Roman" w:cs="Times New Roman"/>
          <w:color w:val="000000" w:themeColor="text1"/>
          <w:sz w:val="24"/>
          <w:szCs w:val="24"/>
          <w:shd w:val="clear" w:color="auto" w:fill="FFFFFF"/>
        </w:rPr>
        <w:t>, </w:t>
      </w:r>
      <w:r w:rsidRPr="007830C2">
        <w:rPr>
          <w:rFonts w:ascii="Times New Roman" w:hAnsi="Times New Roman" w:cs="Times New Roman"/>
          <w:i/>
          <w:iCs/>
          <w:color w:val="000000" w:themeColor="text1"/>
          <w:sz w:val="24"/>
          <w:szCs w:val="24"/>
          <w:shd w:val="clear" w:color="auto" w:fill="FFFFFF"/>
        </w:rPr>
        <w:t>29</w:t>
      </w:r>
      <w:r w:rsidRPr="007830C2">
        <w:rPr>
          <w:rFonts w:ascii="Times New Roman" w:hAnsi="Times New Roman" w:cs="Times New Roman"/>
          <w:color w:val="000000" w:themeColor="text1"/>
          <w:sz w:val="24"/>
          <w:szCs w:val="24"/>
          <w:shd w:val="clear" w:color="auto" w:fill="FFFFFF"/>
        </w:rPr>
        <w:t>(6), 1473-1479.</w:t>
      </w:r>
      <w:r w:rsidRPr="007830C2">
        <w:rPr>
          <w:rFonts w:ascii="Times New Roman" w:hAnsi="Times New Roman" w:cs="Times New Roman"/>
          <w:color w:val="000000" w:themeColor="text1"/>
          <w:sz w:val="24"/>
          <w:szCs w:val="24"/>
          <w:lang w:val="en-GB"/>
        </w:rPr>
        <w:t xml:space="preserve"> </w:t>
      </w:r>
    </w:p>
    <w:p w:rsidR="00BF0C71" w:rsidRPr="007830C2" w:rsidRDefault="00BF0C71"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 xml:space="preserve">Craig, C. L., Marshall, A. L., </w:t>
      </w:r>
      <w:proofErr w:type="spellStart"/>
      <w:r w:rsidRPr="007830C2">
        <w:rPr>
          <w:rFonts w:ascii="Times New Roman" w:hAnsi="Times New Roman" w:cs="Times New Roman"/>
          <w:color w:val="000000" w:themeColor="text1"/>
          <w:sz w:val="24"/>
          <w:szCs w:val="24"/>
          <w:lang w:val="en-GB"/>
        </w:rPr>
        <w:t>Sjöström</w:t>
      </w:r>
      <w:proofErr w:type="spellEnd"/>
      <w:r w:rsidRPr="007830C2">
        <w:rPr>
          <w:rFonts w:ascii="Times New Roman" w:hAnsi="Times New Roman" w:cs="Times New Roman"/>
          <w:color w:val="000000" w:themeColor="text1"/>
          <w:sz w:val="24"/>
          <w:szCs w:val="24"/>
          <w:lang w:val="en-GB"/>
        </w:rPr>
        <w:t>, M., Bauman, A. E., Booth, M. L., Ainsworth, B. E</w:t>
      </w:r>
      <w:proofErr w:type="gramStart"/>
      <w:r w:rsidRPr="007830C2">
        <w:rPr>
          <w:rFonts w:ascii="Times New Roman" w:hAnsi="Times New Roman" w:cs="Times New Roman"/>
          <w:color w:val="000000" w:themeColor="text1"/>
          <w:sz w:val="24"/>
          <w:szCs w:val="24"/>
          <w:lang w:val="en-GB"/>
        </w:rPr>
        <w:t>., . . .</w:t>
      </w:r>
      <w:proofErr w:type="gramEnd"/>
      <w:r w:rsidRPr="007830C2">
        <w:rPr>
          <w:rFonts w:ascii="Times New Roman" w:hAnsi="Times New Roman" w:cs="Times New Roman"/>
          <w:color w:val="000000" w:themeColor="text1"/>
          <w:sz w:val="24"/>
          <w:szCs w:val="24"/>
          <w:lang w:val="en-GB"/>
        </w:rPr>
        <w:t xml:space="preserve"> </w:t>
      </w:r>
      <w:proofErr w:type="spellStart"/>
      <w:r w:rsidRPr="007830C2">
        <w:rPr>
          <w:rFonts w:ascii="Times New Roman" w:hAnsi="Times New Roman" w:cs="Times New Roman"/>
          <w:color w:val="000000" w:themeColor="text1"/>
          <w:sz w:val="24"/>
          <w:szCs w:val="24"/>
          <w:lang w:val="en-GB"/>
        </w:rPr>
        <w:t>Sallis</w:t>
      </w:r>
      <w:proofErr w:type="spellEnd"/>
      <w:r w:rsidRPr="007830C2">
        <w:rPr>
          <w:rFonts w:ascii="Times New Roman" w:hAnsi="Times New Roman" w:cs="Times New Roman"/>
          <w:color w:val="000000" w:themeColor="text1"/>
          <w:sz w:val="24"/>
          <w:szCs w:val="24"/>
          <w:lang w:val="en-GB"/>
        </w:rPr>
        <w:t xml:space="preserve">, J. F. (2003). International physical activity questionnaire: 12-country reliability and validity. </w:t>
      </w:r>
      <w:r w:rsidRPr="007830C2">
        <w:rPr>
          <w:rFonts w:ascii="Times New Roman" w:hAnsi="Times New Roman" w:cs="Times New Roman"/>
          <w:i/>
          <w:color w:val="000000" w:themeColor="text1"/>
          <w:sz w:val="24"/>
          <w:szCs w:val="24"/>
          <w:lang w:val="en-GB"/>
        </w:rPr>
        <w:t>Medicine &amp; Science in Sports &amp; Exercise</w:t>
      </w:r>
      <w:r w:rsidRPr="007830C2">
        <w:rPr>
          <w:rFonts w:ascii="Times New Roman" w:hAnsi="Times New Roman" w:cs="Times New Roman"/>
          <w:color w:val="000000" w:themeColor="text1"/>
          <w:sz w:val="24"/>
          <w:szCs w:val="24"/>
          <w:lang w:val="en-GB"/>
        </w:rPr>
        <w:t>, 35(8), 1381-1395.</w:t>
      </w:r>
    </w:p>
    <w:p w:rsidR="009705E8" w:rsidRPr="007830C2" w:rsidRDefault="00BF0C71" w:rsidP="00F4734F">
      <w:pPr>
        <w:spacing w:after="60"/>
        <w:ind w:left="482" w:hanging="482"/>
        <w:jc w:val="both"/>
        <w:rPr>
          <w:rFonts w:ascii="Times New Roman" w:hAnsi="Times New Roman" w:cs="Times New Roman"/>
          <w:color w:val="000000" w:themeColor="text1"/>
          <w:sz w:val="24"/>
          <w:szCs w:val="24"/>
          <w:lang w:val="en-GB"/>
        </w:rPr>
      </w:pPr>
      <w:proofErr w:type="spellStart"/>
      <w:r w:rsidRPr="007830C2">
        <w:rPr>
          <w:rFonts w:ascii="Times New Roman" w:hAnsi="Times New Roman" w:cs="Times New Roman"/>
          <w:color w:val="000000" w:themeColor="text1"/>
          <w:sz w:val="24"/>
          <w:szCs w:val="24"/>
          <w:lang w:val="en-GB"/>
        </w:rPr>
        <w:t>Durnin</w:t>
      </w:r>
      <w:proofErr w:type="spellEnd"/>
      <w:r w:rsidRPr="007830C2">
        <w:rPr>
          <w:rFonts w:ascii="Times New Roman" w:hAnsi="Times New Roman" w:cs="Times New Roman"/>
          <w:color w:val="000000" w:themeColor="text1"/>
          <w:sz w:val="24"/>
          <w:szCs w:val="24"/>
          <w:lang w:val="en-GB"/>
        </w:rPr>
        <w:t xml:space="preserve">, J. V., &amp; </w:t>
      </w:r>
      <w:proofErr w:type="spellStart"/>
      <w:r w:rsidRPr="007830C2">
        <w:rPr>
          <w:rFonts w:ascii="Times New Roman" w:hAnsi="Times New Roman" w:cs="Times New Roman"/>
          <w:color w:val="000000" w:themeColor="text1"/>
          <w:sz w:val="24"/>
          <w:szCs w:val="24"/>
          <w:lang w:val="en-GB"/>
        </w:rPr>
        <w:t>Womersley</w:t>
      </w:r>
      <w:proofErr w:type="spellEnd"/>
      <w:r w:rsidRPr="007830C2">
        <w:rPr>
          <w:rFonts w:ascii="Times New Roman" w:hAnsi="Times New Roman" w:cs="Times New Roman"/>
          <w:color w:val="000000" w:themeColor="text1"/>
          <w:sz w:val="24"/>
          <w:szCs w:val="24"/>
          <w:lang w:val="en-GB"/>
        </w:rPr>
        <w:t xml:space="preserve">, J. (1974). Body fat assessed from total body density and its estimation from skinfold thickness: measurements on 481 men and women aged from 16 to 72 years. </w:t>
      </w:r>
      <w:r w:rsidRPr="007830C2">
        <w:rPr>
          <w:rFonts w:ascii="Times New Roman" w:hAnsi="Times New Roman" w:cs="Times New Roman"/>
          <w:i/>
          <w:color w:val="000000" w:themeColor="text1"/>
          <w:sz w:val="24"/>
          <w:szCs w:val="24"/>
          <w:lang w:val="en-GB"/>
        </w:rPr>
        <w:t>British Journal of Nutrition</w:t>
      </w:r>
      <w:r w:rsidRPr="007830C2">
        <w:rPr>
          <w:rFonts w:ascii="Times New Roman" w:hAnsi="Times New Roman" w:cs="Times New Roman"/>
          <w:color w:val="000000" w:themeColor="text1"/>
          <w:sz w:val="24"/>
          <w:szCs w:val="24"/>
          <w:lang w:val="en-GB"/>
        </w:rPr>
        <w:t>, 32(1), 77-97.</w:t>
      </w:r>
    </w:p>
    <w:p w:rsidR="00F4734F" w:rsidRPr="007830C2" w:rsidRDefault="00F4734F" w:rsidP="00F4734F">
      <w:pPr>
        <w:spacing w:after="60"/>
        <w:ind w:left="482" w:hanging="482"/>
        <w:jc w:val="both"/>
        <w:rPr>
          <w:rFonts w:ascii="Times New Roman" w:hAnsi="Times New Roman" w:cs="Times New Roman"/>
          <w:color w:val="000000" w:themeColor="text1"/>
          <w:sz w:val="24"/>
          <w:szCs w:val="24"/>
          <w:lang w:val="en-US"/>
        </w:rPr>
      </w:pPr>
      <w:r w:rsidRPr="007830C2">
        <w:rPr>
          <w:rFonts w:ascii="Times New Roman" w:hAnsi="Times New Roman" w:cs="Times New Roman"/>
          <w:color w:val="000000" w:themeColor="text1"/>
          <w:sz w:val="24"/>
          <w:szCs w:val="24"/>
          <w:shd w:val="clear" w:color="auto" w:fill="FFFFFF"/>
        </w:rPr>
        <w:t>Farooq, A., Martin, A., Janssen, X., Wilson, M. G., Gibson, A. M., Hughes, A., &amp; Reilly, J. J. (2020). Longitudinal changes in moderate‐to‐vigorous‐intensity physical activity in children and adolescents: A systematic review and meta‐analysis. </w:t>
      </w:r>
      <w:r w:rsidRPr="007830C2">
        <w:rPr>
          <w:rFonts w:ascii="Times New Roman" w:hAnsi="Times New Roman" w:cs="Times New Roman"/>
          <w:i/>
          <w:iCs/>
          <w:color w:val="000000" w:themeColor="text1"/>
          <w:sz w:val="24"/>
          <w:szCs w:val="24"/>
          <w:shd w:val="clear" w:color="auto" w:fill="FFFFFF"/>
        </w:rPr>
        <w:t>Obesity Reviews</w:t>
      </w:r>
      <w:r w:rsidRPr="007830C2">
        <w:rPr>
          <w:rFonts w:ascii="Times New Roman" w:hAnsi="Times New Roman" w:cs="Times New Roman"/>
          <w:color w:val="000000" w:themeColor="text1"/>
          <w:sz w:val="24"/>
          <w:szCs w:val="24"/>
          <w:shd w:val="clear" w:color="auto" w:fill="FFFFFF"/>
        </w:rPr>
        <w:t>, </w:t>
      </w:r>
      <w:r w:rsidRPr="007830C2">
        <w:rPr>
          <w:rFonts w:ascii="Times New Roman" w:hAnsi="Times New Roman" w:cs="Times New Roman"/>
          <w:i/>
          <w:iCs/>
          <w:color w:val="000000" w:themeColor="text1"/>
          <w:sz w:val="24"/>
          <w:szCs w:val="24"/>
          <w:shd w:val="clear" w:color="auto" w:fill="FFFFFF"/>
        </w:rPr>
        <w:t>21</w:t>
      </w:r>
      <w:r w:rsidRPr="007830C2">
        <w:rPr>
          <w:rFonts w:ascii="Times New Roman" w:hAnsi="Times New Roman" w:cs="Times New Roman"/>
          <w:color w:val="000000" w:themeColor="text1"/>
          <w:sz w:val="24"/>
          <w:szCs w:val="24"/>
          <w:shd w:val="clear" w:color="auto" w:fill="FFFFFF"/>
        </w:rPr>
        <w:t>(1), e12953.</w:t>
      </w:r>
      <w:r w:rsidRPr="007830C2">
        <w:rPr>
          <w:rFonts w:ascii="Times New Roman" w:hAnsi="Times New Roman" w:cs="Times New Roman"/>
          <w:color w:val="000000" w:themeColor="text1"/>
          <w:sz w:val="24"/>
          <w:szCs w:val="24"/>
          <w:lang w:val="en-US"/>
        </w:rPr>
        <w:t xml:space="preserve"> </w:t>
      </w:r>
    </w:p>
    <w:p w:rsidR="00BF0C71" w:rsidRPr="007830C2" w:rsidRDefault="00BF0C71" w:rsidP="00F4734F">
      <w:pPr>
        <w:spacing w:after="60"/>
        <w:ind w:left="482" w:hanging="482"/>
        <w:jc w:val="both"/>
        <w:rPr>
          <w:rFonts w:ascii="Times New Roman" w:hAnsi="Times New Roman" w:cs="Times New Roman"/>
          <w:color w:val="000000" w:themeColor="text1"/>
          <w:sz w:val="24"/>
          <w:szCs w:val="24"/>
          <w:lang w:val="en-US"/>
        </w:rPr>
      </w:pPr>
      <w:r w:rsidRPr="007830C2">
        <w:rPr>
          <w:rFonts w:ascii="Times New Roman" w:hAnsi="Times New Roman" w:cs="Times New Roman"/>
          <w:color w:val="000000" w:themeColor="text1"/>
          <w:sz w:val="24"/>
          <w:szCs w:val="24"/>
          <w:lang w:val="en-US"/>
        </w:rPr>
        <w:lastRenderedPageBreak/>
        <w:t xml:space="preserve">Lee, R. C., Wang, Z., </w:t>
      </w:r>
      <w:proofErr w:type="spellStart"/>
      <w:r w:rsidRPr="007830C2">
        <w:rPr>
          <w:rFonts w:ascii="Times New Roman" w:hAnsi="Times New Roman" w:cs="Times New Roman"/>
          <w:color w:val="000000" w:themeColor="text1"/>
          <w:sz w:val="24"/>
          <w:szCs w:val="24"/>
          <w:lang w:val="en-US"/>
        </w:rPr>
        <w:t>Heo</w:t>
      </w:r>
      <w:proofErr w:type="spellEnd"/>
      <w:r w:rsidRPr="007830C2">
        <w:rPr>
          <w:rFonts w:ascii="Times New Roman" w:hAnsi="Times New Roman" w:cs="Times New Roman"/>
          <w:color w:val="000000" w:themeColor="text1"/>
          <w:sz w:val="24"/>
          <w:szCs w:val="24"/>
          <w:lang w:val="en-US"/>
        </w:rPr>
        <w:t xml:space="preserve">, M., Ross, R., Janssen, I., &amp; </w:t>
      </w:r>
      <w:proofErr w:type="spellStart"/>
      <w:r w:rsidRPr="007830C2">
        <w:rPr>
          <w:rFonts w:ascii="Times New Roman" w:hAnsi="Times New Roman" w:cs="Times New Roman"/>
          <w:color w:val="000000" w:themeColor="text1"/>
          <w:sz w:val="24"/>
          <w:szCs w:val="24"/>
          <w:lang w:val="en-US"/>
        </w:rPr>
        <w:t>Heymsfield</w:t>
      </w:r>
      <w:proofErr w:type="spellEnd"/>
      <w:r w:rsidRPr="007830C2">
        <w:rPr>
          <w:rFonts w:ascii="Times New Roman" w:hAnsi="Times New Roman" w:cs="Times New Roman"/>
          <w:color w:val="000000" w:themeColor="text1"/>
          <w:sz w:val="24"/>
          <w:szCs w:val="24"/>
          <w:lang w:val="en-US"/>
        </w:rPr>
        <w:t>, S. B. (2000). Total-body skeletal muscle mass: development and cross-validation of anthropometric prediction models. The American Journal of Clinical Nutrition, 72(3), 796-803.</w:t>
      </w:r>
    </w:p>
    <w:p w:rsidR="00FF6EC9" w:rsidRPr="007830C2" w:rsidRDefault="00FF6EC9" w:rsidP="00F4734F">
      <w:pPr>
        <w:spacing w:after="60"/>
        <w:ind w:left="482" w:hanging="482"/>
        <w:jc w:val="both"/>
        <w:rPr>
          <w:rFonts w:ascii="Times New Roman" w:hAnsi="Times New Roman" w:cs="Times New Roman"/>
          <w:color w:val="000000" w:themeColor="text1"/>
          <w:sz w:val="24"/>
          <w:szCs w:val="24"/>
          <w:lang w:val="en-US"/>
        </w:rPr>
      </w:pPr>
      <w:r w:rsidRPr="007830C2">
        <w:rPr>
          <w:rFonts w:ascii="Times New Roman" w:hAnsi="Times New Roman" w:cs="Times New Roman"/>
          <w:color w:val="000000" w:themeColor="text1"/>
          <w:sz w:val="24"/>
          <w:szCs w:val="24"/>
          <w:shd w:val="clear" w:color="auto" w:fill="FFFFFF"/>
        </w:rPr>
        <w:t>Lowensteyn, I., Signorile, J. F., &amp; Giltz, K. (1994). The effect of varying body composition on swimming performance. </w:t>
      </w:r>
      <w:r w:rsidRPr="007830C2">
        <w:rPr>
          <w:rFonts w:ascii="Times New Roman" w:hAnsi="Times New Roman" w:cs="Times New Roman"/>
          <w:i/>
          <w:iCs/>
          <w:color w:val="000000" w:themeColor="text1"/>
          <w:sz w:val="24"/>
          <w:szCs w:val="24"/>
          <w:shd w:val="clear" w:color="auto" w:fill="FFFFFF"/>
        </w:rPr>
        <w:t>The Journal of Strength &amp; Conditioning Research</w:t>
      </w:r>
      <w:r w:rsidRPr="007830C2">
        <w:rPr>
          <w:rFonts w:ascii="Times New Roman" w:hAnsi="Times New Roman" w:cs="Times New Roman"/>
          <w:color w:val="000000" w:themeColor="text1"/>
          <w:sz w:val="24"/>
          <w:szCs w:val="24"/>
          <w:shd w:val="clear" w:color="auto" w:fill="FFFFFF"/>
        </w:rPr>
        <w:t>, </w:t>
      </w:r>
      <w:r w:rsidRPr="007830C2">
        <w:rPr>
          <w:rFonts w:ascii="Times New Roman" w:hAnsi="Times New Roman" w:cs="Times New Roman"/>
          <w:i/>
          <w:iCs/>
          <w:color w:val="000000" w:themeColor="text1"/>
          <w:sz w:val="24"/>
          <w:szCs w:val="24"/>
          <w:shd w:val="clear" w:color="auto" w:fill="FFFFFF"/>
        </w:rPr>
        <w:t>8</w:t>
      </w:r>
      <w:r w:rsidRPr="007830C2">
        <w:rPr>
          <w:rFonts w:ascii="Times New Roman" w:hAnsi="Times New Roman" w:cs="Times New Roman"/>
          <w:color w:val="000000" w:themeColor="text1"/>
          <w:sz w:val="24"/>
          <w:szCs w:val="24"/>
          <w:shd w:val="clear" w:color="auto" w:fill="FFFFFF"/>
        </w:rPr>
        <w:t>(3), 149-154.</w:t>
      </w:r>
      <w:r w:rsidRPr="007830C2">
        <w:rPr>
          <w:rFonts w:ascii="Times New Roman" w:hAnsi="Times New Roman" w:cs="Times New Roman"/>
          <w:color w:val="000000" w:themeColor="text1"/>
          <w:sz w:val="24"/>
          <w:szCs w:val="24"/>
          <w:lang w:val="en-US"/>
        </w:rPr>
        <w:t xml:space="preserve"> </w:t>
      </w:r>
    </w:p>
    <w:p w:rsidR="00882079" w:rsidRPr="007830C2" w:rsidRDefault="00882079" w:rsidP="00F4734F">
      <w:pPr>
        <w:spacing w:after="60"/>
        <w:ind w:left="482" w:hanging="482"/>
        <w:jc w:val="both"/>
        <w:rPr>
          <w:rFonts w:ascii="Times New Roman" w:hAnsi="Times New Roman" w:cs="Times New Roman"/>
          <w:color w:val="000000" w:themeColor="text1"/>
          <w:sz w:val="24"/>
          <w:szCs w:val="24"/>
          <w:lang w:val="en-GB"/>
        </w:rPr>
      </w:pPr>
      <w:proofErr w:type="spellStart"/>
      <w:r w:rsidRPr="007830C2">
        <w:rPr>
          <w:rFonts w:ascii="Times New Roman" w:hAnsi="Times New Roman" w:cs="Times New Roman"/>
          <w:color w:val="000000" w:themeColor="text1"/>
          <w:sz w:val="24"/>
          <w:szCs w:val="24"/>
          <w:lang w:val="en-US"/>
        </w:rPr>
        <w:t>Morais</w:t>
      </w:r>
      <w:proofErr w:type="spellEnd"/>
      <w:r w:rsidRPr="007830C2">
        <w:rPr>
          <w:rFonts w:ascii="Times New Roman" w:hAnsi="Times New Roman" w:cs="Times New Roman"/>
          <w:color w:val="000000" w:themeColor="text1"/>
          <w:sz w:val="24"/>
          <w:szCs w:val="24"/>
          <w:lang w:val="en-US"/>
        </w:rPr>
        <w:t xml:space="preserve">, J. E., Silva, A. J., </w:t>
      </w:r>
      <w:proofErr w:type="spellStart"/>
      <w:r w:rsidRPr="007830C2">
        <w:rPr>
          <w:rFonts w:ascii="Times New Roman" w:hAnsi="Times New Roman" w:cs="Times New Roman"/>
          <w:color w:val="000000" w:themeColor="text1"/>
          <w:sz w:val="24"/>
          <w:szCs w:val="24"/>
          <w:lang w:val="en-US"/>
        </w:rPr>
        <w:t>Garrido</w:t>
      </w:r>
      <w:proofErr w:type="spellEnd"/>
      <w:r w:rsidRPr="007830C2">
        <w:rPr>
          <w:rFonts w:ascii="Times New Roman" w:hAnsi="Times New Roman" w:cs="Times New Roman"/>
          <w:color w:val="000000" w:themeColor="text1"/>
          <w:sz w:val="24"/>
          <w:szCs w:val="24"/>
          <w:lang w:val="en-US"/>
        </w:rPr>
        <w:t xml:space="preserve">, N. D., </w:t>
      </w:r>
      <w:proofErr w:type="spellStart"/>
      <w:r w:rsidRPr="007830C2">
        <w:rPr>
          <w:rFonts w:ascii="Times New Roman" w:hAnsi="Times New Roman" w:cs="Times New Roman"/>
          <w:color w:val="000000" w:themeColor="text1"/>
          <w:sz w:val="24"/>
          <w:szCs w:val="24"/>
          <w:lang w:val="en-US"/>
        </w:rPr>
        <w:t>Marinho</w:t>
      </w:r>
      <w:proofErr w:type="spellEnd"/>
      <w:r w:rsidRPr="007830C2">
        <w:rPr>
          <w:rFonts w:ascii="Times New Roman" w:hAnsi="Times New Roman" w:cs="Times New Roman"/>
          <w:color w:val="000000" w:themeColor="text1"/>
          <w:sz w:val="24"/>
          <w:szCs w:val="24"/>
          <w:lang w:val="en-US"/>
        </w:rPr>
        <w:t xml:space="preserve">, D. A., &amp; Barbosa, T. M. (2018). </w:t>
      </w:r>
      <w:r w:rsidRPr="007830C2">
        <w:rPr>
          <w:rFonts w:ascii="Times New Roman" w:hAnsi="Times New Roman" w:cs="Times New Roman"/>
          <w:color w:val="000000" w:themeColor="text1"/>
          <w:sz w:val="24"/>
          <w:szCs w:val="24"/>
          <w:lang w:val="en-GB"/>
        </w:rPr>
        <w:t xml:space="preserve">The transfer of strength and power into the stroke biomechanics of young swimmers over a 34-week period. </w:t>
      </w:r>
      <w:r w:rsidRPr="007830C2">
        <w:rPr>
          <w:rFonts w:ascii="Times New Roman" w:hAnsi="Times New Roman" w:cs="Times New Roman"/>
          <w:i/>
          <w:color w:val="000000" w:themeColor="text1"/>
          <w:sz w:val="24"/>
          <w:szCs w:val="24"/>
          <w:lang w:val="en-GB"/>
        </w:rPr>
        <w:t>European Journal of Sport Science</w:t>
      </w:r>
      <w:r w:rsidRPr="007830C2">
        <w:rPr>
          <w:rFonts w:ascii="Times New Roman" w:hAnsi="Times New Roman" w:cs="Times New Roman"/>
          <w:color w:val="000000" w:themeColor="text1"/>
          <w:sz w:val="24"/>
          <w:szCs w:val="24"/>
          <w:lang w:val="en-GB"/>
        </w:rPr>
        <w:t>, 18(6), 787-795.</w:t>
      </w:r>
    </w:p>
    <w:p w:rsidR="00F4734F" w:rsidRPr="007830C2" w:rsidRDefault="00F4734F"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shd w:val="clear" w:color="auto" w:fill="FFFFFF"/>
        </w:rPr>
        <w:t>Morais, J. E., Lopes, V. P., Barbosa, T. M., Moriyama, S. I., &amp; Marinho, D. A. (2022). How does 11-week detraining affect 11-12 years old swimmers’ biomechanical determinants and its relationship with 100 m freestyle performance?. </w:t>
      </w:r>
      <w:r w:rsidRPr="007830C2">
        <w:rPr>
          <w:rFonts w:ascii="Times New Roman" w:hAnsi="Times New Roman" w:cs="Times New Roman"/>
          <w:i/>
          <w:iCs/>
          <w:color w:val="000000" w:themeColor="text1"/>
          <w:sz w:val="24"/>
          <w:szCs w:val="24"/>
          <w:shd w:val="clear" w:color="auto" w:fill="FFFFFF"/>
        </w:rPr>
        <w:t>Sports Biomechanics</w:t>
      </w:r>
      <w:r w:rsidRPr="007830C2">
        <w:rPr>
          <w:rFonts w:ascii="Times New Roman" w:hAnsi="Times New Roman" w:cs="Times New Roman"/>
          <w:color w:val="000000" w:themeColor="text1"/>
          <w:sz w:val="24"/>
          <w:szCs w:val="24"/>
          <w:shd w:val="clear" w:color="auto" w:fill="FFFFFF"/>
        </w:rPr>
        <w:t>, </w:t>
      </w:r>
      <w:r w:rsidRPr="007830C2">
        <w:rPr>
          <w:rFonts w:ascii="Times New Roman" w:hAnsi="Times New Roman" w:cs="Times New Roman"/>
          <w:i/>
          <w:iCs/>
          <w:color w:val="000000" w:themeColor="text1"/>
          <w:sz w:val="24"/>
          <w:szCs w:val="24"/>
          <w:shd w:val="clear" w:color="auto" w:fill="FFFFFF"/>
        </w:rPr>
        <w:t>21</w:t>
      </w:r>
      <w:r w:rsidRPr="007830C2">
        <w:rPr>
          <w:rFonts w:ascii="Times New Roman" w:hAnsi="Times New Roman" w:cs="Times New Roman"/>
          <w:color w:val="000000" w:themeColor="text1"/>
          <w:sz w:val="24"/>
          <w:szCs w:val="24"/>
          <w:shd w:val="clear" w:color="auto" w:fill="FFFFFF"/>
        </w:rPr>
        <w:t>(9), 1107-1121.</w:t>
      </w:r>
    </w:p>
    <w:p w:rsidR="00882079" w:rsidRPr="007830C2" w:rsidRDefault="00882079" w:rsidP="00F4734F">
      <w:pPr>
        <w:spacing w:after="60"/>
        <w:ind w:left="482" w:hanging="482"/>
        <w:jc w:val="both"/>
        <w:rPr>
          <w:rFonts w:ascii="Times New Roman" w:hAnsi="Times New Roman" w:cs="Times New Roman"/>
          <w:color w:val="000000" w:themeColor="text1"/>
          <w:sz w:val="24"/>
          <w:szCs w:val="24"/>
          <w:lang w:val="en-GB"/>
        </w:rPr>
      </w:pPr>
      <w:proofErr w:type="spellStart"/>
      <w:r w:rsidRPr="007830C2">
        <w:rPr>
          <w:rFonts w:ascii="Times New Roman" w:hAnsi="Times New Roman" w:cs="Times New Roman"/>
          <w:color w:val="000000" w:themeColor="text1"/>
          <w:sz w:val="24"/>
          <w:szCs w:val="24"/>
          <w:lang w:val="en-US"/>
        </w:rPr>
        <w:t>Mujika</w:t>
      </w:r>
      <w:proofErr w:type="spellEnd"/>
      <w:r w:rsidRPr="007830C2">
        <w:rPr>
          <w:rFonts w:ascii="Times New Roman" w:hAnsi="Times New Roman" w:cs="Times New Roman"/>
          <w:color w:val="000000" w:themeColor="text1"/>
          <w:sz w:val="24"/>
          <w:szCs w:val="24"/>
          <w:lang w:val="en-US"/>
        </w:rPr>
        <w:t xml:space="preserve">, I., &amp; Padilla, S. (2000a). </w:t>
      </w:r>
      <w:r w:rsidRPr="007830C2">
        <w:rPr>
          <w:rFonts w:ascii="Times New Roman" w:hAnsi="Times New Roman" w:cs="Times New Roman"/>
          <w:color w:val="000000" w:themeColor="text1"/>
          <w:sz w:val="24"/>
          <w:szCs w:val="24"/>
          <w:lang w:val="en-GB"/>
        </w:rPr>
        <w:t xml:space="preserve">Detraining: loss of training-induced physiological and performance adaptations. Part I. </w:t>
      </w:r>
      <w:r w:rsidRPr="007830C2">
        <w:rPr>
          <w:rFonts w:ascii="Times New Roman" w:hAnsi="Times New Roman" w:cs="Times New Roman"/>
          <w:i/>
          <w:color w:val="000000" w:themeColor="text1"/>
          <w:sz w:val="24"/>
          <w:szCs w:val="24"/>
          <w:lang w:val="en-GB"/>
        </w:rPr>
        <w:t>Sports Medicine</w:t>
      </w:r>
      <w:r w:rsidRPr="007830C2">
        <w:rPr>
          <w:rFonts w:ascii="Times New Roman" w:hAnsi="Times New Roman" w:cs="Times New Roman"/>
          <w:color w:val="000000" w:themeColor="text1"/>
          <w:sz w:val="24"/>
          <w:szCs w:val="24"/>
          <w:lang w:val="en-GB"/>
        </w:rPr>
        <w:t>, 30(2), 79-87.</w:t>
      </w:r>
    </w:p>
    <w:p w:rsidR="009705E8" w:rsidRPr="007830C2" w:rsidRDefault="0088524B" w:rsidP="00F4734F">
      <w:pPr>
        <w:spacing w:after="60"/>
        <w:ind w:left="482" w:hanging="482"/>
        <w:jc w:val="both"/>
        <w:rPr>
          <w:rFonts w:ascii="Times New Roman" w:hAnsi="Times New Roman" w:cs="Times New Roman"/>
          <w:color w:val="000000" w:themeColor="text1"/>
          <w:sz w:val="24"/>
          <w:szCs w:val="24"/>
          <w:lang w:val="es-ES"/>
        </w:rPr>
      </w:pPr>
      <w:proofErr w:type="spellStart"/>
      <w:r w:rsidRPr="007830C2">
        <w:rPr>
          <w:rFonts w:ascii="Times New Roman" w:hAnsi="Times New Roman" w:cs="Times New Roman"/>
          <w:color w:val="000000" w:themeColor="text1"/>
          <w:sz w:val="24"/>
          <w:szCs w:val="24"/>
          <w:lang w:val="en-GB"/>
        </w:rPr>
        <w:t>Raković</w:t>
      </w:r>
      <w:proofErr w:type="spellEnd"/>
      <w:r w:rsidRPr="007830C2">
        <w:rPr>
          <w:rFonts w:ascii="Times New Roman" w:hAnsi="Times New Roman" w:cs="Times New Roman"/>
          <w:color w:val="000000" w:themeColor="text1"/>
          <w:sz w:val="24"/>
          <w:szCs w:val="24"/>
          <w:lang w:val="en-GB"/>
        </w:rPr>
        <w:t xml:space="preserve">, A., </w:t>
      </w:r>
      <w:proofErr w:type="spellStart"/>
      <w:r w:rsidRPr="007830C2">
        <w:rPr>
          <w:rFonts w:ascii="Times New Roman" w:hAnsi="Times New Roman" w:cs="Times New Roman"/>
          <w:color w:val="000000" w:themeColor="text1"/>
          <w:sz w:val="24"/>
          <w:szCs w:val="24"/>
          <w:lang w:val="en-GB"/>
        </w:rPr>
        <w:t>Savanović</w:t>
      </w:r>
      <w:proofErr w:type="spellEnd"/>
      <w:r w:rsidRPr="007830C2">
        <w:rPr>
          <w:rFonts w:ascii="Times New Roman" w:hAnsi="Times New Roman" w:cs="Times New Roman"/>
          <w:color w:val="000000" w:themeColor="text1"/>
          <w:sz w:val="24"/>
          <w:szCs w:val="24"/>
          <w:lang w:val="en-GB"/>
        </w:rPr>
        <w:t xml:space="preserve">, V., </w:t>
      </w:r>
      <w:proofErr w:type="spellStart"/>
      <w:r w:rsidRPr="007830C2">
        <w:rPr>
          <w:rFonts w:ascii="Times New Roman" w:hAnsi="Times New Roman" w:cs="Times New Roman"/>
          <w:color w:val="000000" w:themeColor="text1"/>
          <w:sz w:val="24"/>
          <w:szCs w:val="24"/>
          <w:lang w:val="en-GB"/>
        </w:rPr>
        <w:t>Stanković</w:t>
      </w:r>
      <w:proofErr w:type="spellEnd"/>
      <w:r w:rsidRPr="007830C2">
        <w:rPr>
          <w:rFonts w:ascii="Times New Roman" w:hAnsi="Times New Roman" w:cs="Times New Roman"/>
          <w:color w:val="000000" w:themeColor="text1"/>
          <w:sz w:val="24"/>
          <w:szCs w:val="24"/>
          <w:lang w:val="en-GB"/>
        </w:rPr>
        <w:t xml:space="preserve">, D., </w:t>
      </w:r>
      <w:proofErr w:type="spellStart"/>
      <w:r w:rsidRPr="007830C2">
        <w:rPr>
          <w:rFonts w:ascii="Times New Roman" w:hAnsi="Times New Roman" w:cs="Times New Roman"/>
          <w:color w:val="000000" w:themeColor="text1"/>
          <w:sz w:val="24"/>
          <w:szCs w:val="24"/>
          <w:lang w:val="en-GB"/>
        </w:rPr>
        <w:t>Pavlović</w:t>
      </w:r>
      <w:proofErr w:type="spellEnd"/>
      <w:r w:rsidRPr="007830C2">
        <w:rPr>
          <w:rFonts w:ascii="Times New Roman" w:hAnsi="Times New Roman" w:cs="Times New Roman"/>
          <w:color w:val="000000" w:themeColor="text1"/>
          <w:sz w:val="24"/>
          <w:szCs w:val="24"/>
          <w:lang w:val="en-GB"/>
        </w:rPr>
        <w:t xml:space="preserve">, R., </w:t>
      </w:r>
      <w:proofErr w:type="spellStart"/>
      <w:r w:rsidRPr="007830C2">
        <w:rPr>
          <w:rFonts w:ascii="Times New Roman" w:hAnsi="Times New Roman" w:cs="Times New Roman"/>
          <w:color w:val="000000" w:themeColor="text1"/>
          <w:sz w:val="24"/>
          <w:szCs w:val="24"/>
          <w:lang w:val="en-GB"/>
        </w:rPr>
        <w:t>Simeonov</w:t>
      </w:r>
      <w:proofErr w:type="spellEnd"/>
      <w:r w:rsidRPr="007830C2">
        <w:rPr>
          <w:rFonts w:ascii="Times New Roman" w:hAnsi="Times New Roman" w:cs="Times New Roman"/>
          <w:color w:val="000000" w:themeColor="text1"/>
          <w:sz w:val="24"/>
          <w:szCs w:val="24"/>
          <w:lang w:val="en-GB"/>
        </w:rPr>
        <w:t xml:space="preserve">, A., &amp; </w:t>
      </w:r>
      <w:proofErr w:type="spellStart"/>
      <w:r w:rsidRPr="007830C2">
        <w:rPr>
          <w:rFonts w:ascii="Times New Roman" w:hAnsi="Times New Roman" w:cs="Times New Roman"/>
          <w:color w:val="000000" w:themeColor="text1"/>
          <w:sz w:val="24"/>
          <w:szCs w:val="24"/>
          <w:lang w:val="en-GB"/>
        </w:rPr>
        <w:t>Petković</w:t>
      </w:r>
      <w:proofErr w:type="spellEnd"/>
      <w:r w:rsidRPr="007830C2">
        <w:rPr>
          <w:rFonts w:ascii="Times New Roman" w:hAnsi="Times New Roman" w:cs="Times New Roman"/>
          <w:color w:val="000000" w:themeColor="text1"/>
          <w:sz w:val="24"/>
          <w:szCs w:val="24"/>
          <w:lang w:val="en-GB"/>
        </w:rPr>
        <w:t xml:space="preserve">, E. (2015). </w:t>
      </w:r>
      <w:proofErr w:type="spellStart"/>
      <w:r w:rsidRPr="007830C2">
        <w:rPr>
          <w:rFonts w:ascii="Times New Roman" w:hAnsi="Times New Roman" w:cs="Times New Roman"/>
          <w:color w:val="000000" w:themeColor="text1"/>
          <w:sz w:val="24"/>
          <w:szCs w:val="24"/>
          <w:lang w:val="es-ES"/>
        </w:rPr>
        <w:t>Analysis</w:t>
      </w:r>
      <w:proofErr w:type="spellEnd"/>
      <w:r w:rsidRPr="007830C2">
        <w:rPr>
          <w:rFonts w:ascii="Times New Roman" w:hAnsi="Times New Roman" w:cs="Times New Roman"/>
          <w:color w:val="000000" w:themeColor="text1"/>
          <w:sz w:val="24"/>
          <w:szCs w:val="24"/>
          <w:lang w:val="es-ES"/>
        </w:rPr>
        <w:t xml:space="preserve"> of </w:t>
      </w:r>
      <w:proofErr w:type="spellStart"/>
      <w:r w:rsidRPr="007830C2">
        <w:rPr>
          <w:rFonts w:ascii="Times New Roman" w:hAnsi="Times New Roman" w:cs="Times New Roman"/>
          <w:color w:val="000000" w:themeColor="text1"/>
          <w:sz w:val="24"/>
          <w:szCs w:val="24"/>
          <w:lang w:val="es-ES"/>
        </w:rPr>
        <w:t>the</w:t>
      </w:r>
      <w:proofErr w:type="spellEnd"/>
      <w:r w:rsidRPr="007830C2">
        <w:rPr>
          <w:rFonts w:ascii="Times New Roman" w:hAnsi="Times New Roman" w:cs="Times New Roman"/>
          <w:color w:val="000000" w:themeColor="text1"/>
          <w:sz w:val="24"/>
          <w:szCs w:val="24"/>
          <w:lang w:val="es-ES"/>
        </w:rPr>
        <w:t xml:space="preserve"> elite </w:t>
      </w:r>
      <w:proofErr w:type="spellStart"/>
      <w:r w:rsidRPr="007830C2">
        <w:rPr>
          <w:rFonts w:ascii="Times New Roman" w:hAnsi="Times New Roman" w:cs="Times New Roman"/>
          <w:color w:val="000000" w:themeColor="text1"/>
          <w:sz w:val="24"/>
          <w:szCs w:val="24"/>
          <w:lang w:val="es-ES"/>
        </w:rPr>
        <w:t>athletes</w:t>
      </w:r>
      <w:proofErr w:type="spellEnd"/>
      <w:r w:rsidRPr="007830C2">
        <w:rPr>
          <w:rFonts w:ascii="Times New Roman" w:hAnsi="Times New Roman" w:cs="Times New Roman"/>
          <w:color w:val="000000" w:themeColor="text1"/>
          <w:sz w:val="24"/>
          <w:szCs w:val="24"/>
          <w:lang w:val="es-ES"/>
        </w:rPr>
        <w:t xml:space="preserve">’ </w:t>
      </w:r>
      <w:proofErr w:type="spellStart"/>
      <w:r w:rsidRPr="007830C2">
        <w:rPr>
          <w:rFonts w:ascii="Times New Roman" w:hAnsi="Times New Roman" w:cs="Times New Roman"/>
          <w:color w:val="000000" w:themeColor="text1"/>
          <w:sz w:val="24"/>
          <w:szCs w:val="24"/>
          <w:lang w:val="es-ES"/>
        </w:rPr>
        <w:t>somatotypes</w:t>
      </w:r>
      <w:proofErr w:type="spellEnd"/>
      <w:r w:rsidRPr="007830C2">
        <w:rPr>
          <w:rFonts w:ascii="Times New Roman" w:hAnsi="Times New Roman" w:cs="Times New Roman"/>
          <w:color w:val="000000" w:themeColor="text1"/>
          <w:sz w:val="24"/>
          <w:szCs w:val="24"/>
          <w:lang w:val="es-ES"/>
        </w:rPr>
        <w:t xml:space="preserve">. Acta </w:t>
      </w:r>
      <w:proofErr w:type="spellStart"/>
      <w:r w:rsidRPr="007830C2">
        <w:rPr>
          <w:rFonts w:ascii="Times New Roman" w:hAnsi="Times New Roman" w:cs="Times New Roman"/>
          <w:color w:val="000000" w:themeColor="text1"/>
          <w:sz w:val="24"/>
          <w:szCs w:val="24"/>
          <w:lang w:val="es-ES"/>
        </w:rPr>
        <w:t>Kinesiologica</w:t>
      </w:r>
      <w:proofErr w:type="spellEnd"/>
      <w:r w:rsidRPr="007830C2">
        <w:rPr>
          <w:rFonts w:ascii="Times New Roman" w:hAnsi="Times New Roman" w:cs="Times New Roman"/>
          <w:color w:val="000000" w:themeColor="text1"/>
          <w:sz w:val="24"/>
          <w:szCs w:val="24"/>
          <w:lang w:val="es-ES"/>
        </w:rPr>
        <w:t>, 9(1), 47-53.</w:t>
      </w:r>
    </w:p>
    <w:p w:rsidR="00882079" w:rsidRPr="007830C2" w:rsidRDefault="00882079"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s-ES"/>
        </w:rPr>
        <w:t xml:space="preserve">Oliveira, M., Henrique, R. S., </w:t>
      </w:r>
      <w:proofErr w:type="spellStart"/>
      <w:r w:rsidRPr="007830C2">
        <w:rPr>
          <w:rFonts w:ascii="Times New Roman" w:hAnsi="Times New Roman" w:cs="Times New Roman"/>
          <w:color w:val="000000" w:themeColor="text1"/>
          <w:sz w:val="24"/>
          <w:szCs w:val="24"/>
          <w:lang w:val="es-ES"/>
        </w:rPr>
        <w:t>Queiroz</w:t>
      </w:r>
      <w:proofErr w:type="spellEnd"/>
      <w:r w:rsidRPr="007830C2">
        <w:rPr>
          <w:rFonts w:ascii="Times New Roman" w:hAnsi="Times New Roman" w:cs="Times New Roman"/>
          <w:color w:val="000000" w:themeColor="text1"/>
          <w:sz w:val="24"/>
          <w:szCs w:val="24"/>
          <w:lang w:val="es-ES"/>
        </w:rPr>
        <w:t xml:space="preserve">, D. R., </w:t>
      </w:r>
      <w:proofErr w:type="spellStart"/>
      <w:r w:rsidRPr="007830C2">
        <w:rPr>
          <w:rFonts w:ascii="Times New Roman" w:hAnsi="Times New Roman" w:cs="Times New Roman"/>
          <w:color w:val="000000" w:themeColor="text1"/>
          <w:sz w:val="24"/>
          <w:szCs w:val="24"/>
          <w:lang w:val="es-ES"/>
        </w:rPr>
        <w:t>Salvina</w:t>
      </w:r>
      <w:proofErr w:type="spellEnd"/>
      <w:r w:rsidRPr="007830C2">
        <w:rPr>
          <w:rFonts w:ascii="Times New Roman" w:hAnsi="Times New Roman" w:cs="Times New Roman"/>
          <w:color w:val="000000" w:themeColor="text1"/>
          <w:sz w:val="24"/>
          <w:szCs w:val="24"/>
          <w:lang w:val="es-ES"/>
        </w:rPr>
        <w:t xml:space="preserve">, M., Melo, W. V., &amp; </w:t>
      </w:r>
      <w:proofErr w:type="spellStart"/>
      <w:r w:rsidRPr="007830C2">
        <w:rPr>
          <w:rFonts w:ascii="Times New Roman" w:hAnsi="Times New Roman" w:cs="Times New Roman"/>
          <w:color w:val="000000" w:themeColor="text1"/>
          <w:sz w:val="24"/>
          <w:szCs w:val="24"/>
          <w:lang w:val="es-ES"/>
        </w:rPr>
        <w:t>Moura</w:t>
      </w:r>
      <w:proofErr w:type="spellEnd"/>
      <w:r w:rsidRPr="007830C2">
        <w:rPr>
          <w:rFonts w:ascii="Times New Roman" w:hAnsi="Times New Roman" w:cs="Times New Roman"/>
          <w:color w:val="000000" w:themeColor="text1"/>
          <w:sz w:val="24"/>
          <w:szCs w:val="24"/>
          <w:lang w:val="es-ES"/>
        </w:rPr>
        <w:t xml:space="preserve"> dos Santos, M. A. (2021). </w:t>
      </w:r>
      <w:r w:rsidRPr="007830C2">
        <w:rPr>
          <w:rFonts w:ascii="Times New Roman" w:hAnsi="Times New Roman" w:cs="Times New Roman"/>
          <w:color w:val="000000" w:themeColor="text1"/>
          <w:sz w:val="24"/>
          <w:szCs w:val="24"/>
          <w:lang w:val="en-GB"/>
        </w:rPr>
        <w:t xml:space="preserve">Anthropometric variables, propulsive force and biological maturation: A mediation analysis in young swimmers. </w:t>
      </w:r>
      <w:r w:rsidRPr="007830C2">
        <w:rPr>
          <w:rFonts w:ascii="Times New Roman" w:hAnsi="Times New Roman" w:cs="Times New Roman"/>
          <w:i/>
          <w:color w:val="000000" w:themeColor="text1"/>
          <w:sz w:val="24"/>
          <w:szCs w:val="24"/>
          <w:lang w:val="en-GB"/>
        </w:rPr>
        <w:t xml:space="preserve">European Journal of </w:t>
      </w:r>
      <w:r w:rsidR="00BF0C71" w:rsidRPr="007830C2">
        <w:rPr>
          <w:rFonts w:ascii="Times New Roman" w:hAnsi="Times New Roman" w:cs="Times New Roman"/>
          <w:i/>
          <w:color w:val="000000" w:themeColor="text1"/>
          <w:sz w:val="24"/>
          <w:szCs w:val="24"/>
          <w:lang w:val="en-GB"/>
        </w:rPr>
        <w:t>Sport Science</w:t>
      </w:r>
      <w:r w:rsidR="00BF0C71" w:rsidRPr="007830C2">
        <w:rPr>
          <w:rFonts w:ascii="Times New Roman" w:hAnsi="Times New Roman" w:cs="Times New Roman"/>
          <w:color w:val="000000" w:themeColor="text1"/>
          <w:sz w:val="24"/>
          <w:szCs w:val="24"/>
          <w:lang w:val="en-GB"/>
        </w:rPr>
        <w:t>, 21(4), 507-514.</w:t>
      </w:r>
    </w:p>
    <w:p w:rsidR="00882079" w:rsidRPr="007830C2" w:rsidRDefault="00882079"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rPr>
        <w:t xml:space="preserve">Rejman, M., Tyc, Ł., Kociuba, M., Bornikowska, A., Rudnik, D., &amp; Kozieł, S. (2018). </w:t>
      </w:r>
      <w:r w:rsidRPr="007830C2">
        <w:rPr>
          <w:rFonts w:ascii="Times New Roman" w:hAnsi="Times New Roman" w:cs="Times New Roman"/>
          <w:color w:val="000000" w:themeColor="text1"/>
          <w:sz w:val="24"/>
          <w:szCs w:val="24"/>
          <w:lang w:val="en-GB"/>
        </w:rPr>
        <w:t xml:space="preserve">Anthropometric predispositions for swimming from the perspective of biomechanics. </w:t>
      </w:r>
      <w:proofErr w:type="spellStart"/>
      <w:r w:rsidRPr="007830C2">
        <w:rPr>
          <w:rFonts w:ascii="Times New Roman" w:hAnsi="Times New Roman" w:cs="Times New Roman"/>
          <w:color w:val="000000" w:themeColor="text1"/>
          <w:sz w:val="24"/>
          <w:szCs w:val="24"/>
          <w:lang w:val="en-GB"/>
        </w:rPr>
        <w:t>Acta</w:t>
      </w:r>
      <w:proofErr w:type="spellEnd"/>
      <w:r w:rsidRPr="007830C2">
        <w:rPr>
          <w:rFonts w:ascii="Times New Roman" w:hAnsi="Times New Roman" w:cs="Times New Roman"/>
          <w:color w:val="000000" w:themeColor="text1"/>
          <w:sz w:val="24"/>
          <w:szCs w:val="24"/>
          <w:lang w:val="en-GB"/>
        </w:rPr>
        <w:t xml:space="preserve"> of Bioengineering and Biomechanics, 20(4).</w:t>
      </w:r>
    </w:p>
    <w:p w:rsidR="007865E1" w:rsidRPr="007830C2" w:rsidRDefault="007865E1" w:rsidP="00F4734F">
      <w:pPr>
        <w:spacing w:after="60"/>
        <w:ind w:left="482" w:hanging="482"/>
        <w:jc w:val="both"/>
        <w:rPr>
          <w:rFonts w:ascii="Times New Roman" w:hAnsi="Times New Roman" w:cs="Times New Roman"/>
          <w:color w:val="000000" w:themeColor="text1"/>
          <w:sz w:val="24"/>
          <w:szCs w:val="24"/>
          <w:shd w:val="clear" w:color="auto" w:fill="FFFFFF"/>
        </w:rPr>
      </w:pPr>
      <w:r w:rsidRPr="007830C2">
        <w:rPr>
          <w:rFonts w:ascii="Times New Roman" w:hAnsi="Times New Roman" w:cs="Times New Roman"/>
          <w:color w:val="000000" w:themeColor="text1"/>
          <w:sz w:val="24"/>
          <w:szCs w:val="24"/>
          <w:shd w:val="clear" w:color="auto" w:fill="FFFFFF"/>
        </w:rPr>
        <w:t>Roelofs, E. J., Smith-Ryan, A. E., Trexler, E. T., &amp; Hirsch, K. R. (2017). Seasonal effects on body composition, muscle characteristics, and performance of collegiate swimmers and divers. </w:t>
      </w:r>
      <w:r w:rsidRPr="007830C2">
        <w:rPr>
          <w:rFonts w:ascii="Times New Roman" w:hAnsi="Times New Roman" w:cs="Times New Roman"/>
          <w:i/>
          <w:iCs/>
          <w:color w:val="000000" w:themeColor="text1"/>
          <w:sz w:val="24"/>
          <w:szCs w:val="24"/>
          <w:shd w:val="clear" w:color="auto" w:fill="FFFFFF"/>
        </w:rPr>
        <w:t>Journal of Athletic Training</w:t>
      </w:r>
      <w:r w:rsidRPr="007830C2">
        <w:rPr>
          <w:rFonts w:ascii="Times New Roman" w:hAnsi="Times New Roman" w:cs="Times New Roman"/>
          <w:color w:val="000000" w:themeColor="text1"/>
          <w:sz w:val="24"/>
          <w:szCs w:val="24"/>
          <w:shd w:val="clear" w:color="auto" w:fill="FFFFFF"/>
        </w:rPr>
        <w:t>, </w:t>
      </w:r>
      <w:r w:rsidRPr="007830C2">
        <w:rPr>
          <w:rFonts w:ascii="Times New Roman" w:hAnsi="Times New Roman" w:cs="Times New Roman"/>
          <w:i/>
          <w:iCs/>
          <w:color w:val="000000" w:themeColor="text1"/>
          <w:sz w:val="24"/>
          <w:szCs w:val="24"/>
          <w:shd w:val="clear" w:color="auto" w:fill="FFFFFF"/>
        </w:rPr>
        <w:t>52</w:t>
      </w:r>
      <w:r w:rsidRPr="007830C2">
        <w:rPr>
          <w:rFonts w:ascii="Times New Roman" w:hAnsi="Times New Roman" w:cs="Times New Roman"/>
          <w:color w:val="000000" w:themeColor="text1"/>
          <w:sz w:val="24"/>
          <w:szCs w:val="24"/>
          <w:shd w:val="clear" w:color="auto" w:fill="FFFFFF"/>
        </w:rPr>
        <w:t xml:space="preserve">(1), 45-50. </w:t>
      </w:r>
    </w:p>
    <w:p w:rsidR="00882079" w:rsidRPr="007830C2" w:rsidRDefault="00882079" w:rsidP="00F4734F">
      <w:pPr>
        <w:spacing w:after="60"/>
        <w:ind w:left="482" w:hanging="482"/>
        <w:jc w:val="both"/>
        <w:rPr>
          <w:rFonts w:ascii="Times New Roman" w:hAnsi="Times New Roman" w:cs="Times New Roman"/>
          <w:color w:val="000000" w:themeColor="text1"/>
          <w:sz w:val="24"/>
          <w:szCs w:val="24"/>
          <w:shd w:val="clear" w:color="auto" w:fill="FFFFFF"/>
        </w:rPr>
      </w:pPr>
      <w:r w:rsidRPr="007830C2">
        <w:rPr>
          <w:rFonts w:ascii="Times New Roman" w:hAnsi="Times New Roman" w:cs="Times New Roman"/>
          <w:color w:val="000000" w:themeColor="text1"/>
          <w:sz w:val="24"/>
          <w:szCs w:val="24"/>
          <w:shd w:val="clear" w:color="auto" w:fill="FFFFFF"/>
        </w:rPr>
        <w:t>Ross, W. D., &amp; Marfell-Jones, M. J. (1991). Kinanthropometry. In H. Kinetics (Ed.), Physiological Testing of the High Performance Athlete (pp. 223-308). London, UK.</w:t>
      </w:r>
    </w:p>
    <w:p w:rsidR="0088524B" w:rsidRPr="007830C2" w:rsidRDefault="009705E8" w:rsidP="00F4734F">
      <w:pPr>
        <w:spacing w:after="60"/>
        <w:ind w:left="482" w:hanging="482"/>
        <w:jc w:val="both"/>
        <w:rPr>
          <w:rFonts w:ascii="Times New Roman" w:hAnsi="Times New Roman" w:cs="Times New Roman"/>
          <w:color w:val="000000" w:themeColor="text1"/>
          <w:sz w:val="24"/>
          <w:szCs w:val="24"/>
          <w:shd w:val="clear" w:color="auto" w:fill="FFFFFF"/>
        </w:rPr>
      </w:pPr>
      <w:r w:rsidRPr="007830C2">
        <w:rPr>
          <w:rFonts w:ascii="Times New Roman" w:hAnsi="Times New Roman" w:cs="Times New Roman"/>
          <w:color w:val="000000" w:themeColor="text1"/>
          <w:sz w:val="24"/>
          <w:szCs w:val="24"/>
          <w:shd w:val="clear" w:color="auto" w:fill="FFFFFF"/>
        </w:rPr>
        <w:t>Ruiz-Navarro, J. J., Gay, A., Zacca, R., Cuenca-Fernández, F., López-Belmonte, Ó., López-Contreras, G., ... &amp; Arellano, R. (2022). Biophysical impact of 5-week training cessation on sprint swimming performance. </w:t>
      </w:r>
      <w:r w:rsidRPr="007830C2">
        <w:rPr>
          <w:rFonts w:ascii="Times New Roman" w:hAnsi="Times New Roman" w:cs="Times New Roman"/>
          <w:i/>
          <w:iCs/>
          <w:color w:val="000000" w:themeColor="text1"/>
          <w:sz w:val="24"/>
          <w:szCs w:val="24"/>
          <w:shd w:val="clear" w:color="auto" w:fill="FFFFFF"/>
        </w:rPr>
        <w:t>International Journal of Sports Physiology and Performance</w:t>
      </w:r>
      <w:r w:rsidRPr="007830C2">
        <w:rPr>
          <w:rFonts w:ascii="Times New Roman" w:hAnsi="Times New Roman" w:cs="Times New Roman"/>
          <w:color w:val="000000" w:themeColor="text1"/>
          <w:sz w:val="24"/>
          <w:szCs w:val="24"/>
          <w:shd w:val="clear" w:color="auto" w:fill="FFFFFF"/>
        </w:rPr>
        <w:t>, </w:t>
      </w:r>
      <w:r w:rsidRPr="007830C2">
        <w:rPr>
          <w:rFonts w:ascii="Times New Roman" w:hAnsi="Times New Roman" w:cs="Times New Roman"/>
          <w:i/>
          <w:iCs/>
          <w:color w:val="000000" w:themeColor="text1"/>
          <w:sz w:val="24"/>
          <w:szCs w:val="24"/>
          <w:shd w:val="clear" w:color="auto" w:fill="FFFFFF"/>
        </w:rPr>
        <w:t>17</w:t>
      </w:r>
      <w:r w:rsidRPr="007830C2">
        <w:rPr>
          <w:rFonts w:ascii="Times New Roman" w:hAnsi="Times New Roman" w:cs="Times New Roman"/>
          <w:color w:val="000000" w:themeColor="text1"/>
          <w:sz w:val="24"/>
          <w:szCs w:val="24"/>
          <w:shd w:val="clear" w:color="auto" w:fill="FFFFFF"/>
        </w:rPr>
        <w:t>(10), 1463-1472.</w:t>
      </w:r>
    </w:p>
    <w:p w:rsidR="00BF0C71" w:rsidRPr="007830C2" w:rsidRDefault="00BF0C71"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lang w:val="en-GB"/>
        </w:rPr>
        <w:t>Siri, W. E. (1961). Body composition from fluid spaces and density: analysis of methods. Techniques for measuring body composition, 61, 223-244.</w:t>
      </w:r>
    </w:p>
    <w:p w:rsidR="008D3757" w:rsidRPr="007830C2" w:rsidRDefault="0088524B" w:rsidP="00F4734F">
      <w:pPr>
        <w:spacing w:after="60"/>
        <w:ind w:left="482" w:hanging="482"/>
        <w:jc w:val="both"/>
        <w:rPr>
          <w:rFonts w:ascii="Times New Roman" w:hAnsi="Times New Roman" w:cs="Times New Roman"/>
          <w:color w:val="000000" w:themeColor="text1"/>
          <w:sz w:val="24"/>
          <w:szCs w:val="24"/>
          <w:lang w:val="en-GB"/>
        </w:rPr>
      </w:pPr>
      <w:proofErr w:type="spellStart"/>
      <w:r w:rsidRPr="007830C2">
        <w:rPr>
          <w:rFonts w:ascii="Times New Roman" w:hAnsi="Times New Roman" w:cs="Times New Roman"/>
          <w:color w:val="000000" w:themeColor="text1"/>
          <w:sz w:val="24"/>
          <w:szCs w:val="24"/>
          <w:lang w:val="en-GB"/>
        </w:rPr>
        <w:t>Stanković</w:t>
      </w:r>
      <w:proofErr w:type="spellEnd"/>
      <w:r w:rsidRPr="007830C2">
        <w:rPr>
          <w:rFonts w:ascii="Times New Roman" w:hAnsi="Times New Roman" w:cs="Times New Roman"/>
          <w:color w:val="000000" w:themeColor="text1"/>
          <w:sz w:val="24"/>
          <w:szCs w:val="24"/>
          <w:lang w:val="en-GB"/>
        </w:rPr>
        <w:t xml:space="preserve">, D., </w:t>
      </w:r>
      <w:proofErr w:type="spellStart"/>
      <w:r w:rsidRPr="007830C2">
        <w:rPr>
          <w:rFonts w:ascii="Times New Roman" w:hAnsi="Times New Roman" w:cs="Times New Roman"/>
          <w:color w:val="000000" w:themeColor="text1"/>
          <w:sz w:val="24"/>
          <w:szCs w:val="24"/>
          <w:lang w:val="en-GB"/>
        </w:rPr>
        <w:t>Pavlović</w:t>
      </w:r>
      <w:proofErr w:type="spellEnd"/>
      <w:r w:rsidRPr="007830C2">
        <w:rPr>
          <w:rFonts w:ascii="Times New Roman" w:hAnsi="Times New Roman" w:cs="Times New Roman"/>
          <w:color w:val="000000" w:themeColor="text1"/>
          <w:sz w:val="24"/>
          <w:szCs w:val="24"/>
          <w:lang w:val="en-GB"/>
        </w:rPr>
        <w:t xml:space="preserve">, R., </w:t>
      </w:r>
      <w:proofErr w:type="spellStart"/>
      <w:r w:rsidRPr="007830C2">
        <w:rPr>
          <w:rFonts w:ascii="Times New Roman" w:hAnsi="Times New Roman" w:cs="Times New Roman"/>
          <w:color w:val="000000" w:themeColor="text1"/>
          <w:sz w:val="24"/>
          <w:szCs w:val="24"/>
          <w:lang w:val="en-GB"/>
        </w:rPr>
        <w:t>Petković</w:t>
      </w:r>
      <w:proofErr w:type="spellEnd"/>
      <w:r w:rsidRPr="007830C2">
        <w:rPr>
          <w:rFonts w:ascii="Times New Roman" w:hAnsi="Times New Roman" w:cs="Times New Roman"/>
          <w:color w:val="000000" w:themeColor="text1"/>
          <w:sz w:val="24"/>
          <w:szCs w:val="24"/>
          <w:lang w:val="en-GB"/>
        </w:rPr>
        <w:t xml:space="preserve">, E., </w:t>
      </w:r>
      <w:proofErr w:type="spellStart"/>
      <w:r w:rsidRPr="007830C2">
        <w:rPr>
          <w:rFonts w:ascii="Times New Roman" w:hAnsi="Times New Roman" w:cs="Times New Roman"/>
          <w:color w:val="000000" w:themeColor="text1"/>
          <w:sz w:val="24"/>
          <w:szCs w:val="24"/>
          <w:lang w:val="en-GB"/>
        </w:rPr>
        <w:t>Raković</w:t>
      </w:r>
      <w:proofErr w:type="spellEnd"/>
      <w:r w:rsidRPr="007830C2">
        <w:rPr>
          <w:rFonts w:ascii="Times New Roman" w:hAnsi="Times New Roman" w:cs="Times New Roman"/>
          <w:color w:val="000000" w:themeColor="text1"/>
          <w:sz w:val="24"/>
          <w:szCs w:val="24"/>
          <w:lang w:val="en-GB"/>
        </w:rPr>
        <w:t xml:space="preserve">, A., &amp; </w:t>
      </w:r>
      <w:proofErr w:type="spellStart"/>
      <w:r w:rsidRPr="007830C2">
        <w:rPr>
          <w:rFonts w:ascii="Times New Roman" w:hAnsi="Times New Roman" w:cs="Times New Roman"/>
          <w:color w:val="000000" w:themeColor="text1"/>
          <w:sz w:val="24"/>
          <w:szCs w:val="24"/>
          <w:lang w:val="en-GB"/>
        </w:rPr>
        <w:t>Puletić</w:t>
      </w:r>
      <w:proofErr w:type="spellEnd"/>
      <w:r w:rsidRPr="007830C2">
        <w:rPr>
          <w:rFonts w:ascii="Times New Roman" w:hAnsi="Times New Roman" w:cs="Times New Roman"/>
          <w:color w:val="000000" w:themeColor="text1"/>
          <w:sz w:val="24"/>
          <w:szCs w:val="24"/>
          <w:lang w:val="en-GB"/>
        </w:rPr>
        <w:t>, M. (2018). The somatotypes and body composition of elite track and field athletes and swimmers. International Journal of Sports Sciences, 8(3), 67-77.</w:t>
      </w:r>
    </w:p>
    <w:p w:rsidR="00A41AB4" w:rsidRPr="007830C2" w:rsidRDefault="00A41AB4" w:rsidP="00F4734F">
      <w:pPr>
        <w:spacing w:after="60"/>
        <w:ind w:left="482" w:hanging="482"/>
        <w:jc w:val="both"/>
        <w:rPr>
          <w:rFonts w:ascii="Times New Roman" w:hAnsi="Times New Roman" w:cs="Times New Roman"/>
          <w:color w:val="000000" w:themeColor="text1"/>
          <w:sz w:val="24"/>
          <w:szCs w:val="24"/>
        </w:rPr>
      </w:pPr>
      <w:r w:rsidRPr="007830C2">
        <w:rPr>
          <w:rFonts w:ascii="Times New Roman" w:hAnsi="Times New Roman" w:cs="Times New Roman"/>
          <w:color w:val="000000" w:themeColor="text1"/>
          <w:sz w:val="24"/>
          <w:szCs w:val="24"/>
          <w:shd w:val="clear" w:color="auto" w:fill="FFFFFF"/>
        </w:rPr>
        <w:t>Toussaint, H., &amp; Truijens, M. (2005). Biomechanical aspects of peak performance in human swimming. </w:t>
      </w:r>
      <w:r w:rsidRPr="007830C2">
        <w:rPr>
          <w:rFonts w:ascii="Times New Roman" w:hAnsi="Times New Roman" w:cs="Times New Roman"/>
          <w:i/>
          <w:iCs/>
          <w:color w:val="000000" w:themeColor="text1"/>
          <w:sz w:val="24"/>
          <w:szCs w:val="24"/>
          <w:shd w:val="clear" w:color="auto" w:fill="FFFFFF"/>
        </w:rPr>
        <w:t>Animal biology</w:t>
      </w:r>
      <w:r w:rsidRPr="007830C2">
        <w:rPr>
          <w:rFonts w:ascii="Times New Roman" w:hAnsi="Times New Roman" w:cs="Times New Roman"/>
          <w:color w:val="000000" w:themeColor="text1"/>
          <w:sz w:val="24"/>
          <w:szCs w:val="24"/>
          <w:shd w:val="clear" w:color="auto" w:fill="FFFFFF"/>
        </w:rPr>
        <w:t>, </w:t>
      </w:r>
      <w:r w:rsidRPr="007830C2">
        <w:rPr>
          <w:rFonts w:ascii="Times New Roman" w:hAnsi="Times New Roman" w:cs="Times New Roman"/>
          <w:i/>
          <w:iCs/>
          <w:color w:val="000000" w:themeColor="text1"/>
          <w:sz w:val="24"/>
          <w:szCs w:val="24"/>
          <w:shd w:val="clear" w:color="auto" w:fill="FFFFFF"/>
        </w:rPr>
        <w:t>55</w:t>
      </w:r>
      <w:r w:rsidRPr="007830C2">
        <w:rPr>
          <w:rFonts w:ascii="Times New Roman" w:hAnsi="Times New Roman" w:cs="Times New Roman"/>
          <w:color w:val="000000" w:themeColor="text1"/>
          <w:sz w:val="24"/>
          <w:szCs w:val="24"/>
          <w:shd w:val="clear" w:color="auto" w:fill="FFFFFF"/>
        </w:rPr>
        <w:t>(1), 17-40.</w:t>
      </w:r>
      <w:r w:rsidRPr="007830C2">
        <w:rPr>
          <w:rFonts w:ascii="Times New Roman" w:hAnsi="Times New Roman" w:cs="Times New Roman"/>
          <w:color w:val="000000" w:themeColor="text1"/>
          <w:sz w:val="24"/>
          <w:szCs w:val="24"/>
        </w:rPr>
        <w:t xml:space="preserve"> </w:t>
      </w:r>
    </w:p>
    <w:p w:rsidR="008D3757" w:rsidRPr="007830C2" w:rsidRDefault="008D3757" w:rsidP="00F4734F">
      <w:pPr>
        <w:spacing w:after="60"/>
        <w:ind w:left="482" w:hanging="482"/>
        <w:jc w:val="both"/>
        <w:rPr>
          <w:rFonts w:ascii="Times New Roman" w:hAnsi="Times New Roman" w:cs="Times New Roman"/>
          <w:color w:val="000000" w:themeColor="text1"/>
          <w:sz w:val="24"/>
          <w:szCs w:val="24"/>
          <w:lang w:val="en-GB"/>
        </w:rPr>
      </w:pPr>
      <w:r w:rsidRPr="007830C2">
        <w:rPr>
          <w:rFonts w:ascii="Times New Roman" w:hAnsi="Times New Roman" w:cs="Times New Roman"/>
          <w:color w:val="000000" w:themeColor="text1"/>
          <w:sz w:val="24"/>
          <w:szCs w:val="24"/>
        </w:rPr>
        <w:t xml:space="preserve">Zacca, R., Toubekis, A., Freitas, L., Silva, A. F., Azevedo, R., Vilas-Boas, J. P., . . . Fernandes, R. J. (2019). </w:t>
      </w:r>
      <w:r w:rsidRPr="007830C2">
        <w:rPr>
          <w:rFonts w:ascii="Times New Roman" w:hAnsi="Times New Roman" w:cs="Times New Roman"/>
          <w:color w:val="000000" w:themeColor="text1"/>
          <w:sz w:val="24"/>
          <w:szCs w:val="24"/>
          <w:lang w:val="en-GB"/>
        </w:rPr>
        <w:t xml:space="preserve">Effects of detraining in age-group swimmers performance, energetics and kinematics. </w:t>
      </w:r>
      <w:r w:rsidRPr="007830C2">
        <w:rPr>
          <w:rFonts w:ascii="Times New Roman" w:hAnsi="Times New Roman" w:cs="Times New Roman"/>
          <w:i/>
          <w:color w:val="000000" w:themeColor="text1"/>
          <w:sz w:val="24"/>
          <w:szCs w:val="24"/>
          <w:lang w:val="en-GB"/>
        </w:rPr>
        <w:t>Journal of Sports Sciences</w:t>
      </w:r>
      <w:r w:rsidRPr="007830C2">
        <w:rPr>
          <w:rFonts w:ascii="Times New Roman" w:hAnsi="Times New Roman" w:cs="Times New Roman"/>
          <w:color w:val="000000" w:themeColor="text1"/>
          <w:sz w:val="24"/>
          <w:szCs w:val="24"/>
          <w:lang w:val="en-GB"/>
        </w:rPr>
        <w:t>, 37(13), 1490-1498.</w:t>
      </w:r>
    </w:p>
    <w:sectPr w:rsidR="008D3757" w:rsidRPr="007830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7"/>
    <w:rsid w:val="00046C2E"/>
    <w:rsid w:val="00077FAA"/>
    <w:rsid w:val="000E7C7E"/>
    <w:rsid w:val="0011051A"/>
    <w:rsid w:val="00125F3C"/>
    <w:rsid w:val="0014776B"/>
    <w:rsid w:val="0016778B"/>
    <w:rsid w:val="001953A7"/>
    <w:rsid w:val="001E442E"/>
    <w:rsid w:val="001E55E6"/>
    <w:rsid w:val="00202025"/>
    <w:rsid w:val="00271F43"/>
    <w:rsid w:val="0027781D"/>
    <w:rsid w:val="002834AE"/>
    <w:rsid w:val="002B2A48"/>
    <w:rsid w:val="002F3340"/>
    <w:rsid w:val="003016F5"/>
    <w:rsid w:val="00302D63"/>
    <w:rsid w:val="0031322A"/>
    <w:rsid w:val="003300EF"/>
    <w:rsid w:val="00333D73"/>
    <w:rsid w:val="003B11C6"/>
    <w:rsid w:val="003E5087"/>
    <w:rsid w:val="00413905"/>
    <w:rsid w:val="004245E6"/>
    <w:rsid w:val="00446B3E"/>
    <w:rsid w:val="004A5226"/>
    <w:rsid w:val="004B1BD6"/>
    <w:rsid w:val="004E071F"/>
    <w:rsid w:val="004F1387"/>
    <w:rsid w:val="0054301D"/>
    <w:rsid w:val="005B58EA"/>
    <w:rsid w:val="00620276"/>
    <w:rsid w:val="0064014F"/>
    <w:rsid w:val="00684B11"/>
    <w:rsid w:val="00686798"/>
    <w:rsid w:val="006B4B79"/>
    <w:rsid w:val="006E4395"/>
    <w:rsid w:val="006F58B0"/>
    <w:rsid w:val="00703B99"/>
    <w:rsid w:val="00711F6C"/>
    <w:rsid w:val="00717871"/>
    <w:rsid w:val="00735A14"/>
    <w:rsid w:val="007830C2"/>
    <w:rsid w:val="007865E1"/>
    <w:rsid w:val="0079432F"/>
    <w:rsid w:val="007A7F4F"/>
    <w:rsid w:val="007B24CC"/>
    <w:rsid w:val="007C2F04"/>
    <w:rsid w:val="00811F47"/>
    <w:rsid w:val="00827CAC"/>
    <w:rsid w:val="00827F37"/>
    <w:rsid w:val="008534D5"/>
    <w:rsid w:val="00855467"/>
    <w:rsid w:val="008665FC"/>
    <w:rsid w:val="00871165"/>
    <w:rsid w:val="00882079"/>
    <w:rsid w:val="0088524B"/>
    <w:rsid w:val="00896205"/>
    <w:rsid w:val="00896E2A"/>
    <w:rsid w:val="008B5E6E"/>
    <w:rsid w:val="008D3757"/>
    <w:rsid w:val="0090223B"/>
    <w:rsid w:val="00906125"/>
    <w:rsid w:val="009214D7"/>
    <w:rsid w:val="00930336"/>
    <w:rsid w:val="009705E8"/>
    <w:rsid w:val="009821AD"/>
    <w:rsid w:val="00991BA6"/>
    <w:rsid w:val="009A33CA"/>
    <w:rsid w:val="009A5CE8"/>
    <w:rsid w:val="00A13A4D"/>
    <w:rsid w:val="00A33CA8"/>
    <w:rsid w:val="00A41AB4"/>
    <w:rsid w:val="00AC502D"/>
    <w:rsid w:val="00AD7427"/>
    <w:rsid w:val="00B02EAD"/>
    <w:rsid w:val="00B0790B"/>
    <w:rsid w:val="00B21DCB"/>
    <w:rsid w:val="00BF0236"/>
    <w:rsid w:val="00BF0C71"/>
    <w:rsid w:val="00C3417B"/>
    <w:rsid w:val="00C40120"/>
    <w:rsid w:val="00C74B97"/>
    <w:rsid w:val="00CA16E2"/>
    <w:rsid w:val="00CB5496"/>
    <w:rsid w:val="00CC3159"/>
    <w:rsid w:val="00CC3E4C"/>
    <w:rsid w:val="00CC5E65"/>
    <w:rsid w:val="00CF021B"/>
    <w:rsid w:val="00D35D8D"/>
    <w:rsid w:val="00D416BB"/>
    <w:rsid w:val="00D84ADF"/>
    <w:rsid w:val="00DB182D"/>
    <w:rsid w:val="00E33AE1"/>
    <w:rsid w:val="00E47DD7"/>
    <w:rsid w:val="00E54430"/>
    <w:rsid w:val="00EC0FE9"/>
    <w:rsid w:val="00EC4A69"/>
    <w:rsid w:val="00F10111"/>
    <w:rsid w:val="00F11F0D"/>
    <w:rsid w:val="00F37800"/>
    <w:rsid w:val="00F4734F"/>
    <w:rsid w:val="00F95857"/>
    <w:rsid w:val="00FA0A85"/>
    <w:rsid w:val="00FF6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43E4-0B89-455F-A50B-FE095B7A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36"/>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F0236"/>
    <w:rPr>
      <w:sz w:val="16"/>
      <w:szCs w:val="16"/>
    </w:rPr>
  </w:style>
  <w:style w:type="paragraph" w:styleId="Textocomentario">
    <w:name w:val="annotation text"/>
    <w:basedOn w:val="Normal"/>
    <w:link w:val="TextocomentarioCar"/>
    <w:uiPriority w:val="99"/>
    <w:semiHidden/>
    <w:unhideWhenUsed/>
    <w:rsid w:val="00BF0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236"/>
    <w:rPr>
      <w:sz w:val="20"/>
      <w:szCs w:val="20"/>
      <w:lang w:val="pt-PT"/>
    </w:rPr>
  </w:style>
  <w:style w:type="paragraph" w:styleId="Textodeglobo">
    <w:name w:val="Balloon Text"/>
    <w:basedOn w:val="Normal"/>
    <w:link w:val="TextodegloboCar"/>
    <w:uiPriority w:val="99"/>
    <w:semiHidden/>
    <w:unhideWhenUsed/>
    <w:rsid w:val="00BF0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236"/>
    <w:rPr>
      <w:rFonts w:ascii="Segoe UI" w:hAnsi="Segoe UI" w:cs="Segoe UI"/>
      <w:sz w:val="18"/>
      <w:szCs w:val="18"/>
      <w:lang w:val="pt-PT"/>
    </w:rPr>
  </w:style>
  <w:style w:type="table" w:styleId="Cuadrculadetablaclara">
    <w:name w:val="Grid Table Light"/>
    <w:basedOn w:val="Tablanormal"/>
    <w:uiPriority w:val="40"/>
    <w:rsid w:val="009A5C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D8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6</Pages>
  <Words>3389</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87</cp:revision>
  <cp:lastPrinted>2023-08-22T09:53:00Z</cp:lastPrinted>
  <dcterms:created xsi:type="dcterms:W3CDTF">2023-07-20T07:55:00Z</dcterms:created>
  <dcterms:modified xsi:type="dcterms:W3CDTF">2023-09-01T08:09:00Z</dcterms:modified>
</cp:coreProperties>
</file>