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C69C" w14:textId="622BDC1C" w:rsidR="001804A0" w:rsidRPr="00042ADE" w:rsidRDefault="001804A0" w:rsidP="001804A0">
      <w:pPr>
        <w:spacing w:line="360" w:lineRule="auto"/>
        <w:jc w:val="both"/>
        <w:rPr>
          <w:rFonts w:ascii="Times New Roman" w:hAnsi="Times New Roman"/>
          <w:b/>
          <w:sz w:val="24"/>
          <w:szCs w:val="24"/>
          <w:lang w:val="en-GB"/>
        </w:rPr>
      </w:pPr>
      <w:r w:rsidRPr="00042ADE">
        <w:rPr>
          <w:rFonts w:ascii="Times New Roman" w:hAnsi="Times New Roman"/>
          <w:b/>
          <w:sz w:val="24"/>
          <w:szCs w:val="24"/>
          <w:lang w:val="en-GB"/>
        </w:rPr>
        <w:t>Title</w:t>
      </w:r>
    </w:p>
    <w:p w14:paraId="1D42990B" w14:textId="77777777" w:rsidR="001804A0" w:rsidRPr="00042ADE" w:rsidRDefault="001804A0" w:rsidP="001804A0">
      <w:pPr>
        <w:spacing w:line="360" w:lineRule="auto"/>
        <w:jc w:val="both"/>
        <w:rPr>
          <w:rFonts w:ascii="Times New Roman" w:hAnsi="Times New Roman"/>
          <w:b/>
          <w:sz w:val="24"/>
          <w:szCs w:val="24"/>
          <w:lang w:val="en-GB"/>
        </w:rPr>
      </w:pPr>
      <w:r w:rsidRPr="00042ADE">
        <w:rPr>
          <w:rFonts w:ascii="Times New Roman" w:hAnsi="Times New Roman"/>
          <w:b/>
          <w:sz w:val="24"/>
          <w:szCs w:val="24"/>
          <w:lang w:val="en-GB"/>
        </w:rPr>
        <w:t>Evaluation of sympathetic adrenergic branch of cutaneous neural control throughout thermography and its relationship to nitric oxide levels in patients with Fibromyalgia</w:t>
      </w:r>
    </w:p>
    <w:p w14:paraId="1EF609C0" w14:textId="77777777" w:rsidR="001804A0" w:rsidRPr="00042ADE" w:rsidRDefault="001804A0" w:rsidP="001804A0">
      <w:pPr>
        <w:spacing w:line="480" w:lineRule="auto"/>
        <w:jc w:val="both"/>
        <w:rPr>
          <w:rFonts w:ascii="Times New Roman" w:hAnsi="Times New Roman"/>
          <w:sz w:val="24"/>
          <w:szCs w:val="24"/>
        </w:rPr>
      </w:pPr>
      <w:r w:rsidRPr="00042ADE">
        <w:rPr>
          <w:rFonts w:ascii="Times New Roman" w:hAnsi="Times New Roman"/>
          <w:sz w:val="24"/>
          <w:szCs w:val="24"/>
        </w:rPr>
        <w:t>María Encarnación Aguilar-</w:t>
      </w:r>
      <w:proofErr w:type="spellStart"/>
      <w:r w:rsidRPr="00042ADE">
        <w:rPr>
          <w:rFonts w:ascii="Times New Roman" w:hAnsi="Times New Roman"/>
          <w:sz w:val="24"/>
          <w:szCs w:val="24"/>
        </w:rPr>
        <w:t>Ferrándiz</w:t>
      </w:r>
      <w:r w:rsidRPr="00042ADE">
        <w:rPr>
          <w:rFonts w:ascii="Times New Roman" w:hAnsi="Times New Roman"/>
          <w:sz w:val="24"/>
          <w:szCs w:val="24"/>
          <w:vertAlign w:val="superscript"/>
        </w:rPr>
        <w:t>a</w:t>
      </w:r>
      <w:proofErr w:type="spellEnd"/>
      <w:r w:rsidRPr="00042ADE">
        <w:rPr>
          <w:rFonts w:ascii="Times New Roman" w:hAnsi="Times New Roman"/>
          <w:sz w:val="24"/>
          <w:szCs w:val="24"/>
        </w:rPr>
        <w:t>, Antonio Casas-</w:t>
      </w:r>
      <w:proofErr w:type="spellStart"/>
      <w:r w:rsidRPr="00042ADE">
        <w:rPr>
          <w:rFonts w:ascii="Times New Roman" w:hAnsi="Times New Roman"/>
          <w:sz w:val="24"/>
          <w:szCs w:val="24"/>
        </w:rPr>
        <w:t>Barragán</w:t>
      </w:r>
      <w:r w:rsidRPr="00042ADE">
        <w:rPr>
          <w:rFonts w:ascii="Times New Roman" w:hAnsi="Times New Roman"/>
          <w:sz w:val="24"/>
          <w:szCs w:val="24"/>
          <w:vertAlign w:val="superscript"/>
        </w:rPr>
        <w:t>b</w:t>
      </w:r>
      <w:proofErr w:type="spellEnd"/>
      <w:r w:rsidRPr="00042ADE">
        <w:rPr>
          <w:rFonts w:ascii="Times New Roman" w:hAnsi="Times New Roman"/>
          <w:sz w:val="24"/>
          <w:szCs w:val="24"/>
        </w:rPr>
        <w:t xml:space="preserve">, Rosa </w:t>
      </w:r>
      <w:proofErr w:type="spellStart"/>
      <w:r w:rsidRPr="00042ADE">
        <w:rPr>
          <w:rFonts w:ascii="Times New Roman" w:hAnsi="Times New Roman"/>
          <w:sz w:val="24"/>
          <w:szCs w:val="24"/>
        </w:rPr>
        <w:t>Maria</w:t>
      </w:r>
      <w:proofErr w:type="spellEnd"/>
      <w:r w:rsidRPr="00042ADE">
        <w:rPr>
          <w:rFonts w:ascii="Times New Roman" w:hAnsi="Times New Roman"/>
          <w:sz w:val="24"/>
          <w:szCs w:val="24"/>
        </w:rPr>
        <w:t xml:space="preserve"> Tapia-</w:t>
      </w:r>
      <w:proofErr w:type="spellStart"/>
      <w:r w:rsidRPr="00042ADE">
        <w:rPr>
          <w:rFonts w:ascii="Times New Roman" w:hAnsi="Times New Roman"/>
          <w:sz w:val="24"/>
          <w:szCs w:val="24"/>
        </w:rPr>
        <w:t>Haro</w:t>
      </w:r>
      <w:r w:rsidRPr="00042ADE">
        <w:rPr>
          <w:rFonts w:ascii="Times New Roman" w:hAnsi="Times New Roman"/>
          <w:sz w:val="24"/>
          <w:szCs w:val="24"/>
          <w:vertAlign w:val="superscript"/>
        </w:rPr>
        <w:t>c</w:t>
      </w:r>
      <w:proofErr w:type="spellEnd"/>
      <w:r w:rsidRPr="00042ADE">
        <w:rPr>
          <w:rFonts w:ascii="Times New Roman" w:hAnsi="Times New Roman"/>
          <w:sz w:val="24"/>
          <w:szCs w:val="24"/>
        </w:rPr>
        <w:t xml:space="preserve">, Alma </w:t>
      </w:r>
      <w:proofErr w:type="spellStart"/>
      <w:r w:rsidRPr="00042ADE">
        <w:rPr>
          <w:rFonts w:ascii="Times New Roman" w:hAnsi="Times New Roman"/>
          <w:sz w:val="24"/>
          <w:szCs w:val="24"/>
        </w:rPr>
        <w:t>Rus</w:t>
      </w:r>
      <w:r w:rsidRPr="00042ADE">
        <w:rPr>
          <w:rFonts w:ascii="Times New Roman" w:hAnsi="Times New Roman"/>
          <w:sz w:val="24"/>
          <w:szCs w:val="24"/>
          <w:vertAlign w:val="superscript"/>
        </w:rPr>
        <w:t>d</w:t>
      </w:r>
      <w:proofErr w:type="spellEnd"/>
      <w:r w:rsidRPr="00042ADE">
        <w:rPr>
          <w:rFonts w:ascii="Times New Roman" w:hAnsi="Times New Roman"/>
          <w:sz w:val="24"/>
          <w:szCs w:val="24"/>
        </w:rPr>
        <w:t xml:space="preserve">, Francisco </w:t>
      </w:r>
      <w:proofErr w:type="spellStart"/>
      <w:r w:rsidRPr="00042ADE">
        <w:rPr>
          <w:rFonts w:ascii="Times New Roman" w:hAnsi="Times New Roman"/>
          <w:sz w:val="24"/>
          <w:szCs w:val="24"/>
        </w:rPr>
        <w:t>Molina</w:t>
      </w:r>
      <w:r w:rsidRPr="00042ADE">
        <w:rPr>
          <w:rFonts w:ascii="Times New Roman" w:hAnsi="Times New Roman"/>
          <w:sz w:val="24"/>
          <w:szCs w:val="24"/>
          <w:vertAlign w:val="superscript"/>
        </w:rPr>
        <w:t>e</w:t>
      </w:r>
      <w:proofErr w:type="spellEnd"/>
      <w:r w:rsidRPr="00042ADE">
        <w:rPr>
          <w:rFonts w:ascii="Times New Roman" w:hAnsi="Times New Roman"/>
          <w:sz w:val="24"/>
          <w:szCs w:val="24"/>
          <w:vertAlign w:val="superscript"/>
        </w:rPr>
        <w:t>,</w:t>
      </w:r>
      <w:r w:rsidRPr="00042ADE">
        <w:rPr>
          <w:rFonts w:ascii="Times New Roman" w:hAnsi="Times New Roman"/>
          <w:sz w:val="24"/>
          <w:szCs w:val="24"/>
        </w:rPr>
        <w:t>*, María Correa-</w:t>
      </w:r>
      <w:proofErr w:type="spellStart"/>
      <w:r w:rsidRPr="00042ADE">
        <w:rPr>
          <w:rFonts w:ascii="Times New Roman" w:hAnsi="Times New Roman"/>
          <w:sz w:val="24"/>
          <w:szCs w:val="24"/>
        </w:rPr>
        <w:t>Rodríguez</w:t>
      </w:r>
      <w:r w:rsidRPr="00042ADE">
        <w:rPr>
          <w:rFonts w:ascii="Times New Roman" w:hAnsi="Times New Roman"/>
          <w:sz w:val="24"/>
          <w:szCs w:val="24"/>
          <w:vertAlign w:val="superscript"/>
        </w:rPr>
        <w:t>f</w:t>
      </w:r>
      <w:proofErr w:type="spellEnd"/>
    </w:p>
    <w:p w14:paraId="5FE0BA8D" w14:textId="77777777" w:rsidR="001804A0" w:rsidRPr="00042ADE" w:rsidRDefault="001804A0" w:rsidP="001804A0">
      <w:pPr>
        <w:spacing w:line="480" w:lineRule="auto"/>
        <w:jc w:val="both"/>
        <w:rPr>
          <w:rFonts w:ascii="Times New Roman" w:hAnsi="Times New Roman"/>
          <w:sz w:val="24"/>
          <w:szCs w:val="24"/>
          <w:lang w:val="en-GB"/>
        </w:rPr>
      </w:pPr>
      <w:proofErr w:type="spellStart"/>
      <w:r w:rsidRPr="00042ADE">
        <w:rPr>
          <w:rFonts w:ascii="Times New Roman" w:hAnsi="Times New Roman"/>
          <w:sz w:val="24"/>
          <w:szCs w:val="24"/>
          <w:vertAlign w:val="superscript"/>
          <w:lang w:val="en-GB"/>
        </w:rPr>
        <w:t>a</w:t>
      </w:r>
      <w:r w:rsidRPr="00042ADE">
        <w:rPr>
          <w:rFonts w:ascii="Times New Roman" w:hAnsi="Times New Roman"/>
          <w:sz w:val="24"/>
          <w:szCs w:val="24"/>
          <w:lang w:val="en-GB"/>
        </w:rPr>
        <w:t>PT</w:t>
      </w:r>
      <w:proofErr w:type="spellEnd"/>
      <w:r w:rsidRPr="00042ADE">
        <w:rPr>
          <w:rFonts w:ascii="Times New Roman" w:hAnsi="Times New Roman"/>
          <w:sz w:val="24"/>
          <w:szCs w:val="24"/>
          <w:lang w:val="en-GB"/>
        </w:rPr>
        <w:t xml:space="preserve">, PhD, Instituto de </w:t>
      </w:r>
      <w:proofErr w:type="spellStart"/>
      <w:r w:rsidRPr="00042ADE">
        <w:rPr>
          <w:rFonts w:ascii="Times New Roman" w:hAnsi="Times New Roman"/>
          <w:sz w:val="24"/>
          <w:szCs w:val="24"/>
          <w:lang w:val="en-GB"/>
        </w:rPr>
        <w:t>Investigación</w:t>
      </w:r>
      <w:proofErr w:type="spellEnd"/>
      <w:r w:rsidRPr="00042ADE">
        <w:rPr>
          <w:rFonts w:ascii="Times New Roman" w:hAnsi="Times New Roman"/>
          <w:sz w:val="24"/>
          <w:szCs w:val="24"/>
          <w:lang w:val="en-GB"/>
        </w:rPr>
        <w:t xml:space="preserve"> </w:t>
      </w:r>
      <w:proofErr w:type="spellStart"/>
      <w:r w:rsidRPr="00042ADE">
        <w:rPr>
          <w:rFonts w:ascii="Times New Roman" w:hAnsi="Times New Roman"/>
          <w:sz w:val="24"/>
          <w:szCs w:val="24"/>
          <w:lang w:val="en-GB"/>
        </w:rPr>
        <w:t>Biosanitaria</w:t>
      </w:r>
      <w:proofErr w:type="spellEnd"/>
      <w:r w:rsidRPr="00042ADE">
        <w:rPr>
          <w:rFonts w:ascii="Times New Roman" w:hAnsi="Times New Roman"/>
          <w:sz w:val="24"/>
          <w:szCs w:val="24"/>
          <w:lang w:val="en-GB"/>
        </w:rPr>
        <w:t xml:space="preserve"> </w:t>
      </w:r>
      <w:proofErr w:type="spellStart"/>
      <w:proofErr w:type="gramStart"/>
      <w:r w:rsidRPr="00042ADE">
        <w:rPr>
          <w:rFonts w:ascii="Times New Roman" w:hAnsi="Times New Roman"/>
          <w:sz w:val="24"/>
          <w:szCs w:val="24"/>
          <w:lang w:val="en-GB"/>
        </w:rPr>
        <w:t>ibs.GRANADA</w:t>
      </w:r>
      <w:proofErr w:type="spellEnd"/>
      <w:proofErr w:type="gramEnd"/>
      <w:r w:rsidRPr="00042ADE">
        <w:rPr>
          <w:rFonts w:ascii="Times New Roman" w:hAnsi="Times New Roman"/>
          <w:sz w:val="24"/>
          <w:szCs w:val="24"/>
          <w:lang w:val="en-GB"/>
        </w:rPr>
        <w:t xml:space="preserve">. Department of Physical Therapy, Faculty of Health Sciences, University of Granada (UGR), Spain. E-mail: </w:t>
      </w:r>
      <w:hyperlink r:id="rId7" w:history="1">
        <w:r w:rsidRPr="00042ADE">
          <w:rPr>
            <w:rStyle w:val="Hipervnculo"/>
            <w:rFonts w:ascii="Times New Roman" w:hAnsi="Times New Roman"/>
            <w:sz w:val="24"/>
            <w:szCs w:val="24"/>
            <w:lang w:val="en-GB"/>
          </w:rPr>
          <w:t>encaguilar@hotmail.com</w:t>
        </w:r>
      </w:hyperlink>
      <w:r w:rsidRPr="00042ADE">
        <w:rPr>
          <w:rFonts w:ascii="Times New Roman" w:hAnsi="Times New Roman"/>
          <w:sz w:val="24"/>
          <w:szCs w:val="24"/>
          <w:lang w:val="en-GB"/>
        </w:rPr>
        <w:t xml:space="preserve"> </w:t>
      </w:r>
    </w:p>
    <w:p w14:paraId="4B61AF14" w14:textId="77777777" w:rsidR="001804A0" w:rsidRPr="00042ADE" w:rsidRDefault="001804A0" w:rsidP="001804A0">
      <w:pPr>
        <w:spacing w:line="480" w:lineRule="auto"/>
        <w:jc w:val="both"/>
        <w:rPr>
          <w:rFonts w:ascii="Times New Roman" w:hAnsi="Times New Roman"/>
          <w:sz w:val="24"/>
          <w:szCs w:val="24"/>
          <w:lang w:val="en-GB"/>
        </w:rPr>
      </w:pPr>
      <w:proofErr w:type="spellStart"/>
      <w:r w:rsidRPr="00042ADE">
        <w:rPr>
          <w:rFonts w:ascii="Times New Roman" w:hAnsi="Times New Roman"/>
          <w:sz w:val="24"/>
          <w:szCs w:val="24"/>
          <w:vertAlign w:val="superscript"/>
          <w:lang w:val="en-GB"/>
        </w:rPr>
        <w:t>b</w:t>
      </w:r>
      <w:r w:rsidRPr="00042ADE">
        <w:rPr>
          <w:rFonts w:ascii="Times New Roman" w:hAnsi="Times New Roman"/>
          <w:sz w:val="24"/>
          <w:szCs w:val="24"/>
          <w:lang w:val="en-GB"/>
        </w:rPr>
        <w:t>PT</w:t>
      </w:r>
      <w:proofErr w:type="spellEnd"/>
      <w:r w:rsidRPr="00042ADE">
        <w:rPr>
          <w:rFonts w:ascii="Times New Roman" w:hAnsi="Times New Roman"/>
          <w:sz w:val="24"/>
          <w:szCs w:val="24"/>
          <w:lang w:val="en-GB"/>
        </w:rPr>
        <w:t xml:space="preserve">, PhD student of the Biomedicine Program of the University of Granada (UGR), Instituto de </w:t>
      </w:r>
      <w:proofErr w:type="spellStart"/>
      <w:r w:rsidRPr="00042ADE">
        <w:rPr>
          <w:rFonts w:ascii="Times New Roman" w:hAnsi="Times New Roman"/>
          <w:sz w:val="24"/>
          <w:szCs w:val="24"/>
          <w:lang w:val="en-GB"/>
        </w:rPr>
        <w:t>Investigación</w:t>
      </w:r>
      <w:proofErr w:type="spellEnd"/>
      <w:r w:rsidRPr="00042ADE">
        <w:rPr>
          <w:rFonts w:ascii="Times New Roman" w:hAnsi="Times New Roman"/>
          <w:sz w:val="24"/>
          <w:szCs w:val="24"/>
          <w:lang w:val="en-GB"/>
        </w:rPr>
        <w:t xml:space="preserve"> </w:t>
      </w:r>
      <w:proofErr w:type="spellStart"/>
      <w:r w:rsidRPr="00042ADE">
        <w:rPr>
          <w:rFonts w:ascii="Times New Roman" w:hAnsi="Times New Roman"/>
          <w:sz w:val="24"/>
          <w:szCs w:val="24"/>
          <w:lang w:val="en-GB"/>
        </w:rPr>
        <w:t>Biosanitaria</w:t>
      </w:r>
      <w:proofErr w:type="spellEnd"/>
      <w:r w:rsidRPr="00042ADE">
        <w:rPr>
          <w:rFonts w:ascii="Times New Roman" w:hAnsi="Times New Roman"/>
          <w:sz w:val="24"/>
          <w:szCs w:val="24"/>
          <w:lang w:val="en-GB"/>
        </w:rPr>
        <w:t xml:space="preserve"> </w:t>
      </w:r>
      <w:proofErr w:type="spellStart"/>
      <w:proofErr w:type="gramStart"/>
      <w:r w:rsidRPr="00042ADE">
        <w:rPr>
          <w:rFonts w:ascii="Times New Roman" w:hAnsi="Times New Roman"/>
          <w:sz w:val="24"/>
          <w:szCs w:val="24"/>
          <w:lang w:val="en-GB"/>
        </w:rPr>
        <w:t>ibs.GRANADA</w:t>
      </w:r>
      <w:proofErr w:type="spellEnd"/>
      <w:proofErr w:type="gramEnd"/>
      <w:r w:rsidRPr="00042ADE">
        <w:rPr>
          <w:rFonts w:ascii="Times New Roman" w:hAnsi="Times New Roman"/>
          <w:sz w:val="24"/>
          <w:szCs w:val="24"/>
          <w:lang w:val="en-GB"/>
        </w:rPr>
        <w:t xml:space="preserve">. Department of Physical Therapy, Faculty of Health Sciences, University of Granada (UGR), Spain. E-mail: </w:t>
      </w:r>
      <w:hyperlink r:id="rId8" w:history="1">
        <w:r w:rsidRPr="00042ADE">
          <w:rPr>
            <w:rFonts w:ascii="Times New Roman" w:hAnsi="Times New Roman"/>
            <w:color w:val="0000FF"/>
            <w:sz w:val="24"/>
            <w:szCs w:val="24"/>
            <w:u w:val="single"/>
            <w:lang w:val="en-GB"/>
          </w:rPr>
          <w:t>antoniocb@ugr.es</w:t>
        </w:r>
      </w:hyperlink>
    </w:p>
    <w:p w14:paraId="7D8675C4" w14:textId="77777777" w:rsidR="001804A0" w:rsidRPr="00042ADE" w:rsidRDefault="001804A0" w:rsidP="001804A0">
      <w:pPr>
        <w:spacing w:line="480" w:lineRule="auto"/>
        <w:jc w:val="both"/>
        <w:rPr>
          <w:rFonts w:ascii="Times New Roman" w:hAnsi="Times New Roman"/>
          <w:sz w:val="24"/>
          <w:szCs w:val="24"/>
          <w:lang w:val="en-GB"/>
        </w:rPr>
      </w:pPr>
      <w:proofErr w:type="spellStart"/>
      <w:r w:rsidRPr="00042ADE">
        <w:rPr>
          <w:rFonts w:ascii="Times New Roman" w:hAnsi="Times New Roman"/>
          <w:sz w:val="24"/>
          <w:szCs w:val="24"/>
          <w:vertAlign w:val="superscript"/>
          <w:lang w:val="en-GB"/>
        </w:rPr>
        <w:t>c</w:t>
      </w:r>
      <w:r w:rsidRPr="00042ADE">
        <w:rPr>
          <w:rFonts w:ascii="Times New Roman" w:hAnsi="Times New Roman"/>
          <w:sz w:val="24"/>
          <w:szCs w:val="24"/>
          <w:lang w:val="en-GB"/>
        </w:rPr>
        <w:t>PT</w:t>
      </w:r>
      <w:proofErr w:type="spellEnd"/>
      <w:r w:rsidRPr="00042ADE">
        <w:rPr>
          <w:rFonts w:ascii="Times New Roman" w:hAnsi="Times New Roman"/>
          <w:sz w:val="24"/>
          <w:szCs w:val="24"/>
          <w:lang w:val="en-GB"/>
        </w:rPr>
        <w:t xml:space="preserve">, PhD, Instituto de </w:t>
      </w:r>
      <w:proofErr w:type="spellStart"/>
      <w:r w:rsidRPr="00042ADE">
        <w:rPr>
          <w:rFonts w:ascii="Times New Roman" w:hAnsi="Times New Roman"/>
          <w:sz w:val="24"/>
          <w:szCs w:val="24"/>
          <w:lang w:val="en-GB"/>
        </w:rPr>
        <w:t>Investigación</w:t>
      </w:r>
      <w:proofErr w:type="spellEnd"/>
      <w:r w:rsidRPr="00042ADE">
        <w:rPr>
          <w:rFonts w:ascii="Times New Roman" w:hAnsi="Times New Roman"/>
          <w:sz w:val="24"/>
          <w:szCs w:val="24"/>
          <w:lang w:val="en-GB"/>
        </w:rPr>
        <w:t xml:space="preserve"> </w:t>
      </w:r>
      <w:proofErr w:type="spellStart"/>
      <w:r w:rsidRPr="00042ADE">
        <w:rPr>
          <w:rFonts w:ascii="Times New Roman" w:hAnsi="Times New Roman"/>
          <w:sz w:val="24"/>
          <w:szCs w:val="24"/>
          <w:lang w:val="en-GB"/>
        </w:rPr>
        <w:t>Biosanitaria</w:t>
      </w:r>
      <w:proofErr w:type="spellEnd"/>
      <w:r w:rsidRPr="00042ADE">
        <w:rPr>
          <w:rFonts w:ascii="Times New Roman" w:hAnsi="Times New Roman"/>
          <w:sz w:val="24"/>
          <w:szCs w:val="24"/>
          <w:lang w:val="en-GB"/>
        </w:rPr>
        <w:t xml:space="preserve"> </w:t>
      </w:r>
      <w:proofErr w:type="spellStart"/>
      <w:proofErr w:type="gramStart"/>
      <w:r w:rsidRPr="00042ADE">
        <w:rPr>
          <w:rFonts w:ascii="Times New Roman" w:hAnsi="Times New Roman"/>
          <w:sz w:val="24"/>
          <w:szCs w:val="24"/>
          <w:lang w:val="en-GB"/>
        </w:rPr>
        <w:t>ibs.GRANADA</w:t>
      </w:r>
      <w:proofErr w:type="spellEnd"/>
      <w:proofErr w:type="gramEnd"/>
      <w:r w:rsidRPr="00042ADE">
        <w:rPr>
          <w:rFonts w:ascii="Times New Roman" w:hAnsi="Times New Roman"/>
          <w:sz w:val="24"/>
          <w:szCs w:val="24"/>
          <w:lang w:val="en-GB"/>
        </w:rPr>
        <w:t xml:space="preserve">. Department of Physical Therapy, Faculty of Health Sciences, University of Granada (UGR), Spain. E-mail: </w:t>
      </w:r>
      <w:r w:rsidR="00042ADE" w:rsidRPr="00042ADE">
        <w:fldChar w:fldCharType="begin"/>
      </w:r>
      <w:r w:rsidR="00042ADE" w:rsidRPr="00042ADE">
        <w:rPr>
          <w:lang w:val="en-GB"/>
        </w:rPr>
        <w:instrText>HYPERLINK "mailto:rtapia@ugr.es"</w:instrText>
      </w:r>
      <w:r w:rsidR="00042ADE" w:rsidRPr="00042ADE">
        <w:fldChar w:fldCharType="separate"/>
      </w:r>
      <w:r w:rsidRPr="00042ADE">
        <w:rPr>
          <w:rStyle w:val="Hipervnculo"/>
          <w:rFonts w:ascii="Times New Roman" w:hAnsi="Times New Roman"/>
          <w:sz w:val="24"/>
          <w:szCs w:val="24"/>
          <w:lang w:val="en-GB"/>
        </w:rPr>
        <w:t>rtapia@ugr.es</w:t>
      </w:r>
      <w:r w:rsidR="00042ADE" w:rsidRPr="00042ADE">
        <w:rPr>
          <w:rStyle w:val="Hipervnculo"/>
          <w:rFonts w:ascii="Times New Roman" w:hAnsi="Times New Roman"/>
          <w:sz w:val="24"/>
          <w:szCs w:val="24"/>
          <w:lang w:val="en-GB"/>
        </w:rPr>
        <w:fldChar w:fldCharType="end"/>
      </w:r>
    </w:p>
    <w:p w14:paraId="2A60E8CD" w14:textId="77777777" w:rsidR="001804A0" w:rsidRPr="00042ADE" w:rsidRDefault="001804A0" w:rsidP="001804A0">
      <w:pPr>
        <w:spacing w:line="480" w:lineRule="auto"/>
        <w:jc w:val="both"/>
        <w:rPr>
          <w:rFonts w:ascii="Times New Roman" w:hAnsi="Times New Roman"/>
          <w:sz w:val="24"/>
          <w:szCs w:val="24"/>
          <w:lang w:val="en-GB"/>
        </w:rPr>
      </w:pPr>
      <w:proofErr w:type="spellStart"/>
      <w:r w:rsidRPr="00042ADE">
        <w:rPr>
          <w:rFonts w:ascii="Times New Roman" w:hAnsi="Times New Roman"/>
          <w:sz w:val="24"/>
          <w:szCs w:val="24"/>
          <w:vertAlign w:val="superscript"/>
          <w:lang w:val="en-GB"/>
        </w:rPr>
        <w:t>d</w:t>
      </w:r>
      <w:r w:rsidRPr="00042ADE">
        <w:rPr>
          <w:rFonts w:ascii="Times New Roman" w:hAnsi="Times New Roman"/>
          <w:sz w:val="24"/>
          <w:szCs w:val="24"/>
          <w:lang w:val="en-GB"/>
        </w:rPr>
        <w:t>Biologist</w:t>
      </w:r>
      <w:proofErr w:type="spellEnd"/>
      <w:r w:rsidRPr="00042ADE">
        <w:rPr>
          <w:rFonts w:ascii="Times New Roman" w:hAnsi="Times New Roman"/>
          <w:sz w:val="24"/>
          <w:szCs w:val="24"/>
          <w:lang w:val="en-GB"/>
        </w:rPr>
        <w:t xml:space="preserve">, PhD, Instituto de </w:t>
      </w:r>
      <w:proofErr w:type="spellStart"/>
      <w:r w:rsidRPr="00042ADE">
        <w:rPr>
          <w:rFonts w:ascii="Times New Roman" w:hAnsi="Times New Roman"/>
          <w:sz w:val="24"/>
          <w:szCs w:val="24"/>
          <w:lang w:val="en-GB"/>
        </w:rPr>
        <w:t>Investigación</w:t>
      </w:r>
      <w:proofErr w:type="spellEnd"/>
      <w:r w:rsidRPr="00042ADE">
        <w:rPr>
          <w:rFonts w:ascii="Times New Roman" w:hAnsi="Times New Roman"/>
          <w:sz w:val="24"/>
          <w:szCs w:val="24"/>
          <w:lang w:val="en-GB"/>
        </w:rPr>
        <w:t xml:space="preserve"> </w:t>
      </w:r>
      <w:proofErr w:type="spellStart"/>
      <w:r w:rsidRPr="00042ADE">
        <w:rPr>
          <w:rFonts w:ascii="Times New Roman" w:hAnsi="Times New Roman"/>
          <w:sz w:val="24"/>
          <w:szCs w:val="24"/>
          <w:lang w:val="en-GB"/>
        </w:rPr>
        <w:t>Biosanitaria</w:t>
      </w:r>
      <w:proofErr w:type="spellEnd"/>
      <w:r w:rsidRPr="00042ADE">
        <w:rPr>
          <w:rFonts w:ascii="Times New Roman" w:hAnsi="Times New Roman"/>
          <w:sz w:val="24"/>
          <w:szCs w:val="24"/>
          <w:lang w:val="en-GB"/>
        </w:rPr>
        <w:t xml:space="preserve"> </w:t>
      </w:r>
      <w:proofErr w:type="spellStart"/>
      <w:proofErr w:type="gramStart"/>
      <w:r w:rsidRPr="00042ADE">
        <w:rPr>
          <w:rFonts w:ascii="Times New Roman" w:hAnsi="Times New Roman"/>
          <w:sz w:val="24"/>
          <w:szCs w:val="24"/>
          <w:lang w:val="en-GB"/>
        </w:rPr>
        <w:t>ibs.GRANADA</w:t>
      </w:r>
      <w:proofErr w:type="spellEnd"/>
      <w:proofErr w:type="gramEnd"/>
      <w:r w:rsidRPr="00042ADE">
        <w:rPr>
          <w:rFonts w:ascii="Times New Roman" w:hAnsi="Times New Roman"/>
          <w:sz w:val="24"/>
          <w:szCs w:val="24"/>
          <w:lang w:val="en-GB"/>
        </w:rPr>
        <w:t xml:space="preserve">. Department of Cell Biology, University of Granada (UGR), Spain. E-mail: </w:t>
      </w:r>
      <w:r w:rsidR="00042ADE" w:rsidRPr="00042ADE">
        <w:fldChar w:fldCharType="begin"/>
      </w:r>
      <w:r w:rsidR="00042ADE" w:rsidRPr="00042ADE">
        <w:rPr>
          <w:lang w:val="en-GB"/>
        </w:rPr>
        <w:instrText>HYPERLINK "mailto:mrus@ugr.es"</w:instrText>
      </w:r>
      <w:r w:rsidR="00042ADE" w:rsidRPr="00042ADE">
        <w:fldChar w:fldCharType="separate"/>
      </w:r>
      <w:r w:rsidRPr="00042ADE">
        <w:rPr>
          <w:rFonts w:ascii="Times New Roman" w:hAnsi="Times New Roman"/>
          <w:color w:val="0000FF"/>
          <w:sz w:val="24"/>
          <w:szCs w:val="24"/>
          <w:u w:val="single"/>
          <w:lang w:val="en-GB"/>
        </w:rPr>
        <w:t>mrus@ugr.es</w:t>
      </w:r>
      <w:r w:rsidR="00042ADE" w:rsidRPr="00042ADE">
        <w:rPr>
          <w:rFonts w:ascii="Times New Roman" w:hAnsi="Times New Roman"/>
          <w:color w:val="0000FF"/>
          <w:sz w:val="24"/>
          <w:szCs w:val="24"/>
          <w:u w:val="single"/>
          <w:lang w:val="en-GB"/>
        </w:rPr>
        <w:fldChar w:fldCharType="end"/>
      </w:r>
    </w:p>
    <w:p w14:paraId="62CFB90B" w14:textId="77777777" w:rsidR="001804A0" w:rsidRPr="00042ADE" w:rsidRDefault="001804A0" w:rsidP="001804A0">
      <w:pPr>
        <w:spacing w:line="480" w:lineRule="auto"/>
        <w:jc w:val="both"/>
        <w:rPr>
          <w:rFonts w:ascii="Times New Roman" w:hAnsi="Times New Roman"/>
          <w:sz w:val="24"/>
          <w:szCs w:val="24"/>
          <w:lang w:val="en-GB"/>
        </w:rPr>
      </w:pPr>
      <w:proofErr w:type="gramStart"/>
      <w:r w:rsidRPr="00042ADE">
        <w:rPr>
          <w:rFonts w:ascii="Times New Roman" w:hAnsi="Times New Roman"/>
          <w:sz w:val="24"/>
          <w:szCs w:val="24"/>
          <w:vertAlign w:val="superscript"/>
          <w:lang w:val="en-GB"/>
        </w:rPr>
        <w:t>e,*</w:t>
      </w:r>
      <w:proofErr w:type="gramEnd"/>
      <w:r w:rsidRPr="00042ADE">
        <w:rPr>
          <w:rFonts w:ascii="Times New Roman" w:hAnsi="Times New Roman"/>
          <w:sz w:val="24"/>
          <w:szCs w:val="24"/>
          <w:lang w:val="en-GB"/>
        </w:rPr>
        <w:t xml:space="preserve">Biologist, PT, PhD. Department of Health Sciences, University of Jaén, Spain. E-mail: </w:t>
      </w:r>
      <w:hyperlink r:id="rId9" w:history="1">
        <w:r w:rsidRPr="00042ADE">
          <w:rPr>
            <w:rStyle w:val="Hipervnculo"/>
            <w:rFonts w:ascii="Times New Roman" w:hAnsi="Times New Roman"/>
            <w:sz w:val="24"/>
            <w:szCs w:val="24"/>
            <w:lang w:val="en-GB"/>
          </w:rPr>
          <w:t>fjmolina@ujaen.es</w:t>
        </w:r>
      </w:hyperlink>
    </w:p>
    <w:p w14:paraId="55FABA27" w14:textId="77777777" w:rsidR="001804A0" w:rsidRPr="00042ADE" w:rsidRDefault="001804A0" w:rsidP="001804A0">
      <w:pPr>
        <w:spacing w:line="480" w:lineRule="auto"/>
        <w:jc w:val="both"/>
        <w:rPr>
          <w:rFonts w:ascii="Times New Roman" w:hAnsi="Times New Roman"/>
          <w:b/>
          <w:sz w:val="24"/>
          <w:szCs w:val="24"/>
          <w:lang w:val="en-GB"/>
        </w:rPr>
      </w:pPr>
      <w:proofErr w:type="spellStart"/>
      <w:r w:rsidRPr="00042ADE">
        <w:rPr>
          <w:rFonts w:ascii="Times New Roman" w:hAnsi="Times New Roman"/>
          <w:sz w:val="24"/>
          <w:szCs w:val="24"/>
          <w:vertAlign w:val="superscript"/>
          <w:lang w:val="en-GB"/>
        </w:rPr>
        <w:t>f</w:t>
      </w:r>
      <w:r w:rsidRPr="00042ADE">
        <w:rPr>
          <w:rFonts w:ascii="Times New Roman" w:hAnsi="Times New Roman"/>
          <w:sz w:val="24"/>
          <w:szCs w:val="24"/>
          <w:lang w:val="en-GB"/>
        </w:rPr>
        <w:t>Genetic</w:t>
      </w:r>
      <w:proofErr w:type="spellEnd"/>
      <w:r w:rsidRPr="00042ADE">
        <w:rPr>
          <w:rFonts w:ascii="Times New Roman" w:hAnsi="Times New Roman"/>
          <w:sz w:val="24"/>
          <w:szCs w:val="24"/>
          <w:lang w:val="en-GB"/>
        </w:rPr>
        <w:t xml:space="preserve"> nursing, PhD, Instituto de </w:t>
      </w:r>
      <w:proofErr w:type="spellStart"/>
      <w:r w:rsidRPr="00042ADE">
        <w:rPr>
          <w:rFonts w:ascii="Times New Roman" w:hAnsi="Times New Roman"/>
          <w:sz w:val="24"/>
          <w:szCs w:val="24"/>
          <w:lang w:val="en-GB"/>
        </w:rPr>
        <w:t>Investigación</w:t>
      </w:r>
      <w:proofErr w:type="spellEnd"/>
      <w:r w:rsidRPr="00042ADE">
        <w:rPr>
          <w:rFonts w:ascii="Times New Roman" w:hAnsi="Times New Roman"/>
          <w:sz w:val="24"/>
          <w:szCs w:val="24"/>
          <w:lang w:val="en-GB"/>
        </w:rPr>
        <w:t xml:space="preserve"> </w:t>
      </w:r>
      <w:proofErr w:type="spellStart"/>
      <w:r w:rsidRPr="00042ADE">
        <w:rPr>
          <w:rFonts w:ascii="Times New Roman" w:hAnsi="Times New Roman"/>
          <w:sz w:val="24"/>
          <w:szCs w:val="24"/>
          <w:lang w:val="en-GB"/>
        </w:rPr>
        <w:t>Biosanitaria</w:t>
      </w:r>
      <w:proofErr w:type="spellEnd"/>
      <w:r w:rsidRPr="00042ADE">
        <w:rPr>
          <w:rFonts w:ascii="Times New Roman" w:hAnsi="Times New Roman"/>
          <w:sz w:val="24"/>
          <w:szCs w:val="24"/>
          <w:lang w:val="en-GB"/>
        </w:rPr>
        <w:t xml:space="preserve"> </w:t>
      </w:r>
      <w:proofErr w:type="spellStart"/>
      <w:proofErr w:type="gramStart"/>
      <w:r w:rsidRPr="00042ADE">
        <w:rPr>
          <w:rFonts w:ascii="Times New Roman" w:hAnsi="Times New Roman"/>
          <w:sz w:val="24"/>
          <w:szCs w:val="24"/>
          <w:lang w:val="en-GB"/>
        </w:rPr>
        <w:t>ibs.GRANADA</w:t>
      </w:r>
      <w:proofErr w:type="spellEnd"/>
      <w:proofErr w:type="gramEnd"/>
      <w:r w:rsidRPr="00042ADE">
        <w:rPr>
          <w:rFonts w:ascii="Times New Roman" w:hAnsi="Times New Roman"/>
          <w:sz w:val="24"/>
          <w:szCs w:val="24"/>
          <w:lang w:val="en-GB"/>
        </w:rPr>
        <w:t>. Department of Nursing, Faculty of Health Sciences, University of Granada (UGR), Spain</w:t>
      </w:r>
      <w:r w:rsidRPr="00042ADE">
        <w:rPr>
          <w:rFonts w:ascii="Times New Roman" w:hAnsi="Times New Roman"/>
          <w:b/>
          <w:sz w:val="24"/>
          <w:szCs w:val="24"/>
          <w:lang w:val="en-GB"/>
        </w:rPr>
        <w:t xml:space="preserve">. </w:t>
      </w:r>
      <w:r w:rsidRPr="00042ADE">
        <w:rPr>
          <w:rFonts w:ascii="Times New Roman" w:hAnsi="Times New Roman"/>
          <w:sz w:val="24"/>
          <w:szCs w:val="24"/>
          <w:lang w:val="en-GB"/>
        </w:rPr>
        <w:t xml:space="preserve">E-mail: </w:t>
      </w:r>
      <w:hyperlink r:id="rId10" w:history="1">
        <w:r w:rsidRPr="00042ADE">
          <w:rPr>
            <w:rStyle w:val="Hipervnculo"/>
            <w:rFonts w:ascii="Times New Roman" w:hAnsi="Times New Roman"/>
            <w:sz w:val="24"/>
            <w:szCs w:val="24"/>
            <w:lang w:val="en-GB"/>
          </w:rPr>
          <w:t>macoro@ugr.es</w:t>
        </w:r>
      </w:hyperlink>
      <w:r w:rsidRPr="00042ADE">
        <w:rPr>
          <w:rFonts w:ascii="Times New Roman" w:hAnsi="Times New Roman"/>
          <w:sz w:val="24"/>
          <w:szCs w:val="24"/>
          <w:lang w:val="en-GB"/>
        </w:rPr>
        <w:t xml:space="preserve"> </w:t>
      </w:r>
    </w:p>
    <w:p w14:paraId="0EC45E3C" w14:textId="77777777" w:rsidR="001804A0" w:rsidRPr="00042ADE" w:rsidRDefault="001804A0" w:rsidP="001804A0">
      <w:pPr>
        <w:spacing w:line="480" w:lineRule="auto"/>
        <w:jc w:val="both"/>
        <w:rPr>
          <w:rFonts w:ascii="Times New Roman" w:hAnsi="Times New Roman"/>
          <w:color w:val="0000FF"/>
          <w:sz w:val="24"/>
          <w:szCs w:val="24"/>
          <w:u w:val="single"/>
          <w:lang w:val="en-US"/>
        </w:rPr>
      </w:pPr>
      <w:r w:rsidRPr="00042ADE">
        <w:rPr>
          <w:rFonts w:ascii="Times New Roman" w:eastAsia="Times New Roman" w:hAnsi="Times New Roman"/>
          <w:sz w:val="24"/>
          <w:szCs w:val="24"/>
          <w:lang w:val="en-AU"/>
        </w:rPr>
        <w:lastRenderedPageBreak/>
        <w:t>*</w:t>
      </w:r>
      <w:r w:rsidRPr="00042ADE">
        <w:rPr>
          <w:rFonts w:ascii="Times New Roman" w:hAnsi="Times New Roman"/>
          <w:sz w:val="24"/>
          <w:szCs w:val="24"/>
          <w:lang w:val="en-US"/>
        </w:rPr>
        <w:t>Corresponding author</w:t>
      </w:r>
      <w:r w:rsidRPr="00042ADE">
        <w:rPr>
          <w:rFonts w:ascii="Times New Roman" w:eastAsia="Times New Roman" w:hAnsi="Times New Roman"/>
          <w:b/>
          <w:sz w:val="24"/>
          <w:szCs w:val="24"/>
          <w:lang w:val="en-AU"/>
        </w:rPr>
        <w:t xml:space="preserve"> (for review and publication):</w:t>
      </w:r>
      <w:r w:rsidRPr="00042ADE">
        <w:rPr>
          <w:rFonts w:ascii="Times New Roman" w:hAnsi="Times New Roman"/>
          <w:sz w:val="24"/>
          <w:szCs w:val="24"/>
          <w:lang w:val="en-US"/>
        </w:rPr>
        <w:t xml:space="preserve"> Francisco Molina, PhD.</w:t>
      </w:r>
      <w:r w:rsidRPr="00042ADE">
        <w:rPr>
          <w:rFonts w:ascii="Times New Roman" w:eastAsia="Times New Roman" w:hAnsi="Times New Roman"/>
          <w:sz w:val="24"/>
          <w:szCs w:val="24"/>
          <w:lang w:val="en-US"/>
        </w:rPr>
        <w:t xml:space="preserve"> </w:t>
      </w:r>
      <w:r w:rsidRPr="00042ADE">
        <w:rPr>
          <w:rFonts w:ascii="Times New Roman" w:hAnsi="Times New Roman"/>
          <w:sz w:val="24"/>
          <w:szCs w:val="24"/>
          <w:lang w:val="en-GB"/>
        </w:rPr>
        <w:t xml:space="preserve">Department of Health Science, University of Jaén. </w:t>
      </w:r>
      <w:proofErr w:type="spellStart"/>
      <w:r w:rsidRPr="00042ADE">
        <w:rPr>
          <w:rFonts w:ascii="Times New Roman" w:hAnsi="Times New Roman"/>
          <w:sz w:val="24"/>
          <w:szCs w:val="24"/>
          <w:lang w:val="en-US"/>
        </w:rPr>
        <w:t>Paraje</w:t>
      </w:r>
      <w:proofErr w:type="spellEnd"/>
      <w:r w:rsidRPr="00042ADE">
        <w:rPr>
          <w:rFonts w:ascii="Times New Roman" w:hAnsi="Times New Roman"/>
          <w:sz w:val="24"/>
          <w:szCs w:val="24"/>
          <w:lang w:val="en-US"/>
        </w:rPr>
        <w:t xml:space="preserve"> Las </w:t>
      </w:r>
      <w:proofErr w:type="spellStart"/>
      <w:r w:rsidRPr="00042ADE">
        <w:rPr>
          <w:rFonts w:ascii="Times New Roman" w:hAnsi="Times New Roman"/>
          <w:sz w:val="24"/>
          <w:szCs w:val="24"/>
          <w:lang w:val="en-US"/>
        </w:rPr>
        <w:t>Lagunillas</w:t>
      </w:r>
      <w:proofErr w:type="spellEnd"/>
      <w:r w:rsidRPr="00042ADE">
        <w:rPr>
          <w:rFonts w:ascii="Times New Roman" w:hAnsi="Times New Roman"/>
          <w:sz w:val="24"/>
          <w:szCs w:val="24"/>
          <w:lang w:val="en-US"/>
        </w:rPr>
        <w:t xml:space="preserve"> s/n, 23071, Jaén, Spain. Tel: 0034-669546384. Fax: 0034-950015603.E-mail:</w:t>
      </w:r>
      <w:r w:rsidRPr="00042ADE">
        <w:rPr>
          <w:lang w:val="en-US"/>
        </w:rPr>
        <w:t xml:space="preserve"> </w:t>
      </w:r>
      <w:r w:rsidR="00042ADE" w:rsidRPr="00042ADE">
        <w:fldChar w:fldCharType="begin"/>
      </w:r>
      <w:r w:rsidR="00042ADE" w:rsidRPr="00042ADE">
        <w:rPr>
          <w:lang w:val="en-GB"/>
        </w:rPr>
        <w:instrText>HYPERLINK "mailto:fjmolina@ujaen.es"</w:instrText>
      </w:r>
      <w:r w:rsidR="00042ADE" w:rsidRPr="00042ADE">
        <w:fldChar w:fldCharType="separate"/>
      </w:r>
      <w:r w:rsidRPr="00042ADE">
        <w:rPr>
          <w:rFonts w:ascii="Times New Roman" w:hAnsi="Times New Roman"/>
          <w:color w:val="0000FF"/>
          <w:sz w:val="24"/>
          <w:szCs w:val="24"/>
          <w:u w:val="single"/>
          <w:lang w:val="en-US"/>
        </w:rPr>
        <w:t>fjmolina@ujaen.es</w:t>
      </w:r>
      <w:r w:rsidR="00042ADE" w:rsidRPr="00042ADE">
        <w:rPr>
          <w:rFonts w:ascii="Times New Roman" w:hAnsi="Times New Roman"/>
          <w:color w:val="0000FF"/>
          <w:sz w:val="24"/>
          <w:szCs w:val="24"/>
          <w:u w:val="single"/>
          <w:lang w:val="en-US"/>
        </w:rPr>
        <w:fldChar w:fldCharType="end"/>
      </w:r>
    </w:p>
    <w:p w14:paraId="1E5FE523" w14:textId="77777777" w:rsidR="001804A0" w:rsidRPr="00042ADE" w:rsidRDefault="001804A0" w:rsidP="001804A0">
      <w:pPr>
        <w:spacing w:line="360" w:lineRule="auto"/>
        <w:jc w:val="both"/>
        <w:rPr>
          <w:rFonts w:ascii="Times New Roman" w:hAnsi="Times New Roman"/>
          <w:b/>
          <w:sz w:val="24"/>
          <w:szCs w:val="24"/>
          <w:lang w:val="en-US"/>
        </w:rPr>
      </w:pPr>
      <w:r w:rsidRPr="00042ADE">
        <w:rPr>
          <w:rFonts w:ascii="Times New Roman" w:hAnsi="Times New Roman"/>
          <w:b/>
          <w:sz w:val="24"/>
          <w:szCs w:val="24"/>
          <w:lang w:val="en-US"/>
        </w:rPr>
        <w:t>Conflict of interest</w:t>
      </w:r>
    </w:p>
    <w:p w14:paraId="1374CAA9" w14:textId="06D9D6AE" w:rsidR="001804A0" w:rsidRPr="00042ADE" w:rsidRDefault="001804A0" w:rsidP="00EC16AD">
      <w:pPr>
        <w:spacing w:line="480" w:lineRule="auto"/>
        <w:jc w:val="both"/>
        <w:rPr>
          <w:rFonts w:ascii="Times New Roman" w:eastAsia="Times New Roman" w:hAnsi="Times New Roman" w:cs="Arial"/>
          <w:b/>
          <w:sz w:val="24"/>
          <w:szCs w:val="24"/>
          <w:lang w:val="en-US"/>
        </w:rPr>
      </w:pPr>
      <w:r w:rsidRPr="00042ADE">
        <w:rPr>
          <w:rFonts w:ascii="Times New Roman" w:hAnsi="Times New Roman"/>
          <w:sz w:val="24"/>
          <w:szCs w:val="24"/>
          <w:lang w:val="en-US"/>
        </w:rPr>
        <w:t>Declarations of interest: none.</w:t>
      </w:r>
      <w:r w:rsidRPr="00042ADE">
        <w:rPr>
          <w:rFonts w:ascii="Times New Roman" w:hAnsi="Times New Roman"/>
          <w:b/>
          <w:sz w:val="24"/>
          <w:szCs w:val="24"/>
          <w:lang w:val="en-US"/>
        </w:rPr>
        <w:br w:type="page"/>
      </w:r>
    </w:p>
    <w:p w14:paraId="6421D107" w14:textId="77777777" w:rsidR="006E7604" w:rsidRPr="00042ADE" w:rsidRDefault="006E7604" w:rsidP="00322086">
      <w:pPr>
        <w:spacing w:line="480" w:lineRule="auto"/>
        <w:jc w:val="both"/>
        <w:rPr>
          <w:rFonts w:ascii="Times New Roman" w:hAnsi="Times New Roman"/>
          <w:b/>
          <w:sz w:val="24"/>
          <w:szCs w:val="24"/>
          <w:lang w:val="en-GB"/>
        </w:rPr>
      </w:pPr>
      <w:r w:rsidRPr="00042ADE">
        <w:rPr>
          <w:rFonts w:ascii="Times New Roman" w:hAnsi="Times New Roman"/>
          <w:b/>
          <w:sz w:val="24"/>
          <w:szCs w:val="24"/>
          <w:lang w:val="en-GB"/>
        </w:rPr>
        <w:lastRenderedPageBreak/>
        <w:t>1. Introduction</w:t>
      </w:r>
    </w:p>
    <w:p w14:paraId="005CE3A5" w14:textId="77777777" w:rsidR="002032B5" w:rsidRPr="00042ADE" w:rsidRDefault="00077482" w:rsidP="0032208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Fibromyalgia syndrome (FMS) is defined as a complex disease, characterized by chronic widespread musculoskeletal pain and other symptoms such as hyperalgesia, allodynia, fatigue, joint stiffness, anxiety, depression, headache, sleep disorders and cognitive problems</w:t>
      </w:r>
      <w:r w:rsidR="00DF5C0D" w:rsidRPr="00042ADE">
        <w:rPr>
          <w:rFonts w:ascii="Times New Roman" w:hAnsi="Times New Roman"/>
          <w:sz w:val="24"/>
          <w:szCs w:val="24"/>
          <w:lang w:val="en-GB"/>
        </w:rPr>
        <w:t xml:space="preserve"> </w:t>
      </w:r>
      <w:r w:rsidR="00DF5C0D" w:rsidRPr="00042ADE">
        <w:rPr>
          <w:rFonts w:ascii="Times New Roman" w:hAnsi="Times New Roman"/>
          <w:sz w:val="24"/>
          <w:szCs w:val="24"/>
          <w:lang w:val="en-GB"/>
        </w:rPr>
        <w:fldChar w:fldCharType="begin" w:fldLock="1"/>
      </w:r>
      <w:r w:rsidR="009D18CD" w:rsidRPr="00042ADE">
        <w:rPr>
          <w:rFonts w:ascii="Times New Roman" w:hAnsi="Times New Roman"/>
          <w:sz w:val="24"/>
          <w:szCs w:val="24"/>
          <w:lang w:val="en-GB"/>
        </w:rPr>
        <w:instrText>ADDIN CSL_CITATION {"citationItems":[{"id":"ITEM-1","itemData":{"DOI":"10.1016/j.semarthrit.2016.08.012","ISSN":"1532866X","PMID":"27916278","abstract":"Objectives The provisional criteria of the American College of Rheumatology (ACR) 2010 and the 2011 self-report modification for survey and clinical research are widely used for fibromyalgia diagnosis. To determine the validity, usefulness, potential problems, and modifications required for the criteria, we assessed multiple research reports published in 2010–2016 in order to provide a 2016 update to the criteria. Methods We reviewed 14 validation studies that compared 2010/2011 criteria with ACR 1990 classification and clinical criteria, as well as epidemiology, clinical, and databank studies that addressed important criteria-level variables. Based on definitional differences between 1990 and 2010/2011 criteria, we interpreted 85% sensitivity and 90% specificity as excellent agreement. Results Against 1990 and clinical criteria, the median sensitivity and specificity of the 2010/2011 criteria were 86% and 90%, respectively. The 2010/2011 criteria led to misclassification when applied to regional pain syndromes, but when a modified widespread pain criterion (the “generalized pain criterion”) was added misclassification was eliminated. Based on the above data and clinic usage data, we developed a (2016) revision to the 2010/2011 fibromyalgia criteria. Fibromyalgia may now be diagnosed in adults when all of the following criteria are met: (1) Generalized pain, defined as pain in at least 4 of 5 regions, is present. (2) Symptoms have been present at a similar level for at least 3 months. (3) Widespread pain index (WPI) ≥ 7 and symptom severity scale (SSS) score ≥ 5 OR WPI of 4–6 and SSS score ≥ 9. (4) A diagnosis of fibromyalgia is valid irrespective of other diagnoses. A diagnosis of fibromyalgia does not exclude the presence of other clinically important illnesses.Conclusions The fibromyalgia criteria have good sensitivity and specificity. This revision combines physician and questionnaire criteria, minimizes misclassification of regional pain disorders, and eliminates the previously confusing recommendation regarding diagnostic exclusions. The physician-based criteria are valid for individual patient diagnosis. The self-report version of the criteria is not valid for clinical diagnosis in individual patients but is valid for research studies. These changes allow the criteria to function as diagnostic criteria, while still being useful for classification.","author":[{"dropping-particle":"","family":"Wolfe","given":"Frederick","non-dropping-particle":"","parse-names":false,"suffix":""},{"dropping-particle":"","family":"Clauw","given":"Daniel J.","non-dropping-particle":"","parse-names":false,"suffix":""},{"dropping-particle":"","family":"Fitzcharles","given":"Mary Ann","non-dropping-particle":"","parse-names":false,"suffix":""},{"dropping-particle":"","family":"Goldenberg","given":"Don L.","non-dropping-particle":"","parse-names":false,"suffix":""},{"dropping-particle":"","family":"Häuser","given":"Winfried","non-dropping-particle":"","parse-names":false,"suffix":""},{"dropping-particle":"","family":"Katz","given":"Robert L.","non-dropping-particle":"","parse-names":false,"suffix":""},{"dropping-particle":"","family":"Mease","given":"Philip J.","non-dropping-particle":"","parse-names":false,"suffix":""},{"dropping-particle":"","family":"Russell","given":"Anthony S.","non-dropping-particle":"","parse-names":false,"suffix":""},{"dropping-particle":"","family":"Russell","given":"Irwin Jon","non-dropping-particle":"","parse-names":false,"suffix":""},{"dropping-particle":"","family":"Walitt","given":"Brian","non-dropping-particle":"","parse-names":false,"suffix":""}],"container-title":"Seminars in Arthritis and Rheumatism","id":"ITEM-1","issue":"3","issued":{"date-parts":[["2016","12","1"]]},"page":"319-329","publisher":"W.B. Saunders","title":"2016 Revisions to the 2010/2011 fibromyalgia diagnostic criteria","type":"article-journal","volume":"46"},"uris":["http://www.mendeley.com/documents/?uuid=cf86d25f-2c2c-3b59-b24f-8c070b0e823f"]},{"id":"ITEM-2","itemData":{"ISSN":"0392856X","PMID":"24373373","abstract":"Fibromyalgia (FM) syndrome is a chronic disease with unknown etiology, characterised by widespread pain and fatigue. Moreover, several patients manifest non-specific symptoms such as sleep disturbances, mood disorders, and neurocognitive impairment. We have reviewed the literature of the past year to underline the progress of research in the fields of etiopathogenesis, therapies and assessment, considering articles published between November 2012 and November 2013 © Clinical and Experimental Rheumatology 2013.","author":[{"dropping-particle":"","family":"Giacomelli","given":"Camillo","non-dropping-particle":"","parse-names":false,"suffix":""},{"dropping-particle":"","family":"Sernissi","given":"Francesca","non-dropping-particle":"","parse-names":false,"suffix":""},{"dropping-particle":"","family":"Sarzi-Puttini","given":"Piercarlo","non-dropping-particle":"","parse-names":false,"suffix":""},{"dropping-particle":"","family":"Franco","given":"Manuela","non-dropping-particle":"Di","parse-names":false,"suffix":""},{"dropping-particle":"","family":"Atzeni","given":"Fabiola","non-dropping-particle":"","parse-names":false,"suffix":""},{"dropping-particle":"","family":"Bazzichi","given":"Laura","non-dropping-particle":"","parse-names":false,"suffix":""}],"container-title":"Clinical and Experimental Rheumatology","id":"ITEM-2","issue":"SUPPL.79","issued":{"date-parts":[["2013"]]},"title":"Fibromyalgia: A critical digest of the recent literature","type":"article","volume":"31"},"uris":["http://www.mendeley.com/documents/?uuid=9b580294-24ac-3980-93f2-21fbfdd9d674"]},{"id":"ITEM-3","itemData":{"DOI":"10.1038/nrdp.2015.22","ISSN":"2056-676X","PMID":"27189527","abstract":"Fibromyalgia is a common illness characterized by chronic widespread pain, sleep problems (including unrefreshing sleep), physical exhaustion and cognitive difficulties. The definition, pathogenesis and treatment are controversial, and some even contest the existence of this disorder. In 1990, the American College of Rheumatology (ACR) defined classification criteria that required multiple tender points (areas of tenderness occurring in muscles and muscle-tendon junctions) and chronic widespread pain. In 2010, the ACR preliminary diagnostic criteria excluded tender points, allowed less extensive pain and placed reliance on patient-reported somatic symptoms and cognitive difficulties. Fibromyalgia occurs in all populations worldwide, and symptom prevalence ranges between 2% and 4% in the general population. The prevalence of people who are actually diagnosed with fibromyalgia ('administrative prevalence') is much lower. A model of fibromyalgia pathogenesis has been suggested in which biological and psychosocial variables interact to influence the predisposition, triggering and aggravation of a chronic disease, but the details are unclear. Diagnosis requires the history of a typical cluster of symptoms and the exclusion of a somatic disease that sufficiently explains the symptoms by medical examination. Current evidence-based guidelines emphasize the value of multimodal treatments, which encompass both non-pharmacological and selected pharmacological treatments tailored to individual symptoms, including pain, fatigue, sleep problems and mood problems. For an illustrated summary of this Primer, visit: http://go.nature.com/LIBdDX.","author":[{"dropping-particle":"","family":"Häuser","given":"Winfried","non-dropping-particle":"","parse-names":false,"suffix":""},{"dropping-particle":"","family":"Ablin","given":"Jacob","non-dropping-particle":"","parse-names":false,"suffix":""},{"dropping-particle":"","family":"Fitzcharles","given":"Mary-Ann","non-dropping-particle":"","parse-names":false,"suffix":""},{"dropping-particle":"","family":"Littlejohn","given":"Geoffrey","non-dropping-particle":"","parse-names":false,"suffix":""},{"dropping-particle":"V.","family":"Luciano","given":"Juan","non-dropping-particle":"","parse-names":false,"suffix":""},{"dropping-particle":"","family":"Usui","given":"Chie","non-dropping-particle":"","parse-names":false,"suffix":""},{"dropping-particle":"","family":"Walitt","given":"Brian","non-dropping-particle":"","parse-names":false,"suffix":""}],"container-title":"Nature Reviews Disease Primers","id":"ITEM-3","issue":"1","issued":{"date-parts":[["2015","12","13"]]},"page":"15022","title":"Fibromyalgia","type":"article-journal","volume":"1"},"uris":["http://www.mendeley.com/documents/?uuid=11673c34-b577-3f3b-8b5c-7beb46db60af"]}],"mendeley":{"formattedCitation":"(Giacomelli et al., 2013; Häuser et al., 2015; Wolfe et al., 2016)","plainTextFormattedCitation":"(Giacomelli et al., 2013; Häuser et al., 2015; Wolfe et al., 2016)","previouslyFormattedCitation":"(Giacomelli et al., 2013; Häuser et al., 2015; Wolfe et al., 2016)"},"properties":{"noteIndex":0},"schema":"https://github.com/citation-style-language/schema/raw/master/csl-citation.json"}</w:instrText>
      </w:r>
      <w:r w:rsidR="00DF5C0D" w:rsidRPr="00042ADE">
        <w:rPr>
          <w:rFonts w:ascii="Times New Roman" w:hAnsi="Times New Roman"/>
          <w:sz w:val="24"/>
          <w:szCs w:val="24"/>
          <w:lang w:val="en-GB"/>
        </w:rPr>
        <w:fldChar w:fldCharType="separate"/>
      </w:r>
      <w:r w:rsidR="00DF5C0D" w:rsidRPr="00042ADE">
        <w:rPr>
          <w:rFonts w:ascii="Times New Roman" w:hAnsi="Times New Roman"/>
          <w:noProof/>
          <w:sz w:val="24"/>
          <w:szCs w:val="24"/>
          <w:lang w:val="en-GB"/>
        </w:rPr>
        <w:t>(Giacomelli et al., 2013; Häuser et al., 2015; Wolfe et al., 2016)</w:t>
      </w:r>
      <w:r w:rsidR="00DF5C0D" w:rsidRPr="00042ADE">
        <w:rPr>
          <w:rFonts w:ascii="Times New Roman" w:hAnsi="Times New Roman"/>
          <w:sz w:val="24"/>
          <w:szCs w:val="24"/>
          <w:lang w:val="en-GB"/>
        </w:rPr>
        <w:fldChar w:fldCharType="end"/>
      </w:r>
      <w:r w:rsidRPr="00042ADE">
        <w:rPr>
          <w:rFonts w:ascii="Times New Roman" w:hAnsi="Times New Roman"/>
          <w:sz w:val="24"/>
          <w:szCs w:val="24"/>
          <w:lang w:val="en-GB"/>
        </w:rPr>
        <w:t>.</w:t>
      </w:r>
      <w:r w:rsidR="0010611D" w:rsidRPr="00042ADE">
        <w:rPr>
          <w:rFonts w:ascii="Times New Roman" w:hAnsi="Times New Roman"/>
          <w:sz w:val="24"/>
          <w:szCs w:val="24"/>
          <w:lang w:val="en-GB"/>
        </w:rPr>
        <w:t xml:space="preserve"> FMS affects, on average, 2.10% of the world's population. Its prevalence is higher in women (4.2%) than in men (0.2%), with a female-to-male ratio of 21:1 and it is most frequent in middle aged, between 40 and 49 years old</w:t>
      </w:r>
      <w:r w:rsidR="009D18CD" w:rsidRPr="00042ADE">
        <w:rPr>
          <w:rFonts w:ascii="Times New Roman" w:hAnsi="Times New Roman"/>
          <w:sz w:val="24"/>
          <w:szCs w:val="24"/>
          <w:lang w:val="en-GB"/>
        </w:rPr>
        <w:t xml:space="preserve"> </w:t>
      </w:r>
      <w:r w:rsidR="009D18CD" w:rsidRPr="00042ADE">
        <w:rPr>
          <w:rFonts w:ascii="Times New Roman" w:hAnsi="Times New Roman"/>
          <w:sz w:val="24"/>
          <w:szCs w:val="24"/>
          <w:lang w:val="en-GB"/>
        </w:rPr>
        <w:fldChar w:fldCharType="begin" w:fldLock="1"/>
      </w:r>
      <w:r w:rsidR="00995729" w:rsidRPr="00042ADE">
        <w:rPr>
          <w:rFonts w:ascii="Times New Roman" w:hAnsi="Times New Roman"/>
          <w:sz w:val="24"/>
          <w:szCs w:val="24"/>
          <w:lang w:val="en-GB"/>
        </w:rPr>
        <w:instrText>ADDIN CSL_CITATION {"citationItems":[{"id":"ITEM-1","itemData":{"DOI":"10.1016/j.medcli.2017.06.008","ISSN":"1578-8989","PMID":"28734619","abstract":"Fibromyalgia is an idiopathic chronic condition that causes widespread musculoskeletal pain, hyperalgesia and allodynia. This review aims to approach the general epidemiology of fibromyalgia according to the most recent published studies, identifying the general worldwide prevalence of the disease, its basic epidemiological profiles and its economic costs, with specific interest in the Spanish and Comunidad Valenciana cases. Fibromyalgia affects, on average, 2.10% of the world's population; 2.31% of the European population; 2.40% of the Spanish population; and 3.69% of the population in the Comunidad Valenciana. It supposes a painful loss of the quality of life of the people who suffer it and the economic costs are enormous: in Spain is has been estimated at more than 12,993 million euros annually.","author":[{"dropping-particle":"","family":"Cabo-Meseguer","given":"Asensi","non-dropping-particle":"","parse-names":false,"suffix":""},{"dropping-particle":"","family":"Cerdá-Olmedo","given":"Germán","non-dropping-particle":"","parse-names":false,"suffix":""},{"dropping-particle":"","family":"Trillo-Mata","given":"José Luis","non-dropping-particle":"","parse-names":false,"suffix":""}],"container-title":"Medicina clinica","id":"ITEM-1","issue":"10","issued":{"date-parts":[["2017","11","22"]]},"page":"441-448","title":"Fibromyalgia: Prevalence, epidemiologic profiles and economic costs.","type":"article-journal","volume":"149"},"uris":["http://www.mendeley.com/documents/?uuid=4f803a0c-2de8-3094-8147-9471de206695"]},{"id":"ITEM-2","itemData":{"DOI":"10.1016/j.semarthrit.2008.12.003","ISSN":"00490172","PMID":"19250656","abstract":"OBJECTIVE A survey was performed in 5 European countries (France, Germany, Italy, Portugal, and Spain) to estimate the prevalence of fibromyalgia (FM) in the general population. METHODS In each country, the London Fibromyalgia Epidemiological Study Screening Questionnaire (LFESSQ) was administered by telephone to a representative sample of the community over 15 years of age. A positive screen was defined as the following: (1) meeting the 4-pain criteria alone (LFESSQ-4), or (2) meeting both the 4-pain and the 2-fatigue criteria (LFESSQ-6). The questionnaire was also submitted to all outpatients referred to the 8 participating rheumatology clinics for 1 month. These patients were examined by a rheumatologist to confirm or exclude the FM diagnosis according to the 1990 American College of Rheumatology classification criteria. The prevalence of FM in the general population was estimated by applying the positive-predictive values to eligible community subjects (ie, positive screens). RESULTS Among rheumatology outpatients, 46% screened positive for chronic widespread pain (LFESSQ-4), 32% for pain and fatigue (LFESSQ-6), and 14% were confirmed FM cases. In the whole general population, 13 and 6.7% screened positive for LFESSQ-4 and LFESSQ-6, respectively. 3The estimated overall prevalence of FM was 4.7% (95% CI: 4.0 to 5.3) and 2.9% (95% CI: 2.4 to 3.4), respectively, in the general population. The prevalence of FM was age- and sex-related and varied among countries. CONCLUSION FM appears to be a common condition in these 5 European countries, even if data derived from the most specific criteria set (LFESSQ-6) are considered.","author":[{"dropping-particle":"","family":"Branco","given":"Jaime C.","non-dropping-particle":"","parse-names":false,"suffix":""},{"dropping-particle":"","family":"Bannwarth","given":"Bernard","non-dropping-particle":"","parse-names":false,"suffix":""},{"dropping-particle":"","family":"Failde","given":"Inmaculada","non-dropping-particle":"","parse-names":false,"suffix":""},{"dropping-particle":"","family":"Abello Carbonell","given":"Jordi","non-dropping-particle":"","parse-names":false,"suffix":""},{"dropping-particle":"","family":"Blotman","given":"Francis","non-dropping-particle":"","parse-names":false,"suffix":""},{"dropping-particle":"","family":"Spaeth","given":"Michael","non-dropping-particle":"","parse-names":false,"suffix":""},{"dropping-particle":"","family":"Saraiva","given":"Fernando","non-dropping-particle":"","parse-names":false,"suffix":""},{"dropping-particle":"","family":"Nacci","given":"Francesca","non-dropping-particle":"","parse-names":false,"suffix":""},{"dropping-particle":"","family":"Thomas","given":"Eric","non-dropping-particle":"","parse-names":false,"suffix":""},{"dropping-particle":"","family":"Caubère","given":"Jean-Paul","non-dropping-particle":"","parse-names":false,"suffix":""},{"dropping-particle":"","family":"Lay","given":"Katell","non-dropping-particle":"Le","parse-names":false,"suffix":""},{"dropping-particle":"","family":"Taieb","given":"Charles","non-dropping-particle":"","parse-names":false,"suffix":""},{"dropping-particle":"","family":"Matucci-Cerinic","given":"Marco","non-dropping-particle":"","parse-names":false,"suffix":""}],"container-title":"Seminars in Arthritis and Rheumatism","id":"ITEM-2","issue":"6","issued":{"date-parts":[["2010","6"]]},"page":"448-453","title":"Prevalence of Fibromyalgia: A Survey in Five European Countries","type":"article-journal","volume":"39"},"uris":["http://www.mendeley.com/documents/?uuid=c57eca7f-961e-3ad3-b5ac-1a226e3cea71"]}],"mendeley":{"formattedCitation":"(Branco et al., 2010; Cabo-Meseguer et al., 2017)","plainTextFormattedCitation":"(Branco et al., 2010; Cabo-Meseguer et al., 2017)","previouslyFormattedCitation":"(Branco et al., 2010; Cabo-Meseguer et al., 2017)"},"properties":{"noteIndex":0},"schema":"https://github.com/citation-style-language/schema/raw/master/csl-citation.json"}</w:instrText>
      </w:r>
      <w:r w:rsidR="009D18CD" w:rsidRPr="00042ADE">
        <w:rPr>
          <w:rFonts w:ascii="Times New Roman" w:hAnsi="Times New Roman"/>
          <w:sz w:val="24"/>
          <w:szCs w:val="24"/>
          <w:lang w:val="en-GB"/>
        </w:rPr>
        <w:fldChar w:fldCharType="separate"/>
      </w:r>
      <w:r w:rsidR="009D18CD" w:rsidRPr="00042ADE">
        <w:rPr>
          <w:rFonts w:ascii="Times New Roman" w:hAnsi="Times New Roman"/>
          <w:noProof/>
          <w:sz w:val="24"/>
          <w:szCs w:val="24"/>
          <w:lang w:val="en-GB"/>
        </w:rPr>
        <w:t>(Branco et al., 2010; Cabo-Meseguer et al., 2017)</w:t>
      </w:r>
      <w:r w:rsidR="009D18CD" w:rsidRPr="00042ADE">
        <w:rPr>
          <w:rFonts w:ascii="Times New Roman" w:hAnsi="Times New Roman"/>
          <w:sz w:val="24"/>
          <w:szCs w:val="24"/>
          <w:lang w:val="en-GB"/>
        </w:rPr>
        <w:fldChar w:fldCharType="end"/>
      </w:r>
      <w:r w:rsidR="009D18CD" w:rsidRPr="00042ADE">
        <w:rPr>
          <w:rFonts w:ascii="Times New Roman" w:hAnsi="Times New Roman"/>
          <w:sz w:val="24"/>
          <w:szCs w:val="24"/>
          <w:lang w:val="en-GB"/>
        </w:rPr>
        <w:t>.</w:t>
      </w:r>
    </w:p>
    <w:p w14:paraId="596D2852" w14:textId="4EA9E568" w:rsidR="009A6716" w:rsidRPr="00042ADE" w:rsidRDefault="00995729" w:rsidP="0032208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The aetiology of FMS remains uncertain, however, the prevailing hypothesis shows that a Central Nervous System (CNS) disorder could explain the diffused musculoskeletal pain in this population</w:t>
      </w:r>
      <w:r w:rsidR="00725C17" w:rsidRPr="00042ADE">
        <w:rPr>
          <w:rFonts w:ascii="Times New Roman" w:hAnsi="Times New Roman"/>
          <w:sz w:val="24"/>
          <w:szCs w:val="24"/>
          <w:lang w:val="en-GB"/>
        </w:rPr>
        <w:t xml:space="preserve"> </w:t>
      </w:r>
      <w:r w:rsidR="00725C17" w:rsidRPr="00042ADE">
        <w:rPr>
          <w:rFonts w:ascii="Times New Roman" w:hAnsi="Times New Roman"/>
          <w:sz w:val="24"/>
          <w:szCs w:val="24"/>
          <w:lang w:val="en-GB"/>
        </w:rPr>
        <w:fldChar w:fldCharType="begin" w:fldLock="1"/>
      </w:r>
      <w:r w:rsidR="003C2880" w:rsidRPr="00042ADE">
        <w:rPr>
          <w:rFonts w:ascii="Times New Roman" w:hAnsi="Times New Roman"/>
          <w:sz w:val="24"/>
          <w:szCs w:val="24"/>
          <w:lang w:val="en-GB"/>
        </w:rPr>
        <w:instrText>ADDIN CSL_CITATION {"citationItems":[{"id":"ITEM-1","itemData":{"DOI":"10.1007/s11916-016-0556-x","ISSN":"15343081","PMID":"26922414","abstract":"This review article presents and summarizes up-to-date literature on the clinical manifestations, diagnosis, pathophysiological mechanisms, and treatment options for fibromyalgia patients. First, the most recent diagnostic criteria for fibromyalgia, as put forth by the American College of Rheumatology will be summarized. Clinical features, including chronic widespread pain, hyperalgesia, mood disorders, anxiety, and disturbed sleep patterns will be explored in-depth. The pathogenesis and pathophysiology of fibromyalgia involves alterations in multiple ascending and descending central nervous system pathways, as well as peripheral pathways, leading to heightened pain sensitivity. Risk factors have been studied extensively, and the most recent research focuses on various genetic influences and the contributions of stress and poor sleep. Lastly, the discussion in this article focuses on treatment options for fibromyalgia; some have been mainstay options for many years. Pharmacological agents include tricyclic antidepressants, anti-epileptic drugs, selective serotonin reuptake inhibitors, norepinephrine/serotonin reuptake inhibitors, as well as some investigational agents. The evidence behind non-pharmacologic treatments, including massage therapy, exercise, and acupuncture, are discussed.","author":[{"dropping-particle":"","family":"Chinn","given":"Steven","non-dropping-particle":"","parse-names":false,"suffix":""},{"dropping-particle":"","family":"Caldwell","given":"William","non-dropping-particle":"","parse-names":false,"suffix":""},{"dropping-particle":"","family":"Gritsenko","given":"Karina","non-dropping-particle":"","parse-names":false,"suffix":""}],"container-title":"Current Pain and Headache Reports","id":"ITEM-1","issue":"4","issued":{"date-parts":[["2016","3","1"]]},"page":"1-10","publisher":"Current Medicine Group LLC 1","title":"Fibromyalgia Pathogenesis and Treatment Options Update","type":"article","volume":"20"},"uris":["http://www.mendeley.com/documents/?uuid=485b8e90-98f8-38e3-9605-78137692e634"]},{"id":"ITEM-2","itemData":{"DOI":"10.1016/j.rdc.2009.06.005","ISSN":"0889857X","PMID":"19647152","abstract":"The characteristic presenting complaint of patients with fibromyalgia syndrome (FMS) is chronic widespread allodynia. Research findings support the view that FMS is an understandable and treatable neuropathophysiologic disorder. The pain of FMS is often accompanied by one or more other manifestations, such as affective moods, cognitive insecurity, autonomic dysfunction, or irritable bowel or bladder. Growing evidence suggests that this is a familial disorder with many underlying genetic associations. New findings from brain imaging and polysomnography imply that FMS may be a disorder of premature neurologic aging. A conceptual model at the molecular level is proposed to explain many of the observed features of FMS. The model can also explain anticipated responses to FDA approved pharmacologic therapies.","author":[{"dropping-particle":"","family":"Russell","given":"I. Jon","non-dropping-particle":"","parse-names":false,"suffix":""},{"dropping-particle":"","family":"Larson","given":"Alice A.","non-dropping-particle":"","parse-names":false,"suffix":""}],"container-title":"Rheumatic Disease Clinics of North America","id":"ITEM-2","issue":"2","issued":{"date-parts":[["2009","5"]]},"page":"421-435","title":"Neurophysiopathogenesis of Fibromyalgia Syndrome: A Unified Hypothesis","type":"article-journal","volume":"35"},"uris":["http://www.mendeley.com/documents/?uuid=2c45910e-ceb6-3655-a366-0762dfb3be5f"]}],"mendeley":{"formattedCitation":"(Chinn et al., 2016; Russell and Larson, 2009)","plainTextFormattedCitation":"(Chinn et al., 2016; Russell and Larson, 2009)","previouslyFormattedCitation":"(Chinn et al., 2016; Russell and Larson, 2009)"},"properties":{"noteIndex":0},"schema":"https://github.com/citation-style-language/schema/raw/master/csl-citation.json"}</w:instrText>
      </w:r>
      <w:r w:rsidR="00725C17" w:rsidRPr="00042ADE">
        <w:rPr>
          <w:rFonts w:ascii="Times New Roman" w:hAnsi="Times New Roman"/>
          <w:sz w:val="24"/>
          <w:szCs w:val="24"/>
          <w:lang w:val="en-GB"/>
        </w:rPr>
        <w:fldChar w:fldCharType="separate"/>
      </w:r>
      <w:r w:rsidR="00725C17" w:rsidRPr="00042ADE">
        <w:rPr>
          <w:rFonts w:ascii="Times New Roman" w:hAnsi="Times New Roman"/>
          <w:noProof/>
          <w:sz w:val="24"/>
          <w:szCs w:val="24"/>
          <w:lang w:val="en-GB"/>
        </w:rPr>
        <w:t>(Chinn et al., 2016; Russell and Larson, 2009)</w:t>
      </w:r>
      <w:r w:rsidR="00725C17" w:rsidRPr="00042ADE">
        <w:rPr>
          <w:rFonts w:ascii="Times New Roman" w:hAnsi="Times New Roman"/>
          <w:sz w:val="24"/>
          <w:szCs w:val="24"/>
          <w:lang w:val="en-GB"/>
        </w:rPr>
        <w:fldChar w:fldCharType="end"/>
      </w:r>
      <w:r w:rsidRPr="00042ADE">
        <w:rPr>
          <w:rFonts w:ascii="Times New Roman" w:hAnsi="Times New Roman"/>
          <w:sz w:val="24"/>
          <w:szCs w:val="24"/>
          <w:lang w:val="en-GB"/>
        </w:rPr>
        <w:t>.</w:t>
      </w:r>
      <w:r w:rsidR="00A75E50" w:rsidRPr="00042ADE">
        <w:rPr>
          <w:rFonts w:ascii="Times New Roman" w:hAnsi="Times New Roman"/>
          <w:sz w:val="24"/>
          <w:szCs w:val="24"/>
          <w:lang w:val="en-GB"/>
        </w:rPr>
        <w:t xml:space="preserve"> These studies have reported that FMS patients present an increased </w:t>
      </w:r>
      <w:proofErr w:type="spellStart"/>
      <w:r w:rsidR="00A75E50" w:rsidRPr="00042ADE">
        <w:rPr>
          <w:rFonts w:ascii="Times New Roman" w:hAnsi="Times New Roman"/>
          <w:sz w:val="24"/>
          <w:szCs w:val="24"/>
          <w:lang w:val="en-GB"/>
        </w:rPr>
        <w:t>pronociception</w:t>
      </w:r>
      <w:proofErr w:type="spellEnd"/>
      <w:r w:rsidR="00A75E50" w:rsidRPr="00042ADE">
        <w:rPr>
          <w:rFonts w:ascii="Times New Roman" w:hAnsi="Times New Roman"/>
          <w:sz w:val="24"/>
          <w:szCs w:val="24"/>
          <w:lang w:val="en-GB"/>
        </w:rPr>
        <w:t xml:space="preserve"> and a decreased antinociception of the CNS, showing a sympathetic hyperactivity and a hyper-excitability of the nociceptive peripheral inputs</w:t>
      </w:r>
      <w:r w:rsidR="00725C17" w:rsidRPr="00042ADE">
        <w:rPr>
          <w:rFonts w:ascii="Times New Roman" w:hAnsi="Times New Roman"/>
          <w:sz w:val="24"/>
          <w:szCs w:val="24"/>
          <w:lang w:val="en-GB"/>
        </w:rPr>
        <w:t xml:space="preserve"> </w:t>
      </w:r>
      <w:r w:rsidR="00725C17" w:rsidRPr="00042ADE">
        <w:rPr>
          <w:rFonts w:ascii="Times New Roman" w:hAnsi="Times New Roman"/>
          <w:sz w:val="24"/>
          <w:szCs w:val="24"/>
          <w:lang w:val="en-GB"/>
        </w:rPr>
        <w:fldChar w:fldCharType="begin" w:fldLock="1"/>
      </w:r>
      <w:r w:rsidR="003C2880" w:rsidRPr="00042ADE">
        <w:rPr>
          <w:rFonts w:ascii="Times New Roman" w:hAnsi="Times New Roman"/>
          <w:sz w:val="24"/>
          <w:szCs w:val="24"/>
          <w:lang w:val="en-GB"/>
        </w:rPr>
        <w:instrText>ADDIN CSL_CITATION {"citationItems":[{"id":"ITEM-1","itemData":{"DOI":"10.1007/s11916-016-0556-x","ISSN":"15343081","PMID":"26922414","abstract":"This review article presents and summarizes up-to-date literature on the clinical manifestations, diagnosis, pathophysiological mechanisms, and treatment options for fibromyalgia patients. First, the most recent diagnostic criteria for fibromyalgia, as put forth by the American College of Rheumatology will be summarized. Clinical features, including chronic widespread pain, hyperalgesia, mood disorders, anxiety, and disturbed sleep patterns will be explored in-depth. The pathogenesis and pathophysiology of fibromyalgia involves alterations in multiple ascending and descending central nervous system pathways, as well as peripheral pathways, leading to heightened pain sensitivity. Risk factors have been studied extensively, and the most recent research focuses on various genetic influences and the contributions of stress and poor sleep. Lastly, the discussion in this article focuses on treatment options for fibromyalgia; some have been mainstay options for many years. Pharmacological agents include tricyclic antidepressants, anti-epileptic drugs, selective serotonin reuptake inhibitors, norepinephrine/serotonin reuptake inhibitors, as well as some investigational agents. The evidence behind non-pharmacologic treatments, including massage therapy, exercise, and acupuncture, are discussed.","author":[{"dropping-particle":"","family":"Chinn","given":"Steven","non-dropping-particle":"","parse-names":false,"suffix":""},{"dropping-particle":"","family":"Caldwell","given":"William","non-dropping-particle":"","parse-names":false,"suffix":""},{"dropping-particle":"","family":"Gritsenko","given":"Karina","non-dropping-particle":"","parse-names":false,"suffix":""}],"container-title":"Current Pain and Headache Reports","id":"ITEM-1","issue":"4","issued":{"date-parts":[["2016","3","1"]]},"page":"1-10","publisher":"Current Medicine Group LLC 1","title":"Fibromyalgia Pathogenesis and Treatment Options Update","type":"article","volume":"20"},"uris":["http://www.mendeley.com/documents/?uuid=485b8e90-98f8-38e3-9605-78137692e634"]},{"id":"ITEM-2","itemData":{"DOI":"10.1016/j.rdc.2009.06.005","ISSN":"0889857X","PMID":"19647152","abstract":"The characteristic presenting complaint of patients with fibromyalgia syndrome (FMS) is chronic widespread allodynia. Research findings support the view that FMS is an understandable and treatable neuropathophysiologic disorder. The pain of FMS is often accompanied by one or more other manifestations, such as affective moods, cognitive insecurity, autonomic dysfunction, or irritable bowel or bladder. Growing evidence suggests that this is a familial disorder with many underlying genetic associations. New findings from brain imaging and polysomnography imply that FMS may be a disorder of premature neurologic aging. A conceptual model at the molecular level is proposed to explain many of the observed features of FMS. The model can also explain anticipated responses to FDA approved pharmacologic therapies.","author":[{"dropping-particle":"","family":"Russell","given":"I. Jon","non-dropping-particle":"","parse-names":false,"suffix":""},{"dropping-particle":"","family":"Larson","given":"Alice A.","non-dropping-particle":"","parse-names":false,"suffix":""}],"container-title":"Rheumatic Disease Clinics of North America","id":"ITEM-2","issue":"2","issued":{"date-parts":[["2009","5"]]},"page":"421-435","title":"Neurophysiopathogenesis of Fibromyalgia Syndrome: A Unified Hypothesis","type":"article-journal","volume":"35"},"uris":["http://www.mendeley.com/documents/?uuid=2c45910e-ceb6-3655-a366-0762dfb3be5f"]}],"mendeley":{"formattedCitation":"(Chinn et al., 2016; Russell and Larson, 2009)","plainTextFormattedCitation":"(Chinn et al., 2016; Russell and Larson, 2009)","previouslyFormattedCitation":"(Chinn et al., 2016; Russell and Larson, 2009)"},"properties":{"noteIndex":0},"schema":"https://github.com/citation-style-language/schema/raw/master/csl-citation.json"}</w:instrText>
      </w:r>
      <w:r w:rsidR="00725C17" w:rsidRPr="00042ADE">
        <w:rPr>
          <w:rFonts w:ascii="Times New Roman" w:hAnsi="Times New Roman"/>
          <w:sz w:val="24"/>
          <w:szCs w:val="24"/>
          <w:lang w:val="en-GB"/>
        </w:rPr>
        <w:fldChar w:fldCharType="separate"/>
      </w:r>
      <w:r w:rsidR="00725C17" w:rsidRPr="00042ADE">
        <w:rPr>
          <w:rFonts w:ascii="Times New Roman" w:hAnsi="Times New Roman"/>
          <w:noProof/>
          <w:sz w:val="24"/>
          <w:szCs w:val="24"/>
          <w:lang w:val="en-GB"/>
        </w:rPr>
        <w:t>(Chinn et al., 2016; Russell and Larson, 2009)</w:t>
      </w:r>
      <w:r w:rsidR="00725C17" w:rsidRPr="00042ADE">
        <w:rPr>
          <w:rFonts w:ascii="Times New Roman" w:hAnsi="Times New Roman"/>
          <w:sz w:val="24"/>
          <w:szCs w:val="24"/>
          <w:lang w:val="en-GB"/>
        </w:rPr>
        <w:fldChar w:fldCharType="end"/>
      </w:r>
      <w:r w:rsidR="00725C17" w:rsidRPr="00042ADE">
        <w:rPr>
          <w:rFonts w:ascii="Times New Roman" w:hAnsi="Times New Roman"/>
          <w:sz w:val="24"/>
          <w:szCs w:val="24"/>
          <w:lang w:val="en-GB"/>
        </w:rPr>
        <w:t>.</w:t>
      </w:r>
    </w:p>
    <w:p w14:paraId="0695EC37" w14:textId="68820ACA" w:rsidR="00995729" w:rsidRPr="00042ADE" w:rsidRDefault="009A6716" w:rsidP="0032208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T</w:t>
      </w:r>
      <w:r w:rsidR="00DD7FBE" w:rsidRPr="00042ADE">
        <w:rPr>
          <w:rFonts w:ascii="Times New Roman" w:hAnsi="Times New Roman"/>
          <w:sz w:val="24"/>
          <w:szCs w:val="24"/>
          <w:lang w:val="en-GB"/>
        </w:rPr>
        <w:t>he latest researches highlight the existence of blood microcirculation alterations and capillarity disorders in patients with FMS</w:t>
      </w:r>
      <w:r w:rsidR="0016179A" w:rsidRPr="00042ADE">
        <w:rPr>
          <w:rFonts w:ascii="Times New Roman" w:hAnsi="Times New Roman"/>
          <w:sz w:val="24"/>
          <w:szCs w:val="24"/>
          <w:lang w:val="en-GB"/>
        </w:rPr>
        <w:t xml:space="preserve"> </w:t>
      </w:r>
      <w:r w:rsidR="0016179A" w:rsidRPr="00042ADE">
        <w:rPr>
          <w:rFonts w:ascii="Times New Roman" w:hAnsi="Times New Roman"/>
          <w:sz w:val="24"/>
          <w:szCs w:val="24"/>
          <w:lang w:val="en-GB"/>
        </w:rPr>
        <w:fldChar w:fldCharType="begin" w:fldLock="1"/>
      </w:r>
      <w:r w:rsidR="009333FF" w:rsidRPr="00042ADE">
        <w:rPr>
          <w:rFonts w:ascii="Times New Roman" w:hAnsi="Times New Roman"/>
          <w:sz w:val="24"/>
          <w:szCs w:val="24"/>
          <w:lang w:val="en-GB"/>
        </w:rPr>
        <w:instrText>ADDIN CSL_CITATION {"citationItems":[{"id":"ITEM-1","itemData":{"DOI":"10.1186/ar1459","ISSN":"1478-6362","PMID":"15743467","abstract":"This unblinded preliminary case-control study was done to demonstrate functional and structural changes in the microcirculation of patients with primary fibromyalgia (FM). We studied 10 women (54.0 +/- 3.7 years of age) with FM diagnosed in accordance with the classification criteria of the American College of Rheumatology, and controls in three groups (n = 10 in each group) - age-matched women who were healthy or who had rheumatoid arthritis or systemic scleroderma (SSc). All 40 subjects were tested within a 5-week period by the same investigators, using two noninvasive methods, laser fluxmetry and capillary microscopy. The FM patients were compared with the healthy controls (negative controls) and with rheumatoid arthritis patients and SSc patients (positive controls). FM patients had fewer capillaries in the nail fold (P &lt; 0.001) and significantly more capillary dilatations (P &lt; 0.05) and irregular formations (P &lt; 0.01) than the healthy controls. Interestingly, the peripheral blood flow in FM patients was much less (P &lt; 0.001) than in healthy controls but did not differ from that of SSc patients (P = 0.73). The data suggest that functional disturbances of microcirculation are present in FM patients and that morphological abnormalities may also influence their microcirculation.","author":[{"dropping-particle":"","family":"Morf","given":"Susanne","non-dropping-particle":"","parse-names":false,"suffix":""},{"dropping-particle":"","family":"Amann-Vesti","given":"Beatrice","non-dropping-particle":"","parse-names":false,"suffix":""},{"dropping-particle":"","family":"Forster","given":"Adrian","non-dropping-particle":"","parse-names":false,"suffix":""},{"dropping-particle":"","family":"Franzeck","given":"Ulrich K","non-dropping-particle":"","parse-names":false,"suffix":""},{"dropping-particle":"","family":"Koppensteiner","given":"Renate","non-dropping-particle":"","parse-names":false,"suffix":""},{"dropping-particle":"","family":"Uebelhart","given":"Daniel","non-dropping-particle":"","parse-names":false,"suffix":""},{"dropping-particle":"","family":"Sprott","given":"Haiko","non-dropping-particle":"","parse-names":false,"suffix":""}],"container-title":"Arthritis research &amp; therapy","id":"ITEM-1","issue":"2","issued":{"date-parts":[["2005"]]},"page":"R209-16","publisher":"BioMed Central","title":"Microcirculation abnormalities in patients with fibromyalgia - measured by capillary microscopy and laser fluxmetry.","type":"article-journal","volume":"7"},"uris":["http://www.mendeley.com/documents/?uuid=f2214c40-34ac-3d42-b177-68c2c576524a"]},{"id":"ITEM-2","itemData":{"DOI":"10.3904/kjim.2015.30.4.531","ISSN":"2005-6648","PMID":"26161020","abstract":"BACKGROUND/AIMS Nailfold capillaroscopy (NFC) has been used to examine morphological and functional microcirculation changes in connective tissue diseases. It has been demonstrated that NFC patterns reflect abnormal microvascular dynamics, which may play a role in fibromyalgia (FM) syndrome. The aim of this study was to determine NFC patterns in FM, and their association with clinical features of FM. METHODS A total of 67 patients with FM, and 30 age- and sex-matched healthy controls, were included. Nailfold capillary patterns were quantitatively analyzed using computerized NFC. The parameters of interest were as follows: number of capillaries within the central 3 mm, deletion score, apical limb width, capillary width, and capillary dimension. Capillary dimension was determined by calculating the number of capillaries using the Adobe Photoshop version 7.0. RESULTS FM patients had a lower number of capillaries and higher deletion scores on NFC compared to healthy controls (17.3 ± 1.7 vs. 21.8 ± 2.9, p &lt; 0.05; 2.2 ± 0.9 vs. 0.7 ± 0.6, p &lt; 0.05, respectively). Both apical limb width (µm) and capillary width (µm) were significantly decreased in FM patients (1.1 ± 0.2 vs. 3.7 ± 0.6; 5.4 ± 0.5 vs. 7.5 ± 1.4, respectively), indicating that FM patients have abnormally decreased digital capillary diameter and density. Interestingly, there was no difference in capillary dimension between the two groups, suggesting that the length or tortuosity of capillaries in FM patients is increased to compensate for diminished microcirculation. CONCLUSIONS FM patients had altered capillary density and diameter in the digits. Diminished microcirculation on NFC may alter capillary density and increase tortuosity.","author":[{"dropping-particle":"","family":"Choi","given":"Dug-Hyun","non-dropping-particle":"","parse-names":false,"suffix":""},{"dropping-particle":"","family":"Kim","given":"Hyun-Sook","non-dropping-particle":"","parse-names":false,"suffix":""}],"container-title":"The Korean journal of internal medicine","id":"ITEM-2","issue":"4","issued":{"date-parts":[["2015","7"]]},"page":"531-7","publisher":"Korean Association of Internal Medicine","title":"Quantitative analysis of nailfold capillary morphology in patients with fibromyalgia.","type":"article-journal","volume":"30"},"uris":["http://www.mendeley.com/documents/?uuid=efe8ae82-f095-36d4-8457-f376e36e2f4b"]}],"mendeley":{"formattedCitation":"(Choi and Kim, 2015; Morf et al., 2005)","plainTextFormattedCitation":"(Choi and Kim, 2015; Morf et al., 2005)","previouslyFormattedCitation":"(Choi and Kim, 2015; Morf et al., 2005)"},"properties":{"noteIndex":0},"schema":"https://github.com/citation-style-language/schema/raw/master/csl-citation.json"}</w:instrText>
      </w:r>
      <w:r w:rsidR="0016179A" w:rsidRPr="00042ADE">
        <w:rPr>
          <w:rFonts w:ascii="Times New Roman" w:hAnsi="Times New Roman"/>
          <w:sz w:val="24"/>
          <w:szCs w:val="24"/>
          <w:lang w:val="en-GB"/>
        </w:rPr>
        <w:fldChar w:fldCharType="separate"/>
      </w:r>
      <w:r w:rsidR="0016179A" w:rsidRPr="00042ADE">
        <w:rPr>
          <w:rFonts w:ascii="Times New Roman" w:hAnsi="Times New Roman"/>
          <w:noProof/>
          <w:sz w:val="24"/>
          <w:szCs w:val="24"/>
          <w:lang w:val="en-GB"/>
        </w:rPr>
        <w:t>(Choi and Kim, 2015; Morf et al., 2005)</w:t>
      </w:r>
      <w:r w:rsidR="0016179A" w:rsidRPr="00042ADE">
        <w:rPr>
          <w:rFonts w:ascii="Times New Roman" w:hAnsi="Times New Roman"/>
          <w:sz w:val="24"/>
          <w:szCs w:val="24"/>
          <w:lang w:val="en-GB"/>
        </w:rPr>
        <w:fldChar w:fldCharType="end"/>
      </w:r>
      <w:r w:rsidR="00DD7FBE" w:rsidRPr="00042ADE">
        <w:rPr>
          <w:rFonts w:ascii="Times New Roman" w:hAnsi="Times New Roman"/>
          <w:sz w:val="24"/>
          <w:szCs w:val="24"/>
          <w:lang w:val="en-GB"/>
        </w:rPr>
        <w:t>.</w:t>
      </w:r>
      <w:r w:rsidR="00132FD2" w:rsidRPr="00042ADE">
        <w:rPr>
          <w:rFonts w:ascii="Times New Roman" w:hAnsi="Times New Roman"/>
          <w:sz w:val="24"/>
          <w:szCs w:val="24"/>
          <w:lang w:val="en-GB"/>
        </w:rPr>
        <w:t xml:space="preserve"> These abnormalities could be explained by changes in the innervation to the arteriovenous anastomoses (AVAs) at the skin of the FMS patients</w:t>
      </w:r>
      <w:r w:rsidR="009333FF" w:rsidRPr="00042ADE">
        <w:rPr>
          <w:rFonts w:ascii="Times New Roman" w:hAnsi="Times New Roman"/>
          <w:sz w:val="24"/>
          <w:szCs w:val="24"/>
          <w:lang w:val="en-GB"/>
        </w:rPr>
        <w:t xml:space="preserve"> </w:t>
      </w:r>
      <w:r w:rsidR="009333FF" w:rsidRPr="00042ADE">
        <w:rPr>
          <w:rFonts w:ascii="Times New Roman" w:hAnsi="Times New Roman"/>
          <w:sz w:val="24"/>
          <w:szCs w:val="24"/>
          <w:lang w:val="en-GB"/>
        </w:rPr>
        <w:fldChar w:fldCharType="begin" w:fldLock="1"/>
      </w:r>
      <w:r w:rsidR="003F1F48" w:rsidRPr="00042ADE">
        <w:rPr>
          <w:rFonts w:ascii="Times New Roman" w:hAnsi="Times New Roman"/>
          <w:sz w:val="24"/>
          <w:szCs w:val="24"/>
          <w:lang w:val="en-GB"/>
        </w:rPr>
        <w:instrText>ADDIN CSL_CITATION {"citationItems":[{"id":"ITEM-1","itemData":{"DOI":"10.1111/pme.12139","ISSN":"15262375","author":[{"dropping-particle":"","family":"Albrecht","given":"Phillip J.","non-dropping-particle":"","parse-names":false,"suffix":""},{"dropping-particle":"","family":"Hou","given":"Quanzhi","non-dropping-particle":"","parse-names":false,"suffix":""},{"dropping-particle":"","family":"Argoff","given":"Charles E.","non-dropping-particle":"","parse-names":false,"suffix":""},{"dropping-particle":"","family":"Storey","given":"James R.","non-dropping-particle":"","parse-names":false,"suffix":""},{"dropping-particle":"","family":"Wymer","given":"James P.","non-dropping-particle":"","parse-names":false,"suffix":""},{"dropping-particle":"","family":"Rice","given":"Frank L.","non-dropping-particle":"","parse-names":false,"suffix":""}],"container-title":"Pain Medicine","id":"ITEM-1","issue":"6","issued":{"date-parts":[["2013","6"]]},"page":"895-915","title":"Excessive Peptidergic Sensory Innervation of Cutaneous Arteriole-Venule Shunts (AVS) in the Palmar Glabrous Skin of Fibromyalgia Patients: Implications for Widespread Deep Tissue Pain and Fatigue","type":"article-journal","volume":"14"},"uris":["http://www.mendeley.com/documents/?uuid=5ec91e61-7ded-309e-859a-34a5d81538e6"]}],"mendeley":{"formattedCitation":"(Albrecht et al., 2013)","plainTextFormattedCitation":"(Albrecht et al., 2013)","previouslyFormattedCitation":"(Albrecht et al., 2013)"},"properties":{"noteIndex":0},"schema":"https://github.com/citation-style-language/schema/raw/master/csl-citation.json"}</w:instrText>
      </w:r>
      <w:r w:rsidR="009333FF" w:rsidRPr="00042ADE">
        <w:rPr>
          <w:rFonts w:ascii="Times New Roman" w:hAnsi="Times New Roman"/>
          <w:sz w:val="24"/>
          <w:szCs w:val="24"/>
          <w:lang w:val="en-GB"/>
        </w:rPr>
        <w:fldChar w:fldCharType="separate"/>
      </w:r>
      <w:r w:rsidR="009333FF" w:rsidRPr="00042ADE">
        <w:rPr>
          <w:rFonts w:ascii="Times New Roman" w:hAnsi="Times New Roman"/>
          <w:noProof/>
          <w:sz w:val="24"/>
          <w:szCs w:val="24"/>
          <w:lang w:val="en-GB"/>
        </w:rPr>
        <w:t>(Albrecht et al., 2013)</w:t>
      </w:r>
      <w:r w:rsidR="009333FF" w:rsidRPr="00042ADE">
        <w:rPr>
          <w:rFonts w:ascii="Times New Roman" w:hAnsi="Times New Roman"/>
          <w:sz w:val="24"/>
          <w:szCs w:val="24"/>
          <w:lang w:val="en-GB"/>
        </w:rPr>
        <w:fldChar w:fldCharType="end"/>
      </w:r>
      <w:r w:rsidR="00132FD2" w:rsidRPr="00042ADE">
        <w:rPr>
          <w:rFonts w:ascii="Times New Roman" w:hAnsi="Times New Roman"/>
          <w:sz w:val="24"/>
          <w:szCs w:val="24"/>
          <w:lang w:val="en-GB"/>
        </w:rPr>
        <w:t>.</w:t>
      </w:r>
      <w:r w:rsidR="00BC5A54" w:rsidRPr="00042ADE">
        <w:rPr>
          <w:rFonts w:ascii="Times New Roman" w:hAnsi="Times New Roman"/>
          <w:sz w:val="24"/>
          <w:szCs w:val="24"/>
          <w:lang w:val="en-GB"/>
        </w:rPr>
        <w:t xml:space="preserve"> AVAs are direct connections between small arteries and veins which are in</w:t>
      </w:r>
      <w:r w:rsidR="00312CCC" w:rsidRPr="00042ADE">
        <w:rPr>
          <w:rFonts w:ascii="Times New Roman" w:hAnsi="Times New Roman"/>
          <w:sz w:val="24"/>
          <w:szCs w:val="24"/>
          <w:lang w:val="en-GB"/>
        </w:rPr>
        <w:t xml:space="preserve">nervated by sympathetic fibres </w:t>
      </w:r>
      <w:r w:rsidR="00BC5A54" w:rsidRPr="00042ADE">
        <w:rPr>
          <w:rFonts w:ascii="Times New Roman" w:hAnsi="Times New Roman"/>
          <w:sz w:val="24"/>
          <w:szCs w:val="24"/>
          <w:lang w:val="en-GB"/>
        </w:rPr>
        <w:t xml:space="preserve">and are abundant in the </w:t>
      </w:r>
      <w:proofErr w:type="spellStart"/>
      <w:r w:rsidR="00BC5A54" w:rsidRPr="00042ADE">
        <w:rPr>
          <w:rFonts w:ascii="Times New Roman" w:hAnsi="Times New Roman"/>
          <w:sz w:val="24"/>
          <w:szCs w:val="24"/>
          <w:lang w:val="en-GB"/>
        </w:rPr>
        <w:t>glabrous</w:t>
      </w:r>
      <w:proofErr w:type="spellEnd"/>
      <w:r w:rsidR="00BC5A54" w:rsidRPr="00042ADE">
        <w:rPr>
          <w:rFonts w:ascii="Times New Roman" w:hAnsi="Times New Roman"/>
          <w:sz w:val="24"/>
          <w:szCs w:val="24"/>
          <w:lang w:val="en-GB"/>
        </w:rPr>
        <w:t xml:space="preserve"> skin of the hands, feet, nose and ears</w:t>
      </w:r>
      <w:r w:rsidR="003F1F48" w:rsidRPr="00042ADE">
        <w:rPr>
          <w:rFonts w:ascii="Times New Roman" w:hAnsi="Times New Roman"/>
          <w:sz w:val="24"/>
          <w:szCs w:val="24"/>
          <w:lang w:val="en-GB"/>
        </w:rPr>
        <w:t xml:space="preserve"> </w:t>
      </w:r>
      <w:r w:rsidR="003F1F48" w:rsidRPr="00042ADE">
        <w:rPr>
          <w:rFonts w:ascii="Times New Roman" w:hAnsi="Times New Roman"/>
          <w:sz w:val="24"/>
          <w:szCs w:val="24"/>
          <w:lang w:val="en-GB"/>
        </w:rPr>
        <w:fldChar w:fldCharType="begin" w:fldLock="1"/>
      </w:r>
      <w:r w:rsidR="001E4059" w:rsidRPr="00042ADE">
        <w:rPr>
          <w:rFonts w:ascii="Times New Roman" w:hAnsi="Times New Roman"/>
          <w:sz w:val="24"/>
          <w:szCs w:val="24"/>
          <w:lang w:val="en-GB"/>
        </w:rPr>
        <w:instrText>ADDIN CSL_CITATION {"citationItems":[{"id":"ITEM-1","itemData":{"DOI":"10.1111/pme.12139","ISSN":"15262375","author":[{"dropping-particle":"","family":"Albrecht","given":"Phillip J.","non-dropping-particle":"","parse-names":false,"suffix":""},{"dropping-particle":"","family":"Hou","given":"Quanzhi","non-dropping-particle":"","parse-names":false,"suffix":""},{"dropping-particle":"","family":"Argoff","given":"Charles E.","non-dropping-particle":"","parse-names":false,"suffix":""},{"dropping-particle":"","family":"Storey","given":"James R.","non-dropping-particle":"","parse-names":false,"suffix":""},{"dropping-particle":"","family":"Wymer","given":"James P.","non-dropping-particle":"","parse-names":false,"suffix":""},{"dropping-particle":"","family":"Rice","given":"Frank L.","non-dropping-particle":"","parse-names":false,"suffix":""}],"container-title":"Pain Medicine","id":"ITEM-1","issue":"6","issued":{"date-parts":[["2013","6"]]},"page":"895-915","title":"Excessive Peptidergic Sensory Innervation of Cutaneous Arteriole-Venule Shunts (AVS) in the Palmar Glabrous Skin of Fibromyalgia Patients: Implications for Widespread Deep Tissue Pain and Fatigue","type":"article-journal","volume":"14"},"uris":["http://www.mendeley.com/documents/?uuid=5ec91e61-7ded-309e-859a-34a5d81538e6"]},{"id":"ITEM-2","itemData":{"DOI":"10.1080/23328940.2015.1088502","ISSN":"2332-8940","PMID":"27227081","abstract":"Arterio-venous anastomoses (AVAs) are direct connections between small arteries and small veins. In humans they are numerous in the glabrous skin of the hands and feet. The AVAs are short vessel segments with a large inner diameter and a very thick muscular wall. They are densely innervated by adrenergic axons. When they are open, they provide a low-resistance connection between arteries and veins, shunting blood directly into the venous plexuses of the limbs. The AVAs play an important role in temperature regulation in humans in their thermoneutral zone, which for a naked resting human is about 26°C to 36°C, but lower when active and clothed. From the temperature control center in the hypothalamus, bursts of nerve impulses are sent simultaneously to all AVAs. The AVAs are all closed near the lower end and all open near the upper end of the thermoneutral zone. The small veins in the skin of the arms and legs are also contracted near the lower end of the thermoneutral zone and relax to a wider cross section as the ambient temperature rises. At the cold end of the thermoneutral range, the blood returns to the heart through the deep veins and cools the arterial blood through a countercurrent mechanism. As the ambient temperature rises, more blood is returned through the superficial venous plexuses and veins and heats the skin surface of the full length of the 4 limbs. This skin surface is responsible for a large part of the loss of heat from the body toward the upper end of the thermoneutral zone.","author":[{"dropping-particle":"","family":"Walløe","given":"Lars","non-dropping-particle":"","parse-names":false,"suffix":""}],"container-title":"Temperature (Austin, Tex.)","id":"ITEM-2","issue":"1","issued":{"date-parts":[["2016"]]},"page":"92-103","publisher":"Taylor &amp; Francis","title":"Arterio-venous anastomoses in the human skin and their role in temperature control.","type":"article-journal","volume":"3"},"uris":["http://www.mendeley.com/documents/?uuid=6bcb8b90-6446-3f4d-9868-337fbd7ff304"]}],"mendeley":{"formattedCitation":"(Albrecht et al., 2013; Walløe, 2016)","plainTextFormattedCitation":"(Albrecht et al., 2013; Walløe, 2016)","previouslyFormattedCitation":"(Albrecht et al., 2013; Walløe, 2016)"},"properties":{"noteIndex":0},"schema":"https://github.com/citation-style-language/schema/raw/master/csl-citation.json"}</w:instrText>
      </w:r>
      <w:r w:rsidR="003F1F48" w:rsidRPr="00042ADE">
        <w:rPr>
          <w:rFonts w:ascii="Times New Roman" w:hAnsi="Times New Roman"/>
          <w:sz w:val="24"/>
          <w:szCs w:val="24"/>
          <w:lang w:val="en-GB"/>
        </w:rPr>
        <w:fldChar w:fldCharType="separate"/>
      </w:r>
      <w:r w:rsidR="003F1F48" w:rsidRPr="00042ADE">
        <w:rPr>
          <w:rFonts w:ascii="Times New Roman" w:hAnsi="Times New Roman"/>
          <w:noProof/>
          <w:sz w:val="24"/>
          <w:szCs w:val="24"/>
          <w:lang w:val="en-GB"/>
        </w:rPr>
        <w:t>(Albrecht et al., 2013; Walløe, 2016)</w:t>
      </w:r>
      <w:r w:rsidR="003F1F48" w:rsidRPr="00042ADE">
        <w:rPr>
          <w:rFonts w:ascii="Times New Roman" w:hAnsi="Times New Roman"/>
          <w:sz w:val="24"/>
          <w:szCs w:val="24"/>
          <w:lang w:val="en-GB"/>
        </w:rPr>
        <w:fldChar w:fldCharType="end"/>
      </w:r>
      <w:r w:rsidR="00BC5A54" w:rsidRPr="00042ADE">
        <w:rPr>
          <w:rFonts w:ascii="Times New Roman" w:hAnsi="Times New Roman"/>
          <w:sz w:val="24"/>
          <w:szCs w:val="24"/>
          <w:lang w:val="en-GB"/>
        </w:rPr>
        <w:t>.</w:t>
      </w:r>
      <w:r w:rsidR="001E4059" w:rsidRPr="00042ADE">
        <w:rPr>
          <w:rFonts w:ascii="Times New Roman" w:hAnsi="Times New Roman"/>
          <w:sz w:val="24"/>
          <w:szCs w:val="24"/>
          <w:lang w:val="en-GB"/>
        </w:rPr>
        <w:t xml:space="preserve"> </w:t>
      </w:r>
      <w:r w:rsidR="001E4059" w:rsidRPr="00042ADE">
        <w:rPr>
          <w:rFonts w:ascii="Times New Roman" w:hAnsi="Times New Roman"/>
          <w:sz w:val="24"/>
          <w:szCs w:val="24"/>
          <w:lang w:val="en-GB"/>
        </w:rPr>
        <w:fldChar w:fldCharType="begin" w:fldLock="1"/>
      </w:r>
      <w:r w:rsidR="001E4059" w:rsidRPr="00042ADE">
        <w:rPr>
          <w:rFonts w:ascii="Times New Roman" w:hAnsi="Times New Roman"/>
          <w:sz w:val="24"/>
          <w:szCs w:val="24"/>
          <w:lang w:val="en-GB"/>
        </w:rPr>
        <w:instrText>ADDIN CSL_CITATION {"citationItems":[{"id":"ITEM-1","itemData":{"DOI":"10.1111/pme.12139","ISSN":"15262375","author":[{"dropping-particle":"","family":"Albrecht","given":"Phillip J.","non-dropping-particle":"","parse-names":false,"suffix":""},{"dropping-particle":"","family":"Hou","given":"Quanzhi","non-dropping-particle":"","parse-names":false,"suffix":""},{"dropping-particle":"","family":"Argoff","given":"Charles E.","non-dropping-particle":"","parse-names":false,"suffix":""},{"dropping-particle":"","family":"Storey","given":"James R.","non-dropping-particle":"","parse-names":false,"suffix":""},{"dropping-particle":"","family":"Wymer","given":"James P.","non-dropping-particle":"","parse-names":false,"suffix":""},{"dropping-particle":"","family":"Rice","given":"Frank L.","non-dropping-particle":"","parse-names":false,"suffix":""}],"container-title":"Pain Medicine","id":"ITEM-1","issue":"6","issued":{"date-parts":[["2013","6"]]},"page":"895-915","title":"Excessive Peptidergic Sensory Innervation of Cutaneous Arteriole-Venule Shunts (AVS) in the Palmar Glabrous Skin of Fibromyalgia Patients: Implications for Widespread Deep Tissue Pain and Fatigue","type":"article-journal","volume":"14"},"uris":["http://www.mendeley.com/documents/?uuid=5ec91e61-7ded-309e-859a-34a5d81538e6"]}],"mendeley":{"formattedCitation":"(Albrecht et al., 2013)","manualFormatting":"Albrecht et al. (2013)","plainTextFormattedCitation":"(Albrecht et al., 2013)","previouslyFormattedCitation":"(Albrecht et al., 2013)"},"properties":{"noteIndex":0},"schema":"https://github.com/citation-style-language/schema/raw/master/csl-citation.json"}</w:instrText>
      </w:r>
      <w:r w:rsidR="001E4059" w:rsidRPr="00042ADE">
        <w:rPr>
          <w:rFonts w:ascii="Times New Roman" w:hAnsi="Times New Roman"/>
          <w:sz w:val="24"/>
          <w:szCs w:val="24"/>
          <w:lang w:val="en-GB"/>
        </w:rPr>
        <w:fldChar w:fldCharType="separate"/>
      </w:r>
      <w:r w:rsidR="001E4059" w:rsidRPr="00042ADE">
        <w:rPr>
          <w:rFonts w:ascii="Times New Roman" w:hAnsi="Times New Roman"/>
          <w:noProof/>
          <w:sz w:val="24"/>
          <w:szCs w:val="24"/>
          <w:lang w:val="en-GB"/>
        </w:rPr>
        <w:t>Albrecht et al. (2013)</w:t>
      </w:r>
      <w:r w:rsidR="001E4059" w:rsidRPr="00042ADE">
        <w:rPr>
          <w:rFonts w:ascii="Times New Roman" w:hAnsi="Times New Roman"/>
          <w:sz w:val="24"/>
          <w:szCs w:val="24"/>
          <w:lang w:val="en-GB"/>
        </w:rPr>
        <w:fldChar w:fldCharType="end"/>
      </w:r>
      <w:r w:rsidR="000959ED" w:rsidRPr="00042ADE">
        <w:rPr>
          <w:rFonts w:ascii="Times New Roman" w:hAnsi="Times New Roman"/>
          <w:sz w:val="24"/>
          <w:szCs w:val="24"/>
          <w:lang w:val="en-GB"/>
        </w:rPr>
        <w:t xml:space="preserve"> </w:t>
      </w:r>
      <w:r w:rsidR="001E4059" w:rsidRPr="00042ADE">
        <w:rPr>
          <w:rFonts w:ascii="Times New Roman" w:hAnsi="Times New Roman"/>
          <w:sz w:val="24"/>
          <w:szCs w:val="24"/>
          <w:lang w:val="en-GB"/>
        </w:rPr>
        <w:t xml:space="preserve">examined hypothenar skin biopsies of FMS patients in order to study the innervation of AVAs </w:t>
      </w:r>
      <w:r w:rsidR="007C3EE1" w:rsidRPr="00042ADE">
        <w:rPr>
          <w:rFonts w:ascii="Times New Roman" w:hAnsi="Times New Roman"/>
          <w:sz w:val="24"/>
          <w:szCs w:val="24"/>
          <w:lang w:val="en-GB"/>
        </w:rPr>
        <w:t>and their</w:t>
      </w:r>
      <w:r w:rsidR="001E4059" w:rsidRPr="00042ADE">
        <w:rPr>
          <w:rFonts w:ascii="Times New Roman" w:hAnsi="Times New Roman"/>
          <w:sz w:val="24"/>
          <w:szCs w:val="24"/>
          <w:lang w:val="en-GB"/>
        </w:rPr>
        <w:t xml:space="preserve"> connection with the peripheral nervous system</w:t>
      </w:r>
      <w:r w:rsidR="0061114D" w:rsidRPr="00042ADE">
        <w:rPr>
          <w:rFonts w:ascii="Times New Roman" w:hAnsi="Times New Roman"/>
          <w:sz w:val="24"/>
          <w:szCs w:val="24"/>
          <w:lang w:val="en-GB"/>
        </w:rPr>
        <w:t xml:space="preserve">. They discovered an excessive innervation of AVAs, characterized by an increase of </w:t>
      </w:r>
      <w:proofErr w:type="spellStart"/>
      <w:r w:rsidR="0061114D" w:rsidRPr="00042ADE">
        <w:rPr>
          <w:rFonts w:ascii="Times New Roman" w:hAnsi="Times New Roman"/>
          <w:sz w:val="24"/>
          <w:szCs w:val="24"/>
          <w:lang w:val="en-GB"/>
        </w:rPr>
        <w:t>peptidergic</w:t>
      </w:r>
      <w:proofErr w:type="spellEnd"/>
      <w:r w:rsidR="0061114D" w:rsidRPr="00042ADE">
        <w:rPr>
          <w:rFonts w:ascii="Times New Roman" w:hAnsi="Times New Roman"/>
          <w:sz w:val="24"/>
          <w:szCs w:val="24"/>
          <w:lang w:val="en-GB"/>
        </w:rPr>
        <w:t xml:space="preserve"> sensory innervation over the sympathetic </w:t>
      </w:r>
      <w:r w:rsidR="0061114D" w:rsidRPr="00042ADE">
        <w:rPr>
          <w:rFonts w:ascii="Times New Roman" w:hAnsi="Times New Roman"/>
          <w:sz w:val="24"/>
          <w:szCs w:val="24"/>
          <w:lang w:val="en-GB"/>
        </w:rPr>
        <w:lastRenderedPageBreak/>
        <w:t xml:space="preserve">innervations in FM patients. Probably, the increased sensory innervation of hand´s AVAs promotes vasodilation, given that the stimulation of </w:t>
      </w:r>
      <w:proofErr w:type="spellStart"/>
      <w:r w:rsidR="0061114D" w:rsidRPr="00042ADE">
        <w:rPr>
          <w:rFonts w:ascii="Times New Roman" w:hAnsi="Times New Roman"/>
          <w:sz w:val="24"/>
          <w:szCs w:val="24"/>
          <w:lang w:val="en-GB"/>
        </w:rPr>
        <w:t>peptidergic</w:t>
      </w:r>
      <w:proofErr w:type="spellEnd"/>
      <w:r w:rsidR="0061114D" w:rsidRPr="00042ADE">
        <w:rPr>
          <w:rFonts w:ascii="Times New Roman" w:hAnsi="Times New Roman"/>
          <w:sz w:val="24"/>
          <w:szCs w:val="24"/>
          <w:lang w:val="en-GB"/>
        </w:rPr>
        <w:t xml:space="preserve"> sensory branches in the skin can activate the local “axon-reflex” and liberate a large amount of substance P and calcitonin gene-related peptide (CGRP)</w:t>
      </w:r>
      <w:r w:rsidR="00DF3347" w:rsidRPr="00042ADE">
        <w:rPr>
          <w:rFonts w:ascii="Times New Roman" w:hAnsi="Times New Roman"/>
          <w:sz w:val="24"/>
          <w:szCs w:val="24"/>
          <w:lang w:val="en-GB"/>
        </w:rPr>
        <w:t xml:space="preserve"> </w:t>
      </w:r>
      <w:r w:rsidR="00DF3347" w:rsidRPr="00042ADE">
        <w:rPr>
          <w:rFonts w:ascii="Times New Roman" w:hAnsi="Times New Roman"/>
          <w:sz w:val="24"/>
          <w:szCs w:val="24"/>
          <w:lang w:val="en-GB"/>
        </w:rPr>
        <w:fldChar w:fldCharType="begin" w:fldLock="1"/>
      </w:r>
      <w:r w:rsidR="00EE4866" w:rsidRPr="00042ADE">
        <w:rPr>
          <w:rFonts w:ascii="Times New Roman" w:hAnsi="Times New Roman"/>
          <w:sz w:val="24"/>
          <w:szCs w:val="24"/>
          <w:lang w:val="en-GB"/>
        </w:rPr>
        <w:instrText>ADDIN CSL_CITATION {"citationItems":[{"id":"ITEM-1","itemData":{"DOI":"10.1111/pme.12139","ISSN":"15262375","author":[{"dropping-particle":"","family":"Albrecht","given":"Phillip J.","non-dropping-particle":"","parse-names":false,"suffix":""},{"dropping-particle":"","family":"Hou","given":"Quanzhi","non-dropping-particle":"","parse-names":false,"suffix":""},{"dropping-particle":"","family":"Argoff","given":"Charles E.","non-dropping-particle":"","parse-names":false,"suffix":""},{"dropping-particle":"","family":"Storey","given":"James R.","non-dropping-particle":"","parse-names":false,"suffix":""},{"dropping-particle":"","family":"Wymer","given":"James P.","non-dropping-particle":"","parse-names":false,"suffix":""},{"dropping-particle":"","family":"Rice","given":"Frank L.","non-dropping-particle":"","parse-names":false,"suffix":""}],"container-title":"Pain Medicine","id":"ITEM-1","issue":"6","issued":{"date-parts":[["2013","6"]]},"page":"895-915","title":"Excessive Peptidergic Sensory Innervation of Cutaneous Arteriole-Venule Shunts (AVS) in the Palmar Glabrous Skin of Fibromyalgia Patients: Implications for Widespread Deep Tissue Pain and Fatigue","type":"article-journal","volume":"14"},"uris":["http://www.mendeley.com/documents/?uuid=5ec91e61-7ded-309e-859a-34a5d81538e6"]}],"mendeley":{"formattedCitation":"(Albrecht et al., 2013)","plainTextFormattedCitation":"(Albrecht et al., 2013)","previouslyFormattedCitation":"(Albrecht et al., 2013)"},"properties":{"noteIndex":0},"schema":"https://github.com/citation-style-language/schema/raw/master/csl-citation.json"}</w:instrText>
      </w:r>
      <w:r w:rsidR="00DF3347" w:rsidRPr="00042ADE">
        <w:rPr>
          <w:rFonts w:ascii="Times New Roman" w:hAnsi="Times New Roman"/>
          <w:sz w:val="24"/>
          <w:szCs w:val="24"/>
          <w:lang w:val="en-GB"/>
        </w:rPr>
        <w:fldChar w:fldCharType="separate"/>
      </w:r>
      <w:r w:rsidR="00DF3347" w:rsidRPr="00042ADE">
        <w:rPr>
          <w:rFonts w:ascii="Times New Roman" w:hAnsi="Times New Roman"/>
          <w:noProof/>
          <w:sz w:val="24"/>
          <w:szCs w:val="24"/>
          <w:lang w:val="en-GB"/>
        </w:rPr>
        <w:t>(Albrecht et al., 2013)</w:t>
      </w:r>
      <w:r w:rsidR="00DF3347" w:rsidRPr="00042ADE">
        <w:rPr>
          <w:rFonts w:ascii="Times New Roman" w:hAnsi="Times New Roman"/>
          <w:sz w:val="24"/>
          <w:szCs w:val="24"/>
          <w:lang w:val="en-GB"/>
        </w:rPr>
        <w:fldChar w:fldCharType="end"/>
      </w:r>
      <w:r w:rsidR="00916F72" w:rsidRPr="00042ADE">
        <w:rPr>
          <w:rFonts w:ascii="Times New Roman" w:hAnsi="Times New Roman"/>
          <w:sz w:val="24"/>
          <w:szCs w:val="24"/>
          <w:lang w:val="en-GB"/>
        </w:rPr>
        <w:t>. Both substances are potent vasodilators which are able to modify the sensory feedback mechanisms among capillaries and precapillary arterioles, influencing the peripheral blood circulation</w:t>
      </w:r>
      <w:r w:rsidR="00EE4866" w:rsidRPr="00042ADE">
        <w:rPr>
          <w:rFonts w:ascii="Times New Roman" w:hAnsi="Times New Roman"/>
          <w:sz w:val="24"/>
          <w:szCs w:val="24"/>
          <w:lang w:val="en-GB"/>
        </w:rPr>
        <w:t xml:space="preserve"> </w:t>
      </w:r>
      <w:r w:rsidR="00EE4866" w:rsidRPr="00042ADE">
        <w:rPr>
          <w:rFonts w:ascii="Times New Roman" w:hAnsi="Times New Roman"/>
          <w:sz w:val="24"/>
          <w:szCs w:val="24"/>
          <w:lang w:val="en-GB"/>
        </w:rPr>
        <w:fldChar w:fldCharType="begin" w:fldLock="1"/>
      </w:r>
      <w:r w:rsidR="00700AF3" w:rsidRPr="00042ADE">
        <w:rPr>
          <w:rFonts w:ascii="Times New Roman" w:hAnsi="Times New Roman"/>
          <w:sz w:val="24"/>
          <w:szCs w:val="24"/>
          <w:lang w:val="en-GB"/>
        </w:rPr>
        <w:instrText>ADDIN CSL_CITATION {"citationItems":[{"id":"ITEM-1","itemData":{"ISSN":"0306-3623","PMID":"9457475","abstract":"1. Primary afferent nerve fibers control cutaneous blood flow and vascular permeability by releasing vasoactive peptides. These vascular reactions and the additional recruitment of leukocytes are commonly embodied in the term neurogenic inflammation. 2. Calcitonin gene-related peptide (CGRP) acting via CGRP1 receptors is the principal transmitter of neurogenic dilatation of arterioles whereas substance P (SP) and neurokinin A (NKA) acting via NK1 receptors mediate the increase in venular permeability. 3. Neurogenic vasodilatation and plasma protein leakage play a role in inflammation because many inflammatory and immune mediators including interleukin-1 beta, nitric oxide, prostanoids, protons, bradykinin, histamine, and 5-hydroxytryptamine can stimulate peptidergic afferent nerve fibers or enhance their excitability. 4. Neurogenic inflammatory reactions can be suppressed by alpha 2-adrenoceptor agonists, histamine acting via H1 receptors, 5-hydroxytryptamine acting via 5-HT1B receptors, opioid peptides, and somatostatin through prejunctional inhibition of peptide release from vasoactive afferent nerve fibers. CGRP, SP, and NKA receptor antagonists are powerful pharmacological tools to inhibit neurogenic inflammation at the postjunctional level. 5. Imbalance between the facilitatory and inhibitory influences on afferent nerve activity has a bearing on chronic inflammatory disease. Impaired nerve function represents a deficit in skin homeostasis while neuronal overactivity is a factor in allergic and hyperreactive disorders of the skin.","author":[{"dropping-particle":"","family":"Holzer","given":"P","non-dropping-particle":"","parse-names":false,"suffix":""}],"container-title":"General pharmacology","id":"ITEM-1","issue":"1","issued":{"date-parts":[["1998","1"]]},"page":"5-11","title":"Neurogenic vasodilatation and plasma leakage in the skin.","type":"article-journal","volume":"30"},"uris":["http://www.mendeley.com/documents/?uuid=83c8abf9-f330-35c9-9a8b-3fd96b802a95"]},{"id":"ITEM-2","itemData":{"ISSN":"0007-1226","PMID":"7697280","abstract":"Blood flow, particularly in the skin, is essential for the success of plastic surgical operations. This review describes recent studies of the perivascular nerves and vascular endothelial cells which regulate blood flow. Perivascular nerves, once considered simply adrenergic or cholinergic, release many types of neurotransmitters, including peptides, purines and nitric oxide. Cotransmission (synthesis, storage and release of more than one transmitter by a single nerve) commonly takes place. Some afferent nerves have an efferent (motor) function and axon reflex control of vascular tone by these \"sensory-motor\" nerves is more widespread than once thought. Endothelial cells mediate both vasodilatation and vasoconstriction. The endothelial cells can store and release vasoactive substances such as acetylcholine (vasodilator) and endothelin (vasoconstrictor). The origins and functions of such vasoactive substances are discussed. Endothelial vasoactive substances may be of greater significance in the response of blood vessels to local changes while perivascular nerves may be concerned with integration of blood flow in the whole organism. The dual regulation of vascular tone by perivascular nerves and endothelial cells is altered by aging and conditions such as hypertension, as well as by trauma and surgery. Studies of vascular tone in disease and after denervation or mechanical injury suggest possible trophic interactions between perivascular nerves and endothelial cells. Such trophic interactions may be important for growth and development of the two control systems, particularly in the microvasculature where neural-endothelial separation is small.","author":[{"dropping-particle":"","family":"Burnstock","given":"G","non-dropping-particle":"","parse-names":false,"suffix":""},{"dropping-particle":"","family":"Ralevic","given":"V","non-dropping-particle":"","parse-names":false,"suffix":""}],"container-title":"British journal of plastic surgery","id":"ITEM-2","issue":"8","issued":{"date-parts":[["1994","12"]]},"page":"527-43","title":"New insights into the local regulation of blood flow by perivascular nerves and endothelium.","type":"article-journal","volume":"47"},"uris":["http://www.mendeley.com/documents/?uuid=fd6bb649-5071-3bf7-b4b9-ead441e2b879"]}],"mendeley":{"formattedCitation":"(Burnstock and Ralevic, 1994; Holzer, 1998)","plainTextFormattedCitation":"(Burnstock and Ralevic, 1994; Holzer, 1998)","previouslyFormattedCitation":"(Burnstock and Ralevic, 1994; Holzer, 1998)"},"properties":{"noteIndex":0},"schema":"https://github.com/citation-style-language/schema/raw/master/csl-citation.json"}</w:instrText>
      </w:r>
      <w:r w:rsidR="00EE4866" w:rsidRPr="00042ADE">
        <w:rPr>
          <w:rFonts w:ascii="Times New Roman" w:hAnsi="Times New Roman"/>
          <w:sz w:val="24"/>
          <w:szCs w:val="24"/>
          <w:lang w:val="en-GB"/>
        </w:rPr>
        <w:fldChar w:fldCharType="separate"/>
      </w:r>
      <w:r w:rsidR="00EE4866" w:rsidRPr="00042ADE">
        <w:rPr>
          <w:rFonts w:ascii="Times New Roman" w:hAnsi="Times New Roman"/>
          <w:noProof/>
          <w:sz w:val="24"/>
          <w:szCs w:val="24"/>
          <w:lang w:val="en-GB"/>
        </w:rPr>
        <w:t>(Burnstock and Ralevic, 1994; Holzer, 1998)</w:t>
      </w:r>
      <w:r w:rsidR="00EE4866" w:rsidRPr="00042ADE">
        <w:rPr>
          <w:rFonts w:ascii="Times New Roman" w:hAnsi="Times New Roman"/>
          <w:sz w:val="24"/>
          <w:szCs w:val="24"/>
          <w:lang w:val="en-GB"/>
        </w:rPr>
        <w:fldChar w:fldCharType="end"/>
      </w:r>
      <w:r w:rsidR="0061114D" w:rsidRPr="00042ADE">
        <w:rPr>
          <w:rFonts w:ascii="Times New Roman" w:hAnsi="Times New Roman"/>
          <w:sz w:val="24"/>
          <w:szCs w:val="24"/>
          <w:lang w:val="en-GB"/>
        </w:rPr>
        <w:t>.</w:t>
      </w:r>
      <w:r w:rsidR="00700AF3" w:rsidRPr="00042ADE">
        <w:rPr>
          <w:rFonts w:ascii="Times New Roman" w:hAnsi="Times New Roman"/>
          <w:sz w:val="24"/>
          <w:szCs w:val="24"/>
          <w:lang w:val="en-GB"/>
        </w:rPr>
        <w:t xml:space="preserve"> However, although the vasodilation of the peripheral arterioles is considered as a consequence of an altered neural </w:t>
      </w:r>
      <w:proofErr w:type="spellStart"/>
      <w:r w:rsidR="00700AF3" w:rsidRPr="00042ADE">
        <w:rPr>
          <w:rFonts w:ascii="Times New Roman" w:hAnsi="Times New Roman"/>
          <w:sz w:val="24"/>
          <w:szCs w:val="24"/>
          <w:lang w:val="en-GB"/>
        </w:rPr>
        <w:t>vasoregulation</w:t>
      </w:r>
      <w:proofErr w:type="spellEnd"/>
      <w:r w:rsidR="00700AF3" w:rsidRPr="00042ADE">
        <w:rPr>
          <w:rFonts w:ascii="Times New Roman" w:hAnsi="Times New Roman"/>
          <w:sz w:val="24"/>
          <w:szCs w:val="24"/>
          <w:lang w:val="en-GB"/>
        </w:rPr>
        <w:t xml:space="preserve"> of the AVAs, it would, be also caused by molecules liberated from vascular endothelial cells such as nitric oxide (NO) </w:t>
      </w:r>
      <w:r w:rsidR="00700AF3" w:rsidRPr="00042ADE">
        <w:rPr>
          <w:rFonts w:ascii="Times New Roman" w:hAnsi="Times New Roman"/>
          <w:sz w:val="24"/>
          <w:szCs w:val="24"/>
          <w:lang w:val="en-GB"/>
        </w:rPr>
        <w:fldChar w:fldCharType="begin" w:fldLock="1"/>
      </w:r>
      <w:r w:rsidR="001323A7" w:rsidRPr="00042ADE">
        <w:rPr>
          <w:rFonts w:ascii="Times New Roman" w:hAnsi="Times New Roman"/>
          <w:sz w:val="24"/>
          <w:szCs w:val="24"/>
          <w:lang w:val="en-GB"/>
        </w:rPr>
        <w:instrText>ADDIN CSL_CITATION {"citationItems":[{"id":"ITEM-1","itemData":{"DOI":"10.1152/jappl.1995.78.3.948","ISSN":"87507587","PMID":"7775340","abstract":"To test for an active vasodilator system in human hand and finger skin, seven subjects had a small area of dorsal hand, palm, or dorsal finger pretreated with bretylium (BT) to block adrenergic vasoconstriction. Skin blood flow was monitored at a BT-treated site, a comparable untreated site, and the forearm by laser-Doppler flowmetry. Cutaneous vascular conductance (CVC) was evaluated from the ratio of blood flow to arterial pressure. Body cooling, to evaluate vasoconstrictor system blockade, caused CVC at untreated sites of forearm, palm, dorsal hand, and dorsal finger to fall by 45 ± 4, 85 ± 5, 51 ± 9, and 63 ± 7%, respectively (all P &lt; 0.05). At BT treated sites of palm, dorsal hand, and dorsal finger, reductions in CVC were only 13 ± 3, 2 ± 18, and 13 ± 4%, respectively (dorsal hand not significant, others P &lt; 0.05). With body heating, increases in CVC at untreated sites of forearm, palm, dorsal hand, and dorsal finger were 881 ± 165,779 ± 368, 423 ± 115, and 1,430 ± 716%, respectively (all P &lt; 0.05). At BT-treated sites of palm, dorsal hand, and dorsal finger, increases were 35 ± 15, 342 ± 107, and 343 ± 34%, respectively (palm not significant, others P &lt; 0.05). Increased CVC at the palm began after 1.2 ± 0.2 min of heating, significantly earlier than forearm (11.8 ± 2.5 min), dorsal hand (16.4 ± 3.4 min), or dorsal finger (15.6 ± 3.6 min), which did not differ significantly from one another. These findings indicate that, unlike the traditional description, the dorsal hand and fingers have an active vasodilator system. We found no evidence for such a system in palmar skin.","author":[{"dropping-particle":"","family":"Johnson","given":"J. M.","non-dropping-particle":"","parse-names":false,"suffix":""},{"dropping-particle":"","family":"Pergola","given":"P. E.","non-dropping-particle":"","parse-names":false,"suffix":""},{"dropping-particle":"","family":"Liao","given":"F. K.","non-dropping-particle":"","parse-names":false,"suffix":""},{"dropping-particle":"","family":"Kellogg","given":"D. L.","non-dropping-particle":"","parse-names":false,"suffix":""},{"dropping-particle":"","family":"Crandall","given":"C. G.","non-dropping-particle":"","parse-names":false,"suffix":""}],"container-title":"Journal of Applied Physiology","id":"ITEM-1","issue":"3","issued":{"date-parts":[["1995"]]},"page":"948-954","publisher":"American Physiological Society","title":"Skin of the dorsal aspect of human hands and fingers possesses an active vasodilator system","type":"article-journal","volume":"78"},"uris":["http://www.mendeley.com/documents/?uuid=b9545862-93f1-3f53-9f18-944c30f77afe"]}],"mendeley":{"formattedCitation":"(Johnson et al., 1995)","plainTextFormattedCitation":"(Johnson et al., 1995)","previouslyFormattedCitation":"(Johnson et al., 1995)"},"properties":{"noteIndex":0},"schema":"https://github.com/citation-style-language/schema/raw/master/csl-citation.json"}</w:instrText>
      </w:r>
      <w:r w:rsidR="00700AF3" w:rsidRPr="00042ADE">
        <w:rPr>
          <w:rFonts w:ascii="Times New Roman" w:hAnsi="Times New Roman"/>
          <w:sz w:val="24"/>
          <w:szCs w:val="24"/>
          <w:lang w:val="en-GB"/>
        </w:rPr>
        <w:fldChar w:fldCharType="separate"/>
      </w:r>
      <w:r w:rsidR="00700AF3" w:rsidRPr="00042ADE">
        <w:rPr>
          <w:rFonts w:ascii="Times New Roman" w:hAnsi="Times New Roman"/>
          <w:noProof/>
          <w:sz w:val="24"/>
          <w:szCs w:val="24"/>
          <w:lang w:val="en-GB"/>
        </w:rPr>
        <w:t>(Johnson et al., 1995)</w:t>
      </w:r>
      <w:r w:rsidR="00700AF3" w:rsidRPr="00042ADE">
        <w:rPr>
          <w:rFonts w:ascii="Times New Roman" w:hAnsi="Times New Roman"/>
          <w:sz w:val="24"/>
          <w:szCs w:val="24"/>
          <w:lang w:val="en-GB"/>
        </w:rPr>
        <w:fldChar w:fldCharType="end"/>
      </w:r>
      <w:r w:rsidR="00410C77" w:rsidRPr="00042ADE">
        <w:rPr>
          <w:rFonts w:ascii="Times New Roman" w:hAnsi="Times New Roman"/>
          <w:sz w:val="24"/>
          <w:szCs w:val="24"/>
          <w:lang w:val="en-GB"/>
        </w:rPr>
        <w:t>.</w:t>
      </w:r>
    </w:p>
    <w:p w14:paraId="4093A118" w14:textId="54930F85" w:rsidR="00410C77" w:rsidRPr="00042ADE" w:rsidRDefault="00410C77" w:rsidP="0032208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NO is a molecule involved in the vasodilation process, causing local </w:t>
      </w:r>
      <w:proofErr w:type="spellStart"/>
      <w:r w:rsidRPr="00042ADE">
        <w:rPr>
          <w:rFonts w:ascii="Times New Roman" w:hAnsi="Times New Roman"/>
          <w:sz w:val="24"/>
          <w:szCs w:val="24"/>
          <w:lang w:val="en-GB"/>
        </w:rPr>
        <w:t>hyperperfusion</w:t>
      </w:r>
      <w:proofErr w:type="spellEnd"/>
      <w:r w:rsidRPr="00042ADE">
        <w:rPr>
          <w:rFonts w:ascii="Times New Roman" w:hAnsi="Times New Roman"/>
          <w:sz w:val="24"/>
          <w:szCs w:val="24"/>
          <w:lang w:val="en-GB"/>
        </w:rPr>
        <w:t xml:space="preserve"> of the tissues and local hyperthermia</w:t>
      </w:r>
      <w:r w:rsidR="008213B3" w:rsidRPr="00042ADE">
        <w:rPr>
          <w:rFonts w:ascii="Times New Roman" w:hAnsi="Times New Roman"/>
          <w:sz w:val="24"/>
          <w:szCs w:val="24"/>
          <w:lang w:val="en-GB"/>
        </w:rPr>
        <w:t xml:space="preserve"> </w:t>
      </w:r>
      <w:r w:rsidR="008213B3" w:rsidRPr="00042ADE">
        <w:rPr>
          <w:rFonts w:ascii="Times New Roman" w:hAnsi="Times New Roman"/>
          <w:sz w:val="24"/>
          <w:szCs w:val="24"/>
          <w:lang w:val="en-GB"/>
        </w:rPr>
        <w:fldChar w:fldCharType="begin" w:fldLock="1"/>
      </w:r>
      <w:r w:rsidR="000075F2" w:rsidRPr="00042ADE">
        <w:rPr>
          <w:rFonts w:ascii="Times New Roman" w:hAnsi="Times New Roman"/>
          <w:sz w:val="24"/>
          <w:szCs w:val="24"/>
          <w:lang w:val="en-GB"/>
        </w:rPr>
        <w:instrText>ADDIN CSL_CITATION {"citationItems":[{"id":"ITEM-1","itemData":{"DOI":"10.1038/sj.mp.4000197","ISSN":"13594184","abstract":"Fast synaptic transmission by excitatory neurotransmitters endows neural tissue with remarkable computational power but is limited in its ability to adapt with experience. Information in the nervous system can also be distributed beyond the synapse by biogenic amines or neuropeptides released at non-synaptic sites to elicit volume transmission and by the spatial second messenger nitric oxide which can diffuse from a synapse to a volume of surrounding neural tissue. Volume transmission and spatial signaling complement classic point-to-point transmission and may coordinate local activity among groups of neurons and glia. An interesting dialogue exists between these systems. Nitric oxide produced in response to excitation of a neuron by glutamate stimulates exocytosis and release of glutamate and dopamine from nearby neurons. Dopamine in turn can alter the strength of glutamatergic synapses and affect synaptic plasticity.","author":[{"dropping-particle":"","family":"Schulman","given":"H.","non-dropping-particle":"","parse-names":false,"suffix":""}],"container-title":"Molecular Psychiatry","id":"ITEM-1","issue":"4","issued":{"date-parts":[["1997"]]},"page":"296-299","publisher":"Nature Publishing Group","title":"Nitric oxide: A spatial second messenger","type":"article","volume":"2"},"uris":["http://www.mendeley.com/documents/?uuid=bcf3db76-5e75-3a7a-8541-694be98ae0f5"]},{"id":"ITEM-2","itemData":{"DOI":"10.1097/00005344-199309000-00015","ISSN":"15334023","PMID":"7504136","abstract":"Enzymatic production of nitric oxide (NO) in arterial endothelial cells requires the cofactors calmodulin and nicotinamide adenine dinucleotide phosphate (NADPH). Experiments were designed in investigate whether these cofactors are required for endothelium-dependent relaxations in canine femoral veins. Veins were removed from anesthetized dogs and cut into rings. Endothelium was deliberately removed from some rings. All rings were incubated with indomethacin (1 × 10 -5 M). In separate sets of experiments, rings were incubated withcalmidazolium(1 × 10-5 M), fendiline (1 × 10-6M), both inhibitors of calmodulin or diphenylene-iodonium (1 × 10 -5 M; DPI) an inhibitor of NADPH. Concentration-response curves were obtained for acetylcholine (ACh), ADP, thrombin, A23187, and NO in rings contracted with a submaximal concentration of prostaglandin F2α (PGF2α in the presence of the inhibitors and compared with a solvent control (dimethyl sulfoxide, DMSO). Relaxations to ACh, ADP, and thrombin were reduced by the inhibitors of both cofactors. Relaxations to A23187 were reduced by inhibitors of calmodulin but not NADPH; inhibitors of both NADPH and calmodulin caused no significant reduction in relaxations to NO. These data suggest that endothelium-dependent relaxations in canine femoral veins are mediated by factor(s) that are partly dependent on calmodulin or NADPH as cofactors for their production or release. © 1993 Raven Press, Ltd., New York.","author":[{"dropping-particle":"","family":"Lewis","given":"Debra A.","non-dropping-particle":"","parse-names":false,"suffix":""},{"dropping-particle":"","family":"Rud","given":"Kevin S.","non-dropping-particle":"","parse-names":false,"suffix":""},{"dropping-particle":"","family":"Miller","given":"Virginia M.","non-dropping-particle":"","parse-names":false,"suffix":""}],"container-title":"Journal of Cardiovascular Pharmacology","id":"ITEM-2","issue":"3","issued":{"date-parts":[["1993"]]},"page":"443-448","publisher":"J Cardiovasc Pharmacol","title":"Cofactors of constitutive nitric oxide synthase and endothelium-dependent relaxations in canine femoral veins","type":"article-journal","volume":"22"},"uris":["http://www.mendeley.com/documents/?uuid=505510e9-81d7-391b-821e-64e35f2b6f5e"]}],"mendeley":{"formattedCitation":"(Lewis et al., 1993; Schulman, 1997)","plainTextFormattedCitation":"(Lewis et al., 1993; Schulman, 1997)","previouslyFormattedCitation":"(Lewis et al., 1993; Schulman, 1997)"},"properties":{"noteIndex":0},"schema":"https://github.com/citation-style-language/schema/raw/master/csl-citation.json"}</w:instrText>
      </w:r>
      <w:r w:rsidR="008213B3" w:rsidRPr="00042ADE">
        <w:rPr>
          <w:rFonts w:ascii="Times New Roman" w:hAnsi="Times New Roman"/>
          <w:sz w:val="24"/>
          <w:szCs w:val="24"/>
          <w:lang w:val="en-GB"/>
        </w:rPr>
        <w:fldChar w:fldCharType="separate"/>
      </w:r>
      <w:r w:rsidR="008213B3" w:rsidRPr="00042ADE">
        <w:rPr>
          <w:rFonts w:ascii="Times New Roman" w:hAnsi="Times New Roman"/>
          <w:noProof/>
          <w:sz w:val="24"/>
          <w:szCs w:val="24"/>
          <w:lang w:val="en-GB"/>
        </w:rPr>
        <w:t>(Lewis et al., 1993; Schulman, 1997)</w:t>
      </w:r>
      <w:r w:rsidR="008213B3" w:rsidRPr="00042ADE">
        <w:rPr>
          <w:rFonts w:ascii="Times New Roman" w:hAnsi="Times New Roman"/>
          <w:sz w:val="24"/>
          <w:szCs w:val="24"/>
          <w:lang w:val="en-GB"/>
        </w:rPr>
        <w:fldChar w:fldCharType="end"/>
      </w:r>
      <w:r w:rsidR="001323A7" w:rsidRPr="00042ADE">
        <w:rPr>
          <w:rFonts w:ascii="Times New Roman" w:hAnsi="Times New Roman"/>
          <w:sz w:val="24"/>
          <w:szCs w:val="24"/>
          <w:lang w:val="en-GB"/>
        </w:rPr>
        <w:t>.</w:t>
      </w:r>
      <w:r w:rsidR="00FF2270" w:rsidRPr="00042ADE">
        <w:rPr>
          <w:rFonts w:ascii="Times New Roman" w:hAnsi="Times New Roman"/>
          <w:sz w:val="24"/>
          <w:szCs w:val="24"/>
          <w:lang w:val="en-GB"/>
        </w:rPr>
        <w:t xml:space="preserve"> The scientific literature has reported conflicting data regarding NO levels in FMS patients. While some studies have found higher serum NO levels in FMS patients</w:t>
      </w:r>
      <w:r w:rsidR="000075F2" w:rsidRPr="00042ADE">
        <w:rPr>
          <w:rFonts w:ascii="Times New Roman" w:hAnsi="Times New Roman"/>
          <w:sz w:val="24"/>
          <w:szCs w:val="24"/>
          <w:lang w:val="en-GB"/>
        </w:rPr>
        <w:t xml:space="preserve"> </w:t>
      </w:r>
      <w:r w:rsidR="000075F2" w:rsidRPr="00042ADE">
        <w:rPr>
          <w:rFonts w:ascii="Times New Roman" w:hAnsi="Times New Roman"/>
          <w:sz w:val="24"/>
          <w:szCs w:val="24"/>
          <w:lang w:val="en-GB"/>
        </w:rPr>
        <w:fldChar w:fldCharType="begin" w:fldLock="1"/>
      </w:r>
      <w:r w:rsidR="005A0697" w:rsidRPr="00042ADE">
        <w:rPr>
          <w:rFonts w:ascii="Times New Roman" w:hAnsi="Times New Roman"/>
          <w:sz w:val="24"/>
          <w:szCs w:val="24"/>
          <w:lang w:val="en-GB"/>
        </w:rPr>
        <w:instrText>ADDIN CSL_CITATION {"citationItems":[{"id":"ITEM-1","itemData":{"DOI":"10.4103/njcp.njcp_95_18","ISSN":"11193077","PMID":"30297558","abstract":"Aim: Central sensitization-related neuroaudiological symptoms are frequently seen in patients with fibromyalgia syndrome (FMS). This study aimed to evaluate the audiological signs and symptoms in patients with FMS and explore their relationship with oxidative stress markers. Methods: This prospective controlled cross-sectional study compared the serum myeloperoxidase, superoxide dismutase, glutathione peroxidase (GPx), nitric oxide (NO), and malondialdehyde (MDA) concentrations in 44 patients with FMS diagnosed according to the 2010 American College of Rheumatology criteria and 44 healthy volunteers. FMS severity was assessed using the visual analog scale and Fibromyalgia Impact Questionnaire. An audiological assessment including vocalizations, vertigo, balance problems, and hearing problems was done to all participants. Results: The two groups were of similar age (P = 0.24), gender (P = 0.40), and weight distribution (P = 0.6). Vertigo, tinnitus, hearing, and balance complaints (P = 0.01/P = 0.00/P = 0.00/P = 0.01) were significantly higher in the FMS group. All subunits and total scores of dizziness handicap inventory were significantly higher (P = 0.00/P = 0.00/P = 0.01/P = 0.01) in the FMS group. An antioxidant GPx and oxidant parameters such as NO and MDA were found to be significantly higher (P = 0.00/P = 0.01/P = 0.02). The hearing assessments at frequencies between 250 and 12,000 Hz showed a significant difference between the two groups (high hearing frequencies in the FMS group) in audiometry. No significant difference was found between the two groups in terms of the presence of stabilo-acoustic reflex, intraaural pressure, and compliance (P = 0.18/P = 0.33/P = 0.41) in tympanogram. Conclusions: Patients with FMS have high levels of oxidative stress markers (GPx, NO, and MDA), highly frequent audiological symptoms with high hearing frequencies in audiometry, independent of disease severity.","author":[{"dropping-particle":"","family":"Koca","given":"T. T.","non-dropping-particle":"","parse-names":false,"suffix":""},{"dropping-particle":"","family":"Seyithanoglu","given":"M.","non-dropping-particle":"","parse-names":false,"suffix":""},{"dropping-particle":"","family":"Sagiroglu","given":"S.","non-dropping-particle":"","parse-names":false,"suffix":""},{"dropping-particle":"","family":"Berk","given":"E.","non-dropping-particle":"","parse-names":false,"suffix":""},{"dropping-particle":"","family":"Dagli","given":"H.","non-dropping-particle":"","parse-names":false,"suffix":""}],"container-title":"Nigerian Journal of Clinical Practice","id":"ITEM-1","issue":"10","issued":{"date-parts":[["2018","10","1"]]},"page":"1271-1277","publisher":"Wolters Kluwer Medknow Publications","title":"Frequency of audiological complaints in patients with fibromyalgia syndrome and its relationship with oxidative stress","type":"article-journal","volume":"21"},"uris":["http://www.mendeley.com/documents/?uuid=cd9f71b4-015c-3a42-a4c8-afb342af9fb3"]},{"id":"ITEM-2","itemData":{"DOI":"10.1111/j.1526-4637.2009.00642.x","ISSN":"15262375","abstract":"Objectives: Fibromyalgia (FM) is a form of nonarticular rheumatism characterized by chronic widespread musculoskeletal aching and tender points. The aim of the present study was to investigate the effect of arginase and nitric oxide synthase (NOS) enzyme activities in FM with respect to their importance in pathogenesis, and the relationship with FM-related clinical parameters. Methods: After obtaining informed consent, 25 female FM patients were compared with 23 healthy female controls. NOS and arginase enzyme activities were measured spectrophometrically in sera. Tender points were examined using the protocol described by Wolfe etal. The health status of patients was assessed by Fibromyalgia Impact Questionnaire. Musculoskeletal pain was scored according to visual analog scale. Health Assessment Questionnaire, Beck depression and Beck anxiety scales, and dyspnea scores were administered to analyze functional, psychiatric, and respiratory status of the patients. Results: We found that NOS activity was significantly higher whereas arginase activity was lower in patients with FM. In the correlation analysis, NOS levels showed statistically significant positive correlation with chest pain and dyspnea parameters. NOS enzyme activities were higher in subjects with positive history of migraine, pain, and morning stiffness. On the other hand, arginase levels were lower in subjects with positive history of irritable bowel syndrome and morning stiffness. Conclusion: Animal experiments have suggested that nitric oxide (NO) is an important transmitter in pain pathways. It can also stimulate cyclooxygenase activity. We observed increased NOS activity and reduced arginase activity in FM patients, which may be due to increased cyclooxygenase enzyme activity and oxidant/antioxidant imbalance. In conclusion, we think that future studies concerning clinical control of pain with selective NOS inhibitors are needed in order to determine new therapeutic approaches and the exact pathophysiologic mechanisms in FM patients. © 2009 American Academy of Pain Medicine.","author":[{"dropping-particle":"","family":"Çimen","given":"Özlem Bölgen","non-dropping-particle":"","parse-names":false,"suffix":""},{"dropping-particle":"","family":"Çimen","given":"M. Y.Burak","non-dropping-particle":"","parse-names":false,"suffix":""},{"dropping-particle":"","family":"Yapici","given":"Yasemin","non-dropping-particle":"","parse-names":false,"suffix":""},{"dropping-particle":"","family":"Çamdeviren","given":"Handan","non-dropping-particle":"","parse-names":false,"suffix":""}],"container-title":"Pain Medicine","id":"ITEM-2","issue":"5","issued":{"date-parts":[["2009"]]},"page":"813-818","title":"Arginase, NOS activities, and clinical features in fibromyalgia patients","type":"article-journal","volume":"10"},"uris":["http://www.mendeley.com/documents/?uuid=9dfeb646-5097-3697-a745-3a89fd535d9b"]}],"mendeley":{"formattedCitation":"(Çimen et al., 2009; Koca et al., 2018)","plainTextFormattedCitation":"(Çimen et al., 2009; Koca et al., 2018)","previouslyFormattedCitation":"(Çimen et al., 2009; Koca et al., 2018)"},"properties":{"noteIndex":0},"schema":"https://github.com/citation-style-language/schema/raw/master/csl-citation.json"}</w:instrText>
      </w:r>
      <w:r w:rsidR="000075F2" w:rsidRPr="00042ADE">
        <w:rPr>
          <w:rFonts w:ascii="Times New Roman" w:hAnsi="Times New Roman"/>
          <w:sz w:val="24"/>
          <w:szCs w:val="24"/>
          <w:lang w:val="en-GB"/>
        </w:rPr>
        <w:fldChar w:fldCharType="separate"/>
      </w:r>
      <w:r w:rsidR="000075F2" w:rsidRPr="00042ADE">
        <w:rPr>
          <w:rFonts w:ascii="Times New Roman" w:hAnsi="Times New Roman"/>
          <w:noProof/>
          <w:sz w:val="24"/>
          <w:szCs w:val="24"/>
          <w:lang w:val="en-GB"/>
        </w:rPr>
        <w:t>(Çimen et al., 2009; Koca et al., 2018)</w:t>
      </w:r>
      <w:r w:rsidR="000075F2" w:rsidRPr="00042ADE">
        <w:rPr>
          <w:rFonts w:ascii="Times New Roman" w:hAnsi="Times New Roman"/>
          <w:sz w:val="24"/>
          <w:szCs w:val="24"/>
          <w:lang w:val="en-GB"/>
        </w:rPr>
        <w:fldChar w:fldCharType="end"/>
      </w:r>
      <w:r w:rsidR="00FF2270" w:rsidRPr="00042ADE">
        <w:rPr>
          <w:rFonts w:ascii="Times New Roman" w:hAnsi="Times New Roman"/>
          <w:sz w:val="24"/>
          <w:szCs w:val="24"/>
          <w:lang w:val="en-GB"/>
        </w:rPr>
        <w:t xml:space="preserve">, </w:t>
      </w:r>
      <w:r w:rsidR="00921309" w:rsidRPr="00042ADE">
        <w:rPr>
          <w:rFonts w:ascii="Times New Roman" w:hAnsi="Times New Roman"/>
          <w:sz w:val="24"/>
          <w:szCs w:val="24"/>
          <w:lang w:val="en-GB"/>
        </w:rPr>
        <w:t>other researchers</w:t>
      </w:r>
      <w:r w:rsidR="00836B84" w:rsidRPr="00042ADE">
        <w:rPr>
          <w:rFonts w:ascii="Times New Roman" w:hAnsi="Times New Roman"/>
          <w:sz w:val="24"/>
          <w:szCs w:val="24"/>
          <w:lang w:val="en-GB"/>
        </w:rPr>
        <w:t xml:space="preserve"> did not find significant differences in NO levels in comparison to healthy people</w:t>
      </w:r>
      <w:r w:rsidR="00B30FA2" w:rsidRPr="00042ADE">
        <w:rPr>
          <w:rFonts w:ascii="Times New Roman" w:hAnsi="Times New Roman"/>
          <w:sz w:val="24"/>
          <w:szCs w:val="24"/>
          <w:lang w:val="en-GB"/>
        </w:rPr>
        <w:t xml:space="preserve"> </w:t>
      </w:r>
      <w:r w:rsidR="005A0697" w:rsidRPr="00042ADE">
        <w:rPr>
          <w:rFonts w:ascii="Times New Roman" w:hAnsi="Times New Roman"/>
          <w:sz w:val="24"/>
          <w:szCs w:val="24"/>
          <w:lang w:val="en-GB"/>
        </w:rPr>
        <w:fldChar w:fldCharType="begin" w:fldLock="1"/>
      </w:r>
      <w:r w:rsidR="004A28F4" w:rsidRPr="00042ADE">
        <w:rPr>
          <w:rFonts w:ascii="Times New Roman" w:hAnsi="Times New Roman"/>
          <w:sz w:val="24"/>
          <w:szCs w:val="24"/>
          <w:lang w:val="en-GB"/>
        </w:rPr>
        <w:instrText>ADDIN CSL_CITATION {"citationItems":[{"id":"ITEM-1","itemData":{"DOI":"10.1002/cbf.1548","ISSN":"02636484","abstract":"The etiology of fibromyalgia is not clearly understood. In recent years, a few studies have investigated the possible role of reactive oxygen species (ROS) in the etiology and pathogenesis of fibromyalgia. The aim of this study was to investigate plasma antioxidant vitamins, lipid peroxidation (LP), and nitric oxide (NO) levels in patients with fibromyalgia and controls. The study was performed on the blood plasma of 30 female patients and 30 age-matched controls. After a fast of 12 h, blood samples were taken, and plasma samples were obtained for measurement of vitamins A, C, E, and β-carotene concentrations and levels of LP and NO. Concentrations of vitamins A (p&lt;0.01) and E (p&lt;0.001) were significantly lower in patients with fibromyalgia than in controls, and LP levels were significantly (p&lt;0.05) higher in the plasma of the patients than in controls. Concentrations of vitamin C and β-carotene and levels of NO did not change significantly. These results provide some evidence for a potential role of LP and fat-soluble antioxidants in the patients with fibromyalgia. Copyright © 2009 John Wiley &amp; Sons, Ltd.","author":[{"dropping-particle":"","family":"Akkuş","given":"Selami","non-dropping-particle":"","parse-names":false,"suffix":""},{"dropping-particle":"","family":"Naziroǧlu","given":"Mustafa","non-dropping-particle":"","parse-names":false,"suffix":""},{"dropping-particle":"","family":"Eriş","given":"Sevilay","non-dropping-particle":"","parse-names":false,"suffix":""},{"dropping-particle":"","family":"Yalman","given":"Kadir","non-dropping-particle":"","parse-names":false,"suffix":""},{"dropping-particle":"","family":"Yilmaz","given":"Nigar","non-dropping-particle":"","parse-names":false,"suffix":""},{"dropping-particle":"","family":"Yener","given":"Mahmut","non-dropping-particle":"","parse-names":false,"suffix":""}],"container-title":"Cell Biochemistry and Function","id":"ITEM-1","issue":"4","issued":{"date-parts":[["2009"]]},"page":"181-185","title":"Levels of lipid peroxidation, nitric oxide, and antioxidant vitamins in plasma of patients with fibromyalgia","type":"article-journal","volume":"27"},"uris":["http://www.mendeley.com/documents/?uuid=03d6e232-67fc-3020-a894-7b5bcdf1cf2c"]},{"id":"ITEM-2","itemData":{"DOI":"10.1007/s00296-006-0199-z","ISSN":"01728172","abstract":"The objective of this study was to analyze the genotype distributions and allele frequencies for the Glu298Asp (G894T) polymorphism of the eNOS gene and the serum nitric oxide level among the patients with fibromyalgia syndrome (FS). Ninety-six fibromyalgia patients and 79 unrelated healthy volunteer controls were included in the study. All patients and controls were females. Genomic DNA from 96 patients meeting the American College of Rheumatology 1990 criteria for FS and 79 healthy controls was analyzed by polymerase chain reaction. A polymerase chain reaction-restriction fragment-length polymorphism analysis of eNOS gene polymorphism was performed, and the results of the patients with FS and healthy controls were compared. Ozone-based chemiluminescence assay with Sievers NO Analyzer was used to measure the serum nitric oxide levels. Neither the frequencies of the Glu298Asp genotypes nor the serum nitric oxide levels showed a significant difference between the groups. These results suggested that FS of the Turkish population seemed to develop without any alterations in eNOS Glu298Asp genotype frequency and the serum nitric oxide level. © 2006 Springer-Verlag.","author":[{"dropping-particle":"","family":"Alaşehirli","given":"Belgin","non-dropping-particle":"","parse-names":false,"suffix":""},{"dropping-particle":"","family":"Demiryürek","given":"Şeniz","non-dropping-particle":"","parse-names":false,"suffix":""},{"dropping-particle":"","family":"Arica","given":"Emine","non-dropping-particle":"","parse-names":false,"suffix":""},{"dropping-particle":"","family":"Gürsoy","given":"Savaş","non-dropping-particle":"","parse-names":false,"suffix":""},{"dropping-particle":"","family":"Demiryürek","given":"Abdullah T.","non-dropping-particle":"","parse-names":false,"suffix":""}],"container-title":"Rheumatology International","id":"ITEM-2","issue":"3","issued":{"date-parts":[["2007","1"]]},"page":"275-280","title":"No evidence for an association between the Glu298Asp polymorphism of the endothelial nitric oxide synthase gene and fibromyalgia syndrome","type":"article-journal","volume":"27"},"uris":["http://www.mendeley.com/documents/?uuid=75124e74-e4bf-3635-8433-a426bc827e1a"]}],"mendeley":{"formattedCitation":"(Akkuş et al., 2009; Alaşehirli et al., 2007)","plainTextFormattedCitation":"(Akkuş et al., 2009; Alaşehirli et al., 2007)","previouslyFormattedCitation":"(Akkuş et al., 2009; Alaşehirli et al., 2007)"},"properties":{"noteIndex":0},"schema":"https://github.com/citation-style-language/schema/raw/master/csl-citation.json"}</w:instrText>
      </w:r>
      <w:r w:rsidR="005A0697" w:rsidRPr="00042ADE">
        <w:rPr>
          <w:rFonts w:ascii="Times New Roman" w:hAnsi="Times New Roman"/>
          <w:sz w:val="24"/>
          <w:szCs w:val="24"/>
          <w:lang w:val="en-GB"/>
        </w:rPr>
        <w:fldChar w:fldCharType="separate"/>
      </w:r>
      <w:r w:rsidR="005A0697" w:rsidRPr="00042ADE">
        <w:rPr>
          <w:rFonts w:ascii="Times New Roman" w:hAnsi="Times New Roman"/>
          <w:noProof/>
          <w:sz w:val="24"/>
          <w:szCs w:val="24"/>
          <w:lang w:val="en-GB"/>
        </w:rPr>
        <w:t>(Akkuş et al., 2009; Alaşehirli et al., 2007)</w:t>
      </w:r>
      <w:r w:rsidR="005A0697" w:rsidRPr="00042ADE">
        <w:rPr>
          <w:rFonts w:ascii="Times New Roman" w:hAnsi="Times New Roman"/>
          <w:sz w:val="24"/>
          <w:szCs w:val="24"/>
          <w:lang w:val="en-GB"/>
        </w:rPr>
        <w:fldChar w:fldCharType="end"/>
      </w:r>
      <w:r w:rsidR="00836B84" w:rsidRPr="00042ADE">
        <w:rPr>
          <w:rFonts w:ascii="Times New Roman" w:hAnsi="Times New Roman"/>
          <w:sz w:val="24"/>
          <w:szCs w:val="24"/>
          <w:lang w:val="en-GB"/>
        </w:rPr>
        <w:t xml:space="preserve">. </w:t>
      </w:r>
      <w:r w:rsidR="00476BAF" w:rsidRPr="00042ADE">
        <w:rPr>
          <w:rFonts w:ascii="Times New Roman" w:hAnsi="Times New Roman"/>
          <w:sz w:val="24"/>
          <w:szCs w:val="24"/>
          <w:lang w:val="en-GB"/>
        </w:rPr>
        <w:t>However, in our concerns, there are no previous studies that evaluated NO levels and its relationship with the vasodilatory peripheral response and general thermogenesis in FMS patients.</w:t>
      </w:r>
    </w:p>
    <w:p w14:paraId="7A97F6E2" w14:textId="28547842" w:rsidR="00212DE3" w:rsidRPr="00042ADE" w:rsidRDefault="00212DE3" w:rsidP="00322086">
      <w:pPr>
        <w:spacing w:line="480" w:lineRule="auto"/>
        <w:jc w:val="both"/>
        <w:rPr>
          <w:rFonts w:ascii="Times New Roman" w:hAnsi="Times New Roman"/>
          <w:sz w:val="24"/>
          <w:szCs w:val="24"/>
          <w:lang w:val="en-US"/>
        </w:rPr>
      </w:pPr>
      <w:r w:rsidRPr="00042ADE">
        <w:rPr>
          <w:rFonts w:ascii="Times New Roman" w:hAnsi="Times New Roman"/>
          <w:sz w:val="24"/>
          <w:szCs w:val="24"/>
          <w:lang w:val="en-US"/>
        </w:rPr>
        <w:t xml:space="preserve">AVAs and NO play also a </w:t>
      </w:r>
      <w:r w:rsidR="004A28F4" w:rsidRPr="00042ADE">
        <w:rPr>
          <w:rFonts w:ascii="Times New Roman" w:hAnsi="Times New Roman"/>
          <w:sz w:val="24"/>
          <w:szCs w:val="24"/>
          <w:lang w:val="en-US"/>
        </w:rPr>
        <w:t xml:space="preserve">crucial role in the process of </w:t>
      </w:r>
      <w:r w:rsidRPr="00042ADE">
        <w:rPr>
          <w:rFonts w:ascii="Times New Roman" w:hAnsi="Times New Roman"/>
          <w:sz w:val="24"/>
          <w:szCs w:val="24"/>
          <w:lang w:val="en-US"/>
        </w:rPr>
        <w:t>thermogenesis that is defined as heat production related to the physiological process necessary for maintaining general body thermoregulation and basal metabolism</w:t>
      </w:r>
      <w:r w:rsidR="00C8646B" w:rsidRPr="00042ADE">
        <w:rPr>
          <w:rFonts w:ascii="Times New Roman" w:hAnsi="Times New Roman"/>
          <w:sz w:val="24"/>
          <w:szCs w:val="24"/>
          <w:lang w:val="en-US"/>
        </w:rPr>
        <w:t xml:space="preserve"> </w:t>
      </w:r>
      <w:r w:rsidR="004A28F4" w:rsidRPr="00042ADE">
        <w:rPr>
          <w:rFonts w:ascii="Times New Roman" w:hAnsi="Times New Roman"/>
          <w:sz w:val="24"/>
          <w:szCs w:val="24"/>
          <w:lang w:val="en-US"/>
        </w:rPr>
        <w:fldChar w:fldCharType="begin" w:fldLock="1"/>
      </w:r>
      <w:r w:rsidR="00EA66AC" w:rsidRPr="00042ADE">
        <w:rPr>
          <w:rFonts w:ascii="Times New Roman" w:hAnsi="Times New Roman"/>
          <w:sz w:val="24"/>
          <w:szCs w:val="24"/>
          <w:lang w:val="en-US"/>
        </w:rPr>
        <w:instrText>ADDIN CSL_CITATION {"citationItems":[{"id":"ITEM-1","itemData":{"DOI":"10.1016/S1043-9471(13)70011-9","ISBN":"9780121852832","ISSN":"1043-9471","abstract":"This chapter discusses the thermogenic effects of cytokines. Thermogenesis—defined as heat production—is an important physiological variable as well as a normal by-product of metabolic processes. Increased thermogenesis is a common feature of the acute-phase response and can be observed following injury, inflammation, infection, physical or emotional stress, and in certain chronic diseases, such as malignancy. Thermogenesis is also a primary effector of thermoregulation in homeotherms, and an important mediator of fever. Cytokines mediate many aspects of the acute-phase response, including activation of thermogenesis and fever. Thermogenesis results from heat-producing mechanisms in the periphery; however, it is under direct control by the central nervous system (CNS). Therefore, activation of thermogenesis by peripherally administered pyrogens or by disease states, results from afferent signals to the brain, and subsequent stimulation of sympathetic outflow. Increase in heat production, induced by cytokines in experimental animals, result from sympathetic stimulation of brown adipose tissue. Thermogenesis can be determined by measuring metabolic rate either directly by determining heat production, or indirectly from oxygen consumption and carbon dioxide production.","author":[{"dropping-particle":"","family":"Busbridge","given":"Nicholas J.","non-dropping-particle":"","parse-names":false,"suffix":""},{"dropping-particle":"","family":"Rothwell","given":"Nancy J.","non-dropping-particle":"","parse-names":false,"suffix":""}],"container-title":"Methods in Neurosciences","id":"ITEM-1","issued":{"date-parts":[["1993","1","1"]]},"page":"96-110","publisher":"Academic Press","title":"Thermogenic Effects of Cytokines: Methods and Mechanisms","type":"article-journal","volume":"17"},"uris":["http://www.mendeley.com/documents/?uuid=571634e5-fb27-3c00-92c4-59e8d2f7473f"]},{"id":"ITEM-2","itemData":{"DOI":"10.2307/1538741","ISSN":"0006-3185","PMID":"14791422","author":[{"dropping-particle":"","family":"SCHOLANDER","given":"P. F.","non-dropping-particle":"","parse-names":false,"suffix":""},{"dropping-particle":"","family":"HOCK","given":"RAYMOND","non-dropping-particle":"","parse-names":false,"suffix":""},{"dropping-particle":"","family":"WALTERS","given":"VLADIMIR","non-dropping-particle":"","parse-names":false,"suffix":""},{"dropping-particle":"","family":"JOHNSON","given":"FRED","non-dropping-particle":"","parse-names":false,"suffix":""},{"dropping-particle":"","family":"IRVING","given":"LAURENCE","non-dropping-particle":"","parse-names":false,"suffix":""}],"container-title":"The Biological Bulletin","id":"ITEM-2","issue":"2","issued":{"date-parts":[["1950","10"]]},"page":"237-258","title":"HEAT REGULATION IN SOME ARCTIC AND TROPICAL MAMMALS AND BIRDS","type":"article-journal","volume":"99"},"uris":["http://www.mendeley.com/documents/?uuid=4faed1a4-0ee9-324b-9e5c-71cd0b6d5977"]},{"id":"ITEM-3","itemData":{"DOI":"10.1080/23328940.2015.1008890","ISSN":"2332-8940","PMID":"27227009","abstract":"An initial response to whole-body or local exposure of the extremities to cold is a strong vasoconstriction, leading to a rapid decrease in hand and foot temperature. This impairs tactile sensitivity, manual dexterity, and muscle contractile characteristics while increasing pain and sympathetic drive, decreasing gross motor function, occupational performance, and survival. A paradoxical and cyclical vasodilatation often occurs in the fingers, toes, and face, and this has been termed the hunting response or cold-induced vasodilatation (CIVD). Despite being described almost a century ago, the mechanisms of CIVD are still disputed; research in this area has remained largely descriptive in nature. Recent research into CIVD has brought increased standardization of methodology along with new knowledge about the impact of mediating factors such as hypoxia and physical fitness. Increasing mechanistic analysis of CIVD has also emerged along with improved modeling and prediction of CIVD responses. The present review will survey work conducted during this century on CIVD, its potential mechanisms and modeling, and also the broader context of manual function in cold conditions.","author":[{"dropping-particle":"","family":"Cheung","given":"Stephen S","non-dropping-particle":"","parse-names":false,"suffix":""}],"container-title":"Temperature (Austin, Tex.)","id":"ITEM-3","issue":"1","issued":{"date-parts":[["2015"]]},"page":"105-20","publisher":"Taylor &amp; Francis","title":"Responses of the hands and feet to cold exposure.","type":"article-journal","volume":"2"},"uris":["http://www.mendeley.com/documents/?uuid=61198a33-7500-35c6-bb62-55486ecb4f3a"]}],"mendeley":{"formattedCitation":"(Busbridge and Rothwell, 1993; Cheung, 2015; SCHOLANDER et al., 1950)","manualFormatting":"(Busbridge and Rothwell, 1993; Cheung, 2015; Scholander et al., 1950)","plainTextFormattedCitation":"(Busbridge and Rothwell, 1993; Cheung, 2015; SCHOLANDER et al., 1950)","previouslyFormattedCitation":"(Busbridge and Rothwell, 1993; Cheung, 2015; SCHOLANDER et al., 1950)"},"properties":{"noteIndex":0},"schema":"https://github.com/citation-style-language/schema/raw/master/csl-citation.json"}</w:instrText>
      </w:r>
      <w:r w:rsidR="004A28F4" w:rsidRPr="00042ADE">
        <w:rPr>
          <w:rFonts w:ascii="Times New Roman" w:hAnsi="Times New Roman"/>
          <w:sz w:val="24"/>
          <w:szCs w:val="24"/>
          <w:lang w:val="en-US"/>
        </w:rPr>
        <w:fldChar w:fldCharType="separate"/>
      </w:r>
      <w:r w:rsidR="004A28F4" w:rsidRPr="00042ADE">
        <w:rPr>
          <w:rFonts w:ascii="Times New Roman" w:hAnsi="Times New Roman"/>
          <w:noProof/>
          <w:sz w:val="24"/>
          <w:szCs w:val="24"/>
          <w:lang w:val="en-US"/>
        </w:rPr>
        <w:t xml:space="preserve">(Busbridge and Rothwell, 1993; Cheung, 2015; </w:t>
      </w:r>
      <w:r w:rsidR="00FB26A2" w:rsidRPr="00042ADE">
        <w:rPr>
          <w:rFonts w:ascii="Times New Roman" w:hAnsi="Times New Roman"/>
          <w:noProof/>
          <w:sz w:val="24"/>
          <w:szCs w:val="24"/>
          <w:lang w:val="en-US"/>
        </w:rPr>
        <w:t>Scholander</w:t>
      </w:r>
      <w:r w:rsidR="004A28F4" w:rsidRPr="00042ADE">
        <w:rPr>
          <w:rFonts w:ascii="Times New Roman" w:hAnsi="Times New Roman"/>
          <w:noProof/>
          <w:sz w:val="24"/>
          <w:szCs w:val="24"/>
          <w:lang w:val="en-US"/>
        </w:rPr>
        <w:t xml:space="preserve"> et al., 1950)</w:t>
      </w:r>
      <w:r w:rsidR="004A28F4" w:rsidRPr="00042ADE">
        <w:rPr>
          <w:rFonts w:ascii="Times New Roman" w:hAnsi="Times New Roman"/>
          <w:sz w:val="24"/>
          <w:szCs w:val="24"/>
          <w:lang w:val="en-US"/>
        </w:rPr>
        <w:fldChar w:fldCharType="end"/>
      </w:r>
      <w:r w:rsidR="00C8646B" w:rsidRPr="00042ADE">
        <w:rPr>
          <w:rFonts w:ascii="Times New Roman" w:hAnsi="Times New Roman"/>
          <w:sz w:val="24"/>
          <w:szCs w:val="24"/>
          <w:lang w:val="en-US"/>
        </w:rPr>
        <w:t xml:space="preserve">. </w:t>
      </w:r>
      <w:r w:rsidR="00D87304" w:rsidRPr="00042ADE">
        <w:rPr>
          <w:rFonts w:ascii="Times New Roman" w:hAnsi="Times New Roman"/>
          <w:sz w:val="24"/>
          <w:szCs w:val="24"/>
          <w:lang w:val="en-US"/>
        </w:rPr>
        <w:t xml:space="preserve">In a recent study,  </w:t>
      </w:r>
      <w:r w:rsidR="00D87304" w:rsidRPr="00042ADE">
        <w:rPr>
          <w:rFonts w:ascii="Times New Roman" w:hAnsi="Times New Roman"/>
          <w:sz w:val="24"/>
          <w:szCs w:val="24"/>
          <w:lang w:val="en-US"/>
        </w:rPr>
        <w:fldChar w:fldCharType="begin" w:fldLock="1"/>
      </w:r>
      <w:r w:rsidR="00410AC6" w:rsidRPr="00042ADE">
        <w:rPr>
          <w:rFonts w:ascii="Times New Roman" w:hAnsi="Times New Roman"/>
          <w:sz w:val="24"/>
          <w:szCs w:val="24"/>
          <w:lang w:val="en-US"/>
        </w:rPr>
        <w:instrText>ADDIN CSL_CITATION {"citationItems":[{"id":"ITEM-1","itemData":{"DOI":"10.1016/j.lfs.2015.12.029","ISSN":"00243205","PMID":"26685758","abstract":"AIMS Although fibromyalgia (FM) syndrome is associated with many symptoms, there is as yet no specific finding or laboratory test diagnostic of this syndrome. The physical examination and laboratory tests may be helpful in figuring out this syndrome. MATERIALS AND METHODS The heart rate, respiration rate, body temperature (TEMP), height, body weight, hemoglobin level, erythrocyte sedimentation rate, white blood cell count, platelet count (PLT), rheumatoid factor and C-reactive protein levels and electrocardiograms (ECG) of FM patients were compared with those of control individuals. In addition, the predictive value of these tests was evaluated via receiver operating characteristic (ROC) analysis. KEY FINDINGS The results showed that the TEMP and the PLT were higher in the FM group compared with the control group. Also, ST heights in ECGs which corresponds to a period of ventricle systolic depolarization, showed evidence of a difference between the FM and the control groups. There was no difference observed in terms of the other parameters. According to the ROC analysis, PLT, TEMP and ST height have predictive capacities in FM. SIGNIFICANCE Changes in hormonal factors, peripheral blood circulation, autonomous system activity disorders, inflammatory incidents, etc., may explain the increased TEMP in the FM patients. The high PLT level may signify a thromboproliferation or a possible compensation caused by a PLT functional disorder. ST depression in FM patients may interrelate with coronary pathology. Elucidating the pathophysiology underlying the increases in TEMP and PLT and the decreases in ST height may help to explain the etiology of FM.","author":[{"dropping-particle":"","family":"Elmas","given":"Onur","non-dropping-particle":"","parse-names":false,"suffix":""},{"dropping-particle":"","family":"Yildiz","given":"Sedat","non-dropping-particle":"","parse-names":false,"suffix":""},{"dropping-particle":"","family":"Bilgin","given":"Suleyman","non-dropping-particle":"","parse-names":false,"suffix":""},{"dropping-particle":"","family":"Demirci","given":"Seden","non-dropping-particle":"","parse-names":false,"suffix":""},{"dropping-particle":"","family":"Comlekci","given":"Selcuk","non-dropping-particle":"","parse-names":false,"suffix":""},{"dropping-particle":"","family":"Koyuncuoglu","given":"Hasan Rifat","non-dropping-particle":"","parse-names":false,"suffix":""},{"dropping-particle":"","family":"Akkus","given":"Selami","non-dropping-particle":"","parse-names":false,"suffix":""},{"dropping-particle":"","family":"Colak","given":"Omer Halil","non-dropping-particle":"","parse-names":false,"suffix":""},{"dropping-particle":"","family":"Etem Koklukaya","given":"","non-dropping-particle":"","parse-names":false,"suffix":""},{"dropping-particle":"","family":"Arslan","given":"Evren","non-dropping-particle":"","parse-names":false,"suffix":""},{"dropping-particle":"","family":"Ozkan","given":"Ozhan","non-dropping-particle":"","parse-names":false,"suffix":""},{"dropping-particle":"","family":"Bilgin","given":"Gurkan","non-dropping-particle":"","parse-names":false,"suffix":""}],"container-title":"Life Sciences","id":"ITEM-1","issued":{"date-parts":[["2016","1","15"]]},"page":"51-56","title":"Physiological parameters as a tool in the diagnosis of fibromyalgia syndrome in females: A preliminary study","type":"article-journal","volume":"145"},"uris":["http://www.mendeley.com/documents/?uuid=db6ebbee-0a84-3cad-8210-03f116c224b5"]}],"mendeley":{"formattedCitation":"(Elmas et al., 2016)","manualFormatting":"Elmas et al. (2016)","plainTextFormattedCitation":"(Elmas et al., 2016)","previouslyFormattedCitation":"(Elmas et al., 2016)"},"properties":{"noteIndex":0},"schema":"https://github.com/citation-style-language/schema/raw/master/csl-citation.json"}</w:instrText>
      </w:r>
      <w:r w:rsidR="00D87304" w:rsidRPr="00042ADE">
        <w:rPr>
          <w:rFonts w:ascii="Times New Roman" w:hAnsi="Times New Roman"/>
          <w:sz w:val="24"/>
          <w:szCs w:val="24"/>
          <w:lang w:val="en-US"/>
        </w:rPr>
        <w:fldChar w:fldCharType="separate"/>
      </w:r>
      <w:r w:rsidR="00D87304" w:rsidRPr="00042ADE">
        <w:rPr>
          <w:rFonts w:ascii="Times New Roman" w:hAnsi="Times New Roman"/>
          <w:noProof/>
          <w:sz w:val="24"/>
          <w:szCs w:val="24"/>
          <w:lang w:val="en-US"/>
        </w:rPr>
        <w:t>Elmas et al. (2016)</w:t>
      </w:r>
      <w:r w:rsidR="00D87304" w:rsidRPr="00042ADE">
        <w:rPr>
          <w:rFonts w:ascii="Times New Roman" w:hAnsi="Times New Roman"/>
          <w:sz w:val="24"/>
          <w:szCs w:val="24"/>
          <w:lang w:val="en-US"/>
        </w:rPr>
        <w:fldChar w:fldCharType="end"/>
      </w:r>
      <w:r w:rsidR="00D87304" w:rsidRPr="00042ADE">
        <w:rPr>
          <w:rFonts w:ascii="Times New Roman" w:hAnsi="Times New Roman"/>
          <w:sz w:val="24"/>
          <w:szCs w:val="24"/>
          <w:lang w:val="en-US"/>
        </w:rPr>
        <w:t xml:space="preserve"> reported that FMS patients had an increased core body temperature due to an Autonomic Nervous System (ANS) disorder</w:t>
      </w:r>
      <w:r w:rsidR="004A453B" w:rsidRPr="00042ADE">
        <w:rPr>
          <w:rFonts w:ascii="Times New Roman" w:hAnsi="Times New Roman"/>
          <w:sz w:val="24"/>
          <w:szCs w:val="24"/>
          <w:lang w:val="en-US"/>
        </w:rPr>
        <w:t xml:space="preserve"> which </w:t>
      </w:r>
      <w:r w:rsidR="00D87304" w:rsidRPr="00042ADE">
        <w:rPr>
          <w:rFonts w:ascii="Times New Roman" w:hAnsi="Times New Roman"/>
          <w:sz w:val="24"/>
          <w:szCs w:val="24"/>
          <w:lang w:val="en-US"/>
        </w:rPr>
        <w:t>might affect the blood microcirculation and sweating functions, thereby modifying the core body temperature</w:t>
      </w:r>
      <w:r w:rsidR="00410AC6" w:rsidRPr="00042ADE">
        <w:rPr>
          <w:rFonts w:ascii="Times New Roman" w:hAnsi="Times New Roman"/>
          <w:sz w:val="24"/>
          <w:szCs w:val="24"/>
          <w:lang w:val="en-US"/>
        </w:rPr>
        <w:t xml:space="preserve"> </w:t>
      </w:r>
      <w:r w:rsidR="00410AC6" w:rsidRPr="00042ADE">
        <w:rPr>
          <w:rFonts w:ascii="Times New Roman" w:hAnsi="Times New Roman"/>
          <w:sz w:val="24"/>
          <w:szCs w:val="24"/>
          <w:lang w:val="en-US"/>
        </w:rPr>
        <w:fldChar w:fldCharType="begin" w:fldLock="1"/>
      </w:r>
      <w:r w:rsidR="00252928" w:rsidRPr="00042ADE">
        <w:rPr>
          <w:rFonts w:ascii="Times New Roman" w:hAnsi="Times New Roman"/>
          <w:sz w:val="24"/>
          <w:szCs w:val="24"/>
          <w:lang w:val="en-US"/>
        </w:rPr>
        <w:instrText>ADDIN CSL_CITATION {"citationItems":[{"id":"ITEM-1","itemData":{"DOI":"10.1109/MEMB.2002.1175137","ISSN":"07395175","author":[{"dropping-particle":"","family":"Jones","given":"Bryan F.","non-dropping-particle":"","parse-names":false,"suffix":""},{"dropping-particle":"","family":"Plassmann","given":"Peter","non-dropping-particle":"","parse-names":false,"suffix":""}],"container-title":"IEEE Engineering in Medicine and Biology Magazine","id":"ITEM-1","issue":"6","issued":{"date-parts":[["2002","11"]]},"page":"41-48","title":"Digital infrared thermal imaging of human skin","type":"article","volume":"21"},"uris":["http://www.mendeley.com/documents/?uuid=d15e134d-eab2-3805-8682-f1bb4024c4b1"]},{"id":"ITEM-2","itemData":{"DOI":"10.1109/42.746635","ISSN":"02780062","abstract":"Infrared thermal imaging of the skin has been used for several decades to monitor the temperature distribution of human skin. Abnormalities such as malignancies, inflammation, and infection cause localized increases in temperature which show as hot spots or as asymmetrical patterns in an infrared thermogram. Even though it is nonspecific, infrared thermology is a powerful detector of problems that affect a patient's physiology. While the use of infrared imaging is increasing in many industrial and security applications, it has declined in medicine probably because of the continued reliance on first generation cameras. The transfer of military technology for medical use has prompted this reappraisal of infrared thermology in medicine. Digital infrared cameras have much improved spatial and thermal resolutions, and libraries of image processing routines are available to analyze images captured both statically and dynamically. If thermographs are captured under controlled conditions, they may be interpreted readily to diagnose certain conditions and to monitor the reaction of a patient's physiology to thermal and other stresses. Some of the major areas where infrared thermography is being used successfully are neurology, vascular disorders, rheumatic diseases, tissue viability, oncology (especially breast cancer), dermatological disorders, neonatal, ophthalmology, and surgery. © 1998 IEEE.","author":[{"dropping-particle":"","family":"Jones","given":"Bryan F.","non-dropping-particle":"","parse-names":false,"suffix":""}],"container-title":"IEEE Transactions on Medical Imaging","id":"ITEM-2","issue":"6","issued":{"date-parts":[["1998"]]},"page":"1019-1027","publisher":"Institute of Electrical and Electronics Engineers Inc.","title":"A reappraisal of the use of infrared thermal image analysis in medicine","type":"article-journal","volume":"17"},"uris":["http://www.mendeley.com/documents/?uuid=f7a1af16-0c4e-3575-96c9-de1a633f299c"]}],"mendeley":{"formattedCitation":"(Jones, 1998; Jones and Plassmann, 2002)","plainTextFormattedCitation":"(Jones, 1998; Jones and Plassmann, 2002)","previouslyFormattedCitation":"(Jones, 1998; Jones and Plassmann, 2002)"},"properties":{"noteIndex":0},"schema":"https://github.com/citation-style-language/schema/raw/master/csl-citation.json"}</w:instrText>
      </w:r>
      <w:r w:rsidR="00410AC6" w:rsidRPr="00042ADE">
        <w:rPr>
          <w:rFonts w:ascii="Times New Roman" w:hAnsi="Times New Roman"/>
          <w:sz w:val="24"/>
          <w:szCs w:val="24"/>
          <w:lang w:val="en-US"/>
        </w:rPr>
        <w:fldChar w:fldCharType="separate"/>
      </w:r>
      <w:r w:rsidR="00410AC6" w:rsidRPr="00042ADE">
        <w:rPr>
          <w:rFonts w:ascii="Times New Roman" w:hAnsi="Times New Roman"/>
          <w:noProof/>
          <w:sz w:val="24"/>
          <w:szCs w:val="24"/>
          <w:lang w:val="en-US"/>
        </w:rPr>
        <w:t>(Jones, 1998; Jones and Plassmann, 2002)</w:t>
      </w:r>
      <w:r w:rsidR="00410AC6" w:rsidRPr="00042ADE">
        <w:rPr>
          <w:rFonts w:ascii="Times New Roman" w:hAnsi="Times New Roman"/>
          <w:sz w:val="24"/>
          <w:szCs w:val="24"/>
          <w:lang w:val="en-US"/>
        </w:rPr>
        <w:fldChar w:fldCharType="end"/>
      </w:r>
      <w:r w:rsidR="00410AC6" w:rsidRPr="00042ADE">
        <w:rPr>
          <w:rFonts w:ascii="Times New Roman" w:hAnsi="Times New Roman"/>
          <w:sz w:val="24"/>
          <w:szCs w:val="24"/>
          <w:lang w:val="en-US"/>
        </w:rPr>
        <w:t>.</w:t>
      </w:r>
    </w:p>
    <w:p w14:paraId="571BD25F" w14:textId="2F077C0B" w:rsidR="00D83100" w:rsidRPr="00042ADE" w:rsidRDefault="00D83100" w:rsidP="00322086">
      <w:pPr>
        <w:spacing w:line="480" w:lineRule="auto"/>
        <w:jc w:val="both"/>
        <w:rPr>
          <w:rFonts w:ascii="Times New Roman" w:hAnsi="Times New Roman"/>
          <w:sz w:val="24"/>
          <w:szCs w:val="24"/>
          <w:lang w:val="en-US"/>
        </w:rPr>
      </w:pPr>
      <w:r w:rsidRPr="00042ADE">
        <w:rPr>
          <w:rFonts w:ascii="Times New Roman" w:hAnsi="Times New Roman"/>
          <w:sz w:val="24"/>
          <w:szCs w:val="24"/>
          <w:lang w:val="en-GB"/>
        </w:rPr>
        <w:lastRenderedPageBreak/>
        <w:t>On the other hand, thermography is a method that it provides a good relationship between peripheral blood flow variations and skin thermal properties of the cutaneous tissue</w:t>
      </w:r>
      <w:r w:rsidR="009C3D24" w:rsidRPr="00042ADE">
        <w:rPr>
          <w:rFonts w:ascii="Times New Roman" w:hAnsi="Times New Roman"/>
          <w:sz w:val="24"/>
          <w:szCs w:val="24"/>
          <w:lang w:val="en-GB"/>
        </w:rPr>
        <w:t xml:space="preserve"> </w:t>
      </w:r>
      <w:r w:rsidR="009C3D24" w:rsidRPr="00042ADE">
        <w:rPr>
          <w:rFonts w:ascii="Times New Roman" w:hAnsi="Times New Roman"/>
          <w:sz w:val="24"/>
          <w:szCs w:val="24"/>
          <w:lang w:val="en-GB"/>
        </w:rPr>
        <w:fldChar w:fldCharType="begin" w:fldLock="1"/>
      </w:r>
      <w:r w:rsidR="0067686A" w:rsidRPr="00042ADE">
        <w:rPr>
          <w:rFonts w:ascii="Times New Roman" w:hAnsi="Times New Roman"/>
          <w:sz w:val="24"/>
          <w:szCs w:val="24"/>
          <w:lang w:val="en-GB"/>
        </w:rPr>
        <w:instrText>ADDIN CSL_CITATION {"citationItems":[{"id":"ITEM-1","itemData":{"ISSN":"0739-5175","PMID":"10834119","author":[{"dropping-particle":"","family":"Fujimasa","given":"I","non-dropping-particle":"","parse-names":false,"suffix":""},{"dropping-particle":"","family":"Chinzei","given":"T","non-dropping-particle":"","parse-names":false,"suffix":""},{"dropping-particle":"","family":"Saito","given":"I","non-dropping-particle":"","parse-names":false,"suffix":""}],"container-title":"IEEE engineering in medicine and biology magazine : the quarterly magazine of the Engineering in Medicine &amp; Biology Society","id":"ITEM-1","issue":"3","issued":{"date-parts":[["0"]]},"page":"71-6","title":"Converting far infrared image information to other physiological data.","type":"article-journal","volume":"19"},"uris":["http://www.mendeley.com/documents/?uuid=e0f510d7-a5ad-3aa5-b837-7d740c35b7a1"]},{"id":"ITEM-2","itemData":{"DOI":"10.1088/0967-3334/35/2/153","ISSN":"0967-3334","PMID":"24399251","abstract":"It is well established that skin temperature oscillations in fingertips coexist with blood flow oscillations and there is a certain correlation between them. At the same time, the reasons for differences in waveform and the delay between the blood flow and temperature oscillations are far from being fully understood. In this study we determine the relationships between spectral components of the blood flow and temperature oscillations in fingertips, and we ascertain the frequency dependences of amplitude attenuation and delay time for the temperature oscillations. The blood flow oscillations were considered as a source of thermal waves propagating from micro-vessels towards the skin surface and manifesting as temperature oscillations. The finger temperature was measured by infrared thermography and blood flow was assessed by photoplethysmography for ten healthy subjects. The time-frequency analysis of oscillations was based on the Morlet wavelet transform. The frequency dependences of delay time and amplitude attenuation in temperature compared with blood flow oscillations have been determined in endothelial (0.005-0.02 Hz) and neurogenic (0.02-0.05 Hz) frequency bands using the wavelet spectra. We approximated the experimental frequency dependences by equations describing thermal wave propagation through the medium and taking into account the thermal properties and thickness of a tissue. Results of analysis show that with the increase of frequency f the delay time of temperature oscillations decreases inversely proportional to f(1/2), and the attenuation of the amplitude increases directly proportional to exp f(1/2). Using these relationships allows us to increase correlation between the processed temperature oscillations and blood flow oscillations from 0.2 to 0.7 within the frequency interval 0.005-0.05 Hz. The established experimental and theoretical relationships clarify an understanding of interrelation between the dynamics of blood flow and skin temperature, and define possibilities and limitations of temperature measurements as a method of blood flow assessment in extremities.","author":[{"dropping-particle":"","family":"Sagaidachnyi","given":"A A","non-dropping-particle":"","parse-names":false,"suffix":""},{"dropping-particle":"V","family":"Skripal","given":"A","non-dropping-particle":"","parse-names":false,"suffix":""},{"dropping-particle":"V","family":"Fomin","given":"A","non-dropping-particle":"","parse-names":false,"suffix":""},{"dropping-particle":"","family":"Usanov","given":"D A","non-dropping-particle":"","parse-names":false,"suffix":""}],"container-title":"Physiological Measurement","id":"ITEM-2","issue":"2","issued":{"date-parts":[["2014","2","1"]]},"page":"153-166","title":"Determination of the amplitude and phase relationships between oscillations in skin temperature and photoplethysmography-measured blood flow in fingertips","type":"article-journal","volume":"35"},"uris":["http://www.mendeley.com/documents/?uuid=6aa530eb-decb-3bf0-8848-c38bf2c9b2b3"]}],"mendeley":{"formattedCitation":"(Fujimasa et al., n.d.; Sagaidachnyi et al., 2014)","manualFormatting":"(Fujimasa et al., 2000; Sagaidachnyi et al., 2014)","plainTextFormattedCitation":"(Fujimasa et al., n.d.; Sagaidachnyi et al., 2014)","previouslyFormattedCitation":"(Fujimasa et al., n.d.; Sagaidachnyi et al., 2014)"},"properties":{"noteIndex":0},"schema":"https://github.com/citation-style-language/schema/raw/master/csl-citation.json"}</w:instrText>
      </w:r>
      <w:r w:rsidR="009C3D24" w:rsidRPr="00042ADE">
        <w:rPr>
          <w:rFonts w:ascii="Times New Roman" w:hAnsi="Times New Roman"/>
          <w:sz w:val="24"/>
          <w:szCs w:val="24"/>
          <w:lang w:val="en-GB"/>
        </w:rPr>
        <w:fldChar w:fldCharType="separate"/>
      </w:r>
      <w:r w:rsidR="0067686A" w:rsidRPr="00042ADE">
        <w:rPr>
          <w:rFonts w:ascii="Times New Roman" w:hAnsi="Times New Roman"/>
          <w:noProof/>
          <w:sz w:val="24"/>
          <w:szCs w:val="24"/>
          <w:lang w:val="en-GB"/>
        </w:rPr>
        <w:t>(Fujimasa et al., 2000</w:t>
      </w:r>
      <w:r w:rsidR="009C3D24" w:rsidRPr="00042ADE">
        <w:rPr>
          <w:rFonts w:ascii="Times New Roman" w:hAnsi="Times New Roman"/>
          <w:noProof/>
          <w:sz w:val="24"/>
          <w:szCs w:val="24"/>
          <w:lang w:val="en-GB"/>
        </w:rPr>
        <w:t>; Sagaidachnyi et al., 2014)</w:t>
      </w:r>
      <w:r w:rsidR="009C3D24" w:rsidRPr="00042ADE">
        <w:rPr>
          <w:rFonts w:ascii="Times New Roman" w:hAnsi="Times New Roman"/>
          <w:sz w:val="24"/>
          <w:szCs w:val="24"/>
          <w:lang w:val="en-GB"/>
        </w:rPr>
        <w:fldChar w:fldCharType="end"/>
      </w:r>
      <w:r w:rsidRPr="00042ADE">
        <w:rPr>
          <w:rFonts w:ascii="Times New Roman" w:hAnsi="Times New Roman"/>
          <w:sz w:val="24"/>
          <w:szCs w:val="24"/>
          <w:lang w:val="en-GB"/>
        </w:rPr>
        <w:t>. Thermography uses the “heat transfer theory” for evaluating the blood circulation in different parts of the body. This theory proposes that a major heat in a region of the body is re</w:t>
      </w:r>
      <w:r w:rsidR="009C3D24" w:rsidRPr="00042ADE">
        <w:rPr>
          <w:rFonts w:ascii="Times New Roman" w:hAnsi="Times New Roman"/>
          <w:sz w:val="24"/>
          <w:szCs w:val="24"/>
          <w:lang w:val="en-GB"/>
        </w:rPr>
        <w:t xml:space="preserve">lated to major blood affluence. </w:t>
      </w:r>
      <w:r w:rsidRPr="00042ADE">
        <w:rPr>
          <w:rFonts w:ascii="Times New Roman" w:hAnsi="Times New Roman"/>
          <w:sz w:val="24"/>
          <w:szCs w:val="24"/>
          <w:lang w:val="en-GB"/>
        </w:rPr>
        <w:t>By contrast, the cold regions of the body are related to smaller blood affluence</w:t>
      </w:r>
      <w:r w:rsidR="009C3D24" w:rsidRPr="00042ADE">
        <w:rPr>
          <w:rFonts w:ascii="Times New Roman" w:hAnsi="Times New Roman"/>
          <w:sz w:val="24"/>
          <w:szCs w:val="24"/>
          <w:lang w:val="en-GB"/>
        </w:rPr>
        <w:t xml:space="preserve"> </w:t>
      </w:r>
      <w:r w:rsidR="009C3D24" w:rsidRPr="00042ADE">
        <w:rPr>
          <w:rFonts w:ascii="Times New Roman" w:hAnsi="Times New Roman"/>
          <w:sz w:val="24"/>
          <w:szCs w:val="24"/>
          <w:lang w:val="en-GB"/>
        </w:rPr>
        <w:fldChar w:fldCharType="begin" w:fldLock="1"/>
      </w:r>
      <w:r w:rsidR="00725C17" w:rsidRPr="00042ADE">
        <w:rPr>
          <w:rFonts w:ascii="Times New Roman" w:hAnsi="Times New Roman"/>
          <w:sz w:val="24"/>
          <w:szCs w:val="24"/>
          <w:lang w:val="en-GB"/>
        </w:rPr>
        <w:instrText>ADDIN CSL_CITATION {"citationItems":[{"id":"ITEM-1","itemData":{"DOI":"10.1088/1361-6579/aa4eaf","ISSN":"1361-6579","PMID":"28099162","abstract":"The determination of the relationship between skin blood flow and skin temperature dynamics is the main problem in thermography-based blood flow imaging. Oscillations in skin blood flow are the source of thermal waves propagating from micro-vessels toward the skin's surface, as assumed in this study. This hypothesis allows us to use equations for the attenuation and dispersion of thermal waves for converting the temperature signal into the blood flow signal, and vice versa. We developed a spectral filtering approach (SFA), which is a new technique for thermography-based blood flow imaging. In contrast to other processing techniques, the SFA implies calculations in the spectral domain rather than in the time domain. Therefore, it eliminates the need to solve differential equations. The developed technique was verified within 0.005-0.1 Hz, including the endothelial, neurogenic and myogenic frequency bands of blood flow oscillations. The algorithm for an inverse conversion of the blood flow signal into the skin temperature signal is addressed. The examples of blood flow imaging of hands during cuff occlusion and feet during heating of the back are illustrated. The processing of infrared (IR) thermograms using the SFA allowed us to restore the blood flow signals and achieve correlations of about 0.8 with a waveform of a photoplethysmographic signal. The prospective applications of the thermography-based blood flow imaging technique include non-contact monitoring of the blood supply during engraftment of skin flaps and burns healing, as well the use of contact temperature sensors to monitor low-frequency oscillations of peripheral blood flow.","author":[{"dropping-particle":"","family":"Sagaidachnyi","given":"A A","non-dropping-particle":"","parse-names":false,"suffix":""},{"dropping-particle":"V","family":"Fomin","given":"A","non-dropping-particle":"","parse-names":false,"suffix":""},{"dropping-particle":"","family":"Usanov","given":"D A","non-dropping-particle":"","parse-names":false,"suffix":""},{"dropping-particle":"V","family":"Skripal","given":"A","non-dropping-particle":"","parse-names":false,"suffix":""}],"container-title":"Physiological measurement","id":"ITEM-1","issue":"2","issued":{"date-parts":[["2017"]]},"page":"272-288","title":"Thermography-based blood flow imaging in human skin of the hands and feet: a spectral filtering approach.","type":"article-journal","volume":"38"},"uris":["http://www.mendeley.com/documents/?uuid=2c6d4df2-7650-3ea8-9f71-700d867170be"]}],"mendeley":{"formattedCitation":"(Sagaidachnyi et al., 2017)","plainTextFormattedCitation":"(Sagaidachnyi et al., 2017)","previouslyFormattedCitation":"(Sagaidachnyi et al., 2017)"},"properties":{"noteIndex":0},"schema":"https://github.com/citation-style-language/schema/raw/master/csl-citation.json"}</w:instrText>
      </w:r>
      <w:r w:rsidR="009C3D24" w:rsidRPr="00042ADE">
        <w:rPr>
          <w:rFonts w:ascii="Times New Roman" w:hAnsi="Times New Roman"/>
          <w:sz w:val="24"/>
          <w:szCs w:val="24"/>
          <w:lang w:val="en-GB"/>
        </w:rPr>
        <w:fldChar w:fldCharType="separate"/>
      </w:r>
      <w:r w:rsidR="009C3D24" w:rsidRPr="00042ADE">
        <w:rPr>
          <w:rFonts w:ascii="Times New Roman" w:hAnsi="Times New Roman"/>
          <w:noProof/>
          <w:sz w:val="24"/>
          <w:szCs w:val="24"/>
          <w:lang w:val="en-GB"/>
        </w:rPr>
        <w:t>(Sagaidachnyi et al., 2017)</w:t>
      </w:r>
      <w:r w:rsidR="009C3D24" w:rsidRPr="00042ADE">
        <w:rPr>
          <w:rFonts w:ascii="Times New Roman" w:hAnsi="Times New Roman"/>
          <w:sz w:val="24"/>
          <w:szCs w:val="24"/>
          <w:lang w:val="en-GB"/>
        </w:rPr>
        <w:fldChar w:fldCharType="end"/>
      </w:r>
      <w:r w:rsidRPr="00042ADE">
        <w:rPr>
          <w:rFonts w:ascii="Times New Roman" w:hAnsi="Times New Roman"/>
          <w:sz w:val="24"/>
          <w:szCs w:val="24"/>
          <w:lang w:val="en-GB"/>
        </w:rPr>
        <w:t>.</w:t>
      </w:r>
    </w:p>
    <w:p w14:paraId="32E73C01" w14:textId="77777777" w:rsidR="003C32BA" w:rsidRPr="00042ADE" w:rsidRDefault="003C32BA" w:rsidP="0032208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In view of the reported findings, the aim of the present study was to analyse the vasodilatory peripheral response mediated by sympathetic adrenergic system at dorsal and palm sites of the </w:t>
      </w:r>
      <w:proofErr w:type="spellStart"/>
      <w:r w:rsidRPr="00042ADE">
        <w:rPr>
          <w:rFonts w:ascii="Times New Roman" w:hAnsi="Times New Roman"/>
          <w:sz w:val="24"/>
          <w:szCs w:val="24"/>
          <w:lang w:val="en-GB"/>
        </w:rPr>
        <w:t>glabrous</w:t>
      </w:r>
      <w:proofErr w:type="spellEnd"/>
      <w:r w:rsidRPr="00042ADE">
        <w:rPr>
          <w:rFonts w:ascii="Times New Roman" w:hAnsi="Times New Roman"/>
          <w:sz w:val="24"/>
          <w:szCs w:val="24"/>
          <w:lang w:val="en-GB"/>
        </w:rPr>
        <w:t xml:space="preserve"> skin of the hands, the core body temperature, and the relationship between microvasculature abnormalities, general thermogenesis and NO levels in a population of women diagnosed with FMS in comparison with healthy people.</w:t>
      </w:r>
    </w:p>
    <w:p w14:paraId="6BF5CE99" w14:textId="77777777" w:rsidR="00596CDB" w:rsidRPr="00042ADE" w:rsidRDefault="00596CDB" w:rsidP="00596CDB">
      <w:pPr>
        <w:spacing w:line="480" w:lineRule="auto"/>
        <w:rPr>
          <w:rFonts w:ascii="Times New Roman" w:hAnsi="Times New Roman"/>
          <w:b/>
          <w:sz w:val="24"/>
          <w:szCs w:val="24"/>
          <w:lang w:val="en-GB"/>
        </w:rPr>
      </w:pPr>
      <w:r w:rsidRPr="00042ADE">
        <w:rPr>
          <w:rFonts w:ascii="Times New Roman" w:hAnsi="Times New Roman"/>
          <w:b/>
          <w:sz w:val="24"/>
          <w:szCs w:val="24"/>
          <w:lang w:val="en-GB"/>
        </w:rPr>
        <w:t>2. Methods</w:t>
      </w:r>
    </w:p>
    <w:p w14:paraId="5003B46C" w14:textId="77777777" w:rsidR="00206E91" w:rsidRPr="00042ADE" w:rsidRDefault="00206E91" w:rsidP="00596CDB">
      <w:pPr>
        <w:spacing w:line="480" w:lineRule="auto"/>
        <w:rPr>
          <w:rFonts w:ascii="Times New Roman" w:hAnsi="Times New Roman"/>
          <w:sz w:val="24"/>
          <w:szCs w:val="24"/>
          <w:lang w:val="en-GB"/>
        </w:rPr>
      </w:pPr>
      <w:r w:rsidRPr="00042ADE">
        <w:rPr>
          <w:rFonts w:ascii="Times New Roman" w:hAnsi="Times New Roman"/>
          <w:sz w:val="24"/>
          <w:szCs w:val="24"/>
          <w:lang w:val="en-GB"/>
        </w:rPr>
        <w:t>2.1. Study Design and Participants</w:t>
      </w:r>
    </w:p>
    <w:p w14:paraId="392D825B" w14:textId="2676E8A0" w:rsidR="00002448" w:rsidRPr="00042ADE" w:rsidRDefault="00002448" w:rsidP="0000244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Forty-two women diagnosed with FMS and recruited from two Spanish Fibromyalgia Associations (AGRAFIM &amp; AFIXA) participated in this observational case-control study. Fifty-two healthy women were recruited from relatives of the patients and volunteers by local advertisement from University of Granada (Spain). The recruitment of the patients was performed between January 2019 and June 2019.</w:t>
      </w:r>
      <w:r w:rsidR="005545EA" w:rsidRPr="00042ADE">
        <w:rPr>
          <w:rFonts w:ascii="Times New Roman" w:hAnsi="Times New Roman"/>
          <w:sz w:val="24"/>
          <w:szCs w:val="24"/>
          <w:lang w:val="en-GB"/>
        </w:rPr>
        <w:t xml:space="preserve"> Telephone contact was made in order to set the visit throughout these six months. Only one study visit was required for each patient. Each patient was evaluated on the same day, over a total time of 60 minutes.</w:t>
      </w:r>
      <w:r w:rsidRPr="00042ADE">
        <w:rPr>
          <w:rFonts w:ascii="Times New Roman" w:hAnsi="Times New Roman"/>
          <w:sz w:val="24"/>
          <w:szCs w:val="24"/>
          <w:lang w:val="en-GB"/>
        </w:rPr>
        <w:t xml:space="preserve"> The study was conducted in accordance with the Helsinki Declaration 2013 and was approved by the Ethics and Research Committee of the CEI Andalusia Heath </w:t>
      </w:r>
      <w:r w:rsidRPr="00042ADE">
        <w:rPr>
          <w:rFonts w:ascii="Times New Roman" w:hAnsi="Times New Roman"/>
          <w:sz w:val="24"/>
          <w:szCs w:val="24"/>
          <w:lang w:val="en-GB"/>
        </w:rPr>
        <w:lastRenderedPageBreak/>
        <w:t>Service of Granada (Granada, Spain), with Approval Number 1797-N-17. All participants signed a written informed consent form prior to their inclusion in the study.</w:t>
      </w:r>
    </w:p>
    <w:p w14:paraId="21EE9ED9" w14:textId="0A901FD6" w:rsidR="00252928" w:rsidRPr="00042ADE" w:rsidRDefault="00252928" w:rsidP="0025292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Inclusion criteria for FMS patients were: 1) diagnosed in accordance to the American College of Rheumatology criteria for classification of FMS (revision in 2016) </w:t>
      </w:r>
      <w:r w:rsidRPr="00042ADE">
        <w:rPr>
          <w:rFonts w:ascii="Times New Roman" w:hAnsi="Times New Roman"/>
          <w:sz w:val="24"/>
          <w:szCs w:val="24"/>
          <w:lang w:val="en-GB"/>
        </w:rPr>
        <w:fldChar w:fldCharType="begin" w:fldLock="1"/>
      </w:r>
      <w:r w:rsidR="002D2B14" w:rsidRPr="00042ADE">
        <w:rPr>
          <w:rFonts w:ascii="Times New Roman" w:hAnsi="Times New Roman"/>
          <w:sz w:val="24"/>
          <w:szCs w:val="24"/>
          <w:lang w:val="en-GB"/>
        </w:rPr>
        <w:instrText>ADDIN CSL_CITATION {"citationItems":[{"id":"ITEM-1","itemData":{"DOI":"10.1016/j.semarthrit.2016.08.012","ISSN":"1532866X","PMID":"27916278","abstract":"Objectives The provisional criteria of the American College of Rheumatology (ACR) 2010 and the 2011 self-report modification for survey and clinical research are widely used for fibromyalgia diagnosis. To determine the validity, usefulness, potential problems, and modifications required for the criteria, we assessed multiple research reports published in 2010–2016 in order to provide a 2016 update to the criteria. Methods We reviewed 14 validation studies that compared 2010/2011 criteria with ACR 1990 classification and clinical criteria, as well as epidemiology, clinical, and databank studies that addressed important criteria-level variables. Based on definitional differences between 1990 and 2010/2011 criteria, we interpreted 85% sensitivity and 90% specificity as excellent agreement. Results Against 1990 and clinical criteria, the median sensitivity and specificity of the 2010/2011 criteria were 86% and 90%, respectively. The 2010/2011 criteria led to misclassification when applied to regional pain syndromes, but when a modified widespread pain criterion (the “generalized pain criterion”) was added misclassification was eliminated. Based on the above data and clinic usage data, we developed a (2016) revision to the 2010/2011 fibromyalgia criteria. Fibromyalgia may now be diagnosed in adults when all of the following criteria are met: (1) Generalized pain, defined as pain in at least 4 of 5 regions, is present. (2) Symptoms have been present at a similar level for at least 3 months. (3) Widespread pain index (WPI) ≥ 7 and symptom severity scale (SSS) score ≥ 5 OR WPI of 4–6 and SSS score ≥ 9. (4) A diagnosis of fibromyalgia is valid irrespective of other diagnoses. A diagnosis of fibromyalgia does not exclude the presence of other clinically important illnesses.Conclusions The fibromyalgia criteria have good sensitivity and specificity. This revision combines physician and questionnaire criteria, minimizes misclassification of regional pain disorders, and eliminates the previously confusing recommendation regarding diagnostic exclusions. The physician-based criteria are valid for individual patient diagnosis. The self-report version of the criteria is not valid for clinical diagnosis in individual patients but is valid for research studies. These changes allow the criteria to function as diagnostic criteria, while still being useful for classification.","author":[{"dropping-particle":"","family":"Wolfe","given":"Frederick","non-dropping-particle":"","parse-names":false,"suffix":""},{"dropping-particle":"","family":"Clauw","given":"Daniel J.","non-dropping-particle":"","parse-names":false,"suffix":""},{"dropping-particle":"","family":"Fitzcharles","given":"Mary Ann","non-dropping-particle":"","parse-names":false,"suffix":""},{"dropping-particle":"","family":"Goldenberg","given":"Don L.","non-dropping-particle":"","parse-names":false,"suffix":""},{"dropping-particle":"","family":"Häuser","given":"Winfried","non-dropping-particle":"","parse-names":false,"suffix":""},{"dropping-particle":"","family":"Katz","given":"Robert L.","non-dropping-particle":"","parse-names":false,"suffix":""},{"dropping-particle":"","family":"Mease","given":"Philip J.","non-dropping-particle":"","parse-names":false,"suffix":""},{"dropping-particle":"","family":"Russell","given":"Anthony S.","non-dropping-particle":"","parse-names":false,"suffix":""},{"dropping-particle":"","family":"Russell","given":"Irwin Jon","non-dropping-particle":"","parse-names":false,"suffix":""},{"dropping-particle":"","family":"Walitt","given":"Brian","non-dropping-particle":"","parse-names":false,"suffix":""}],"container-title":"Seminars in Arthritis and Rheumatism","id":"ITEM-1","issue":"3","issued":{"date-parts":[["2016","12","1"]]},"page":"319-329","publisher":"W.B. Saunders","title":"2016 Revisions to the 2010/2011 fibromyalgia diagnostic criteria","type":"article-journal","volume":"46"},"uris":["http://www.mendeley.com/documents/?uuid=cf86d25f-2c2c-3b59-b24f-8c070b0e823f"]}],"mendeley":{"formattedCitation":"(Wolfe et al., 2016)","plainTextFormattedCitation":"(Wolfe et al., 2016)","previouslyFormattedCitation":"(Wolfe et al., 2016)"},"properties":{"noteIndex":0},"schema":"https://github.com/citation-style-language/schema/raw/master/csl-citation.json"}</w:instrText>
      </w:r>
      <w:r w:rsidRPr="00042ADE">
        <w:rPr>
          <w:rFonts w:ascii="Times New Roman" w:hAnsi="Times New Roman"/>
          <w:sz w:val="24"/>
          <w:szCs w:val="24"/>
          <w:lang w:val="en-GB"/>
        </w:rPr>
        <w:fldChar w:fldCharType="separate"/>
      </w:r>
      <w:r w:rsidRPr="00042ADE">
        <w:rPr>
          <w:rFonts w:ascii="Times New Roman" w:hAnsi="Times New Roman"/>
          <w:noProof/>
          <w:sz w:val="24"/>
          <w:szCs w:val="24"/>
          <w:lang w:val="en-GB"/>
        </w:rPr>
        <w:t>(Wolfe et al., 2016)</w:t>
      </w:r>
      <w:r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by a rheumatologist of the Public Health System of Andalucía (Spain); 2) aged from 18 to 70 years; and 3) lack of any other rheumatic diseases. </w:t>
      </w:r>
      <w:r w:rsidR="00F3746C" w:rsidRPr="00042ADE">
        <w:rPr>
          <w:rFonts w:ascii="Times New Roman" w:hAnsi="Times New Roman"/>
          <w:sz w:val="24"/>
          <w:szCs w:val="24"/>
          <w:lang w:val="en-GB"/>
        </w:rPr>
        <w:t xml:space="preserve">Inclusion criteria for control group were: 1) aged from 18 to 70 years and 2) lack of any other rheumatic diseases. </w:t>
      </w:r>
      <w:r w:rsidRPr="00042ADE">
        <w:rPr>
          <w:rFonts w:ascii="Times New Roman" w:hAnsi="Times New Roman"/>
          <w:sz w:val="24"/>
          <w:szCs w:val="24"/>
          <w:lang w:val="en-GB"/>
        </w:rPr>
        <w:t>Exclusion criteria for both groups were: 1) male sex; 2) presence of cardiac, renal or hepatic insufficiency; 3) severe physical disability; 4) fever after infection in the pass two week; 5) hypotension/hypertension; 6) psychiatric illness; 7) neurological disorders; 8) cancer; 9) previous history of surgery; 10) treatment with vasoactive drugs or anticoagulants or drug history; and 11) skin alterations.</w:t>
      </w:r>
    </w:p>
    <w:p w14:paraId="5A50B0BD" w14:textId="77777777" w:rsidR="00843CA1" w:rsidRPr="00042ADE" w:rsidRDefault="00843CA1" w:rsidP="0025292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2.2. Measures</w:t>
      </w:r>
    </w:p>
    <w:p w14:paraId="64992E8E" w14:textId="2FDF168A" w:rsidR="00641C0C" w:rsidRPr="00042ADE" w:rsidRDefault="00E32C33" w:rsidP="0025292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Firstly, participants completed questionnaires regarding the medical history in order to obtain the demographic data. </w:t>
      </w:r>
      <w:r w:rsidR="00A65874" w:rsidRPr="00042ADE">
        <w:rPr>
          <w:rFonts w:ascii="Times New Roman" w:hAnsi="Times New Roman"/>
          <w:sz w:val="24"/>
          <w:szCs w:val="24"/>
          <w:lang w:val="en-GB"/>
        </w:rPr>
        <w:t>These demographic data comprised age, sex, height, weight,</w:t>
      </w:r>
      <w:r w:rsidR="00FC0413" w:rsidRPr="00042ADE">
        <w:rPr>
          <w:rFonts w:ascii="Times New Roman" w:hAnsi="Times New Roman"/>
          <w:sz w:val="24"/>
          <w:szCs w:val="24"/>
          <w:lang w:val="en-GB"/>
        </w:rPr>
        <w:t xml:space="preserve"> body mass index, and</w:t>
      </w:r>
      <w:r w:rsidR="00A65874" w:rsidRPr="00042ADE">
        <w:rPr>
          <w:rFonts w:ascii="Times New Roman" w:hAnsi="Times New Roman"/>
          <w:sz w:val="24"/>
          <w:szCs w:val="24"/>
          <w:lang w:val="en-GB"/>
        </w:rPr>
        <w:t xml:space="preserve"> </w:t>
      </w:r>
      <w:r w:rsidR="00FC0413" w:rsidRPr="00042ADE">
        <w:rPr>
          <w:rFonts w:ascii="Times New Roman" w:hAnsi="Times New Roman"/>
          <w:sz w:val="24"/>
          <w:szCs w:val="24"/>
          <w:lang w:val="en-GB"/>
        </w:rPr>
        <w:t>hand dominance</w:t>
      </w:r>
      <w:r w:rsidR="00A65874" w:rsidRPr="00042ADE">
        <w:rPr>
          <w:rFonts w:ascii="Times New Roman" w:hAnsi="Times New Roman"/>
          <w:sz w:val="24"/>
          <w:szCs w:val="24"/>
          <w:lang w:val="en-GB"/>
        </w:rPr>
        <w:t>.</w:t>
      </w:r>
      <w:r w:rsidR="00931FEB" w:rsidRPr="00042ADE">
        <w:rPr>
          <w:rFonts w:ascii="Times New Roman" w:hAnsi="Times New Roman"/>
          <w:sz w:val="24"/>
          <w:szCs w:val="24"/>
          <w:lang w:val="en-GB"/>
        </w:rPr>
        <w:t xml:space="preserve"> Besides, the Spanish version of the Revised Fibromyalgia Impact Questionnaire (FIQ-R) was used to assess the degree of FMS symptoms </w:t>
      </w:r>
      <w:r w:rsidR="00931FEB" w:rsidRPr="00042ADE">
        <w:rPr>
          <w:rFonts w:ascii="Times New Roman" w:hAnsi="Times New Roman"/>
          <w:sz w:val="24"/>
          <w:szCs w:val="24"/>
          <w:lang w:val="en-GB"/>
        </w:rPr>
        <w:fldChar w:fldCharType="begin" w:fldLock="1"/>
      </w:r>
      <w:r w:rsidR="00931FEB" w:rsidRPr="00042ADE">
        <w:rPr>
          <w:rFonts w:ascii="Times New Roman" w:hAnsi="Times New Roman"/>
          <w:sz w:val="24"/>
          <w:szCs w:val="24"/>
          <w:lang w:val="en-GB"/>
        </w:rPr>
        <w:instrText>ADDIN CSL_CITATION {"citationItems":[{"id":"ITEM-1","itemData":{"DOI":"10.1186/1477-7525-11-132","ISSN":"1477-7525","PMID":"23915386","abstract":"BACKGROUND The Revised version of the Fibromyalgia Impact Questionnaire (FIQR) was published in 2009. The aim of this study was to prepare a Spanish version, and to assess its psychometric properties in a sample of patients with fibromyalgia. METHODS The FIQR was translated into Spanish and administered, along with the FIQ, the Hospital Anxiety Depression Scale (HADS), the 36-Item Short-Form Health Survey (SF-36), and the Brief Pain Inventory (BPI), to 113 Spanish fibromyalgia patients. The administration of the Spanish FIQR was repeated a week later. RESULTS The Spanish FIQR had high internal consistency (Cronbach’s α was 0.91 and 0.95 at visits 1 and 2 respectively). The test-retest reliability was good for the FIQR total score and its function and symptoms domains (intraclass correlation coefficient (ICC &gt; 0.70), but modest for the overall impact domain (ICC = 0.51). Statistically significant correlations (p &lt; 0.05) were also found between the FIQR and the FIQ scores, as well as between the FIQR scores and the remaining scales’ scores. CONCLUSIONS The Spanish version of the FIQR has a good internal consistency and our findings support its validity for assessing fibromyalgia patients. It might be a valid instrument to apply in clinical and investigational grounds.","author":[{"dropping-particle":"","family":"Salgueiro","given":"Monika","non-dropping-particle":"","parse-names":false,"suffix":""},{"dropping-particle":"","family":"García-Leiva","given":"Juan Miguel","non-dropping-particle":"","parse-names":false,"suffix":""},{"dropping-particle":"","family":"Ballesteros","given":"Javier","non-dropping-particle":"","parse-names":false,"suffix":""},{"dropping-particle":"","family":"Hidalgo","given":"Javier","non-dropping-particle":"","parse-names":false,"suffix":""},{"dropping-particle":"","family":"Molina","given":"Rocío","non-dropping-particle":"","parse-names":false,"suffix":""},{"dropping-particle":"","family":"Calandre","given":"Elena P","non-dropping-particle":"","parse-names":false,"suffix":""}],"container-title":"Health and Quality of Life Outcomes","id":"ITEM-1","issue":"1","issued":{"date-parts":[["2013","8","1"]]},"page":"132","title":"Validation of a Spanish version of the Revised Fibromyalgia Impact Questionnaire (FIQR)","type":"article-journal","volume":"11"},"uris":["http://www.mendeley.com/documents/?uuid=9693114c-30bf-3b55-aa00-399ebed50585"]}],"mendeley":{"formattedCitation":"(Salgueiro et al., 2013)","plainTextFormattedCitation":"(Salgueiro et al., 2013)"},"properties":{"noteIndex":0},"schema":"https://github.com/citation-style-language/schema/raw/master/csl-citation.json"}</w:instrText>
      </w:r>
      <w:r w:rsidR="00931FEB" w:rsidRPr="00042ADE">
        <w:rPr>
          <w:rFonts w:ascii="Times New Roman" w:hAnsi="Times New Roman"/>
          <w:sz w:val="24"/>
          <w:szCs w:val="24"/>
          <w:lang w:val="en-GB"/>
        </w:rPr>
        <w:fldChar w:fldCharType="separate"/>
      </w:r>
      <w:r w:rsidR="00931FEB" w:rsidRPr="00042ADE">
        <w:rPr>
          <w:rFonts w:ascii="Times New Roman" w:hAnsi="Times New Roman"/>
          <w:noProof/>
          <w:sz w:val="24"/>
          <w:szCs w:val="24"/>
          <w:lang w:val="en-GB"/>
        </w:rPr>
        <w:t>(Salgueiro et al., 2013)</w:t>
      </w:r>
      <w:r w:rsidR="00931FEB" w:rsidRPr="00042ADE">
        <w:rPr>
          <w:rFonts w:ascii="Times New Roman" w:hAnsi="Times New Roman"/>
          <w:sz w:val="24"/>
          <w:szCs w:val="24"/>
          <w:lang w:val="en-GB"/>
        </w:rPr>
        <w:fldChar w:fldCharType="end"/>
      </w:r>
      <w:r w:rsidR="00931FEB" w:rsidRPr="00042ADE">
        <w:rPr>
          <w:rFonts w:ascii="Times New Roman" w:hAnsi="Times New Roman"/>
          <w:sz w:val="24"/>
          <w:szCs w:val="24"/>
          <w:lang w:val="en-GB"/>
        </w:rPr>
        <w:t xml:space="preserve">. </w:t>
      </w:r>
      <w:r w:rsidRPr="00042ADE">
        <w:rPr>
          <w:rFonts w:ascii="Times New Roman" w:hAnsi="Times New Roman"/>
          <w:sz w:val="24"/>
          <w:szCs w:val="24"/>
          <w:lang w:val="en-GB"/>
        </w:rPr>
        <w:t>Subsequently, main outcomes measures were evaluated in the same day.</w:t>
      </w:r>
      <w:r w:rsidR="00EA00E8" w:rsidRPr="00042ADE">
        <w:rPr>
          <w:rFonts w:ascii="Times New Roman" w:hAnsi="Times New Roman"/>
          <w:sz w:val="24"/>
          <w:szCs w:val="24"/>
          <w:lang w:val="en-GB"/>
        </w:rPr>
        <w:t xml:space="preserve"> Before participation</w:t>
      </w:r>
      <w:r w:rsidR="00FA0CDA" w:rsidRPr="00042ADE">
        <w:rPr>
          <w:rFonts w:ascii="Times New Roman" w:hAnsi="Times New Roman"/>
          <w:sz w:val="24"/>
          <w:szCs w:val="24"/>
          <w:lang w:val="en-GB"/>
        </w:rPr>
        <w:t xml:space="preserve"> in the study</w:t>
      </w:r>
      <w:r w:rsidR="00EA00E8" w:rsidRPr="00042ADE">
        <w:rPr>
          <w:rFonts w:ascii="Times New Roman" w:hAnsi="Times New Roman"/>
          <w:sz w:val="24"/>
          <w:szCs w:val="24"/>
          <w:lang w:val="en-GB"/>
        </w:rPr>
        <w:t>, patients had been informed to wear comfortable clothing such as sport shirt and sweat pants and not to wear any accessories such as watches, bracelets and rings.</w:t>
      </w:r>
      <w:r w:rsidR="004C09C2" w:rsidRPr="00042ADE">
        <w:rPr>
          <w:rFonts w:ascii="Times New Roman" w:hAnsi="Times New Roman"/>
          <w:sz w:val="24"/>
          <w:szCs w:val="24"/>
          <w:lang w:val="en-GB"/>
        </w:rPr>
        <w:t xml:space="preserve"> All participants were only asked to avoid from ingesting any vasoactive substance (alcohol, caffeine, nicotine)</w:t>
      </w:r>
      <w:r w:rsidR="00D63629" w:rsidRPr="00042ADE">
        <w:rPr>
          <w:rFonts w:ascii="Times New Roman" w:hAnsi="Times New Roman"/>
          <w:sz w:val="24"/>
          <w:szCs w:val="24"/>
          <w:lang w:val="en-GB"/>
        </w:rPr>
        <w:t xml:space="preserve"> and food</w:t>
      </w:r>
      <w:r w:rsidR="004C09C2" w:rsidRPr="00042ADE">
        <w:rPr>
          <w:rFonts w:ascii="Times New Roman" w:hAnsi="Times New Roman"/>
          <w:sz w:val="24"/>
          <w:szCs w:val="24"/>
          <w:lang w:val="en-GB"/>
        </w:rPr>
        <w:t xml:space="preserve"> in the two hours prior to the evaluation.</w:t>
      </w:r>
    </w:p>
    <w:p w14:paraId="639BED01" w14:textId="77777777" w:rsidR="009B658B" w:rsidRPr="00042ADE" w:rsidRDefault="009B658B" w:rsidP="0025292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2.2.1. Peripheral vascular response</w:t>
      </w:r>
    </w:p>
    <w:p w14:paraId="6FE01D05" w14:textId="1C68AF30" w:rsidR="009B658B" w:rsidRPr="00042ADE" w:rsidRDefault="002D2B14" w:rsidP="00252928">
      <w:pPr>
        <w:spacing w:line="480" w:lineRule="auto"/>
        <w:jc w:val="both"/>
        <w:rPr>
          <w:rFonts w:ascii="Times New Roman" w:hAnsi="Times New Roman"/>
          <w:sz w:val="24"/>
          <w:szCs w:val="24"/>
          <w:lang w:val="en-GB"/>
        </w:rPr>
      </w:pPr>
      <w:r w:rsidRPr="00042ADE">
        <w:rPr>
          <w:rFonts w:ascii="Times New Roman" w:hAnsi="Times New Roman"/>
          <w:sz w:val="24"/>
          <w:szCs w:val="24"/>
          <w:lang w:val="en-GB"/>
        </w:rPr>
        <w:lastRenderedPageBreak/>
        <w:t xml:space="preserve">The infrared thermography (IT) is a non-invasive technique that measures local changes in skin temperature. IT is a useful method that providing physiological information about the microvasculature and skin surface temperature </w:t>
      </w:r>
      <w:r w:rsidRPr="00042ADE">
        <w:rPr>
          <w:rFonts w:ascii="Times New Roman" w:hAnsi="Times New Roman"/>
          <w:sz w:val="24"/>
          <w:szCs w:val="24"/>
          <w:lang w:val="en-GB"/>
        </w:rPr>
        <w:fldChar w:fldCharType="begin" w:fldLock="1"/>
      </w:r>
      <w:r w:rsidR="00EA66AC" w:rsidRPr="00042ADE">
        <w:rPr>
          <w:rFonts w:ascii="Times New Roman" w:hAnsi="Times New Roman"/>
          <w:sz w:val="24"/>
          <w:szCs w:val="24"/>
          <w:lang w:val="en-GB"/>
        </w:rPr>
        <w:instrText>ADDIN CSL_CITATION {"citationItems":[{"id":"ITEM-1","itemData":{"DOI":"10.1001/jama.2014.3266","ISSN":"15383598","PMID":"24737367","abstract":"IMPORTANCE Fibromyalgia is present in as much as 2% to 8% of the population, is characterized by widespread pain, and is often accompanied by fatigue, memory problems, and sleep disturbances. OBJECTIVE To review the epidemiology, pathophysiology, diagnosis, and treatment of fibromyalgia. EVIDENCE REVIEW The medical literature on fibromyalgia was reviewed from 1955 to March 2014 via MEDLINE and the Cochrane Central Registry of Controlled Trials, with an emphasis on meta-analyses and contemporary evidence-based treatment guidelines. Treatment recommendations are based on the most recent evidence-based guidelines from the Canadian Pain Society and graded from 1 to 5 based on the level of available evidence. FINDINGS Numerous treatments are available for managing fibromyalgia that are supported by high-quality evidence. These include nonpharmacological therapies (education, exercise, cognitive behavioral therapy) and pharmacological therapies (tricyclics, serotonin norepinephrine reuptake inhibitors, and gabapentinoids). CONCLUSIONS AND RELEVANCE Fibromyalgia and other \"centralized\" pain states are much better understood now than ever before. Fibromyalgia may be considered as a discrete diagnosis or as a constellation of symptoms characterized by central nervous system pain amplification with concomitant fatigue, memory problems, and sleep and mood disturbances. Effective treatment for fibromyalgia is now possible. Copyright 2014 American Medical Association. All rights reserved.","author":[{"dropping-particle":"","family":"Clauw","given":"Daniel J.","non-dropping-particle":"","parse-names":false,"suffix":""}],"container-title":"JAMA - Journal of the American Medical Association","id":"ITEM-1","issue":"15","issued":{"date-parts":[["2014"]]},"page":"1547-1555","publisher":"American Medical Association","title":"Fibromyalgia: A clinical review","type":"article","volume":"311"},"uris":["http://www.mendeley.com/documents/?uuid=b88f6c06-02fa-3219-818e-db52fb0bee6b"]},{"id":"ITEM-2","itemData":{"DOI":"10.1007/s10286-011-0150-6","ISSN":"0959-9851","PMID":"22038566","abstract":"OBJECTIVES The hypothesis of autonomic nervous system involvement in pathophysiology in the patients with fibromyalgia has been addressed and tested time and again but the existing reports are both contradictory and inconclusive. A complete knowledge of the degree of autonomic dysfunction in fibromyalgia patients would be more substantial. We conducted a comprehensive non-invasive study to investigate the complete autonomic profile of female patients with fibromyalgia. METHOD An autonomic function test using a standard battery and heart rate variability analysis in the 42 fibromyalgia patients as well as 42 age matched healthy controls was performed. Both autonomic activity (tone) and reactivity were measured. Autonomic tone (both time and frequency domain parameters) was measured using heart rate variability (HRV) analysis. Autonomic reactivity was measured using a standard battery of autonomic function tests. RESULTS Resting blood pressure (both systolic and diastolic) was significantly higher in the fibromyalgia patients than controls. The time domain variables and HF% as recorded by HRV were significantly lower in the patients than the controls. The autonomic reactivity for sympathetic and parasympathetic nervous system was found to be within normal limits. INTERPRETATION The cardiac autonomic function is normal and the autonomic reflex arc seems to be intact in the patients with fibromyalgia.","author":[{"dropping-particle":"","family":"Kulshreshtha","given":"Poorvi","non-dropping-particle":"","parse-names":false,"suffix":""},{"dropping-particle":"","family":"Gupta","given":"Rajiva","non-dropping-particle":"","parse-names":false,"suffix":""},{"dropping-particle":"","family":"Yadav","given":"Raj Kumar","non-dropping-particle":"","parse-names":false,"suffix":""},{"dropping-particle":"","family":"Bijlani","given":"Ramesh Lal","non-dropping-particle":"","parse-names":false,"suffix":""},{"dropping-particle":"","family":"Deepak","given":"Kishore Kumar","non-dropping-particle":"","parse-names":false,"suffix":""}],"container-title":"Clinical Autonomic Research","id":"ITEM-2","issue":"3","issued":{"date-parts":[["2012","6","25"]]},"page":"117-122","title":"A comprehensive study of autonomic dysfunction in the fibromyalgia patients","type":"article-journal","volume":"22"},"uris":["http://www.mendeley.com/documents/?uuid=c644a2be-38d9-3386-a437-5f91a9457588"]},{"id":"ITEM-3","itemData":{"DOI":"10.1113/jphysiol.1956.sp005489","ISSN":"00223751","author":[{"dropping-particle":"","family":"GASKELL","given":"P.","non-dropping-particle":"","parse-names":false,"suffix":""}],"container-title":"The Journal of physiology","id":"ITEM-3","issue":"3","issued":{"date-parts":[["1956"]]},"page":"647-656","publisher":"J Physiol","title":"Are there sympathetic vasodilator nerves to the vessels of the hands.","type":"article-journal","volume":"131"},"uris":["http://www.mendeley.com/documents/?uuid=ff530b6b-8036-3f2d-afc4-fb5b03d7d1a9"]}],"mendeley":{"formattedCitation":"(Clauw, 2014; GASKELL, 1956; Kulshreshtha et al., 2012)","manualFormatting":"(Clauw, 2014; Gaskell, 1956; Kulshreshtha et al., 2012)","plainTextFormattedCitation":"(Clauw, 2014; GASKELL, 1956; Kulshreshtha et al., 2012)","previouslyFormattedCitation":"(Clauw, 2014; GASKELL, 1956; Kulshreshtha et al., 2012)"},"properties":{"noteIndex":0},"schema":"https://github.com/citation-style-language/schema/raw/master/csl-citation.json"}</w:instrText>
      </w:r>
      <w:r w:rsidRPr="00042ADE">
        <w:rPr>
          <w:rFonts w:ascii="Times New Roman" w:hAnsi="Times New Roman"/>
          <w:sz w:val="24"/>
          <w:szCs w:val="24"/>
          <w:lang w:val="en-GB"/>
        </w:rPr>
        <w:fldChar w:fldCharType="separate"/>
      </w:r>
      <w:r w:rsidRPr="00042ADE">
        <w:rPr>
          <w:rFonts w:ascii="Times New Roman" w:hAnsi="Times New Roman"/>
          <w:noProof/>
          <w:sz w:val="24"/>
          <w:szCs w:val="24"/>
          <w:lang w:val="en-GB"/>
        </w:rPr>
        <w:t xml:space="preserve">(Clauw, 2014; </w:t>
      </w:r>
      <w:r w:rsidR="00E102A9" w:rsidRPr="00042ADE">
        <w:rPr>
          <w:rFonts w:ascii="Times New Roman" w:hAnsi="Times New Roman"/>
          <w:noProof/>
          <w:sz w:val="24"/>
          <w:szCs w:val="24"/>
          <w:lang w:val="en-GB"/>
        </w:rPr>
        <w:t>Gaskell</w:t>
      </w:r>
      <w:r w:rsidRPr="00042ADE">
        <w:rPr>
          <w:rFonts w:ascii="Times New Roman" w:hAnsi="Times New Roman"/>
          <w:noProof/>
          <w:sz w:val="24"/>
          <w:szCs w:val="24"/>
          <w:lang w:val="en-GB"/>
        </w:rPr>
        <w:t>, 1956; Kulshreshtha et al., 2012)</w:t>
      </w:r>
      <w:r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w:t>
      </w:r>
      <w:r w:rsidR="00C46C18" w:rsidRPr="00042ADE">
        <w:rPr>
          <w:rFonts w:ascii="Times New Roman" w:hAnsi="Times New Roman"/>
          <w:sz w:val="24"/>
          <w:szCs w:val="24"/>
          <w:lang w:val="en-GB"/>
        </w:rPr>
        <w:t>IT has demon</w:t>
      </w:r>
      <w:r w:rsidR="00C44C23" w:rsidRPr="00042ADE">
        <w:rPr>
          <w:rFonts w:ascii="Times New Roman" w:hAnsi="Times New Roman"/>
          <w:sz w:val="24"/>
          <w:szCs w:val="24"/>
          <w:lang w:val="en-GB"/>
        </w:rPr>
        <w:t>strated</w:t>
      </w:r>
      <w:r w:rsidR="00C46C18" w:rsidRPr="00042ADE">
        <w:rPr>
          <w:rFonts w:ascii="Times New Roman" w:hAnsi="Times New Roman"/>
          <w:sz w:val="24"/>
          <w:szCs w:val="24"/>
          <w:lang w:val="en-GB"/>
        </w:rPr>
        <w:t xml:space="preserve"> a sensitivity of 90% and a specificity of 86%</w:t>
      </w:r>
      <w:r w:rsidR="00EA66AC" w:rsidRPr="00042ADE">
        <w:rPr>
          <w:rFonts w:ascii="Times New Roman" w:hAnsi="Times New Roman"/>
          <w:sz w:val="24"/>
          <w:szCs w:val="24"/>
          <w:lang w:val="en-GB"/>
        </w:rPr>
        <w:t xml:space="preserve"> </w:t>
      </w:r>
      <w:r w:rsidR="00EA66AC" w:rsidRPr="00042ADE">
        <w:rPr>
          <w:rFonts w:ascii="Times New Roman" w:hAnsi="Times New Roman"/>
          <w:sz w:val="24"/>
          <w:szCs w:val="24"/>
          <w:lang w:val="en-GB"/>
        </w:rPr>
        <w:fldChar w:fldCharType="begin" w:fldLock="1"/>
      </w:r>
      <w:r w:rsidR="00FF5C04" w:rsidRPr="00042ADE">
        <w:rPr>
          <w:rFonts w:ascii="Times New Roman" w:hAnsi="Times New Roman"/>
          <w:sz w:val="24"/>
          <w:szCs w:val="24"/>
          <w:lang w:val="en-GB"/>
        </w:rPr>
        <w:instrText>ADDIN CSL_CITATION {"citationItems":[{"id":"ITEM-1","itemData":{"DOI":"10.2486/indhealth.2016-0201","ISSN":"00198366","PMID":"28321017","abstract":"Japanese women now account for 43 percent of the labor force. A number of them are involved in construction, agricultural and forestry jobs. The aim of this study was to establish a non-invasive technique for the evaluation of peripheral circulatory functions in women with Raynaud’s phenomenon (RP) and introduce a specific method for the assessment of vascular disturbances in females exposed to hand-transmitted vibration. The subjects of this study were 10 women with primary RP, 7 women with progressive systemic sclerosis (PSS) secondary to RP, and 17 females who were included as the control group. The evaluation of peripheral circulatory functions in all subjects was based on the values of finger blood flow (FBF) and finger skin temperature (FST) measured before, during and following a 5-min recovery period after the hand was immersed in cold water (5°C, 1 min). The measured values of FBF and FST of the primary RP group before and after the immersion test were significantly (p &lt; 0.01) lower compared to those of the control group. The technique applied in this study could be used as a non-invasive and tolerable technique to determine the digital circulatory functions in female subjects with RP.","author":[{"dropping-particle":"","family":"Mirbod","given":"Seyed Mohammad","non-dropping-particle":"","parse-names":false,"suffix":""},{"dropping-particle":"","family":"Sugiura","given":"Haruo","non-dropping-particle":"","parse-names":false,"suffix":""}],"container-title":"Industrial Health","id":"ITEM-1","issue":"3","issued":{"date-parts":[["2017"]]},"page":"275-284","publisher":"National Institute of Industrial Health","title":"A non-invasive technique for the evaluation of peripheral circulatory functions in female subjects with Raynaud’s phenomenon","type":"article-journal","volume":"55"},"uris":["http://www.mendeley.com/documents/?uuid=da68cae7-4b9b-3b4a-88c3-1e43ff04e8ef"]}],"mendeley":{"formattedCitation":"(Mirbod and Sugiura, 2017)","plainTextFormattedCitation":"(Mirbod and Sugiura, 2017)","previouslyFormattedCitation":"(Mirbod and Sugiura, 2017)"},"properties":{"noteIndex":0},"schema":"https://github.com/citation-style-language/schema/raw/master/csl-citation.json"}</w:instrText>
      </w:r>
      <w:r w:rsidR="00EA66AC" w:rsidRPr="00042ADE">
        <w:rPr>
          <w:rFonts w:ascii="Times New Roman" w:hAnsi="Times New Roman"/>
          <w:sz w:val="24"/>
          <w:szCs w:val="24"/>
          <w:lang w:val="en-GB"/>
        </w:rPr>
        <w:fldChar w:fldCharType="separate"/>
      </w:r>
      <w:r w:rsidR="00EA66AC" w:rsidRPr="00042ADE">
        <w:rPr>
          <w:rFonts w:ascii="Times New Roman" w:hAnsi="Times New Roman"/>
          <w:noProof/>
          <w:sz w:val="24"/>
          <w:szCs w:val="24"/>
          <w:lang w:val="en-GB"/>
        </w:rPr>
        <w:t>(Mirbod and Sugiura, 2017)</w:t>
      </w:r>
      <w:r w:rsidR="00EA66AC" w:rsidRPr="00042ADE">
        <w:rPr>
          <w:rFonts w:ascii="Times New Roman" w:hAnsi="Times New Roman"/>
          <w:sz w:val="24"/>
          <w:szCs w:val="24"/>
          <w:lang w:val="en-GB"/>
        </w:rPr>
        <w:fldChar w:fldCharType="end"/>
      </w:r>
      <w:r w:rsidR="00C46C18" w:rsidRPr="00042ADE">
        <w:rPr>
          <w:rFonts w:ascii="Times New Roman" w:hAnsi="Times New Roman"/>
          <w:sz w:val="24"/>
          <w:szCs w:val="24"/>
          <w:lang w:val="en-GB"/>
        </w:rPr>
        <w:t xml:space="preserve">. </w:t>
      </w:r>
      <w:r w:rsidR="00DB4DD6" w:rsidRPr="00042ADE">
        <w:rPr>
          <w:rFonts w:ascii="Times New Roman" w:hAnsi="Times New Roman"/>
          <w:sz w:val="24"/>
          <w:szCs w:val="24"/>
          <w:lang w:val="en-GB"/>
        </w:rPr>
        <w:t>Thermographic images of dorsal and palm site of both hands were acquired using a FLIR B335 infrared thermography camera (FLIR Systems, INC., USA). Atmospheric temperature of the camera was set at 20ºC and spectral emissivity was set at 0.98, since human skin behaves as a blackbody with an emissivity of 0.96-0.99</w:t>
      </w:r>
      <w:r w:rsidR="00C90A59" w:rsidRPr="00042ADE">
        <w:rPr>
          <w:rFonts w:ascii="Times New Roman" w:hAnsi="Times New Roman"/>
          <w:sz w:val="24"/>
          <w:szCs w:val="24"/>
          <w:lang w:val="en-GB"/>
        </w:rPr>
        <w:t xml:space="preserve"> </w:t>
      </w:r>
      <w:r w:rsidR="00C90A59" w:rsidRPr="00042ADE">
        <w:rPr>
          <w:rFonts w:ascii="Times New Roman" w:hAnsi="Times New Roman"/>
          <w:sz w:val="24"/>
          <w:szCs w:val="24"/>
          <w:lang w:val="en-GB"/>
        </w:rPr>
        <w:fldChar w:fldCharType="begin" w:fldLock="1"/>
      </w:r>
      <w:r w:rsidR="008036C5" w:rsidRPr="00042ADE">
        <w:rPr>
          <w:rFonts w:ascii="Times New Roman" w:hAnsi="Times New Roman"/>
          <w:sz w:val="24"/>
          <w:szCs w:val="24"/>
          <w:lang w:val="en-GB"/>
        </w:rPr>
        <w:instrText>ADDIN CSL_CITATION {"citationItems":[{"id":"ITEM-1","itemData":{"DOI":"10.1088/0967-3334/33/3/R33","ISSN":"0967-3334","PMID":"22370242","abstract":"This review describes the features of modern infrared imaging technology and the standardization protocols for thermal imaging in medicine. The technique essentially uses naturally emitted infrared radiation from the skin surface. Recent studies have investigated the influence of equipment and the methods of image recording. The credibility and acceptance of thermal imaging in medicine is subject to critical use of the technology and proper understanding of thermal physiology. Finally, we review established and evolving medical applications for thermal imaging, including inflammatory diseases, complex regional pain syndrome and Raynaud's phenomenon. Recent interest in the potential applications for fever screening is described, and some other areas of medicine where some research papers have included thermal imaging as an assessment modality. In certain applications thermal imaging is shown to provide objective measurement of temperature changes that are clinically significant.","author":[{"dropping-particle":"","family":"Ring","given":"E F J","non-dropping-particle":"","parse-names":false,"suffix":""},{"dropping-particle":"","family":"Ammer","given":"K","non-dropping-particle":"","parse-names":false,"suffix":""}],"container-title":"Physiological Measurement","id":"ITEM-1","issue":"3","issued":{"date-parts":[["2012","3","1"]]},"page":"R33-R46","title":"Infrared thermal imaging in medicine","type":"article-journal","volume":"33"},"uris":["http://www.mendeley.com/documents/?uuid=f264104b-8ac2-38b8-b655-24614f812b3e"]},{"id":"ITEM-2","itemData":{"DOI":"10.1117/1.3086612","ISSN":"10833668","PMID":"19405736","abstract":"To study the radiation emitted by the human skin, the emissivity of its surface must be known. We present a new approach to measure the emissivity of the human skin in vivo. Our method is based on the calculation of the difference of two infrared images: one acquired before projecting a CO(2) laser beam on the surface of the skin and the other after such projection. The difference image contains the radiation reflected by the skin, which is used to calculate the emissivity, making use of Kirchhoff's law and the Helmholtz reciprocity relation. With our method, noncontact measurements are achieved, and the determination of the skin temperature is not needed, which has been an inconvenience for other methods. We show that it is possible to make determinations of the emissivity at specific wavelengths. Last, our results confirm that the human skin obeys Lambert's law of diffuse reflection and that it behaves almost like a blackbody at a wavelength of 10.6 microm.","author":[{"dropping-particle":"","family":"Sanchez-Marin","given":"Francisco J.","non-dropping-particle":"","parse-names":false,"suffix":""},{"dropping-particle":"","family":"Calixto-Carrera","given":"Sergio","non-dropping-particle":"","parse-names":false,"suffix":""},{"dropping-particle":"","family":"Villaseñor-Mora","given":"Carlos","non-dropping-particle":"","parse-names":false,"suffix":""}],"container-title":"Journal of Biomedical Optics","id":"ITEM-2","issue":"2","issued":{"date-parts":[["2009"]]},"page":"024006","title":"Novel approach to assess the emissivity of the human skin","type":"article-journal","volume":"14"},"uris":["http://www.mendeley.com/documents/?uuid=9f0a153f-80ae-37fd-bcad-eea0fcd1ff5a"]}],"mendeley":{"formattedCitation":"(Ring and Ammer, 2012; Sanchez-Marin et al., 2009)","plainTextFormattedCitation":"(Ring and Ammer, 2012; Sanchez-Marin et al., 2009)","previouslyFormattedCitation":"(Ring and Ammer, 2012; Sanchez-Marin et al., 2009)"},"properties":{"noteIndex":0},"schema":"https://github.com/citation-style-language/schema/raw/master/csl-citation.json"}</w:instrText>
      </w:r>
      <w:r w:rsidR="00C90A59" w:rsidRPr="00042ADE">
        <w:rPr>
          <w:rFonts w:ascii="Times New Roman" w:hAnsi="Times New Roman"/>
          <w:sz w:val="24"/>
          <w:szCs w:val="24"/>
          <w:lang w:val="en-GB"/>
        </w:rPr>
        <w:fldChar w:fldCharType="separate"/>
      </w:r>
      <w:r w:rsidR="00C90A59" w:rsidRPr="00042ADE">
        <w:rPr>
          <w:rFonts w:ascii="Times New Roman" w:hAnsi="Times New Roman"/>
          <w:noProof/>
          <w:sz w:val="24"/>
          <w:szCs w:val="24"/>
          <w:lang w:val="en-GB"/>
        </w:rPr>
        <w:t>(Ring and Ammer, 2012; Sanchez-Marin et al., 2009)</w:t>
      </w:r>
      <w:r w:rsidR="00C90A59" w:rsidRPr="00042ADE">
        <w:rPr>
          <w:rFonts w:ascii="Times New Roman" w:hAnsi="Times New Roman"/>
          <w:sz w:val="24"/>
          <w:szCs w:val="24"/>
          <w:lang w:val="en-GB"/>
        </w:rPr>
        <w:fldChar w:fldCharType="end"/>
      </w:r>
      <w:r w:rsidR="00DB4DD6" w:rsidRPr="00042ADE">
        <w:rPr>
          <w:rFonts w:ascii="Times New Roman" w:hAnsi="Times New Roman"/>
          <w:sz w:val="24"/>
          <w:szCs w:val="24"/>
          <w:lang w:val="en-GB"/>
        </w:rPr>
        <w:t>.</w:t>
      </w:r>
      <w:r w:rsidR="008036C5" w:rsidRPr="00042ADE">
        <w:rPr>
          <w:rFonts w:ascii="Times New Roman" w:hAnsi="Times New Roman"/>
          <w:sz w:val="24"/>
          <w:szCs w:val="24"/>
          <w:lang w:val="en-GB"/>
        </w:rPr>
        <w:t xml:space="preserve"> All thermal images were conducted with compliance to the recommendations of the European Association of Thermology </w:t>
      </w:r>
      <w:r w:rsidR="008036C5" w:rsidRPr="00042ADE">
        <w:rPr>
          <w:rFonts w:ascii="Times New Roman" w:hAnsi="Times New Roman"/>
          <w:sz w:val="24"/>
          <w:szCs w:val="24"/>
          <w:lang w:val="en-GB"/>
        </w:rPr>
        <w:fldChar w:fldCharType="begin" w:fldLock="1"/>
      </w:r>
      <w:r w:rsidR="00F363AF" w:rsidRPr="00042ADE">
        <w:rPr>
          <w:rFonts w:ascii="Times New Roman" w:hAnsi="Times New Roman"/>
          <w:sz w:val="24"/>
          <w:szCs w:val="24"/>
          <w:lang w:val="en-GB"/>
        </w:rPr>
        <w:instrText>ADDIN CSL_CITATION {"citationItems":[{"id":"ITEM-1","itemData":{"DOI":"10.1088/0967-3334/33/3/R33","ISSN":"0967-3334","PMID":"22370242","abstract":"This review describes the features of modern infrared imaging technology and the standardization protocols for thermal imaging in medicine. The technique essentially uses naturally emitted infrared radiation from the skin surface. Recent studies have investigated the influence of equipment and the methods of image recording. The credibility and acceptance of thermal imaging in medicine is subject to critical use of the technology and proper understanding of thermal physiology. Finally, we review established and evolving medical applications for thermal imaging, including inflammatory diseases, complex regional pain syndrome and Raynaud's phenomenon. Recent interest in the potential applications for fever screening is described, and some other areas of medicine where some research papers have included thermal imaging as an assessment modality. In certain applications thermal imaging is shown to provide objective measurement of temperature changes that are clinically significant.","author":[{"dropping-particle":"","family":"Ring","given":"E F J","non-dropping-particle":"","parse-names":false,"suffix":""},{"dropping-particle":"","family":"Ammer","given":"K","non-dropping-particle":"","parse-names":false,"suffix":""}],"container-title":"Physiological Measurement","id":"ITEM-1","issue":"3","issued":{"date-parts":[["2012","3","1"]]},"page":"R33-R46","title":"Infrared thermal imaging in medicine","type":"article-journal","volume":"33"},"uris":["http://www.mendeley.com/documents/?uuid=f264104b-8ac2-38b8-b655-24614f812b3e"]}],"mendeley":{"formattedCitation":"(Ring and Ammer, 2012)","plainTextFormattedCitation":"(Ring and Ammer, 2012)","previouslyFormattedCitation":"(Ring and Ammer, 2012)"},"properties":{"noteIndex":0},"schema":"https://github.com/citation-style-language/schema/raw/master/csl-citation.json"}</w:instrText>
      </w:r>
      <w:r w:rsidR="008036C5" w:rsidRPr="00042ADE">
        <w:rPr>
          <w:rFonts w:ascii="Times New Roman" w:hAnsi="Times New Roman"/>
          <w:sz w:val="24"/>
          <w:szCs w:val="24"/>
          <w:lang w:val="en-GB"/>
        </w:rPr>
        <w:fldChar w:fldCharType="separate"/>
      </w:r>
      <w:r w:rsidR="008036C5" w:rsidRPr="00042ADE">
        <w:rPr>
          <w:rFonts w:ascii="Times New Roman" w:hAnsi="Times New Roman"/>
          <w:noProof/>
          <w:sz w:val="24"/>
          <w:szCs w:val="24"/>
          <w:lang w:val="en-GB"/>
        </w:rPr>
        <w:t>(Ring and Ammer, 2012)</w:t>
      </w:r>
      <w:r w:rsidR="008036C5" w:rsidRPr="00042ADE">
        <w:rPr>
          <w:rFonts w:ascii="Times New Roman" w:hAnsi="Times New Roman"/>
          <w:sz w:val="24"/>
          <w:szCs w:val="24"/>
          <w:lang w:val="en-GB"/>
        </w:rPr>
        <w:fldChar w:fldCharType="end"/>
      </w:r>
      <w:r w:rsidR="008036C5" w:rsidRPr="00042ADE">
        <w:rPr>
          <w:rFonts w:ascii="Times New Roman" w:hAnsi="Times New Roman"/>
          <w:sz w:val="24"/>
          <w:szCs w:val="24"/>
          <w:lang w:val="en-GB"/>
        </w:rPr>
        <w:t xml:space="preserve">. </w:t>
      </w:r>
      <w:r w:rsidR="00CA6BA2" w:rsidRPr="00042ADE">
        <w:rPr>
          <w:rFonts w:ascii="Times New Roman" w:hAnsi="Times New Roman"/>
          <w:sz w:val="24"/>
          <w:szCs w:val="24"/>
          <w:lang w:val="en-GB"/>
        </w:rPr>
        <w:t>All thermograms were obtained in the same conditions. The participants stayed in a sitting position in a room with a constant tem</w:t>
      </w:r>
      <w:r w:rsidR="00EE1812" w:rsidRPr="00042ADE">
        <w:rPr>
          <w:rFonts w:ascii="Times New Roman" w:hAnsi="Times New Roman"/>
          <w:sz w:val="24"/>
          <w:szCs w:val="24"/>
          <w:lang w:val="en-GB"/>
        </w:rPr>
        <w:t>perature of 20</w:t>
      </w:r>
      <w:r w:rsidR="00CA6BA2" w:rsidRPr="00042ADE">
        <w:rPr>
          <w:rFonts w:ascii="Times New Roman" w:hAnsi="Times New Roman"/>
          <w:sz w:val="24"/>
          <w:szCs w:val="24"/>
          <w:lang w:val="en-GB"/>
        </w:rPr>
        <w:t>ºC, following an acclimatization period of 20 minutes. After acclimatization, IT was firstly performed at the dorsal site and then at the palm site of both hands, images were captured from t</w:t>
      </w:r>
      <w:r w:rsidR="001A6FF4" w:rsidRPr="00042ADE">
        <w:rPr>
          <w:rFonts w:ascii="Times New Roman" w:hAnsi="Times New Roman"/>
          <w:sz w:val="24"/>
          <w:szCs w:val="24"/>
          <w:lang w:val="en-GB"/>
        </w:rPr>
        <w:t>he distal phalanx to the wrist</w:t>
      </w:r>
      <w:r w:rsidR="00642EFC" w:rsidRPr="00042ADE">
        <w:rPr>
          <w:rFonts w:ascii="Times New Roman" w:hAnsi="Times New Roman"/>
          <w:sz w:val="24"/>
          <w:szCs w:val="24"/>
          <w:lang w:val="en-GB"/>
        </w:rPr>
        <w:t xml:space="preserve"> </w:t>
      </w:r>
      <w:r w:rsidR="00642EFC" w:rsidRPr="00042ADE">
        <w:rPr>
          <w:rFonts w:ascii="Times New Roman" w:hAnsi="Times New Roman"/>
          <w:sz w:val="24"/>
          <w:szCs w:val="24"/>
          <w:lang w:val="en-GB"/>
        </w:rPr>
        <w:fldChar w:fldCharType="begin" w:fldLock="1"/>
      </w:r>
      <w:r w:rsidR="005B0606" w:rsidRPr="00042ADE">
        <w:rPr>
          <w:rFonts w:ascii="Times New Roman" w:hAnsi="Times New Roman"/>
          <w:sz w:val="24"/>
          <w:szCs w:val="24"/>
          <w:lang w:val="en-GB"/>
        </w:rPr>
        <w:instrText>ADDIN CSL_CITATION {"citationItems":[{"id":"ITEM-1","itemData":{"DOI":"10.3346/jkms.2014.29.4.502","ISSN":"15986357","PMID":"24753696","abstract":"The aim of this study was to determine whether skin temperature measurement by digital thermography on hands and feet is useful for diagnosis of Raynaud's phenomenon (RP). Fifty-seven patients with RP (primary RP, n=33; secondary RP, n=24) and 146 healthy volunteers were recruited. After acclimation to room temperature for 30 min, thermal imaging of palmar aspect of hands and dorsal aspect of feet were taken. Temperature differences between palm (center) and the coolest finger and temperature differences between foot dorsum (center) and first toe significantly differed between patients and controls. The area under curve analysis showed that temperature difference of the coolest finger (cutoff value: 2.2°C) differentiated RP patients from controls (sensitivity/specificity: 67/60%, respectively). Temperature differences of first toe (cutoff value: 3.11°C) also discriminated RP patients (sensitivity/specificity: about 73/66%, respectively). A combination of thermographic assessment of the coolest finger and first toe was highly effective in men (sensitivity/specificity: about 88/60%, respectively) while thermographic assessment of first toe was solely sufficient for women (sensitivity/specificity: about 74/68%, respectively). Thermographic assessment of the coolest finger and first toe is useful for diagnosing RP. In women, thermography of first toe is highly recommended. © 2014 The Korean Academy of Medical Sciences.","author":[{"dropping-particle":"","family":"Lim","given":"Mie Jin","non-dropping-particle":"","parse-names":false,"suffix":""},{"dropping-particle":"","family":"Kwon","given":"Seong Ryul","non-dropping-particle":"","parse-names":false,"suffix":""},{"dropping-particle":"","family":"Jung","given":"Kyong Hee","non-dropping-particle":"","parse-names":false,"suffix":""},{"dropping-particle":"","family":"Joo","given":"Kowoon","non-dropping-particle":"","parse-names":false,"suffix":""},{"dropping-particle":"","family":"Park","given":"Shin Goo","non-dropping-particle":"","parse-names":false,"suffix":""},{"dropping-particle":"","family":"Park","given":"Won","non-dropping-particle":"","parse-names":false,"suffix":""}],"container-title":"Journal of Korean Medical Science","id":"ITEM-1","issue":"4","issued":{"date-parts":[["2014"]]},"page":"502-506","publisher":"Korean Academy of Medical Science","title":"Digital thermography of the fingers and toes in Raynaud's phenomenon","type":"article-journal","volume":"29"},"uris":["http://www.mendeley.com/documents/?uuid=e4b80bfa-dfba-38b7-a3ae-7839cb799644"]}],"mendeley":{"formattedCitation":"(Lim et al., 2014)","plainTextFormattedCitation":"(Lim et al., 2014)","previouslyFormattedCitation":"(Lim et al., 2014)"},"properties":{"noteIndex":0},"schema":"https://github.com/citation-style-language/schema/raw/master/csl-citation.json"}</w:instrText>
      </w:r>
      <w:r w:rsidR="00642EFC" w:rsidRPr="00042ADE">
        <w:rPr>
          <w:rFonts w:ascii="Times New Roman" w:hAnsi="Times New Roman"/>
          <w:sz w:val="24"/>
          <w:szCs w:val="24"/>
          <w:lang w:val="en-GB"/>
        </w:rPr>
        <w:fldChar w:fldCharType="separate"/>
      </w:r>
      <w:r w:rsidR="00642EFC" w:rsidRPr="00042ADE">
        <w:rPr>
          <w:rFonts w:ascii="Times New Roman" w:hAnsi="Times New Roman"/>
          <w:noProof/>
          <w:sz w:val="24"/>
          <w:szCs w:val="24"/>
          <w:lang w:val="en-GB"/>
        </w:rPr>
        <w:t>(Lim et al., 2014)</w:t>
      </w:r>
      <w:r w:rsidR="00642EFC" w:rsidRPr="00042ADE">
        <w:rPr>
          <w:rFonts w:ascii="Times New Roman" w:hAnsi="Times New Roman"/>
          <w:sz w:val="24"/>
          <w:szCs w:val="24"/>
          <w:lang w:val="en-GB"/>
        </w:rPr>
        <w:fldChar w:fldCharType="end"/>
      </w:r>
      <w:r w:rsidR="001A6FF4" w:rsidRPr="00042ADE">
        <w:rPr>
          <w:rFonts w:ascii="Times New Roman" w:hAnsi="Times New Roman"/>
          <w:sz w:val="24"/>
          <w:szCs w:val="24"/>
          <w:lang w:val="en-GB"/>
        </w:rPr>
        <w:t>.</w:t>
      </w:r>
      <w:r w:rsidR="00CA6BA2" w:rsidRPr="00042ADE">
        <w:rPr>
          <w:rFonts w:ascii="Times New Roman" w:hAnsi="Times New Roman"/>
          <w:sz w:val="24"/>
          <w:szCs w:val="24"/>
          <w:lang w:val="en-GB"/>
        </w:rPr>
        <w:t xml:space="preserve"> The maximum, minimum and average temperature from each point of both hands was calcu</w:t>
      </w:r>
      <w:r w:rsidR="00866966" w:rsidRPr="00042ADE">
        <w:rPr>
          <w:rFonts w:ascii="Times New Roman" w:hAnsi="Times New Roman"/>
          <w:sz w:val="24"/>
          <w:szCs w:val="24"/>
          <w:lang w:val="en-GB"/>
        </w:rPr>
        <w:t>lated using the camera Software (</w:t>
      </w:r>
      <w:r w:rsidR="00866966" w:rsidRPr="00042ADE">
        <w:rPr>
          <w:rFonts w:ascii="Times New Roman" w:hAnsi="Times New Roman"/>
          <w:b/>
          <w:sz w:val="24"/>
          <w:szCs w:val="24"/>
          <w:lang w:val="en-GB"/>
        </w:rPr>
        <w:t>Fig. 1</w:t>
      </w:r>
      <w:r w:rsidR="002243A8" w:rsidRPr="00042ADE">
        <w:rPr>
          <w:rFonts w:ascii="Times New Roman" w:hAnsi="Times New Roman"/>
          <w:b/>
          <w:sz w:val="24"/>
          <w:szCs w:val="24"/>
          <w:lang w:val="en-GB"/>
        </w:rPr>
        <w:t>.</w:t>
      </w:r>
      <w:r w:rsidR="00866966" w:rsidRPr="00042ADE">
        <w:rPr>
          <w:rFonts w:ascii="Times New Roman" w:hAnsi="Times New Roman"/>
          <w:sz w:val="24"/>
          <w:szCs w:val="24"/>
          <w:lang w:val="en-GB"/>
        </w:rPr>
        <w:t>).</w:t>
      </w:r>
      <w:r w:rsidR="00962145" w:rsidRPr="00042ADE">
        <w:rPr>
          <w:rFonts w:ascii="Times New Roman" w:hAnsi="Times New Roman"/>
          <w:sz w:val="24"/>
          <w:szCs w:val="24"/>
          <w:lang w:val="en-GB"/>
        </w:rPr>
        <w:t xml:space="preserve"> IT was conducted in the afternoon for both groups in order to control changes in the circadian rhythm </w:t>
      </w:r>
      <w:r w:rsidR="00962145" w:rsidRPr="00042ADE">
        <w:rPr>
          <w:rFonts w:ascii="Times New Roman" w:hAnsi="Times New Roman"/>
          <w:sz w:val="24"/>
          <w:szCs w:val="24"/>
          <w:lang w:val="en-GB"/>
        </w:rPr>
        <w:fldChar w:fldCharType="begin" w:fldLock="1"/>
      </w:r>
      <w:r w:rsidR="00FA5707" w:rsidRPr="00042ADE">
        <w:rPr>
          <w:rFonts w:ascii="Times New Roman" w:hAnsi="Times New Roman"/>
          <w:sz w:val="24"/>
          <w:szCs w:val="24"/>
          <w:lang w:val="en-GB"/>
        </w:rPr>
        <w:instrText>ADDIN CSL_CITATION {"citationItems":[{"id":"ITEM-1","itemData":{"DOI":"10.1016/j.jtherbio.2017.03.006","ISSN":"18790992","PMID":"28477901","abstract":"This study aimed to search for relations between body fat percentage and skin temperature and to describe possible effects on skin temperature as a result of fat percentage in each anatomical site. Women (26.11±4.41 years old) (n =123) were tested for: body circumferences; skin temperatures (thermal camera); fat percentage and lean mass from trunk, upper and lower limbs; and body fat percentage (Dual-Energy X-Ray Absorptiometry). Values of minimum (TMi), maximum (TMa), and mean temperatures (TMe) were acquired in 30 regions of interest. Pearson's correlation was estimated for body circumferences and skin temperature variables with body fat percentage. Participants were divided into groups of high and low fat percentage of each body segment, of which TMevalues were compared with Student's t-test. Linear regression models for predicting body fat percentage were tested. Body fat percentage was positively correlated with body circumferences and palm temperatures, while it was negatively correlated with most temperatures, such as TMaand TMeof posterior thighs (r =−0.495 and −0.432), TMeof posterior lower limbs (r =−0.488), TMaof anterior thighs (r =−0.406) and TMiand TMeof posterior arms (r =−0.447 and −0.430). Higher fat percentages in the specific anatomical sites tended to decrease TMe, especially in posterior thighs, shanks and arms. Skin temperatures and body circumferences predicted body fat percentage with 58.3% accuracy (R =0.764 and R2=0.583). This study clarifies that skin temperature distribution is influenced by the fat percentage of each body segment.","author":[{"dropping-particle":"","family":"Neves","given":"Eduardo Borba","non-dropping-particle":"","parse-names":false,"suffix":""}],"container-title":"Journal of Thermal Biology","id":"ITEM-1","issued":{"date-parts":[["2017","5","1"]]},"page":"1-9","publisher":"Elsevier Ltd","title":"The effect of body fat percentage and body fat distribution on skin surface temperature with infrared thermography","type":"article-journal","volume":"66"},"uris":["http://www.mendeley.com/documents/?uuid=aadc2a70-c03b-3440-b113-26828c89f7e6"]}],"mendeley":{"formattedCitation":"(Neves, 2017)","plainTextFormattedCitation":"(Neves, 2017)","previouslyFormattedCitation":"(Neves, 2017)"},"properties":{"noteIndex":0},"schema":"https://github.com/citation-style-language/schema/raw/master/csl-citation.json"}</w:instrText>
      </w:r>
      <w:r w:rsidR="00962145" w:rsidRPr="00042ADE">
        <w:rPr>
          <w:rFonts w:ascii="Times New Roman" w:hAnsi="Times New Roman"/>
          <w:sz w:val="24"/>
          <w:szCs w:val="24"/>
          <w:lang w:val="en-GB"/>
        </w:rPr>
        <w:fldChar w:fldCharType="separate"/>
      </w:r>
      <w:r w:rsidR="00962145" w:rsidRPr="00042ADE">
        <w:rPr>
          <w:rFonts w:ascii="Times New Roman" w:hAnsi="Times New Roman"/>
          <w:noProof/>
          <w:sz w:val="24"/>
          <w:szCs w:val="24"/>
          <w:lang w:val="en-GB"/>
        </w:rPr>
        <w:t>(Neves, 2017)</w:t>
      </w:r>
      <w:r w:rsidR="00962145" w:rsidRPr="00042ADE">
        <w:rPr>
          <w:rFonts w:ascii="Times New Roman" w:hAnsi="Times New Roman"/>
          <w:sz w:val="24"/>
          <w:szCs w:val="24"/>
          <w:lang w:val="en-GB"/>
        </w:rPr>
        <w:fldChar w:fldCharType="end"/>
      </w:r>
      <w:r w:rsidR="00962145" w:rsidRPr="00042ADE">
        <w:rPr>
          <w:rFonts w:ascii="Times New Roman" w:hAnsi="Times New Roman"/>
          <w:sz w:val="24"/>
          <w:szCs w:val="24"/>
          <w:lang w:val="en-GB"/>
        </w:rPr>
        <w:t>.</w:t>
      </w:r>
    </w:p>
    <w:p w14:paraId="6936D333" w14:textId="77777777" w:rsidR="002633BF" w:rsidRPr="00042ADE" w:rsidRDefault="003C3CD7"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2.2.2. Core body temperature</w:t>
      </w:r>
    </w:p>
    <w:p w14:paraId="775133D3" w14:textId="63196A9F" w:rsidR="003C3CD7" w:rsidRPr="00042ADE" w:rsidRDefault="00F363AF"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The core body temperature was measured in the external auditory canal with an infrared thermometer (Infrared Dermal Thermometers, </w:t>
      </w:r>
      <w:proofErr w:type="spellStart"/>
      <w:r w:rsidRPr="00042ADE">
        <w:rPr>
          <w:rFonts w:ascii="Times New Roman" w:hAnsi="Times New Roman"/>
          <w:sz w:val="24"/>
          <w:szCs w:val="24"/>
          <w:lang w:val="en-GB"/>
        </w:rPr>
        <w:t>Exergen</w:t>
      </w:r>
      <w:proofErr w:type="spellEnd"/>
      <w:r w:rsidRPr="00042ADE">
        <w:rPr>
          <w:rFonts w:ascii="Times New Roman" w:hAnsi="Times New Roman"/>
          <w:sz w:val="24"/>
          <w:szCs w:val="24"/>
          <w:lang w:val="en-GB"/>
        </w:rPr>
        <w:t>). This technique reflects an accurate measurement of the core temperature due to the relationship of the tympanic artery with the hypothalamus</w:t>
      </w:r>
      <w:r w:rsidR="00ED3638" w:rsidRPr="00042ADE">
        <w:rPr>
          <w:rFonts w:ascii="Times New Roman" w:hAnsi="Times New Roman"/>
          <w:sz w:val="24"/>
          <w:szCs w:val="24"/>
          <w:lang w:val="en-GB"/>
        </w:rPr>
        <w:t xml:space="preserve"> </w:t>
      </w:r>
      <w:r w:rsidR="00FF5C04" w:rsidRPr="00042ADE">
        <w:rPr>
          <w:rFonts w:ascii="Times New Roman" w:hAnsi="Times New Roman"/>
          <w:sz w:val="24"/>
          <w:szCs w:val="24"/>
          <w:lang w:val="en-GB"/>
        </w:rPr>
        <w:t xml:space="preserve">showing </w:t>
      </w:r>
      <w:r w:rsidR="00ED3638" w:rsidRPr="00042ADE">
        <w:rPr>
          <w:rFonts w:ascii="Times New Roman" w:hAnsi="Times New Roman"/>
          <w:sz w:val="24"/>
          <w:szCs w:val="24"/>
          <w:lang w:val="en-GB"/>
        </w:rPr>
        <w:t>a sensitivity of 91% and a specificity of 90%</w:t>
      </w:r>
      <w:r w:rsidRPr="00042ADE">
        <w:rPr>
          <w:rFonts w:ascii="Times New Roman" w:hAnsi="Times New Roman"/>
          <w:sz w:val="24"/>
          <w:szCs w:val="24"/>
          <w:lang w:val="en-GB"/>
        </w:rPr>
        <w:t xml:space="preserve"> </w:t>
      </w:r>
      <w:r w:rsidRPr="00042ADE">
        <w:rPr>
          <w:rFonts w:ascii="Times New Roman" w:hAnsi="Times New Roman"/>
          <w:sz w:val="24"/>
          <w:szCs w:val="24"/>
          <w:lang w:val="en-GB"/>
        </w:rPr>
        <w:fldChar w:fldCharType="begin" w:fldLock="1"/>
      </w:r>
      <w:r w:rsidR="00642EFC" w:rsidRPr="00042ADE">
        <w:rPr>
          <w:rFonts w:ascii="Times New Roman" w:hAnsi="Times New Roman"/>
          <w:sz w:val="24"/>
          <w:szCs w:val="24"/>
          <w:lang w:val="en-GB"/>
        </w:rPr>
        <w:instrText>ADDIN CSL_CITATION {"citationItems":[{"id":"ITEM-1","itemData":{"DOI":"10.1186/1756-0500-6-194","ISSN":"1756-0500","PMID":"23663659","abstract":"BACKGROUND During investigation and diagnosis of patients, accurate temperature measurement is of great importance. The advantages of tympanic membrane thermometry are speed (temperature reading available within seconds), safety, and ease of use. The aim of this study was to compare the accuracy of infrared tympanic thermometers in comparison to mercury thermometers in measurement of body temperature. METHODS Axillary and tympanic temperature was measured simultaneously in consecutive patients using mercury glass and infrared tympanic thermometers at Omdurman Hospital, Sudan during October 2012. RESULTS In total, temperature was measured in 174 patients, 95 of whom (54.6%) were male. The mean (SD) patient age and weight was 33.18 (25.07) years and 52.13 (69.85) kg. There was no significant difference in mean (SD) temperature measurement between mercury and infrared tympanic membrane thermometers, 37.29°C (0.91) versus 37.38°C (0.95), P = 0.373, respectively. There was a significant positive correlation between axillary and tympanic body temperature measurements (r = 0.697, P &lt; 0.001). The mean difference between the two readings (with limits of agreements) was - 0.093 (-0.20; 0.02) °C. CONCLUSION In this study, tympanic membrane thermometry is as reliable and accurate as axillary mercury glass thermometry. Thus, tympanic thermometry can be used in clinical practice, especially in the emergency setting, where ease of use and speed of obtaining the temperature reading are important.","author":[{"dropping-particle":"","family":"Gasim","given":"Gasim I","non-dropping-particle":"","parse-names":false,"suffix":""},{"dropping-particle":"","family":"Musa","given":"Imad R","non-dropping-particle":"","parse-names":false,"suffix":""},{"dropping-particle":"","family":"Abdien","given":"Mohamed T","non-dropping-particle":"","parse-names":false,"suffix":""},{"dropping-particle":"","family":"Adam","given":"Ishag","non-dropping-particle":"","parse-names":false,"suffix":""}],"container-title":"BMC Research Notes","id":"ITEM-1","issue":"1","issued":{"date-parts":[["2013","5","10"]]},"page":"194","title":"Accuracy of tympanic temperature measurement using an infrared tympanic membrane thermometer","type":"article-journal","volume":"6"},"uris":["http://www.mendeley.com/documents/?uuid=191f0043-3a71-3089-867f-4e15c7321da9"]},{"id":"ITEM-2","itemData":{"DOI":"10.1136/emermed-2015-205122","ISSN":"14720213","PMID":"27334759","abstract":"Objective The objective was to compare agreement between three non-invasive measures of temperature and rectal temperatures and to estimate the sensitivity and specificity of these measures to detect a rectal temperature of 38°C or higher. Methods We conducted a study of the diagnostic accuracy of oral, tympanic membrane (TM) and temporal artery (TA) thermometry to measure fever in an urban emergency department (ED). Data were collected from adult patients who received rectal temperature measurement. Bland-Altman analysis was performed; sensitivity, specificity and 95% CIs were calculated. Results 987 patients were enrolled. 36% of the TM and TA readings differed by 0.5°C or more from rectal temperatures, 50% of oral temperatures. TM measures were most precise - the SD of the difference from rectal was 0.4°C TM, and 0.6°C for oral and TA (p&lt;0.001). The sensitivities of a 38°C cutpoint on oral, TM and TA measures to detect a rectal temperature of 38°C or higher were: 37.0%, 68.3% and 71.1%, respectively (oral vs TM and TA p&lt;0.001). The corresponding specificities were 99.4%, 98.2% and 92.3% (oral, TM and TA) with oral specificity significantly higher than the other two methods (p&lt;0.01). TM and TA cutpoints of 37.5°C provided greater than 90% sensitivity to detect fever with specificity of 90% and 72%, respectively. Conclusions None of the non-invasive methods met benchmarks for diagnostic accuracy using the criterion of 38°C to detect rectal temperature of 38°C. A TM cutpoint of 37.5°C provides maximum diagnostic accuracy of the three non-invasive measures.","author":[{"dropping-particle":"","family":"Bijur","given":"Polly E.","non-dropping-particle":"","parse-names":false,"suffix":""},{"dropping-particle":"","family":"Shah","given":"Purvi D.","non-dropping-particle":"","parse-names":false,"suffix":""},{"dropping-particle":"","family":"Esses","given":"David","non-dropping-particle":"","parse-names":false,"suffix":""}],"container-title":"Emergency Medicine Journal","id":"ITEM-2","issue":"12","issued":{"date-parts":[["2016","12","1"]]},"page":"843-847","publisher":"BMJ Publishing Group","title":"Temperature measurement in the adult emergency department: Oral, tympanic membrane and temporal artery temperatures versus rectal temperature","type":"article-journal","volume":"33"},"uris":["http://www.mendeley.com/documents/?uuid=5d4024a9-1810-380e-84f0-b46d5d465002"]}],"mendeley":{"formattedCitation":"(Bijur et al., 2016; Gasim et al., 2013)","plainTextFormattedCitation":"(Bijur et al., 2016; Gasim et al., 2013)","previouslyFormattedCitation":"(Bijur et al., 2016; Gasim et al., 2013)"},"properties":{"noteIndex":0},"schema":"https://github.com/citation-style-language/schema/raw/master/csl-citation.json"}</w:instrText>
      </w:r>
      <w:r w:rsidRPr="00042ADE">
        <w:rPr>
          <w:rFonts w:ascii="Times New Roman" w:hAnsi="Times New Roman"/>
          <w:sz w:val="24"/>
          <w:szCs w:val="24"/>
          <w:lang w:val="en-GB"/>
        </w:rPr>
        <w:fldChar w:fldCharType="separate"/>
      </w:r>
      <w:r w:rsidR="00FF5C04" w:rsidRPr="00042ADE">
        <w:rPr>
          <w:rFonts w:ascii="Times New Roman" w:hAnsi="Times New Roman"/>
          <w:noProof/>
          <w:sz w:val="24"/>
          <w:szCs w:val="24"/>
          <w:lang w:val="en-GB"/>
        </w:rPr>
        <w:t>(Bijur et al., 2016; Gasim et al., 2013)</w:t>
      </w:r>
      <w:r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w:t>
      </w:r>
      <w:r w:rsidR="00917C60" w:rsidRPr="00042ADE">
        <w:rPr>
          <w:rFonts w:ascii="Times New Roman" w:hAnsi="Times New Roman"/>
          <w:sz w:val="24"/>
          <w:szCs w:val="24"/>
          <w:lang w:val="en-GB"/>
        </w:rPr>
        <w:t xml:space="preserve">Moreover, axillary temperature was taken, since it also reflects the body temperature </w:t>
      </w:r>
      <w:r w:rsidR="00917C60" w:rsidRPr="00042ADE">
        <w:rPr>
          <w:rFonts w:ascii="Times New Roman" w:hAnsi="Times New Roman"/>
          <w:sz w:val="24"/>
          <w:szCs w:val="24"/>
          <w:lang w:val="en-GB"/>
        </w:rPr>
        <w:fldChar w:fldCharType="begin" w:fldLock="1"/>
      </w:r>
      <w:r w:rsidR="008F4572" w:rsidRPr="00042ADE">
        <w:rPr>
          <w:rFonts w:ascii="Times New Roman" w:hAnsi="Times New Roman"/>
          <w:sz w:val="24"/>
          <w:szCs w:val="24"/>
          <w:lang w:val="en-GB"/>
        </w:rPr>
        <w:instrText>ADDIN CSL_CITATION {"citationItems":[{"id":"ITEM-1","itemData":{"DOI":"10.1186/1756-0500-6-194","ISSN":"1756-0500","PMID":"23663659","abstract":"BACKGROUND During investigation and diagnosis of patients, accurate temperature measurement is of great importance. The advantages of tympanic membrane thermometry are speed (temperature reading available within seconds), safety, and ease of use. The aim of this study was to compare the accuracy of infrared tympanic thermometers in comparison to mercury thermometers in measurement of body temperature. METHODS Axillary and tympanic temperature was measured simultaneously in consecutive patients using mercury glass and infrared tympanic thermometers at Omdurman Hospital, Sudan during October 2012. RESULTS In total, temperature was measured in 174 patients, 95 of whom (54.6%) were male. The mean (SD) patient age and weight was 33.18 (25.07) years and 52.13 (69.85) kg. There was no significant difference in mean (SD) temperature measurement between mercury and infrared tympanic membrane thermometers, 37.29°C (0.91) versus 37.38°C (0.95), P = 0.373, respectively. There was a significant positive correlation between axillary and tympanic body temperature measurements (r = 0.697, P &lt; 0.001). The mean difference between the two readings (with limits of agreements) was - 0.093 (-0.20; 0.02) °C. CONCLUSION In this study, tympanic membrane thermometry is as reliable and accurate as axillary mercury glass thermometry. Thus, tympanic thermometry can be used in clinical practice, especially in the emergency setting, where ease of use and speed of obtaining the temperature reading are important.","author":[{"dropping-particle":"","family":"Gasim","given":"Gasim I","non-dropping-particle":"","parse-names":false,"suffix":""},{"dropping-particle":"","family":"Musa","given":"Imad R","non-dropping-particle":"","parse-names":false,"suffix":""},{"dropping-particle":"","family":"Abdien","given":"Mohamed T","non-dropping-particle":"","parse-names":false,"suffix":""},{"dropping-particle":"","family":"Adam","given":"Ishag","non-dropping-particle":"","parse-names":false,"suffix":""}],"container-title":"BMC Research Notes","id":"ITEM-1","issue":"1","issued":{"date-parts":[["2013","5","10"]]},"page":"194","title":"Accuracy of tympanic temperature measurement using an infrared tympanic membrane thermometer","type":"article-journal","volume":"6"},"uris":["http://www.mendeley.com/documents/?uuid=191f0043-3a71-3089-867f-4e15c7321da9"]},{"id":"ITEM-2","itemData":{"DOI":"10.1007/BF02758482","ISSN":"00195456","abstract":"The ideal technique for measuring temperature should be rapid, painless, reproducible and accurately reflect the core temperature. While axillary temperature is commonly used because of convenience and safety, there are conflicting reports abouts its accuracy. To determine whether axillary temperature can act as a surrogate for oral/rectal temperatures, a prospective comparative study was conducted. The axillary and rectal temperatures (Group 1 : infants &lt; 1 year age) and axillary and oral temperatures (Group 2 : children 6-14 years age) were compared using mercury-in-glass thermometers. Various tests of agreement were applied to the data obtained. Rectal and axillary temperatures for infants agreed well; the mean difference (95% limits of agreement) between the two being 0.6°C (-0.3°C, 1.4°C). Similarly, the mean difference (95% limits of agreement) between oral and axillary measurements for children aged 6-14 years was observed to be 0.6°C (-0.4°C, 1.4°C). Axillary temperature appears to be an acceptable alternative to rectal/oral temperature measurements in children.","author":[{"dropping-particle":"","family":"Lodha","given":"Rakesh","non-dropping-particle":"","parse-names":false,"suffix":""},{"dropping-particle":"","family":"Mukerji","given":"Nitin","non-dropping-particle":"","parse-names":false,"suffix":""},{"dropping-particle":"","family":"Sinha","given":"Neeraj","non-dropping-particle":"","parse-names":false,"suffix":""},{"dropping-particle":"","family":"Pandey","given":"R. M.","non-dropping-particle":"","parse-names":false,"suffix":""},{"dropping-particle":"","family":"Jain","given":"Yogesh","non-dropping-particle":"","parse-names":false,"suffix":""}],"container-title":"Indian Journal of Pediatrics","id":"ITEM-2","issue":"8","issued":{"date-parts":[["2000"]]},"page":"571-574","publisher":"The Indian Journal of Pediatrics","title":"Is axillary temperature an appropriate surrogate for core temperature?","type":"article-journal","volume":"67"},"uris":["http://www.mendeley.com/documents/?uuid=1f89961a-e7d1-3625-a2a0-326c9f0c3539"]}],"mendeley":{"formattedCitation":"(Gasim et al., 2013; Lodha et al., 2000)","plainTextFormattedCitation":"(Gasim et al., 2013; Lodha et al., 2000)","previouslyFormattedCitation":"(Gasim et al., 2013; Lodha et al., 2000)"},"properties":{"noteIndex":0},"schema":"https://github.com/citation-style-language/schema/raw/master/csl-citation.json"}</w:instrText>
      </w:r>
      <w:r w:rsidR="00917C60" w:rsidRPr="00042ADE">
        <w:rPr>
          <w:rFonts w:ascii="Times New Roman" w:hAnsi="Times New Roman"/>
          <w:sz w:val="24"/>
          <w:szCs w:val="24"/>
          <w:lang w:val="en-GB"/>
        </w:rPr>
        <w:fldChar w:fldCharType="separate"/>
      </w:r>
      <w:r w:rsidR="00917C60" w:rsidRPr="00042ADE">
        <w:rPr>
          <w:rFonts w:ascii="Times New Roman" w:hAnsi="Times New Roman"/>
          <w:noProof/>
          <w:sz w:val="24"/>
          <w:szCs w:val="24"/>
          <w:lang w:val="en-GB"/>
        </w:rPr>
        <w:t>(Gasim et al., 2013; Lodha et al., 2000)</w:t>
      </w:r>
      <w:r w:rsidR="00917C60" w:rsidRPr="00042ADE">
        <w:rPr>
          <w:rFonts w:ascii="Times New Roman" w:hAnsi="Times New Roman"/>
          <w:sz w:val="24"/>
          <w:szCs w:val="24"/>
          <w:lang w:val="en-GB"/>
        </w:rPr>
        <w:fldChar w:fldCharType="end"/>
      </w:r>
      <w:r w:rsidR="00917C60" w:rsidRPr="00042ADE">
        <w:rPr>
          <w:rFonts w:ascii="Times New Roman" w:hAnsi="Times New Roman"/>
          <w:sz w:val="24"/>
          <w:szCs w:val="24"/>
          <w:lang w:val="en-GB"/>
        </w:rPr>
        <w:t xml:space="preserve">. </w:t>
      </w:r>
    </w:p>
    <w:p w14:paraId="013E1FDD" w14:textId="77777777" w:rsidR="008F4572" w:rsidRPr="00042ADE" w:rsidRDefault="008F4572"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lastRenderedPageBreak/>
        <w:t>2.2.3. NO Levels Measurement</w:t>
      </w:r>
    </w:p>
    <w:p w14:paraId="30B68137" w14:textId="2FA4EB32" w:rsidR="0046611C" w:rsidRPr="00042ADE" w:rsidRDefault="008F4572"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NO production was indirectly quantified using an ozone </w:t>
      </w:r>
      <w:proofErr w:type="spellStart"/>
      <w:r w:rsidRPr="00042ADE">
        <w:rPr>
          <w:rFonts w:ascii="Times New Roman" w:hAnsi="Times New Roman"/>
          <w:sz w:val="24"/>
          <w:szCs w:val="24"/>
          <w:lang w:val="en-GB"/>
        </w:rPr>
        <w:t>chemiluminiscence</w:t>
      </w:r>
      <w:proofErr w:type="spellEnd"/>
      <w:r w:rsidRPr="00042ADE">
        <w:rPr>
          <w:rFonts w:ascii="Times New Roman" w:hAnsi="Times New Roman"/>
          <w:sz w:val="24"/>
          <w:szCs w:val="24"/>
          <w:lang w:val="en-GB"/>
        </w:rPr>
        <w:t>-based method</w:t>
      </w:r>
      <w:r w:rsidR="003C2880" w:rsidRPr="00042ADE">
        <w:rPr>
          <w:rFonts w:ascii="Times New Roman" w:hAnsi="Times New Roman"/>
          <w:sz w:val="24"/>
          <w:szCs w:val="24"/>
          <w:lang w:val="en-GB"/>
        </w:rPr>
        <w:t xml:space="preserve"> </w:t>
      </w:r>
      <w:r w:rsidR="003C2880" w:rsidRPr="00042ADE">
        <w:rPr>
          <w:rFonts w:ascii="Times New Roman" w:hAnsi="Times New Roman"/>
          <w:sz w:val="24"/>
          <w:szCs w:val="24"/>
          <w:lang w:val="en-GB"/>
        </w:rPr>
        <w:fldChar w:fldCharType="begin" w:fldLock="1"/>
      </w:r>
      <w:r w:rsidR="003C2880" w:rsidRPr="00042ADE">
        <w:rPr>
          <w:rFonts w:ascii="Times New Roman" w:hAnsi="Times New Roman"/>
          <w:sz w:val="24"/>
          <w:szCs w:val="24"/>
          <w:lang w:val="en-GB"/>
        </w:rPr>
        <w:instrText>ADDIN CSL_CITATION {"citationItems":[{"id":"ITEM-1","itemData":{"DOI":"10.1016/j.jchromb.2006.12.012","ISSN":"15700232","abstract":"Considerable disparities in the reported levels of basal human nitrite and S-nitrosothiols (RSNO) in blood have brought methods of quantifying these nitric oxide (NO) metabolites to the forefront of NO biology. Ozone-based chemiluminescence is commonly used and is a robust method for measuring these species when combined with proper reductive chemistry. The goal of this article is to review existing methodologies for the measurement of nitrite and RSNO by reductive chemiluminescence. Specifically, we discuss in detail the measurement of nitrite and RSNO in biological matrices using tri-iodide and copper(I)/cysteine-based reduction methods coupled to chemiluminescence. The underlying reaction mechanisms, as well as the potential pitfalls of each method are discussed. © 2006 Elsevier B.V. All rights reserved.","author":[{"dropping-particle":"","family":"MacArthur","given":"Peter H.","non-dropping-particle":"","parse-names":false,"suffix":""},{"dropping-particle":"","family":"Shiva","given":"Sruti","non-dropping-particle":"","parse-names":false,"suffix":""},{"dropping-particle":"","family":"Gladwin","given":"Mark T.","non-dropping-particle":"","parse-names":false,"suffix":""}],"container-title":"Journal of Chromatography B: Analytical Technologies in the Biomedical and Life Sciences","id":"ITEM-1","issue":"1-2","issued":{"date-parts":[["2007","5","15"]]},"page":"93-105","publisher":"J Chromatogr B Analyt Technol Biomed Life Sci","title":"Measurement of circulating nitrite and S-nitrosothiols by reductive chemiluminescence","type":"article","volume":"851"},"uris":["http://www.mendeley.com/documents/?uuid=ce1222aa-9470-3520-813f-1e9e95c17949"]}],"mendeley":{"formattedCitation":"(MacArthur et al., 2007)","plainTextFormattedCitation":"(MacArthur et al., 2007)","previouslyFormattedCitation":"(MacArthur et al., 2007)"},"properties":{"noteIndex":0},"schema":"https://github.com/citation-style-language/schema/raw/master/csl-citation.json"}</w:instrText>
      </w:r>
      <w:r w:rsidR="003C2880" w:rsidRPr="00042ADE">
        <w:rPr>
          <w:rFonts w:ascii="Times New Roman" w:hAnsi="Times New Roman"/>
          <w:sz w:val="24"/>
          <w:szCs w:val="24"/>
          <w:lang w:val="en-GB"/>
        </w:rPr>
        <w:fldChar w:fldCharType="separate"/>
      </w:r>
      <w:r w:rsidR="003C2880" w:rsidRPr="00042ADE">
        <w:rPr>
          <w:rFonts w:ascii="Times New Roman" w:hAnsi="Times New Roman"/>
          <w:noProof/>
          <w:sz w:val="24"/>
          <w:szCs w:val="24"/>
          <w:lang w:val="en-GB"/>
        </w:rPr>
        <w:t>(MacArthur et al., 2007)</w:t>
      </w:r>
      <w:r w:rsidR="003C2880" w:rsidRPr="00042ADE">
        <w:rPr>
          <w:rFonts w:ascii="Times New Roman" w:hAnsi="Times New Roman"/>
          <w:sz w:val="24"/>
          <w:szCs w:val="24"/>
          <w:lang w:val="en-GB"/>
        </w:rPr>
        <w:fldChar w:fldCharType="end"/>
      </w:r>
      <w:r w:rsidR="003C2880" w:rsidRPr="00042ADE">
        <w:rPr>
          <w:rFonts w:ascii="Times New Roman" w:hAnsi="Times New Roman"/>
          <w:sz w:val="24"/>
          <w:szCs w:val="24"/>
          <w:lang w:val="en-GB"/>
        </w:rPr>
        <w:t xml:space="preserve">. </w:t>
      </w:r>
      <w:r w:rsidRPr="00042ADE">
        <w:rPr>
          <w:rFonts w:ascii="Times New Roman" w:hAnsi="Times New Roman"/>
          <w:sz w:val="24"/>
          <w:szCs w:val="24"/>
          <w:lang w:val="en-GB"/>
        </w:rPr>
        <w:t>The total amount of NO was determined by a modification of the procedure described by Braman and Hendrix</w:t>
      </w:r>
      <w:r w:rsidR="004B6A21" w:rsidRPr="00042ADE">
        <w:rPr>
          <w:rFonts w:ascii="Times New Roman" w:hAnsi="Times New Roman"/>
          <w:sz w:val="24"/>
          <w:szCs w:val="24"/>
          <w:lang w:val="en-GB"/>
        </w:rPr>
        <w:t xml:space="preserve"> </w:t>
      </w:r>
      <w:r w:rsidR="004B6A21" w:rsidRPr="00042ADE">
        <w:rPr>
          <w:rFonts w:ascii="Times New Roman" w:hAnsi="Times New Roman"/>
          <w:sz w:val="24"/>
          <w:szCs w:val="24"/>
          <w:lang w:val="en-GB"/>
        </w:rPr>
        <w:fldChar w:fldCharType="begin" w:fldLock="1"/>
      </w:r>
      <w:r w:rsidR="004B6A21" w:rsidRPr="00042ADE">
        <w:rPr>
          <w:rFonts w:ascii="Times New Roman" w:hAnsi="Times New Roman"/>
          <w:sz w:val="24"/>
          <w:szCs w:val="24"/>
          <w:lang w:val="en-GB"/>
        </w:rPr>
        <w:instrText>ADDIN CSL_CITATION {"citationItems":[{"id":"ITEM-1","itemData":{"DOI":"10.1016/j.niox.2005.05.003","ISSN":"10898603","abstract":"Nitrate, nitrite, and other nitroso compounds (NOxs) had been proposed as possible nitric oxide (NO) storage molecules. The present work examines, by means of chemiluminescence analysis, changes in NOx serum levels in rats 1 h before and 24, 48, and 72 h after exposure to acute hypobaric hypoxia (HH; barometric pressure [PB] 225 mmHg, oxygen partial pressure [PO2] 48 mmHg), normobaric hypoxia (NH; P B 716 mmHg [Jaén city], PO2 48 mmHg), hypobaric normoxia (HN; PB 225 mmHg, PO2 150 mmHg), and normobaric normoxia (NN; PB 716 mmHg, PO2 150 mmHg) the latter as a control group. Results show a decrease in NOx levels, which reached significance 24 h after exposure in HH animals, 4 h after exposure in the HN and NH groups, and persisted after 48 h of exposure in the HN group. NOx determinations were also performed in brain (cerebral cortex, hippocampus, decorticated brain [basal ganglia-brainstem] and cerebellum), liver, kidney, lung, and heart homogenates, 72 h after the experiment, to detect persistent effects when serum NOx levels had returned to basal values. Only in cerebellum (HN group) and hippocampus (HN and NH groups) were NOx levels significantly lower than in controls. We conclude that not only acute hypobaric hypoxia but also either hypobaria or hypoxia alone induce changes in NOx serum levels. Moreover, all three episodes involve a decrease in NOxs, greater and longer-lasting in hypoxia alone than in hypobaria and hypoxia together. The exhaustion of these NO-storage molecules could be critical when, as during a hypoxic episode, the l-arginine/NOS pathway is impaired. © 2005 Elsevier Inc. All rights reserved.","author":[{"dropping-particle":"","family":"López-Ramos","given":"J. C.","non-dropping-particle":"","parse-names":false,"suffix":""},{"dropping-particle":"","family":"Martínez-Romero","given":"R.","non-dropping-particle":"","parse-names":false,"suffix":""},{"dropping-particle":"","family":"Molina","given":"F.","non-dropping-particle":"","parse-names":false,"suffix":""},{"dropping-particle":"","family":"Cañuelo","given":"A.","non-dropping-particle":"","parse-names":false,"suffix":""},{"dropping-particle":"","family":"Martínez-Lara","given":"E.","non-dropping-particle":"","parse-names":false,"suffix":""},{"dropping-particle":"","family":"Siles","given":"E.","non-dropping-particle":"","parse-names":false,"suffix":""},{"dropping-particle":"","family":"Peinado","given":"M. A.","non-dropping-particle":"","parse-names":false,"suffix":""}],"container-title":"Nitric Oxide - Biology and Chemistry","id":"ITEM-1","issue":"1","issued":{"date-parts":[["2005","8"]]},"page":"62-67","title":"Evidence of a decrease in nitric oxide-storage molecules following acute hypoxia and/or hypobaria, by means of chemiluminescence analysis","type":"article-journal","volume":"13"},"uris":["http://www.mendeley.com/documents/?uuid=67090a52-6c48-3f71-91ab-8065229e2299"]}],"mendeley":{"formattedCitation":"(López-Ramos et al., 2005)","plainTextFormattedCitation":"(López-Ramos et al., 2005)","previouslyFormattedCitation":"(López-Ramos et al., 2005)"},"properties":{"noteIndex":0},"schema":"https://github.com/citation-style-language/schema/raw/master/csl-citation.json"}</w:instrText>
      </w:r>
      <w:r w:rsidR="004B6A21" w:rsidRPr="00042ADE">
        <w:rPr>
          <w:rFonts w:ascii="Times New Roman" w:hAnsi="Times New Roman"/>
          <w:sz w:val="24"/>
          <w:szCs w:val="24"/>
          <w:lang w:val="en-GB"/>
        </w:rPr>
        <w:fldChar w:fldCharType="separate"/>
      </w:r>
      <w:r w:rsidR="004B6A21" w:rsidRPr="00042ADE">
        <w:rPr>
          <w:rFonts w:ascii="Times New Roman" w:hAnsi="Times New Roman"/>
          <w:noProof/>
          <w:sz w:val="24"/>
          <w:szCs w:val="24"/>
          <w:lang w:val="en-GB"/>
        </w:rPr>
        <w:t>(López-Ramos et al., 2005)</w:t>
      </w:r>
      <w:r w:rsidR="004B6A21"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using the purge system of Sievers Instruments, model NOA 280i (GE, Analytical Instruments, Colorado (CO), USA). The final NO values were referred to the total protein concen</w:t>
      </w:r>
      <w:r w:rsidR="003C2880" w:rsidRPr="00042ADE">
        <w:rPr>
          <w:rFonts w:ascii="Times New Roman" w:hAnsi="Times New Roman"/>
          <w:sz w:val="24"/>
          <w:szCs w:val="24"/>
          <w:lang w:val="en-GB"/>
        </w:rPr>
        <w:t xml:space="preserve">tration in the initial extracts </w:t>
      </w:r>
      <w:r w:rsidR="003C2880" w:rsidRPr="00042ADE">
        <w:rPr>
          <w:rFonts w:ascii="Times New Roman" w:hAnsi="Times New Roman"/>
          <w:sz w:val="24"/>
          <w:szCs w:val="24"/>
          <w:lang w:val="en-GB"/>
        </w:rPr>
        <w:fldChar w:fldCharType="begin" w:fldLock="1"/>
      </w:r>
      <w:r w:rsidR="00962145" w:rsidRPr="00042ADE">
        <w:rPr>
          <w:rFonts w:ascii="Times New Roman" w:hAnsi="Times New Roman"/>
          <w:sz w:val="24"/>
          <w:szCs w:val="24"/>
          <w:lang w:val="en-GB"/>
        </w:rPr>
        <w:instrText>ADDIN CSL_CITATION {"citationItems":[{"id":"ITEM-1","itemData":{"DOI":"10.1016/j.jchromb.2006.12.012","ISSN":"15700232","abstract":"Considerable disparities in the reported levels of basal human nitrite and S-nitrosothiols (RSNO) in blood have brought methods of quantifying these nitric oxide (NO) metabolites to the forefront of NO biology. Ozone-based chemiluminescence is commonly used and is a robust method for measuring these species when combined with proper reductive chemistry. The goal of this article is to review existing methodologies for the measurement of nitrite and RSNO by reductive chemiluminescence. Specifically, we discuss in detail the measurement of nitrite and RSNO in biological matrices using tri-iodide and copper(I)/cysteine-based reduction methods coupled to chemiluminescence. The underlying reaction mechanisms, as well as the potential pitfalls of each method are discussed. © 2006 Elsevier B.V. All rights reserved.","author":[{"dropping-particle":"","family":"MacArthur","given":"Peter H.","non-dropping-particle":"","parse-names":false,"suffix":""},{"dropping-particle":"","family":"Shiva","given":"Sruti","non-dropping-particle":"","parse-names":false,"suffix":""},{"dropping-particle":"","family":"Gladwin","given":"Mark T.","non-dropping-particle":"","parse-names":false,"suffix":""}],"container-title":"Journal of Chromatography B: Analytical Technologies in the Biomedical and Life Sciences","id":"ITEM-1","issue":"1-2","issued":{"date-parts":[["2007","5","15"]]},"page":"93-105","publisher":"J Chromatogr B Analyt Technol Biomed Life Sci","title":"Measurement of circulating nitrite and S-nitrosothiols by reductive chemiluminescence","type":"article","volume":"851"},"uris":["http://www.mendeley.com/documents/?uuid=ce1222aa-9470-3520-813f-1e9e95c17949"]}],"mendeley":{"formattedCitation":"(MacArthur et al., 2007)","plainTextFormattedCitation":"(MacArthur et al., 2007)","previouslyFormattedCitation":"(MacArthur et al., 2007)"},"properties":{"noteIndex":0},"schema":"https://github.com/citation-style-language/schema/raw/master/csl-citation.json"}</w:instrText>
      </w:r>
      <w:r w:rsidR="003C2880" w:rsidRPr="00042ADE">
        <w:rPr>
          <w:rFonts w:ascii="Times New Roman" w:hAnsi="Times New Roman"/>
          <w:sz w:val="24"/>
          <w:szCs w:val="24"/>
          <w:lang w:val="en-GB"/>
        </w:rPr>
        <w:fldChar w:fldCharType="separate"/>
      </w:r>
      <w:r w:rsidR="003C2880" w:rsidRPr="00042ADE">
        <w:rPr>
          <w:rFonts w:ascii="Times New Roman" w:hAnsi="Times New Roman"/>
          <w:noProof/>
          <w:sz w:val="24"/>
          <w:szCs w:val="24"/>
          <w:lang w:val="en-GB"/>
        </w:rPr>
        <w:t>(MacArthur et al., 2007)</w:t>
      </w:r>
      <w:r w:rsidR="003C2880" w:rsidRPr="00042ADE">
        <w:rPr>
          <w:rFonts w:ascii="Times New Roman" w:hAnsi="Times New Roman"/>
          <w:sz w:val="24"/>
          <w:szCs w:val="24"/>
          <w:lang w:val="en-GB"/>
        </w:rPr>
        <w:fldChar w:fldCharType="end"/>
      </w:r>
      <w:r w:rsidR="003C2880" w:rsidRPr="00042ADE">
        <w:rPr>
          <w:rFonts w:ascii="Times New Roman" w:hAnsi="Times New Roman"/>
          <w:sz w:val="24"/>
          <w:szCs w:val="24"/>
          <w:lang w:val="en-GB"/>
        </w:rPr>
        <w:t>.</w:t>
      </w:r>
    </w:p>
    <w:p w14:paraId="40F9BD71" w14:textId="77777777" w:rsidR="004B7A17" w:rsidRPr="00042ADE" w:rsidRDefault="004B7A17"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2.3. Statistical analysis</w:t>
      </w:r>
    </w:p>
    <w:p w14:paraId="47E57603" w14:textId="77777777" w:rsidR="001E4C60" w:rsidRPr="00042ADE" w:rsidRDefault="001E4C60" w:rsidP="00975E0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Statistical analyses were performed using SPSS Statistics Version 24 for Windows (IBM Corporation, Armonk, NY, USA). The Kolmogorov-Smirnov test was used to analyse the normality and the distribution of the variables (P&gt;0.05).Unpaired Student t-test with 95% confidence interval (95% CI; α-value=0.05) was used for continuous data to compare differences of means between the groups for sociodemographic and clinical data. A two-way analysis of covariance (ANCOVA) was performed in order to assess the main objective of the study. The groups were women diagnosed with FMS (cases) and healthy women (controls). The key variables were the maximum, minimum and average temperature values at dorsal and palm sites of both hands (dominant: D and non-dominant: ND) at each point, while age and body mass index (BMI) were used as covariates. Linear regression was used to test interactions between serum NO levels and the temperature of the skin surface of both hands and the tympanic and axillary temperature. The results are reported as percentage change (β) with 95% CI. Statistical significance was set at P&lt;0.05.</w:t>
      </w:r>
    </w:p>
    <w:p w14:paraId="7C9CD895" w14:textId="7234F7A7" w:rsidR="00427479" w:rsidRPr="00042ADE" w:rsidRDefault="005E2FA2" w:rsidP="005E2FA2">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Sample size calculation was performed by using NCSS-PASS software. According to the previous study of </w:t>
      </w:r>
      <w:r w:rsidRPr="00042ADE">
        <w:rPr>
          <w:rFonts w:ascii="Times New Roman" w:hAnsi="Times New Roman"/>
          <w:sz w:val="24"/>
          <w:szCs w:val="24"/>
          <w:lang w:val="en-GB"/>
        </w:rPr>
        <w:fldChar w:fldCharType="begin" w:fldLock="1"/>
      </w:r>
      <w:r w:rsidR="005424CC" w:rsidRPr="00042ADE">
        <w:rPr>
          <w:rFonts w:ascii="Times New Roman" w:hAnsi="Times New Roman"/>
          <w:sz w:val="24"/>
          <w:szCs w:val="24"/>
          <w:lang w:val="en-GB"/>
        </w:rPr>
        <w:instrText>ADDIN CSL_CITATION {"citationItems":[{"id":"ITEM-1","itemData":{"ISSN":"0001-5164","PMID":"26103738","abstract":"INTRODUCTION Fibromyalgia (FM) is a common chronic pain disorder characterized by whole-body pain and multiple symptoms. This study investigated potential dysfunctions of the Autonomic Nervous System (ANS) in FM patients through the measurement of the autonomic response during a cold-water test. METHODS 23 female patients with FM and 15 healthy female controls were recruited. First, FM patients filled out the following questionnaires: PainDETECT, American College of Rheumatology (ACR) criteria of FM, and Profile of Mood States (POMS). Healthy controls only filled out the POMS. Subsequently, all participants immersed their forearm into 1 degrees C cold-water as long as they could tolerate for a maximum of 120 seconds. A thermographic camera recorded skin temperature and its recuperation process. RESULTS The two groups differed significantly regarding central body temperature, forearm thermography, and peripheral (forearm)-central (ear) temperature ratio. FM patients showed less tolerance to cold water than control participants. Although total temperature decrease, cool-down rate, recuperation between 0 and 20 minutes after withdrawal showed significant intergroup differences, thermal recovery followed similar patterns in both groups. DISCUSSION Peculiar ANS baseline characteristics are seen in FM patients. Although those patients have reduced ability to sustain low temperatures, therefore limiting extrapolation of inter-group analysis, their thermal-adaptive responses were found different as compared to controls.","author":[{"dropping-particle":"","family":"Brusselmans","given":"Griet","non-dropping-particle":"","parse-names":false,"suffix":""},{"dropping-particle":"","family":"Nogueira","given":"Hugo","non-dropping-particle":"","parse-names":false,"suffix":""},{"dropping-particle":"","family":"Schamphelaere","given":"Elien","non-dropping-particle":"De","parse-names":false,"suffix":""},{"dropping-particle":"","family":"Devulder","given":"Jacques","non-dropping-particle":"","parse-names":false,"suffix":""},{"dropping-particle":"","family":"Crombez","given":"Geert","non-dropping-particle":"","parse-names":false,"suffix":""}],"container-title":"Acta anaesthesiologica Belgica","id":"ITEM-1","issue":"1","issued":{"date-parts":[["2015"]]},"page":"19-27","title":"Skin Temperature during Cold Pressor Test in Fibromyalgia: an Evaluation of the Autonomic Nervous System?","type":"article-journal","volume":"66"},"uris":["http://www.mendeley.com/documents/?uuid=6be20dc6-4c7d-3325-af24-96aed83007c8"]}],"mendeley":{"formattedCitation":"(Brusselmans et al., 2015)","manualFormatting":"Brusselmans et al. (2015)","plainTextFormattedCitation":"(Brusselmans et al., 2015)","previouslyFormattedCitation":"(Brusselmans et al., 2015)"},"properties":{"noteIndex":0},"schema":"https://github.com/citation-style-language/schema/raw/master/csl-citation.json"}</w:instrText>
      </w:r>
      <w:r w:rsidRPr="00042ADE">
        <w:rPr>
          <w:rFonts w:ascii="Times New Roman" w:hAnsi="Times New Roman"/>
          <w:sz w:val="24"/>
          <w:szCs w:val="24"/>
          <w:lang w:val="en-GB"/>
        </w:rPr>
        <w:fldChar w:fldCharType="separate"/>
      </w:r>
      <w:r w:rsidRPr="00042ADE">
        <w:rPr>
          <w:rFonts w:ascii="Times New Roman" w:hAnsi="Times New Roman"/>
          <w:noProof/>
          <w:sz w:val="24"/>
          <w:szCs w:val="24"/>
          <w:lang w:val="en-GB"/>
        </w:rPr>
        <w:t>Brusselmans et al. (2015)</w:t>
      </w:r>
      <w:r w:rsidRPr="00042ADE">
        <w:rPr>
          <w:rFonts w:ascii="Times New Roman" w:hAnsi="Times New Roman"/>
          <w:sz w:val="24"/>
          <w:szCs w:val="24"/>
          <w:lang w:val="en-GB"/>
        </w:rPr>
        <w:fldChar w:fldCharType="end"/>
      </w:r>
      <w:r w:rsidR="002629AE" w:rsidRPr="00042ADE">
        <w:rPr>
          <w:rFonts w:ascii="Times New Roman" w:hAnsi="Times New Roman"/>
          <w:sz w:val="24"/>
          <w:szCs w:val="24"/>
          <w:lang w:val="en-GB"/>
        </w:rPr>
        <w:t xml:space="preserve"> </w:t>
      </w:r>
      <w:r w:rsidRPr="00042ADE">
        <w:rPr>
          <w:rFonts w:ascii="Times New Roman" w:hAnsi="Times New Roman"/>
          <w:sz w:val="24"/>
          <w:szCs w:val="24"/>
          <w:lang w:val="en-GB"/>
        </w:rPr>
        <w:t xml:space="preserve">a sample size of 40 FMS patients and 40 </w:t>
      </w:r>
      <w:r w:rsidRPr="00042ADE">
        <w:rPr>
          <w:rFonts w:ascii="Times New Roman" w:hAnsi="Times New Roman"/>
          <w:sz w:val="24"/>
          <w:szCs w:val="24"/>
          <w:lang w:val="en-GB"/>
        </w:rPr>
        <w:lastRenderedPageBreak/>
        <w:t>healthy controls was estimated in order to provide a 95% CI, a power of 80%, and an alpha level (α) of 0.05. Sample size was increased until 225 subjects taking account an expec</w:t>
      </w:r>
      <w:r w:rsidR="00427479" w:rsidRPr="00042ADE">
        <w:rPr>
          <w:rFonts w:ascii="Times New Roman" w:hAnsi="Times New Roman"/>
          <w:sz w:val="24"/>
          <w:szCs w:val="24"/>
          <w:lang w:val="en-GB"/>
        </w:rPr>
        <w:t>ted percentage of losses</w:t>
      </w:r>
      <w:r w:rsidR="00DB0F54" w:rsidRPr="00042ADE">
        <w:rPr>
          <w:rFonts w:ascii="Times New Roman" w:hAnsi="Times New Roman"/>
          <w:sz w:val="24"/>
          <w:szCs w:val="24"/>
          <w:lang w:val="en-GB"/>
        </w:rPr>
        <w:t xml:space="preserve"> around 65%.</w:t>
      </w:r>
      <w:r w:rsidR="00427479" w:rsidRPr="00042ADE">
        <w:rPr>
          <w:rFonts w:ascii="Times New Roman" w:hAnsi="Times New Roman"/>
          <w:sz w:val="24"/>
          <w:szCs w:val="24"/>
          <w:lang w:val="en-GB"/>
        </w:rPr>
        <w:t xml:space="preserve"> </w:t>
      </w:r>
    </w:p>
    <w:p w14:paraId="4C4D0CE0" w14:textId="77777777" w:rsidR="00F03F94" w:rsidRPr="00042ADE" w:rsidRDefault="00B165C1">
      <w:pPr>
        <w:rPr>
          <w:rFonts w:ascii="Times New Roman" w:hAnsi="Times New Roman"/>
          <w:b/>
          <w:sz w:val="24"/>
          <w:szCs w:val="24"/>
          <w:lang w:val="en-GB"/>
        </w:rPr>
      </w:pPr>
      <w:r w:rsidRPr="00042ADE">
        <w:rPr>
          <w:rFonts w:ascii="Times New Roman" w:hAnsi="Times New Roman"/>
          <w:b/>
          <w:sz w:val="24"/>
          <w:szCs w:val="24"/>
          <w:lang w:val="en-GB"/>
        </w:rPr>
        <w:t>3. Results</w:t>
      </w:r>
    </w:p>
    <w:p w14:paraId="42F3D035" w14:textId="77777777" w:rsidR="00975E0A" w:rsidRPr="00042ADE" w:rsidRDefault="0095185B">
      <w:pPr>
        <w:rPr>
          <w:rFonts w:ascii="Times New Roman" w:hAnsi="Times New Roman"/>
          <w:sz w:val="24"/>
          <w:szCs w:val="24"/>
          <w:lang w:val="en-GB"/>
        </w:rPr>
      </w:pPr>
      <w:r w:rsidRPr="00042ADE">
        <w:rPr>
          <w:rFonts w:ascii="Times New Roman" w:hAnsi="Times New Roman"/>
          <w:sz w:val="24"/>
          <w:szCs w:val="24"/>
          <w:lang w:val="en-GB"/>
        </w:rPr>
        <w:t>3.1. Demographic and Clinical Data</w:t>
      </w:r>
    </w:p>
    <w:p w14:paraId="1E874B23" w14:textId="2163031B" w:rsidR="00863081" w:rsidRPr="00042ADE" w:rsidRDefault="001A5031" w:rsidP="001A5031">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Demographic and clinical data for participants are shown in </w:t>
      </w:r>
      <w:r w:rsidRPr="00042ADE">
        <w:rPr>
          <w:rFonts w:ascii="Times New Roman" w:hAnsi="Times New Roman"/>
          <w:b/>
          <w:sz w:val="24"/>
          <w:szCs w:val="24"/>
          <w:lang w:val="en-GB"/>
        </w:rPr>
        <w:t>Table 1</w:t>
      </w:r>
      <w:r w:rsidRPr="00042ADE">
        <w:rPr>
          <w:rFonts w:ascii="Times New Roman" w:hAnsi="Times New Roman"/>
          <w:sz w:val="24"/>
          <w:szCs w:val="24"/>
          <w:lang w:val="en-GB"/>
        </w:rPr>
        <w:t xml:space="preserve">. A total of 42 women diagnosed with FMS with mean age of 56.45±6.58 years and 52 healthy women with mean age of 57.15±10.52 years met the inclusion criteria. Women diagnosed with FMS showed a significant higher weight and BMI than healthy women (P≤0.003). There were no significant differences for age, </w:t>
      </w:r>
      <w:proofErr w:type="gramStart"/>
      <w:r w:rsidRPr="00042ADE">
        <w:rPr>
          <w:rFonts w:ascii="Times New Roman" w:hAnsi="Times New Roman"/>
          <w:sz w:val="24"/>
          <w:szCs w:val="24"/>
          <w:lang w:val="en-GB"/>
        </w:rPr>
        <w:t>height</w:t>
      </w:r>
      <w:proofErr w:type="gramEnd"/>
      <w:r w:rsidRPr="00042ADE">
        <w:rPr>
          <w:rFonts w:ascii="Times New Roman" w:hAnsi="Times New Roman"/>
          <w:sz w:val="24"/>
          <w:szCs w:val="24"/>
          <w:lang w:val="en-GB"/>
        </w:rPr>
        <w:t xml:space="preserve"> or serum NO levels between groups (P≥0.248). The results of ANCOVA showed significant differences between the groups for the tympanic temperature (F=10.706, P=0.002). FMS </w:t>
      </w:r>
      <w:r w:rsidR="00745599" w:rsidRPr="00042ADE">
        <w:rPr>
          <w:rFonts w:ascii="Times New Roman" w:hAnsi="Times New Roman"/>
          <w:sz w:val="24"/>
          <w:szCs w:val="24"/>
          <w:lang w:val="en-GB"/>
        </w:rPr>
        <w:t>participants showed</w:t>
      </w:r>
      <w:r w:rsidRPr="00042ADE">
        <w:rPr>
          <w:rFonts w:ascii="Times New Roman" w:hAnsi="Times New Roman"/>
          <w:sz w:val="24"/>
          <w:szCs w:val="24"/>
          <w:lang w:val="en-GB"/>
        </w:rPr>
        <w:t xml:space="preserve"> higher c</w:t>
      </w:r>
      <w:r w:rsidR="00863081" w:rsidRPr="00042ADE">
        <w:rPr>
          <w:rFonts w:ascii="Times New Roman" w:hAnsi="Times New Roman"/>
          <w:sz w:val="24"/>
          <w:szCs w:val="24"/>
          <w:lang w:val="en-GB"/>
        </w:rPr>
        <w:t>ore body temperature (Table 1).</w:t>
      </w:r>
      <w:r w:rsidR="00590570" w:rsidRPr="00042ADE">
        <w:rPr>
          <w:rFonts w:ascii="Times New Roman" w:hAnsi="Times New Roman"/>
          <w:sz w:val="24"/>
          <w:szCs w:val="24"/>
          <w:lang w:val="en-GB"/>
        </w:rPr>
        <w:t xml:space="preserve"> Note that the mean of the total score of FIQ-R was 72.48±12.73 </w:t>
      </w:r>
      <w:r w:rsidR="00EA160F" w:rsidRPr="00042ADE">
        <w:rPr>
          <w:rFonts w:ascii="Times New Roman" w:hAnsi="Times New Roman"/>
          <w:sz w:val="24"/>
          <w:szCs w:val="24"/>
          <w:lang w:val="en-GB"/>
        </w:rPr>
        <w:t>in FMS participants</w:t>
      </w:r>
      <w:r w:rsidR="00590570" w:rsidRPr="00042ADE">
        <w:rPr>
          <w:rFonts w:ascii="Times New Roman" w:hAnsi="Times New Roman"/>
          <w:sz w:val="24"/>
          <w:szCs w:val="24"/>
          <w:lang w:val="en-GB"/>
        </w:rPr>
        <w:t>.</w:t>
      </w:r>
    </w:p>
    <w:p w14:paraId="475A34F0" w14:textId="77777777" w:rsidR="00EC5AD1" w:rsidRPr="00042ADE" w:rsidRDefault="00863081" w:rsidP="001A5031">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3.2. Temperature of dorsal fingertips and dorsal centre of the hands</w:t>
      </w:r>
    </w:p>
    <w:p w14:paraId="6AADB001" w14:textId="25085CC1" w:rsidR="003B5D24" w:rsidRPr="00042ADE" w:rsidRDefault="00EC5AD1" w:rsidP="001A5031">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ANCOVA showed statistically significant differences in the temperature of the dorsal site</w:t>
      </w:r>
      <w:r w:rsidR="00C86363" w:rsidRPr="00042ADE">
        <w:rPr>
          <w:rFonts w:ascii="Times New Roman" w:hAnsi="Times New Roman"/>
          <w:sz w:val="24"/>
          <w:szCs w:val="24"/>
          <w:lang w:val="en-GB"/>
        </w:rPr>
        <w:t xml:space="preserve"> </w:t>
      </w:r>
      <w:r w:rsidRPr="00042ADE">
        <w:rPr>
          <w:rFonts w:ascii="Times New Roman" w:hAnsi="Times New Roman"/>
          <w:sz w:val="24"/>
          <w:szCs w:val="24"/>
          <w:lang w:val="en-GB"/>
        </w:rPr>
        <w:t xml:space="preserve">of both hands between the groups for the variables maximum, minimum and average of thumb fingertip (D: F ≥ 97.787,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 ≤ 0.001; ND: F ≥ 114.285, P ≤ 0.001); maximum, minimum and average of index fingertip (D: F ≥ 110.460, P ≤ 0.001; ND: F ≥ 122.228, P ≤ 0.001); maximum, minimum and average of middle fingertip (D: F ≥ 128.550, P ≤ 0.001; ND: F ≥ 129.516, P ≤ 0.001); maximum, minimum and average of ring fingertip (D: F ≥ 135.768, P ≤ 0.001; ND: F ≥ 111.077, P ≤ 0.001); maximum, minimum and average of pinkie fingertip (D: F ≥ 130.445, P ≤ 0.001; ND: F ≥ 112.445, P ≤ 0.001); maximum, minimum and average of dorsal centre (D: F ≥ 64.851, P ≤ 0.001; ND: F ≥ </w:t>
      </w:r>
      <w:r w:rsidRPr="00042ADE">
        <w:rPr>
          <w:rFonts w:ascii="Times New Roman" w:hAnsi="Times New Roman"/>
          <w:sz w:val="24"/>
          <w:szCs w:val="24"/>
          <w:lang w:val="en-GB"/>
        </w:rPr>
        <w:lastRenderedPageBreak/>
        <w:t>67.330, P ≤ 0.001).  ANCOVA also revealed a significant effect of the covariate age for the temperature at minimum dorsal thumb fingertip (ND: F=4.003, P=0.048).</w:t>
      </w:r>
      <w:r w:rsidR="002243A8" w:rsidRPr="00042ADE">
        <w:rPr>
          <w:rFonts w:ascii="Times New Roman" w:hAnsi="Times New Roman"/>
          <w:sz w:val="24"/>
          <w:szCs w:val="24"/>
          <w:lang w:val="en-GB"/>
        </w:rPr>
        <w:t xml:space="preserve"> </w:t>
      </w:r>
      <w:r w:rsidR="002243A8" w:rsidRPr="00042ADE">
        <w:rPr>
          <w:rFonts w:ascii="Times New Roman" w:hAnsi="Times New Roman"/>
          <w:b/>
          <w:sz w:val="24"/>
          <w:szCs w:val="24"/>
          <w:lang w:val="en-GB"/>
        </w:rPr>
        <w:t>Fig. 2.</w:t>
      </w:r>
      <w:r w:rsidR="00C85D40" w:rsidRPr="00042ADE">
        <w:rPr>
          <w:rFonts w:ascii="Times New Roman" w:hAnsi="Times New Roman"/>
          <w:sz w:val="24"/>
          <w:szCs w:val="24"/>
          <w:lang w:val="en-GB"/>
        </w:rPr>
        <w:t xml:space="preserve"> S</w:t>
      </w:r>
      <w:r w:rsidR="002243A8" w:rsidRPr="00042ADE">
        <w:rPr>
          <w:rFonts w:ascii="Times New Roman" w:hAnsi="Times New Roman"/>
          <w:sz w:val="24"/>
          <w:szCs w:val="24"/>
          <w:lang w:val="en-GB"/>
        </w:rPr>
        <w:t>how the average temperature of the dorsal site dominant and non-dominant of both hands in women wit</w:t>
      </w:r>
      <w:r w:rsidR="00C86363" w:rsidRPr="00042ADE">
        <w:rPr>
          <w:rFonts w:ascii="Times New Roman" w:hAnsi="Times New Roman"/>
          <w:sz w:val="24"/>
          <w:szCs w:val="24"/>
          <w:lang w:val="en-GB"/>
        </w:rPr>
        <w:t>h Fibromyalgia and healthy controls</w:t>
      </w:r>
      <w:r w:rsidR="002243A8" w:rsidRPr="00042ADE">
        <w:rPr>
          <w:rFonts w:ascii="Times New Roman" w:hAnsi="Times New Roman"/>
          <w:sz w:val="24"/>
          <w:szCs w:val="24"/>
          <w:lang w:val="en-GB"/>
        </w:rPr>
        <w:t>.</w:t>
      </w:r>
    </w:p>
    <w:p w14:paraId="4CCB3F27" w14:textId="77777777" w:rsidR="00ED6455" w:rsidRPr="00042ADE" w:rsidRDefault="00664D84" w:rsidP="00664D84">
      <w:pPr>
        <w:spacing w:line="480" w:lineRule="auto"/>
        <w:jc w:val="both"/>
        <w:rPr>
          <w:rFonts w:ascii="Times New Roman" w:hAnsi="Times New Roman"/>
          <w:lang w:val="en-GB"/>
        </w:rPr>
      </w:pPr>
      <w:r w:rsidRPr="00042ADE">
        <w:rPr>
          <w:rFonts w:ascii="Times New Roman" w:hAnsi="Times New Roman"/>
          <w:lang w:val="en-GB"/>
        </w:rPr>
        <w:t>3.3. Temperature of palm fingertips and palm centre of the hands</w:t>
      </w:r>
    </w:p>
    <w:p w14:paraId="7E26615E" w14:textId="2C54290D" w:rsidR="00C87821" w:rsidRPr="00042ADE" w:rsidRDefault="00664D84" w:rsidP="0044210D">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ANCOVA showed statistically significant differences in the temperature of the palm site of both hands between the groups for the variables maximum, minimum and average of thumb fingertip (D: F ≥ 114.536, P ≤ 0.001; ND: F ≥ 95.807, P ≤ 0.001); maximum, minimum and average of index fingertip (D: F ≥ 113.901, P ≤ 0.001; ND: F ≥ 113.147, P ≤ 0.001); maximum, minimum and average of middle fingertip (D: F ≥ 150.888, P ≤ 0.001; ND: F ≥ 122.583, P ≤ 0.001); maximum, minimum and average of ring fingertip (D: F ≥ 125.304, P ≤ 0.001; ND: F ≥ 128.308, P ≤ 0.001); maximum, minimum and average of pinkie fingertip (D: F ≥ 78.065, P ≤ 0.001; ND: F ≥ 96.556, P ≤ 0.001); maximum, minimum and average of palm centre (D: F ≥ 107.449, P ≤ 0.001; ND: F ≥ 128.583, P ≤ 0.001); maximum, minimum and average of thenar eminence (D: F ≥ 84.179, P ≤ 0.001; ND: F ≥ 118.286, P ≤ 0.001); maximum, minimum and average of hypothenar eminence (D: F ≥ 133.310, P ≤ 0.001; ND: F ≥ 90.660, P ≤ 0.001).  ANCOVA also revealed a significant effect of the covariate age for the temperature at maximum palm thumb fingertip (D: F=4.192,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=0.044; ND: F=4.502,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=0.037;  minimum palm thumb fingertip (D: F=5.722,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=0.019; ND: F=7.024,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=0.009); average palm thumb fingertip (D: F=4.670,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=0.033; ND: F=4.674,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=0.033); maximum palm centre (D: F=5.986,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=0.016; ND: F=7.007, </w:t>
      </w:r>
      <w:r w:rsidRPr="00042ADE">
        <w:rPr>
          <w:rFonts w:ascii="Times New Roman" w:hAnsi="Times New Roman"/>
          <w:i/>
          <w:sz w:val="24"/>
          <w:szCs w:val="24"/>
          <w:lang w:val="en-GB"/>
        </w:rPr>
        <w:t>P</w:t>
      </w:r>
      <w:r w:rsidRPr="00042ADE">
        <w:rPr>
          <w:rFonts w:ascii="Times New Roman" w:hAnsi="Times New Roman"/>
          <w:sz w:val="24"/>
          <w:szCs w:val="24"/>
          <w:lang w:val="en-GB"/>
        </w:rPr>
        <w:t xml:space="preserve">=0.010) and average palm centre (ND:F=4.771, P=0.032). </w:t>
      </w:r>
      <w:r w:rsidRPr="00042ADE">
        <w:rPr>
          <w:rFonts w:ascii="Times New Roman" w:hAnsi="Times New Roman"/>
          <w:b/>
          <w:sz w:val="24"/>
          <w:szCs w:val="24"/>
          <w:lang w:val="en-GB"/>
        </w:rPr>
        <w:t>Fig. 3.</w:t>
      </w:r>
      <w:r w:rsidR="00693626" w:rsidRPr="00042ADE">
        <w:rPr>
          <w:rFonts w:ascii="Times New Roman" w:hAnsi="Times New Roman"/>
          <w:sz w:val="24"/>
          <w:szCs w:val="24"/>
          <w:lang w:val="en-GB"/>
        </w:rPr>
        <w:t xml:space="preserve"> S</w:t>
      </w:r>
      <w:r w:rsidRPr="00042ADE">
        <w:rPr>
          <w:rFonts w:ascii="Times New Roman" w:hAnsi="Times New Roman"/>
          <w:sz w:val="24"/>
          <w:szCs w:val="24"/>
          <w:lang w:val="en-GB"/>
        </w:rPr>
        <w:t>how the average temperature of the palm site dominant and non-dominant of both hands in women with Fibromyalgia and healthy controls.</w:t>
      </w:r>
    </w:p>
    <w:p w14:paraId="21725D3E" w14:textId="77777777" w:rsidR="00BB5F1F" w:rsidRPr="00042ADE" w:rsidRDefault="0044210D" w:rsidP="0044210D">
      <w:pPr>
        <w:spacing w:line="480" w:lineRule="auto"/>
        <w:jc w:val="both"/>
        <w:rPr>
          <w:rFonts w:ascii="Times New Roman" w:hAnsi="Times New Roman"/>
          <w:sz w:val="24"/>
          <w:szCs w:val="24"/>
          <w:lang w:val="en-GB"/>
        </w:rPr>
      </w:pPr>
      <w:r w:rsidRPr="00042ADE">
        <w:rPr>
          <w:rFonts w:ascii="Times New Roman" w:hAnsi="Times New Roman"/>
          <w:sz w:val="24"/>
          <w:szCs w:val="24"/>
          <w:lang w:val="en-GB"/>
        </w:rPr>
        <w:lastRenderedPageBreak/>
        <w:t>3.4. Association between thermography image analysis and serum NO levels</w:t>
      </w:r>
    </w:p>
    <w:p w14:paraId="3B6FE45F" w14:textId="77777777" w:rsidR="00C87821" w:rsidRPr="00042ADE" w:rsidRDefault="00807AE6"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Linear regression analysis indicated that minimum temperature of dorsal centre of D hand (β=-3.501, 95% CI= -6.805, -0.198, P=0.038); maximum temperature of palm centre of ND hand (β=-5.594, 95% CI= -10.106, -1.081, P=0.016); minimum temperature of palm centre of ND hand (β=-4.090, 95% CI= -7.905, -0.275, P=0.036); average temperature of palm centre of ND hand (β=-5.519, 95% CI= -9.933, -1.106, P=0.015), and the maximum temperature of the thenar eminence of D hand (β=-5.800, 95% CI=-10.508, -1.092, P=0.017) were significantly associated with NOx levels after adjustment for age, menopause state and BMI in controls but not in women diagnosed with FMS. No significant differences were found between serum NO levels and the rest of temperature variables between cases and controls (</w:t>
      </w:r>
      <w:r w:rsidR="00981063" w:rsidRPr="00042ADE">
        <w:rPr>
          <w:rFonts w:ascii="Times New Roman" w:hAnsi="Times New Roman"/>
          <w:b/>
          <w:sz w:val="24"/>
          <w:szCs w:val="24"/>
          <w:lang w:val="en-GB"/>
        </w:rPr>
        <w:t>Table 2</w:t>
      </w:r>
      <w:r w:rsidRPr="00042ADE">
        <w:rPr>
          <w:rFonts w:ascii="Times New Roman" w:hAnsi="Times New Roman"/>
          <w:sz w:val="24"/>
          <w:szCs w:val="24"/>
          <w:lang w:val="en-GB"/>
        </w:rPr>
        <w:t>).</w:t>
      </w:r>
    </w:p>
    <w:p w14:paraId="4E98E9FA" w14:textId="77777777" w:rsidR="009B1941" w:rsidRPr="00042ADE" w:rsidRDefault="009B1941"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3.5. Association between tympanic and axillary temperature and serum NO levels</w:t>
      </w:r>
    </w:p>
    <w:p w14:paraId="5B54F103" w14:textId="77777777" w:rsidR="009B1941" w:rsidRPr="00042ADE" w:rsidRDefault="005F6704"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Finally, linear regression analysis for the tympanic and axillary temperature and serum NO levels, showed that only tympanic temperature (β=-9.321, 95%CI= -17.974, -0.669, P=0.035) was significantly associated with NO levels after adjustment for age, menopause state and BMI in the control group (</w:t>
      </w:r>
      <w:r w:rsidRPr="00042ADE">
        <w:rPr>
          <w:rFonts w:ascii="Times New Roman" w:hAnsi="Times New Roman"/>
          <w:b/>
          <w:sz w:val="24"/>
          <w:szCs w:val="24"/>
          <w:lang w:val="en-GB"/>
        </w:rPr>
        <w:t>Table 3</w:t>
      </w:r>
      <w:r w:rsidRPr="00042ADE">
        <w:rPr>
          <w:rFonts w:ascii="Times New Roman" w:hAnsi="Times New Roman"/>
          <w:sz w:val="24"/>
          <w:szCs w:val="24"/>
          <w:lang w:val="en-GB"/>
        </w:rPr>
        <w:t>).</w:t>
      </w:r>
    </w:p>
    <w:p w14:paraId="64AEEE15" w14:textId="77777777" w:rsidR="00F34CB4" w:rsidRPr="00042ADE" w:rsidRDefault="00F34CB4" w:rsidP="00807AE6">
      <w:pPr>
        <w:spacing w:line="480" w:lineRule="auto"/>
        <w:jc w:val="both"/>
        <w:rPr>
          <w:rFonts w:ascii="Times New Roman" w:hAnsi="Times New Roman"/>
          <w:b/>
          <w:sz w:val="24"/>
          <w:szCs w:val="24"/>
          <w:lang w:val="en-GB"/>
        </w:rPr>
      </w:pPr>
      <w:r w:rsidRPr="00042ADE">
        <w:rPr>
          <w:rFonts w:ascii="Times New Roman" w:hAnsi="Times New Roman"/>
          <w:b/>
          <w:sz w:val="24"/>
          <w:szCs w:val="24"/>
          <w:lang w:val="en-GB"/>
        </w:rPr>
        <w:t>4.</w:t>
      </w:r>
      <w:r w:rsidR="000578F2" w:rsidRPr="00042ADE">
        <w:rPr>
          <w:rFonts w:ascii="Times New Roman" w:hAnsi="Times New Roman"/>
          <w:b/>
          <w:sz w:val="24"/>
          <w:szCs w:val="24"/>
          <w:lang w:val="en-GB"/>
        </w:rPr>
        <w:t xml:space="preserve"> Discussion</w:t>
      </w:r>
    </w:p>
    <w:p w14:paraId="25F08E59" w14:textId="14911381" w:rsidR="000578F2" w:rsidRPr="00042ADE" w:rsidRDefault="00CA71A4"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The results of this study show</w:t>
      </w:r>
      <w:r w:rsidR="007556F7" w:rsidRPr="00042ADE">
        <w:rPr>
          <w:rFonts w:ascii="Times New Roman" w:hAnsi="Times New Roman"/>
          <w:sz w:val="24"/>
          <w:szCs w:val="24"/>
          <w:lang w:val="en-GB"/>
        </w:rPr>
        <w:t xml:space="preserve"> that FMS patients presented higher maximum, minimum and average temperature at each point of the dorsal and palm sites of both hands measured than </w:t>
      </w:r>
      <w:r w:rsidR="001A5D9A" w:rsidRPr="00042ADE">
        <w:rPr>
          <w:rFonts w:ascii="Times New Roman" w:hAnsi="Times New Roman"/>
          <w:sz w:val="24"/>
          <w:szCs w:val="24"/>
          <w:lang w:val="en-GB"/>
        </w:rPr>
        <w:t>the controls. Also, FMS patients</w:t>
      </w:r>
      <w:r w:rsidR="007556F7" w:rsidRPr="00042ADE">
        <w:rPr>
          <w:rFonts w:ascii="Times New Roman" w:hAnsi="Times New Roman"/>
          <w:sz w:val="24"/>
          <w:szCs w:val="24"/>
          <w:lang w:val="en-GB"/>
        </w:rPr>
        <w:t xml:space="preserve"> showed higher core body temperature in the tympanic artery, than healthy women. Finally, we </w:t>
      </w:r>
      <w:r w:rsidR="00101B25" w:rsidRPr="00042ADE">
        <w:rPr>
          <w:rFonts w:ascii="Times New Roman" w:hAnsi="Times New Roman"/>
          <w:sz w:val="24"/>
          <w:szCs w:val="24"/>
          <w:lang w:val="en-GB"/>
        </w:rPr>
        <w:t xml:space="preserve">did not </w:t>
      </w:r>
      <w:r w:rsidR="007556F7" w:rsidRPr="00042ADE">
        <w:rPr>
          <w:rFonts w:ascii="Times New Roman" w:hAnsi="Times New Roman"/>
          <w:sz w:val="24"/>
          <w:szCs w:val="24"/>
          <w:lang w:val="en-GB"/>
        </w:rPr>
        <w:t xml:space="preserve">found a significantly association between serum NO levels and the temperature </w:t>
      </w:r>
      <w:r w:rsidR="00E24EC4" w:rsidRPr="00042ADE">
        <w:rPr>
          <w:rFonts w:ascii="Times New Roman" w:hAnsi="Times New Roman"/>
          <w:sz w:val="24"/>
          <w:szCs w:val="24"/>
          <w:lang w:val="en-GB"/>
        </w:rPr>
        <w:t>in FM</w:t>
      </w:r>
      <w:r w:rsidR="004E6A25" w:rsidRPr="00042ADE">
        <w:rPr>
          <w:rFonts w:ascii="Times New Roman" w:hAnsi="Times New Roman"/>
          <w:sz w:val="24"/>
          <w:szCs w:val="24"/>
          <w:lang w:val="en-GB"/>
        </w:rPr>
        <w:t>S</w:t>
      </w:r>
      <w:r w:rsidR="00E24EC4" w:rsidRPr="00042ADE">
        <w:rPr>
          <w:rFonts w:ascii="Times New Roman" w:hAnsi="Times New Roman"/>
          <w:sz w:val="24"/>
          <w:szCs w:val="24"/>
          <w:lang w:val="en-GB"/>
        </w:rPr>
        <w:t xml:space="preserve">, however some interactions were achieved at </w:t>
      </w:r>
      <w:r w:rsidR="007556F7" w:rsidRPr="00042ADE">
        <w:rPr>
          <w:rFonts w:ascii="Times New Roman" w:hAnsi="Times New Roman"/>
          <w:sz w:val="24"/>
          <w:szCs w:val="24"/>
          <w:lang w:val="en-GB"/>
        </w:rPr>
        <w:t>the dorsal and palm sites of the hands in control</w:t>
      </w:r>
      <w:r w:rsidR="00E24EC4" w:rsidRPr="00042ADE">
        <w:rPr>
          <w:rFonts w:ascii="Times New Roman" w:hAnsi="Times New Roman"/>
          <w:sz w:val="24"/>
          <w:szCs w:val="24"/>
          <w:lang w:val="en-GB"/>
        </w:rPr>
        <w:t>s,</w:t>
      </w:r>
    </w:p>
    <w:p w14:paraId="1891A355" w14:textId="6B514FEB" w:rsidR="007556F7" w:rsidRPr="00042ADE" w:rsidRDefault="007556F7"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lastRenderedPageBreak/>
        <w:t xml:space="preserve">Our results indicate that tympanic temperature was higher in FMS group, suggesting an increased thermogenesis. Previous studies have shown that FMS patients have an increased core body temperature, related to an imbalance of the ANS </w:t>
      </w:r>
      <w:r w:rsidRPr="00042ADE">
        <w:rPr>
          <w:rFonts w:ascii="Times New Roman" w:hAnsi="Times New Roman"/>
          <w:sz w:val="24"/>
          <w:szCs w:val="24"/>
          <w:lang w:val="en-GB"/>
        </w:rPr>
        <w:fldChar w:fldCharType="begin" w:fldLock="1"/>
      </w:r>
      <w:r w:rsidR="005424CC" w:rsidRPr="00042ADE">
        <w:rPr>
          <w:rFonts w:ascii="Times New Roman" w:hAnsi="Times New Roman"/>
          <w:sz w:val="24"/>
          <w:szCs w:val="24"/>
          <w:lang w:val="en-GB"/>
        </w:rPr>
        <w:instrText>ADDIN CSL_CITATION {"citationItems":[{"id":"ITEM-1","itemData":{"DOI":"10.1016/j.lfs.2015.12.029","ISSN":"00243205","PMID":"26685758","abstract":"AIMS Although fibromyalgia (FM) syndrome is associated with many symptoms, there is as yet no specific finding or laboratory test diagnostic of this syndrome. The physical examination and laboratory tests may be helpful in figuring out this syndrome. MATERIALS AND METHODS The heart rate, respiration rate, body temperature (TEMP), height, body weight, hemoglobin level, erythrocyte sedimentation rate, white blood cell count, platelet count (PLT), rheumatoid factor and C-reactive protein levels and electrocardiograms (ECG) of FM patients were compared with those of control individuals. In addition, the predictive value of these tests was evaluated via receiver operating characteristic (ROC) analysis. KEY FINDINGS The results showed that the TEMP and the PLT were higher in the FM group compared with the control group. Also, ST heights in ECGs which corresponds to a period of ventricle systolic depolarization, showed evidence of a difference between the FM and the control groups. There was no difference observed in terms of the other parameters. According to the ROC analysis, PLT, TEMP and ST height have predictive capacities in FM. SIGNIFICANCE Changes in hormonal factors, peripheral blood circulation, autonomous system activity disorders, inflammatory incidents, etc., may explain the increased TEMP in the FM patients. The high PLT level may signify a thromboproliferation or a possible compensation caused by a PLT functional disorder. ST depression in FM patients may interrelate with coronary pathology. Elucidating the pathophysiology underlying the increases in TEMP and PLT and the decreases in ST height may help to explain the etiology of FM.","author":[{"dropping-particle":"","family":"Elmas","given":"Onur","non-dropping-particle":"","parse-names":false,"suffix":""},{"dropping-particle":"","family":"Yildiz","given":"Sedat","non-dropping-particle":"","parse-names":false,"suffix":""},{"dropping-particle":"","family":"Bilgin","given":"Suleyman","non-dropping-particle":"","parse-names":false,"suffix":""},{"dropping-particle":"","family":"Demirci","given":"Seden","non-dropping-particle":"","parse-names":false,"suffix":""},{"dropping-particle":"","family":"Comlekci","given":"Selcuk","non-dropping-particle":"","parse-names":false,"suffix":""},{"dropping-particle":"","family":"Koyuncuoglu","given":"Hasan Rifat","non-dropping-particle":"","parse-names":false,"suffix":""},{"dropping-particle":"","family":"Akkus","given":"Selami","non-dropping-particle":"","parse-names":false,"suffix":""},{"dropping-particle":"","family":"Colak","given":"Omer Halil","non-dropping-particle":"","parse-names":false,"suffix":""},{"dropping-particle":"","family":"Etem Koklukaya","given":"","non-dropping-particle":"","parse-names":false,"suffix":""},{"dropping-particle":"","family":"Arslan","given":"Evren","non-dropping-particle":"","parse-names":false,"suffix":""},{"dropping-particle":"","family":"Ozkan","given":"Ozhan","non-dropping-particle":"","parse-names":false,"suffix":""},{"dropping-particle":"","family":"Bilgin","given":"Gurkan","non-dropping-particle":"","parse-names":false,"suffix":""}],"container-title":"Life Sciences","id":"ITEM-1","issued":{"date-parts":[["2016","1","15"]]},"page":"51-56","title":"Physiological parameters as a tool in the diagnosis of fibromyalgia syndrome in females: A preliminary study","type":"article-journal","volume":"145"},"uris":["http://www.mendeley.com/documents/?uuid=db6ebbee-0a84-3cad-8210-03f116c224b5"]},{"id":"ITEM-2","itemData":{"DOI":"10.1007/s10286-011-0150-6","ISSN":"0959-9851","PMID":"22038566","abstract":"OBJECTIVES The hypothesis of autonomic nervous system involvement in pathophysiology in the patients with fibromyalgia has been addressed and tested time and again but the existing reports are both contradictory and inconclusive. A complete knowledge of the degree of autonomic dysfunction in fibromyalgia patients would be more substantial. We conducted a comprehensive non-invasive study to investigate the complete autonomic profile of female patients with fibromyalgia. METHOD An autonomic function test using a standard battery and heart rate variability analysis in the 42 fibromyalgia patients as well as 42 age matched healthy controls was performed. Both autonomic activity (tone) and reactivity were measured. Autonomic tone (both time and frequency domain parameters) was measured using heart rate variability (HRV) analysis. Autonomic reactivity was measured using a standard battery of autonomic function tests. RESULTS Resting blood pressure (both systolic and diastolic) was significantly higher in the fibromyalgia patients than controls. The time domain variables and HF% as recorded by HRV were significantly lower in the patients than the controls. The autonomic reactivity for sympathetic and parasympathetic nervous system was found to be within normal limits. INTERPRETATION The cardiac autonomic function is normal and the autonomic reflex arc seems to be intact in the patients with fibromyalgia.","author":[{"dropping-particle":"","family":"Kulshreshtha","given":"Poorvi","non-dropping-particle":"","parse-names":false,"suffix":""},{"dropping-particle":"","family":"Gupta","given":"Rajiva","non-dropping-particle":"","parse-names":false,"suffix":""},{"dropping-particle":"","family":"Yadav","given":"Raj Kumar","non-dropping-particle":"","parse-names":false,"suffix":""},{"dropping-particle":"","family":"Bijlani","given":"Ramesh Lal","non-dropping-particle":"","parse-names":false,"suffix":""},{"dropping-particle":"","family":"Deepak","given":"Kishore Kumar","non-dropping-particle":"","parse-names":false,"suffix":""}],"container-title":"Clinical Autonomic Research","id":"ITEM-2","issue":"3","issued":{"date-parts":[["2012","6","25"]]},"page":"117-122","title":"A comprehensive study of autonomic dysfunction in the fibromyalgia patients","type":"article-journal","volume":"22"},"uris":["http://www.mendeley.com/documents/?uuid=c644a2be-38d9-3386-a437-5f91a9457588"]},{"id":"ITEM-3","itemData":{"ISSN":"0001-5164","PMID":"26103738","abstract":"INTRODUCTION Fibromyalgia (FM) is a common chronic pain disorder characterized by whole-body pain and multiple symptoms. This study investigated potential dysfunctions of the Autonomic Nervous System (ANS) in FM patients through the measurement of the autonomic response during a cold-water test. METHODS 23 female patients with FM and 15 healthy female controls were recruited. First, FM patients filled out the following questionnaires: PainDETECT, American College of Rheumatology (ACR) criteria of FM, and Profile of Mood States (POMS). Healthy controls only filled out the POMS. Subsequently, all participants immersed their forearm into 1 degrees C cold-water as long as they could tolerate for a maximum of 120 seconds. A thermographic camera recorded skin temperature and its recuperation process. RESULTS The two groups differed significantly regarding central body temperature, forearm thermography, and peripheral (forearm)-central (ear) temperature ratio. FM patients showed less tolerance to cold water than control participants. Although total temperature decrease, cool-down rate, recuperation between 0 and 20 minutes after withdrawal showed significant intergroup differences, thermal recovery followed similar patterns in both groups. DISCUSSION Peculiar ANS baseline characteristics are seen in FM patients. Although those patients have reduced ability to sustain low temperatures, therefore limiting extrapolation of inter-group analysis, their thermal-adaptive responses were found different as compared to controls.","author":[{"dropping-particle":"","family":"Brusselmans","given":"Griet","non-dropping-particle":"","parse-names":false,"suffix":""},{"dropping-particle":"","family":"Nogueira","given":"Hugo","non-dropping-particle":"","parse-names":false,"suffix":""},{"dropping-particle":"","family":"Schamphelaere","given":"Elien","non-dropping-particle":"De","parse-names":false,"suffix":""},{"dropping-particle":"","family":"Devulder","given":"Jacques","non-dropping-particle":"","parse-names":false,"suffix":""},{"dropping-particle":"","family":"Crombez","given":"Geert","non-dropping-particle":"","parse-names":false,"suffix":""}],"container-title":"Acta anaesthesiologica Belgica","id":"ITEM-3","issue":"1","issued":{"date-parts":[["2015"]]},"page":"19-27","title":"Skin Temperature during Cold Pressor Test in Fibromyalgia: an Evaluation of the Autonomic Nervous System?","type":"article-journal","volume":"66"},"uris":["http://www.mendeley.com/documents/?uuid=6be20dc6-4c7d-3325-af24-96aed83007c8"]}],"mendeley":{"formattedCitation":"(Brusselmans et al., 2015; Elmas et al., 2016; Kulshreshtha et al., 2012)","plainTextFormattedCitation":"(Brusselmans et al., 2015; Elmas et al., 2016; Kulshreshtha et al., 2012)","previouslyFormattedCitation":"(Brusselmans et al., 2015; Elmas et al., 2016; Kulshreshtha et al., 2012)"},"properties":{"noteIndex":0},"schema":"https://github.com/citation-style-language/schema/raw/master/csl-citation.json"}</w:instrText>
      </w:r>
      <w:r w:rsidRPr="00042ADE">
        <w:rPr>
          <w:rFonts w:ascii="Times New Roman" w:hAnsi="Times New Roman"/>
          <w:sz w:val="24"/>
          <w:szCs w:val="24"/>
          <w:lang w:val="en-GB"/>
        </w:rPr>
        <w:fldChar w:fldCharType="separate"/>
      </w:r>
      <w:r w:rsidR="005424CC" w:rsidRPr="00042ADE">
        <w:rPr>
          <w:rFonts w:ascii="Times New Roman" w:hAnsi="Times New Roman"/>
          <w:noProof/>
          <w:sz w:val="24"/>
          <w:szCs w:val="24"/>
          <w:lang w:val="en-GB"/>
        </w:rPr>
        <w:t>(Brusselmans et al., 2015; Elmas et al., 2016; Kulshreshtha et al., 2012)</w:t>
      </w:r>
      <w:r w:rsidRPr="00042ADE">
        <w:rPr>
          <w:rFonts w:ascii="Times New Roman" w:hAnsi="Times New Roman"/>
          <w:sz w:val="24"/>
          <w:szCs w:val="24"/>
          <w:lang w:val="en-GB"/>
        </w:rPr>
        <w:fldChar w:fldCharType="end"/>
      </w:r>
      <w:r w:rsidR="00A15158" w:rsidRPr="00042ADE">
        <w:rPr>
          <w:rFonts w:ascii="Times New Roman" w:hAnsi="Times New Roman"/>
          <w:sz w:val="24"/>
          <w:szCs w:val="24"/>
          <w:lang w:val="en-GB"/>
        </w:rPr>
        <w:t xml:space="preserve">. </w:t>
      </w:r>
      <w:r w:rsidR="00A15158" w:rsidRPr="00042ADE">
        <w:rPr>
          <w:rFonts w:ascii="Times New Roman" w:hAnsi="Times New Roman"/>
          <w:sz w:val="24"/>
          <w:szCs w:val="24"/>
          <w:lang w:val="en-GB"/>
        </w:rPr>
        <w:fldChar w:fldCharType="begin" w:fldLock="1"/>
      </w:r>
      <w:r w:rsidR="002222D7" w:rsidRPr="00042ADE">
        <w:rPr>
          <w:rFonts w:ascii="Times New Roman" w:hAnsi="Times New Roman"/>
          <w:sz w:val="24"/>
          <w:szCs w:val="24"/>
          <w:lang w:val="en-GB"/>
        </w:rPr>
        <w:instrText>ADDIN CSL_CITATION {"citationItems":[{"id":"ITEM-1","itemData":{"DOI":"10.1016/j.lfs.2015.12.029","ISSN":"00243205","PMID":"26685758","abstract":"AIMS Although fibromyalgia (FM) syndrome is associated with many symptoms, there is as yet no specific finding or laboratory test diagnostic of this syndrome. The physical examination and laboratory tests may be helpful in figuring out this syndrome. MATERIALS AND METHODS The heart rate, respiration rate, body temperature (TEMP), height, body weight, hemoglobin level, erythrocyte sedimentation rate, white blood cell count, platelet count (PLT), rheumatoid factor and C-reactive protein levels and electrocardiograms (ECG) of FM patients were compared with those of control individuals. In addition, the predictive value of these tests was evaluated via receiver operating characteristic (ROC) analysis. KEY FINDINGS The results showed that the TEMP and the PLT were higher in the FM group compared with the control group. Also, ST heights in ECGs which corresponds to a period of ventricle systolic depolarization, showed evidence of a difference between the FM and the control groups. There was no difference observed in terms of the other parameters. According to the ROC analysis, PLT, TEMP and ST height have predictive capacities in FM. SIGNIFICANCE Changes in hormonal factors, peripheral blood circulation, autonomous system activity disorders, inflammatory incidents, etc., may explain the increased TEMP in the FM patients. The high PLT level may signify a thromboproliferation or a possible compensation caused by a PLT functional disorder. ST depression in FM patients may interrelate with coronary pathology. Elucidating the pathophysiology underlying the increases in TEMP and PLT and the decreases in ST height may help to explain the etiology of FM.","author":[{"dropping-particle":"","family":"Elmas","given":"Onur","non-dropping-particle":"","parse-names":false,"suffix":""},{"dropping-particle":"","family":"Yildiz","given":"Sedat","non-dropping-particle":"","parse-names":false,"suffix":""},{"dropping-particle":"","family":"Bilgin","given":"Suleyman","non-dropping-particle":"","parse-names":false,"suffix":""},{"dropping-particle":"","family":"Demirci","given":"Seden","non-dropping-particle":"","parse-names":false,"suffix":""},{"dropping-particle":"","family":"Comlekci","given":"Selcuk","non-dropping-particle":"","parse-names":false,"suffix":""},{"dropping-particle":"","family":"Koyuncuoglu","given":"Hasan Rifat","non-dropping-particle":"","parse-names":false,"suffix":""},{"dropping-particle":"","family":"Akkus","given":"Selami","non-dropping-particle":"","parse-names":false,"suffix":""},{"dropping-particle":"","family":"Colak","given":"Omer Halil","non-dropping-particle":"","parse-names":false,"suffix":""},{"dropping-particle":"","family":"Etem Koklukaya","given":"","non-dropping-particle":"","parse-names":false,"suffix":""},{"dropping-particle":"","family":"Arslan","given":"Evren","non-dropping-particle":"","parse-names":false,"suffix":""},{"dropping-particle":"","family":"Ozkan","given":"Ozhan","non-dropping-particle":"","parse-names":false,"suffix":""},{"dropping-particle":"","family":"Bilgin","given":"Gurkan","non-dropping-particle":"","parse-names":false,"suffix":""}],"container-title":"Life Sciences","id":"ITEM-1","issued":{"date-parts":[["2016","1","15"]]},"page":"51-56","title":"Physiological parameters as a tool in the diagnosis of fibromyalgia syndrome in females: A preliminary study","type":"article-journal","volume":"145"},"uris":["http://www.mendeley.com/documents/?uuid=db6ebbee-0a84-3cad-8210-03f116c224b5"]}],"mendeley":{"formattedCitation":"(Elmas et al., 2016)","manualFormatting":"Elmas et al. (2016)","plainTextFormattedCitation":"(Elmas et al., 2016)","previouslyFormattedCitation":"(Elmas et al., 2016)"},"properties":{"noteIndex":0},"schema":"https://github.com/citation-style-language/schema/raw/master/csl-citation.json"}</w:instrText>
      </w:r>
      <w:r w:rsidR="00A15158" w:rsidRPr="00042ADE">
        <w:rPr>
          <w:rFonts w:ascii="Times New Roman" w:hAnsi="Times New Roman"/>
          <w:sz w:val="24"/>
          <w:szCs w:val="24"/>
          <w:lang w:val="en-GB"/>
        </w:rPr>
        <w:fldChar w:fldCharType="separate"/>
      </w:r>
      <w:r w:rsidR="00A15158" w:rsidRPr="00042ADE">
        <w:rPr>
          <w:rFonts w:ascii="Times New Roman" w:hAnsi="Times New Roman"/>
          <w:noProof/>
          <w:sz w:val="24"/>
          <w:szCs w:val="24"/>
          <w:lang w:val="en-GB"/>
        </w:rPr>
        <w:t>Elmas et al. (2016)</w:t>
      </w:r>
      <w:r w:rsidR="00A15158" w:rsidRPr="00042ADE">
        <w:rPr>
          <w:rFonts w:ascii="Times New Roman" w:hAnsi="Times New Roman"/>
          <w:sz w:val="24"/>
          <w:szCs w:val="24"/>
          <w:lang w:val="en-GB"/>
        </w:rPr>
        <w:fldChar w:fldCharType="end"/>
      </w:r>
      <w:r w:rsidR="00F02483" w:rsidRPr="00042ADE">
        <w:rPr>
          <w:rFonts w:ascii="Times New Roman" w:hAnsi="Times New Roman"/>
          <w:sz w:val="24"/>
          <w:szCs w:val="24"/>
          <w:lang w:val="en-GB"/>
        </w:rPr>
        <w:t xml:space="preserve"> </w:t>
      </w:r>
      <w:r w:rsidR="00A15158" w:rsidRPr="00042ADE">
        <w:rPr>
          <w:rFonts w:ascii="Times New Roman" w:hAnsi="Times New Roman"/>
          <w:sz w:val="24"/>
          <w:szCs w:val="24"/>
          <w:lang w:val="en-GB"/>
        </w:rPr>
        <w:t xml:space="preserve">measured the body temperature </w:t>
      </w:r>
      <w:r w:rsidR="007D3059" w:rsidRPr="00042ADE">
        <w:rPr>
          <w:rFonts w:ascii="Times New Roman" w:hAnsi="Times New Roman"/>
          <w:sz w:val="24"/>
          <w:szCs w:val="24"/>
          <w:lang w:val="en-GB"/>
        </w:rPr>
        <w:t xml:space="preserve">with a skin temperature probe that operated with a range of 0-50 ºC to the inside of the right arm of the patients </w:t>
      </w:r>
      <w:r w:rsidR="00A15158" w:rsidRPr="00042ADE">
        <w:rPr>
          <w:rFonts w:ascii="Times New Roman" w:hAnsi="Times New Roman"/>
          <w:sz w:val="24"/>
          <w:szCs w:val="24"/>
          <w:lang w:val="en-GB"/>
        </w:rPr>
        <w:t>and observed that temperature in FMS patients was higher than in controls</w:t>
      </w:r>
      <w:r w:rsidR="005E27F7" w:rsidRPr="00042ADE">
        <w:rPr>
          <w:rFonts w:ascii="Times New Roman" w:hAnsi="Times New Roman"/>
          <w:sz w:val="24"/>
          <w:szCs w:val="24"/>
          <w:lang w:val="en-GB"/>
        </w:rPr>
        <w:t>.</w:t>
      </w:r>
      <w:r w:rsidR="00C709CC" w:rsidRPr="00042ADE">
        <w:rPr>
          <w:rFonts w:ascii="Times New Roman" w:hAnsi="Times New Roman"/>
          <w:sz w:val="24"/>
          <w:szCs w:val="24"/>
          <w:lang w:val="en-GB"/>
        </w:rPr>
        <w:t xml:space="preserve"> In other study, </w:t>
      </w:r>
      <w:r w:rsidR="002222D7" w:rsidRPr="00042ADE">
        <w:rPr>
          <w:rFonts w:ascii="Times New Roman" w:hAnsi="Times New Roman"/>
          <w:sz w:val="24"/>
          <w:szCs w:val="24"/>
          <w:lang w:val="en-GB"/>
        </w:rPr>
        <w:fldChar w:fldCharType="begin" w:fldLock="1"/>
      </w:r>
      <w:r w:rsidR="005424CC" w:rsidRPr="00042ADE">
        <w:rPr>
          <w:rFonts w:ascii="Times New Roman" w:hAnsi="Times New Roman"/>
          <w:sz w:val="24"/>
          <w:szCs w:val="24"/>
          <w:lang w:val="en-GB"/>
        </w:rPr>
        <w:instrText>ADDIN CSL_CITATION {"citationItems":[{"id":"ITEM-1","itemData":{"ISSN":"0001-5164","PMID":"26103738","abstract":"INTRODUCTION Fibromyalgia (FM) is a common chronic pain disorder characterized by whole-body pain and multiple symptoms. This study investigated potential dysfunctions of the Autonomic Nervous System (ANS) in FM patients through the measurement of the autonomic response during a cold-water test. METHODS 23 female patients with FM and 15 healthy female controls were recruited. First, FM patients filled out the following questionnaires: PainDETECT, American College of Rheumatology (ACR) criteria of FM, and Profile of Mood States (POMS). Healthy controls only filled out the POMS. Subsequently, all participants immersed their forearm into 1 degrees C cold-water as long as they could tolerate for a maximum of 120 seconds. A thermographic camera recorded skin temperature and its recuperation process. RESULTS The two groups differed significantly regarding central body temperature, forearm thermography, and peripheral (forearm)-central (ear) temperature ratio. FM patients showed less tolerance to cold water than control participants. Although total temperature decrease, cool-down rate, recuperation between 0 and 20 minutes after withdrawal showed significant intergroup differences, thermal recovery followed similar patterns in both groups. DISCUSSION Peculiar ANS baseline characteristics are seen in FM patients. Although those patients have reduced ability to sustain low temperatures, therefore limiting extrapolation of inter-group analysis, their thermal-adaptive responses were found different as compared to controls.","author":[{"dropping-particle":"","family":"Brusselmans","given":"Griet","non-dropping-particle":"","parse-names":false,"suffix":""},{"dropping-particle":"","family":"Nogueira","given":"Hugo","non-dropping-particle":"","parse-names":false,"suffix":""},{"dropping-particle":"","family":"Schamphelaere","given":"Elien","non-dropping-particle":"De","parse-names":false,"suffix":""},{"dropping-particle":"","family":"Devulder","given":"Jacques","non-dropping-particle":"","parse-names":false,"suffix":""},{"dropping-particle":"","family":"Crombez","given":"Geert","non-dropping-particle":"","parse-names":false,"suffix":""}],"container-title":"Acta anaesthesiologica Belgica","id":"ITEM-1","issue":"1","issued":{"date-parts":[["2015"]]},"page":"19-27","title":"Skin Temperature during Cold Pressor Test in Fibromyalgia: an Evaluation of the Autonomic Nervous System?","type":"article-journal","volume":"66"},"uris":["http://www.mendeley.com/documents/?uuid=6be20dc6-4c7d-3325-af24-96aed83007c8"]}],"mendeley":{"formattedCitation":"(Brusselmans et al., 2015)","plainTextFormattedCitation":"(Brusselmans et al., 2015)","previouslyFormattedCitation":"(Brusselmans et al., 2015)"},"properties":{"noteIndex":0},"schema":"https://github.com/citation-style-language/schema/raw/master/csl-citation.json"}</w:instrText>
      </w:r>
      <w:r w:rsidR="002222D7" w:rsidRPr="00042ADE">
        <w:rPr>
          <w:rFonts w:ascii="Times New Roman" w:hAnsi="Times New Roman"/>
          <w:sz w:val="24"/>
          <w:szCs w:val="24"/>
          <w:lang w:val="en-GB"/>
        </w:rPr>
        <w:fldChar w:fldCharType="separate"/>
      </w:r>
      <w:r w:rsidR="005424CC" w:rsidRPr="00042ADE">
        <w:rPr>
          <w:rFonts w:ascii="Times New Roman" w:hAnsi="Times New Roman"/>
          <w:noProof/>
          <w:sz w:val="24"/>
          <w:szCs w:val="24"/>
          <w:lang w:val="en-GB"/>
        </w:rPr>
        <w:t>(Brusselmans et al., 2015)</w:t>
      </w:r>
      <w:r w:rsidR="002222D7" w:rsidRPr="00042ADE">
        <w:rPr>
          <w:rFonts w:ascii="Times New Roman" w:hAnsi="Times New Roman"/>
          <w:sz w:val="24"/>
          <w:szCs w:val="24"/>
          <w:lang w:val="en-GB"/>
        </w:rPr>
        <w:fldChar w:fldCharType="end"/>
      </w:r>
      <w:r w:rsidR="002222D7" w:rsidRPr="00042ADE">
        <w:rPr>
          <w:rFonts w:ascii="Times New Roman" w:hAnsi="Times New Roman"/>
          <w:sz w:val="24"/>
          <w:szCs w:val="24"/>
          <w:lang w:val="en-GB"/>
        </w:rPr>
        <w:t xml:space="preserve"> </w:t>
      </w:r>
      <w:r w:rsidR="00C709CC" w:rsidRPr="00042ADE">
        <w:rPr>
          <w:rFonts w:ascii="Times New Roman" w:hAnsi="Times New Roman"/>
          <w:sz w:val="24"/>
          <w:szCs w:val="24"/>
          <w:lang w:val="en-GB"/>
        </w:rPr>
        <w:t>showed that FMS patients presented an increased axillary temperature compared with the controls, but without changes for the tympanic temperature. These results are in contrast with our findings, since differences between groups were only achieved at tympanic level. Discrepancies may be explained by the different devices used for measuring core body temperature</w:t>
      </w:r>
      <w:r w:rsidR="002222D7" w:rsidRPr="00042ADE">
        <w:rPr>
          <w:rFonts w:ascii="Times New Roman" w:hAnsi="Times New Roman"/>
          <w:sz w:val="24"/>
          <w:szCs w:val="24"/>
          <w:lang w:val="en-GB"/>
        </w:rPr>
        <w:t xml:space="preserve">. </w:t>
      </w:r>
      <w:r w:rsidR="005424CC" w:rsidRPr="00042ADE">
        <w:rPr>
          <w:rFonts w:ascii="Times New Roman" w:hAnsi="Times New Roman"/>
          <w:sz w:val="24"/>
          <w:szCs w:val="24"/>
          <w:lang w:val="en-GB"/>
        </w:rPr>
        <w:t xml:space="preserve">However, as </w:t>
      </w:r>
      <w:r w:rsidR="005424CC" w:rsidRPr="00042ADE">
        <w:rPr>
          <w:rFonts w:ascii="Times New Roman" w:hAnsi="Times New Roman"/>
          <w:sz w:val="24"/>
          <w:szCs w:val="24"/>
          <w:lang w:val="en-GB"/>
        </w:rPr>
        <w:fldChar w:fldCharType="begin" w:fldLock="1"/>
      </w:r>
      <w:r w:rsidR="00C4138F" w:rsidRPr="00042ADE">
        <w:rPr>
          <w:rFonts w:ascii="Times New Roman" w:hAnsi="Times New Roman"/>
          <w:sz w:val="24"/>
          <w:szCs w:val="24"/>
          <w:lang w:val="en-GB"/>
        </w:rPr>
        <w:instrText>ADDIN CSL_CITATION {"citationItems":[{"id":"ITEM-1","itemData":{"DOI":"10.2147/MDER.S109904","ISSN":"1179-1470","PMID":"27621673","abstract":"INTRODUCTION An accurate determination of body temperature in critically ill patients is a fundamental requirement for initiating the proper process of diagnosis, and also therapeutic actions; therefore, the aim of the study was to assess the accuracy and precision of four noninvasive peripheral methods of temperature measurement compared to the central nasopharyngeal measurement. METHODS In this observational prospective study, 237 patients were recruited from the intensive care unit of Imam Ali Hospital of Kermanshah. The patients' body temperatures were measured by four peripheral methods; oral, axillary, tympanic, and forehead along with a standard central nasopharyngeal measurement. After data collection, the results were analyzed by paired t-test, kappa coefficient, receiver operating characteristic curve, and using Statistical Package for the Social Sciences, version 19, software. RESULTS There was a significant meaningful correlation between all the peripheral methods when compared with the central measurement (P&lt;0.001). Kappa coefficients showed good agreement between the temperatures of right and left tympanic membranes and the standard central nasopharyngeal measurement (88%). Paired t-test demonstrated an acceptable precision with forehead (P=0.132), left (P=0.18) and right (P=0.318) tympanic membranes, oral (P=1.00), and axillary (P=1.00) methods. Sensitivity and specificity of both the left and right tympanic membranes were more than for other methods. CONCLUSION The tympanic and forehead methods had the highest and lowest accuracy for measuring body temperature, respectively. It is recommended to use the tympanic method (right and left) for assessing a patient's body temperature in the intensive care units because of high accuracy and acceptable precision.","author":[{"dropping-particle":"","family":"Abdi","given":"Alireza","non-dropping-particle":"","parse-names":false,"suffix":""},{"dropping-particle":"","family":"Asadian","given":"Simin","non-dropping-particle":"","parse-names":false,"suffix":""},{"dropping-particle":"","family":"Khatony","given":"Alireza","non-dropping-particle":"","parse-names":false,"suffix":""},{"dropping-particle":"","family":"Moradi","given":"Gholam Reza","non-dropping-particle":"","parse-names":false,"suffix":""},{"dropping-particle":"","family":"Rezaei","given":"Mansour","non-dropping-particle":"","parse-names":false,"suffix":""}],"container-title":"Medical Devices: Evidence and Research","id":"ITEM-1","issued":{"date-parts":[["2016","9"]]},"page":"301-308","title":"Accuracy and precision of four common peripheral temperature measurement methods in intensive care patients","type":"article-journal","volume":"Volume 9"},"uris":["http://www.mendeley.com/documents/?uuid=5a744421-9788-34e9-90c3-583d8228845f"]}],"mendeley":{"formattedCitation":"(Abdi et al., 2016)","manualFormatting":"Abdi et al. (2016)","plainTextFormattedCitation":"(Abdi et al., 2016)","previouslyFormattedCitation":"(Abdi et al., 2016)"},"properties":{"noteIndex":0},"schema":"https://github.com/citation-style-language/schema/raw/master/csl-citation.json"}</w:instrText>
      </w:r>
      <w:r w:rsidR="005424CC" w:rsidRPr="00042ADE">
        <w:rPr>
          <w:rFonts w:ascii="Times New Roman" w:hAnsi="Times New Roman"/>
          <w:sz w:val="24"/>
          <w:szCs w:val="24"/>
          <w:lang w:val="en-GB"/>
        </w:rPr>
        <w:fldChar w:fldCharType="separate"/>
      </w:r>
      <w:r w:rsidR="005424CC" w:rsidRPr="00042ADE">
        <w:rPr>
          <w:rFonts w:ascii="Times New Roman" w:hAnsi="Times New Roman"/>
          <w:noProof/>
          <w:sz w:val="24"/>
          <w:szCs w:val="24"/>
          <w:lang w:val="en-GB"/>
        </w:rPr>
        <w:t>Abdi et al. (2016)</w:t>
      </w:r>
      <w:r w:rsidR="005424CC" w:rsidRPr="00042ADE">
        <w:rPr>
          <w:rFonts w:ascii="Times New Roman" w:hAnsi="Times New Roman"/>
          <w:sz w:val="24"/>
          <w:szCs w:val="24"/>
          <w:lang w:val="en-GB"/>
        </w:rPr>
        <w:fldChar w:fldCharType="end"/>
      </w:r>
      <w:r w:rsidR="005424CC" w:rsidRPr="00042ADE">
        <w:rPr>
          <w:rFonts w:ascii="Times New Roman" w:hAnsi="Times New Roman"/>
          <w:sz w:val="24"/>
          <w:szCs w:val="24"/>
          <w:lang w:val="en-GB"/>
        </w:rPr>
        <w:t xml:space="preserve"> previously reported, the tympanic method have a better accuracy and precision for detecting this variable</w:t>
      </w:r>
      <w:r w:rsidR="00AE7415" w:rsidRPr="00042ADE">
        <w:rPr>
          <w:rFonts w:ascii="Times New Roman" w:hAnsi="Times New Roman"/>
          <w:sz w:val="24"/>
          <w:szCs w:val="24"/>
          <w:lang w:val="en-GB"/>
        </w:rPr>
        <w:t>. Supporting our results, scientific literature evidences that AVAs vasodilation is related to release of substance P and CGRP at blood flow</w:t>
      </w:r>
      <w:r w:rsidR="00C4138F" w:rsidRPr="00042ADE">
        <w:rPr>
          <w:rFonts w:ascii="Times New Roman" w:hAnsi="Times New Roman"/>
          <w:sz w:val="24"/>
          <w:szCs w:val="24"/>
          <w:lang w:val="en-GB"/>
        </w:rPr>
        <w:t xml:space="preserve"> </w:t>
      </w:r>
      <w:r w:rsidR="00C4138F" w:rsidRPr="00042ADE">
        <w:rPr>
          <w:rFonts w:ascii="Times New Roman" w:hAnsi="Times New Roman"/>
          <w:sz w:val="24"/>
          <w:szCs w:val="24"/>
          <w:lang w:val="en-GB"/>
        </w:rPr>
        <w:fldChar w:fldCharType="begin" w:fldLock="1"/>
      </w:r>
      <w:r w:rsidR="00AC1AA1" w:rsidRPr="00042ADE">
        <w:rPr>
          <w:rFonts w:ascii="Times New Roman" w:hAnsi="Times New Roman"/>
          <w:sz w:val="24"/>
          <w:szCs w:val="24"/>
          <w:lang w:val="en-GB"/>
        </w:rPr>
        <w:instrText>ADDIN CSL_CITATION {"citationItems":[{"id":"ITEM-1","itemData":{"DOI":"10.1007/bfb0033194","ISSN":"03034240","PMID":"1485073","author":[{"dropping-particle":"","family":"Holzer","given":"P.","non-dropping-particle":"","parse-names":false,"suffix":""}],"container-title":"Reviews of physiology, biochemistry and pharmacology","id":"ITEM-1","issued":{"date-parts":[["1992"]]},"page":"49-146","publisher":"Rev Physiol Biochem Pharmacol","title":"Peptidergic sensory neurons in the control of vascular functions: mechanisms and significance in the cutaneous and splanchnic vascular beds.","type":"article","volume":"121"},"uris":["http://www.mendeley.com/documents/?uuid=e108136a-1da4-3de5-b5d1-d62efb3cfd25"]},{"id":"ITEM-2","itemData":{"DOI":"10.1152/japplphysiol.00407.2010","ISSN":"87507587","abstract":"The level of skin blood flow is subject to both reflex thermoregulatory control and influences from the direct effects of warming and cooling the skin. The effects of local changes in temperature arecapable of maximally vasoconstricting or vasodilating the skin. Theyare brought about by a combination of mechanisms involving endothelial, adrenergic, and sensory systems. Local warming initiates a transient vasodilation through an axon reflex, succeeded by a plateau phase due largely to nitric oxide. Both phases are supported by sympathetic transmitters. The plateau phase is followed by the die-away phenomenon, a slow reversal of the vasodilation that is dependent on intact sympathetic vasoconstrictor nerves. The vasoconstriction with local skin cooling is brought about, in part, by a postsynaptic upregulation of 2c-adrenoceptors and, in part, by inhibition of the nitric oxide system at at least two points. There is also an early vasodilator response to local cooling, dependent on the rate of cooling. The mechanism for that transient vasodilation is not known, but it isinhibited by intact sympathetic vasoconstrictor nerve function and by intact sensory nerve function. © 2010 the American Physiological Society.","author":[{"dropping-particle":"","family":"Johnson","given":"John M.","non-dropping-particle":"","parse-names":false,"suffix":""},{"dropping-particle":"","family":"Kellogg","given":"Dean L.","non-dropping-particle":"","parse-names":false,"suffix":""}],"container-title":"Journal of Applied Physiology","id":"ITEM-2","issue":"4","issued":{"date-parts":[["2010","10"]]},"page":"1229-1238","publisher":"J Appl Physiol (1985)","title":"Local thermal control of the human cutaneous circulation","type":"article","volume":"109"},"uris":["http://www.mendeley.com/documents/?uuid=4ce12402-ba49-3339-bcbe-3770f7f85ba7"]},{"id":"ITEM-3","itemData":{"DOI":"10.1152/japplphysiol.00298.2010","ISSN":"87507587","abstract":"Human skin blood flow responses to body heating and cooling areessential to the normal processes of physiological thermoregulation. Large increases in skin blood flow provide the necessary augmentation of convective heat loss during environmental heat exposure and/or exercise, justas reflex cutaneous vasoconstriction is key to preventing excessive heat dissipation during coldexposure. In humans, reflex sympathetic innervation of the cutaneous circulation has two branches: a sympathetic noradrenergic vasoconstrictor system, and a non-noradrenergic active vasodilator system. Noradrenergic vasoconstrictor nerves are tonically active in normothermic environmentsand increase their activity during cold exposure, releasing both norepinephrine and cotransmitters (including neuropeptide Y) to decrease skin blood flow. The active vasodilator system in human skin does not exhibit resting tone and is only activated during increases in body temperature,such as those brought about by heat exposure or exercise. Active cutaneous vasodilation occurs via cholinergic nerve cotransmission and has been shown to include potential roles for nitric oxide, vasoactive intestinal peptide, prostaglandins, and substance P (and/or neurokinin-1 receptors). It has proven both interesting and challenging that no one substance has been identified as the sole mediatorof active cutaneous vasodilation. The processes of reflex cutaneous vasodilation and vasoconstriction are both modified by acute factors, such as exercise and hydration, and more long-term factors, such as aging, reproductive hormones, and disease. This review will highlight some of the recent findings in these areas, as well as interesting areas of ongoing and future work. © 2010 the American Physiological Society.","author":[{"dropping-particle":"","family":"Charkoudian","given":"Nisha","non-dropping-particle":"","parse-names":false,"suffix":""}],"container-title":"Journal of Applied Physiology","id":"ITEM-3","issue":"4","issued":{"date-parts":[["2010","10"]]},"page":"1221-1228","publisher":" American Physiological Society Bethesda, MD","title":"Mechanisms and modifiers of reflex induced cutaneous vasodilation and vasoconstriction in humans","type":"article","volume":"109"},"uris":["http://www.mendeley.com/documents/?uuid=ae7f3178-cd01-3426-b85f-f74dc91b2a10"]},{"id":"ITEM-4","itemData":{"DOI":"10.1152/japplphysiol.00414.2010","ISSN":"87507587","abstract":"With increased interest in predictive medicine, development of a relatively noninvasive technique that can improve prediction of major clinical outcomes has gained considerable attention. Current tests that are the target of critical evaluation, such as flow-mediatedvasodilation of the brachial artery and pulse-wave velocity, are specific to the larger conduit vessels. However, evidence is mounting that functional changes in the microcirculation may be an early sign of globalized microvascular dysfunction. Thus development of a test of microvascular reactivity that could be used to evaluate cardiovascular risk or response to treatment is an exciting area of innovation. This mini-review is focused on tests of microvascular reactivity to thermal stimuli in the cutaneous circulation. The skin may prove to be an ideal site for evaluation of microvascular dysfunction due to its ease of access and growing evidence that changes in skin vascular reactivity may precede overt clinical signs of disease. Evaluation of the skin blood flow response to locally applied heat has already demonstrated prognostic utility, and the response to local cooling holds promise in patients in whom cutaneous disorders are present. Whether either of these tests can be used to predict cardiovascular morbidity or mortality in a clinical setting requires further evaluation. © 2010 the American Physiological Society.","author":[{"dropping-particle":"","family":"Minson","given":"Christopher T.","non-dropping-particle":"","parse-names":false,"suffix":""}],"container-title":"Journal of Applied Physiology","id":"ITEM-4","issue":"4","issued":{"date-parts":[["2010","10"]]},"page":"1239-1246","publisher":"J Appl Physiol (1985)","title":"Thermal provocation to evaluate microvascular reactivity in human skin","type":"article","volume":"109"},"uris":["http://www.mendeley.com/documents/?uuid=c9882d0b-0231-351b-ad8b-4c1fe3bf730b"]}],"mendeley":{"formattedCitation":"(Charkoudian, 2010; Holzer, 1992; Johnson and Kellogg, 2010a; Minson, 2010)","plainTextFormattedCitation":"(Charkoudian, 2010; Holzer, 1992; Johnson and Kellogg, 2010a; Minson, 2010)","previouslyFormattedCitation":"(Charkoudian, 2010; Holzer, 1992; Johnson and Kellogg, 2010a; Minson, 2010)"},"properties":{"noteIndex":0},"schema":"https://github.com/citation-style-language/schema/raw/master/csl-citation.json"}</w:instrText>
      </w:r>
      <w:r w:rsidR="00C4138F" w:rsidRPr="00042ADE">
        <w:rPr>
          <w:rFonts w:ascii="Times New Roman" w:hAnsi="Times New Roman"/>
          <w:sz w:val="24"/>
          <w:szCs w:val="24"/>
          <w:lang w:val="en-GB"/>
        </w:rPr>
        <w:fldChar w:fldCharType="separate"/>
      </w:r>
      <w:r w:rsidR="00E9115F" w:rsidRPr="00042ADE">
        <w:rPr>
          <w:rFonts w:ascii="Times New Roman" w:hAnsi="Times New Roman"/>
          <w:noProof/>
          <w:sz w:val="24"/>
          <w:szCs w:val="24"/>
          <w:lang w:val="en-GB"/>
        </w:rPr>
        <w:t>(Charkoudian, 2010; Holzer, 1992; Johnson and Kellogg, 2010a; Minson, 2010)</w:t>
      </w:r>
      <w:r w:rsidR="00C4138F" w:rsidRPr="00042ADE">
        <w:rPr>
          <w:rFonts w:ascii="Times New Roman" w:hAnsi="Times New Roman"/>
          <w:sz w:val="24"/>
          <w:szCs w:val="24"/>
          <w:lang w:val="en-GB"/>
        </w:rPr>
        <w:fldChar w:fldCharType="end"/>
      </w:r>
      <w:r w:rsidR="00C4138F" w:rsidRPr="00042ADE">
        <w:rPr>
          <w:rFonts w:ascii="Times New Roman" w:hAnsi="Times New Roman"/>
          <w:sz w:val="24"/>
          <w:szCs w:val="24"/>
          <w:lang w:val="en-GB"/>
        </w:rPr>
        <w:t>.</w:t>
      </w:r>
      <w:r w:rsidR="00172E3C" w:rsidRPr="00042ADE">
        <w:rPr>
          <w:rFonts w:ascii="Times New Roman" w:hAnsi="Times New Roman"/>
          <w:sz w:val="24"/>
          <w:szCs w:val="24"/>
          <w:lang w:val="en-GB"/>
        </w:rPr>
        <w:t xml:space="preserve"> The substance P is delivered at blood circulation after physical or stress conditions (cold or heat), stimulating the mast cells that</w:t>
      </w:r>
      <w:r w:rsidR="00A8563A" w:rsidRPr="00042ADE">
        <w:rPr>
          <w:rFonts w:ascii="Times New Roman" w:hAnsi="Times New Roman"/>
          <w:sz w:val="24"/>
          <w:szCs w:val="24"/>
          <w:lang w:val="en-GB"/>
        </w:rPr>
        <w:t xml:space="preserve"> </w:t>
      </w:r>
      <w:r w:rsidR="00172E3C" w:rsidRPr="00042ADE">
        <w:rPr>
          <w:rFonts w:ascii="Times New Roman" w:hAnsi="Times New Roman"/>
          <w:sz w:val="24"/>
          <w:szCs w:val="24"/>
          <w:lang w:val="en-GB"/>
        </w:rPr>
        <w:t>released vasoactive substances (interleukin 6) and pro-inflammatory mediators (</w:t>
      </w:r>
      <w:proofErr w:type="spellStart"/>
      <w:r w:rsidR="00172E3C" w:rsidRPr="00042ADE">
        <w:rPr>
          <w:rFonts w:ascii="Times New Roman" w:hAnsi="Times New Roman"/>
          <w:sz w:val="24"/>
          <w:szCs w:val="24"/>
          <w:lang w:val="en-GB"/>
        </w:rPr>
        <w:t>tumor</w:t>
      </w:r>
      <w:proofErr w:type="spellEnd"/>
      <w:r w:rsidR="00172E3C" w:rsidRPr="00042ADE">
        <w:rPr>
          <w:rFonts w:ascii="Times New Roman" w:hAnsi="Times New Roman"/>
          <w:sz w:val="24"/>
          <w:szCs w:val="24"/>
          <w:lang w:val="en-GB"/>
        </w:rPr>
        <w:t xml:space="preserve"> necrosis factor) at blood flow</w:t>
      </w:r>
      <w:r w:rsidR="00946CB9" w:rsidRPr="00042ADE">
        <w:rPr>
          <w:rFonts w:ascii="Times New Roman" w:hAnsi="Times New Roman"/>
          <w:sz w:val="24"/>
          <w:szCs w:val="24"/>
          <w:lang w:val="en-GB"/>
        </w:rPr>
        <w:t xml:space="preserve"> </w:t>
      </w:r>
      <w:r w:rsidR="00946CB9" w:rsidRPr="00042ADE">
        <w:rPr>
          <w:rFonts w:ascii="Times New Roman" w:hAnsi="Times New Roman"/>
          <w:sz w:val="24"/>
          <w:szCs w:val="24"/>
          <w:lang w:val="en-GB"/>
        </w:rPr>
        <w:fldChar w:fldCharType="begin" w:fldLock="1"/>
      </w:r>
      <w:r w:rsidR="00AD71B5" w:rsidRPr="00042ADE">
        <w:rPr>
          <w:rFonts w:ascii="Times New Roman" w:hAnsi="Times New Roman"/>
          <w:sz w:val="24"/>
          <w:szCs w:val="24"/>
          <w:lang w:val="en-GB"/>
        </w:rPr>
        <w:instrText>ADDIN CSL_CITATION {"citationItems":[{"id":"ITEM-1","itemData":{"DOI":"10.1056/NEJMra1409760","ISSN":"15334406","author":[{"dropping-particle":"","family":"Theoharides","given":"Theoharis C.","non-dropping-particle":"","parse-names":false,"suffix":""},{"dropping-particle":"","family":"Valent","given":"Peter","non-dropping-particle":"","parse-names":false,"suffix":""},{"dropping-particle":"","family":"Akin","given":"Cem","non-dropping-particle":"","parse-names":false,"suffix":""}],"container-title":"New England Journal of Medicine","id":"ITEM-1","issue":"2","issued":{"date-parts":[["2015","7","9"]]},"page":"163-172","publisher":"Massachussetts Medical Society","title":"Mast cells, mastocytosis, and related disorders","type":"article","volume":"373"},"uris":["http://www.mendeley.com/documents/?uuid=3fcf3308-5c3b-309a-a54f-f037b2b0dccc"]}],"mendeley":{"formattedCitation":"(Theoharides et al., 2015)","plainTextFormattedCitation":"(Theoharides et al., 2015)","previouslyFormattedCitation":"(Theoharides et al., 2015)"},"properties":{"noteIndex":0},"schema":"https://github.com/citation-style-language/schema/raw/master/csl-citation.json"}</w:instrText>
      </w:r>
      <w:r w:rsidR="00946CB9" w:rsidRPr="00042ADE">
        <w:rPr>
          <w:rFonts w:ascii="Times New Roman" w:hAnsi="Times New Roman"/>
          <w:sz w:val="24"/>
          <w:szCs w:val="24"/>
          <w:lang w:val="en-GB"/>
        </w:rPr>
        <w:fldChar w:fldCharType="separate"/>
      </w:r>
      <w:r w:rsidR="00946CB9" w:rsidRPr="00042ADE">
        <w:rPr>
          <w:rFonts w:ascii="Times New Roman" w:hAnsi="Times New Roman"/>
          <w:noProof/>
          <w:sz w:val="24"/>
          <w:szCs w:val="24"/>
          <w:lang w:val="en-GB"/>
        </w:rPr>
        <w:t>(Theoharides et al., 2015)</w:t>
      </w:r>
      <w:r w:rsidR="00946CB9" w:rsidRPr="00042ADE">
        <w:rPr>
          <w:rFonts w:ascii="Times New Roman" w:hAnsi="Times New Roman"/>
          <w:sz w:val="24"/>
          <w:szCs w:val="24"/>
          <w:lang w:val="en-GB"/>
        </w:rPr>
        <w:fldChar w:fldCharType="end"/>
      </w:r>
      <w:r w:rsidR="00172E3C" w:rsidRPr="00042ADE">
        <w:rPr>
          <w:rFonts w:ascii="Times New Roman" w:hAnsi="Times New Roman"/>
          <w:sz w:val="24"/>
          <w:szCs w:val="24"/>
          <w:lang w:val="en-GB"/>
        </w:rPr>
        <w:t>.</w:t>
      </w:r>
      <w:r w:rsidR="006522B6" w:rsidRPr="00042ADE">
        <w:rPr>
          <w:rFonts w:ascii="Times New Roman" w:hAnsi="Times New Roman"/>
          <w:sz w:val="24"/>
          <w:szCs w:val="24"/>
          <w:lang w:val="en-GB"/>
        </w:rPr>
        <w:t xml:space="preserve"> Several works have reported that these molecules are elevated in FMS patients</w:t>
      </w:r>
      <w:r w:rsidR="00AD71B5" w:rsidRPr="00042ADE">
        <w:rPr>
          <w:rFonts w:ascii="Times New Roman" w:hAnsi="Times New Roman"/>
          <w:sz w:val="24"/>
          <w:szCs w:val="24"/>
          <w:lang w:val="en-GB"/>
        </w:rPr>
        <w:t xml:space="preserve"> </w:t>
      </w:r>
      <w:r w:rsidR="00AD71B5" w:rsidRPr="00042ADE">
        <w:rPr>
          <w:rFonts w:ascii="Times New Roman" w:hAnsi="Times New Roman"/>
          <w:sz w:val="24"/>
          <w:szCs w:val="24"/>
          <w:lang w:val="en-GB"/>
        </w:rPr>
        <w:fldChar w:fldCharType="begin" w:fldLock="1"/>
      </w:r>
      <w:r w:rsidR="00F56A53" w:rsidRPr="00042ADE">
        <w:rPr>
          <w:rFonts w:ascii="Times New Roman" w:hAnsi="Times New Roman"/>
          <w:sz w:val="24"/>
          <w:szCs w:val="24"/>
          <w:lang w:val="en-GB"/>
        </w:rPr>
        <w:instrText>ADDIN CSL_CITATION {"citationItems":[{"id":"ITEM-1","itemData":{"DOI":"10.1056/NEJMra1409760","ISSN":"15334406","author":[{"dropping-particle":"","family":"Theoharides","given":"Theoharis C.","non-dropping-particle":"","parse-names":false,"suffix":""},{"dropping-particle":"","family":"Valent","given":"Peter","non-dropping-particle":"","parse-names":false,"suffix":""},{"dropping-particle":"","family":"Akin","given":"Cem","non-dropping-particle":"","parse-names":false,"suffix":""}],"container-title":"New England Journal of Medicine","id":"ITEM-1","issue":"2","issued":{"date-parts":[["2015","7","9"]]},"page":"163-172","publisher":"Massachussetts Medical Society","title":"Mast cells, mastocytosis, and related disorders","type":"article","volume":"373"},"uris":["http://www.mendeley.com/documents/?uuid=3fcf3308-5c3b-309a-a54f-f037b2b0dccc"]},{"id":"ITEM-2","itemData":{"DOI":"10.1073/pnas.1000803107","ISSN":"0027-8424","PMID":"20160089","abstract":"The peptide substance P (SP) has been implicated in inflammatory conditions, such as psoriasis, where mast cells and VEGF are increased. A relationship between SP and VEGF has not been well studied, nor has any interaction with the proinflammatory cytokines, especially IL-33. Here we report that SP (0.1-10 microM) induces gene expression and secretion of VEGF from human LAD2 mast cells and human umbilical core blood-derived cultured mast cells (hCBMCs). This effect is significantly increased by coadministration of IL-33 (5-100 ng/mL) in both cell types. The effect of SP on VEGF release is inhibited by treatment with the NK-1 receptor antagonist 733,060. SP rapidly increases cytosolic calcium, and so does IL-33 to a smaller extent; the addition of IL-33 augments the calcium increase. SP-induced VEGF production involves calcium-dependent PKC isoforms, as well as the ERK and JNK MAPKs. Gene expression of IL-33 and histidine decarboxylase (HDC), an indicator of mast cell presence/activation, is significantly increased in affected and unaffected (at least 15 cm away from the lesion) psoriatic skin, as compared with normal control skin. Immunohistochemistry indicates that IL-33 is associated with endothelial cells in both the unaffected and affected sites, but is stronger and also associated with immune cells in the affected site. These results imply that functional interactions among SP, IL-33, and mast cells leading to VEGF release contribute to inflammatory conditions, such as the psoriasis, a nonallergic hyperproliferative skin inflammatory disorder with a neurogenic component.","author":[{"dropping-particle":"","family":"Theoharides","given":"T. C.","non-dropping-particle":"","parse-names":false,"suffix":""},{"dropping-particle":"","family":"Zhang","given":"B.","non-dropping-particle":"","parse-names":false,"suffix":""},{"dropping-particle":"","family":"Kempuraj","given":"D.","non-dropping-particle":"","parse-names":false,"suffix":""},{"dropping-particle":"","family":"Tagen","given":"M.","non-dropping-particle":"","parse-names":false,"suffix":""},{"dropping-particle":"","family":"Vasiadi","given":"M.","non-dropping-particle":"","parse-names":false,"suffix":""},{"dropping-particle":"","family":"Angelidou","given":"A.","non-dropping-particle":"","parse-names":false,"suffix":""},{"dropping-particle":"","family":"Alysandratos","given":"K.-D.","non-dropping-particle":"","parse-names":false,"suffix":""},{"dropping-particle":"","family":"Kalogeromitros","given":"D.","non-dropping-particle":"","parse-names":false,"suffix":""},{"dropping-particle":"","family":"Asadi","given":"S.","non-dropping-particle":"","parse-names":false,"suffix":""},{"dropping-particle":"","family":"Stavrianeas","given":"N.","non-dropping-particle":"","parse-names":false,"suffix":""},{"dropping-particle":"","family":"Peterson","given":"E.","non-dropping-particle":"","parse-names":false,"suffix":""},{"dropping-particle":"","family":"Leeman","given":"S.","non-dropping-particle":"","parse-names":false,"suffix":""},{"dropping-particle":"","family":"Conti","given":"P.","non-dropping-particle":"","parse-names":false,"suffix":""}],"container-title":"Proceedings of the National Academy of Sciences","id":"ITEM-2","issue":"9","issued":{"date-parts":[["2010","3","2"]]},"page":"4448-4453","title":"IL-33 augments substance P-induced VEGF secretion from human mast cells and is increased in psoriatic skin","type":"article-journal","volume":"107"},"uris":["http://www.mendeley.com/documents/?uuid=26154aa0-9f44-3799-8d83-44b5c75111a6"]},{"id":"ITEM-3","itemData":{"DOI":"10.1124/jpet.115.230060","ISSN":"1521-0103","author":[{"dropping-particle":"","family":"Tsilioni","given":"I.","non-dropping-particle":"","parse-names":false,"suffix":""},{"dropping-particle":"","family":"Russell","given":"I. J.","non-dropping-particle":"","parse-names":false,"suffix":""},{"dropping-particle":"","family":"Stewart","given":"J. M.","non-dropping-particle":"","parse-names":false,"suffix":""},{"dropping-particle":"","family":"Gleason","given":"R. M.","non-dropping-particle":"","parse-names":false,"suffix":""},{"dropping-particle":"","family":"Theoharides","given":"T. C.","non-dropping-particle":"","parse-names":false,"suffix":""}],"container-title":"Journal of Pharmacology and Experimental Therapeutics","id":"ITEM-3","issue":"3","issued":{"date-parts":[["2016","2","10"]]},"page":"664-672","title":"Neuropeptides CRH, SP, HK-1, and Inflammatory Cytokines IL-6 and TNF Are Increased in Serum of Patients with Fibromyalgia Syndrome, Implicating Mast Cells","type":"article-journal","volume":"356"},"uris":["http://www.mendeley.com/documents/?uuid=d0bf13e4-7b16-3d88-93f3-2c0ec866391c"]},{"id":"ITEM-4","itemData":{"DOI":"10.1016/j.it.2005.10.002","ISSN":"14714906","abstract":"The skin offers an ideally suited, clinically relevant model for studying the crossroads between peripheral and systemic responses to stress. A 'brain-skin connection' with local neuroimmunoendocrine circuitry underlies the pathogenesis of allergic and inflammatory skin diseases, triggered or aggravated by stress. In stressed mice, corticotropin-releasing hormone, nerve growth factor, neurotensin, substance P and mast cells are recruited hierarchically to induce neurogenic skin inflammation, which inhibits hair growth. The hair follicle is both a target and a source for immunomodulatory stress mediators, and has an equivalent of the hypothalamus-pituitary-adrenal axis. Thus, the skin and its appendages enable the study of complex neuroimmunoendocrine responses that peripheral tissues launch upon stress exposure, as a basis for identifying new targets for therapeutic stress intervention. © 2005 Elsevier Ltd. All rights reserved.","author":[{"dropping-particle":"","family":"Paus","given":"Ralf","non-dropping-particle":"","parse-names":false,"suffix":""},{"dropping-particle":"","family":"Theoharides","given":"Theoharis C.","non-dropping-particle":"","parse-names":false,"suffix":""},{"dropping-particle":"","family":"Arck","given":"Petra Clara","non-dropping-particle":"","parse-names":false,"suffix":""}],"container-title":"Trends in Immunology","id":"ITEM-4","issue":"1","issued":{"date-parts":[["2006","1"]]},"page":"32-39","title":"Neuroimmunoendocrine circuitry of the 'brain-skin connection'","type":"article","volume":"27"},"uris":["http://www.mendeley.com/documents/?uuid=488b3ad6-08ce-3f57-8407-3244994fcc55"]}],"mendeley":{"formattedCitation":"(Paus et al., 2006; Theoharides et al., 2015, 2010; Tsilioni et al., 2016)","plainTextFormattedCitation":"(Paus et al., 2006; Theoharides et al., 2015, 2010; Tsilioni et al., 2016)","previouslyFormattedCitation":"(Paus et al., 2006; Theoharides et al., 2015, 2010; Tsilioni et al., 2016)"},"properties":{"noteIndex":0},"schema":"https://github.com/citation-style-language/schema/raw/master/csl-citation.json"}</w:instrText>
      </w:r>
      <w:r w:rsidR="00AD71B5" w:rsidRPr="00042ADE">
        <w:rPr>
          <w:rFonts w:ascii="Times New Roman" w:hAnsi="Times New Roman"/>
          <w:sz w:val="24"/>
          <w:szCs w:val="24"/>
          <w:lang w:val="en-GB"/>
        </w:rPr>
        <w:fldChar w:fldCharType="separate"/>
      </w:r>
      <w:r w:rsidR="00AD71B5" w:rsidRPr="00042ADE">
        <w:rPr>
          <w:rFonts w:ascii="Times New Roman" w:hAnsi="Times New Roman"/>
          <w:noProof/>
          <w:sz w:val="24"/>
          <w:szCs w:val="24"/>
          <w:lang w:val="en-GB"/>
        </w:rPr>
        <w:t>(Paus et al., 2006; Theoharides et al., 2015, 2010; Tsilioni et al., 2016)</w:t>
      </w:r>
      <w:r w:rsidR="00AD71B5" w:rsidRPr="00042ADE">
        <w:rPr>
          <w:rFonts w:ascii="Times New Roman" w:hAnsi="Times New Roman"/>
          <w:sz w:val="24"/>
          <w:szCs w:val="24"/>
          <w:lang w:val="en-GB"/>
        </w:rPr>
        <w:fldChar w:fldCharType="end"/>
      </w:r>
      <w:r w:rsidR="006522B6" w:rsidRPr="00042ADE">
        <w:rPr>
          <w:rFonts w:ascii="Times New Roman" w:hAnsi="Times New Roman"/>
          <w:sz w:val="24"/>
          <w:szCs w:val="24"/>
          <w:lang w:val="en-GB"/>
        </w:rPr>
        <w:t xml:space="preserve">. </w:t>
      </w:r>
      <w:r w:rsidR="00D033EB" w:rsidRPr="00042ADE">
        <w:rPr>
          <w:rFonts w:ascii="Times New Roman" w:hAnsi="Times New Roman"/>
          <w:sz w:val="24"/>
          <w:szCs w:val="24"/>
          <w:lang w:val="en-GB"/>
        </w:rPr>
        <w:t>Therefore, the increase in these vasoactive markers might be related to the elevated core body temperature that we have recorded in our FMS participants.</w:t>
      </w:r>
    </w:p>
    <w:p w14:paraId="2633B3CB" w14:textId="33C6A33D" w:rsidR="00F8660D" w:rsidRPr="00042ADE" w:rsidRDefault="001517C8"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Our findings highlight an excessive peripheral vasodilation of the microvasculature of the hands in FMS. Researchers have previously reported that ANS disorders are associated with an alteration of the innervation of the AVAs at </w:t>
      </w:r>
      <w:proofErr w:type="spellStart"/>
      <w:r w:rsidRPr="00042ADE">
        <w:rPr>
          <w:rFonts w:ascii="Times New Roman" w:hAnsi="Times New Roman"/>
          <w:sz w:val="24"/>
          <w:szCs w:val="24"/>
          <w:lang w:val="en-GB"/>
        </w:rPr>
        <w:t>glabrous</w:t>
      </w:r>
      <w:proofErr w:type="spellEnd"/>
      <w:r w:rsidRPr="00042ADE">
        <w:rPr>
          <w:rFonts w:ascii="Times New Roman" w:hAnsi="Times New Roman"/>
          <w:sz w:val="24"/>
          <w:szCs w:val="24"/>
          <w:lang w:val="en-GB"/>
        </w:rPr>
        <w:t xml:space="preserve"> skin of the hands of FMS </w:t>
      </w:r>
      <w:r w:rsidRPr="00042ADE">
        <w:rPr>
          <w:rFonts w:ascii="Times New Roman" w:hAnsi="Times New Roman"/>
          <w:sz w:val="24"/>
          <w:szCs w:val="24"/>
          <w:lang w:val="en-GB"/>
        </w:rPr>
        <w:lastRenderedPageBreak/>
        <w:t>patients</w:t>
      </w:r>
      <w:r w:rsidR="00F56A53" w:rsidRPr="00042ADE">
        <w:rPr>
          <w:rFonts w:ascii="Times New Roman" w:hAnsi="Times New Roman"/>
          <w:sz w:val="24"/>
          <w:szCs w:val="24"/>
          <w:lang w:val="en-GB"/>
        </w:rPr>
        <w:t xml:space="preserve"> </w:t>
      </w:r>
      <w:r w:rsidR="00F56A53" w:rsidRPr="00042ADE">
        <w:rPr>
          <w:rFonts w:ascii="Times New Roman" w:hAnsi="Times New Roman"/>
          <w:sz w:val="24"/>
          <w:szCs w:val="24"/>
          <w:lang w:val="en-GB"/>
        </w:rPr>
        <w:fldChar w:fldCharType="begin" w:fldLock="1"/>
      </w:r>
      <w:r w:rsidR="00E9115F" w:rsidRPr="00042ADE">
        <w:rPr>
          <w:rFonts w:ascii="Times New Roman" w:hAnsi="Times New Roman"/>
          <w:sz w:val="24"/>
          <w:szCs w:val="24"/>
          <w:lang w:val="en-GB"/>
        </w:rPr>
        <w:instrText>ADDIN CSL_CITATION {"citationItems":[{"id":"ITEM-1","itemData":{"DOI":"10.1111/pme.12139","ISSN":"15262375","author":[{"dropping-particle":"","family":"Albrecht","given":"Phillip J.","non-dropping-particle":"","parse-names":false,"suffix":""},{"dropping-particle":"","family":"Hou","given":"Quanzhi","non-dropping-particle":"","parse-names":false,"suffix":""},{"dropping-particle":"","family":"Argoff","given":"Charles E.","non-dropping-particle":"","parse-names":false,"suffix":""},{"dropping-particle":"","family":"Storey","given":"James R.","non-dropping-particle":"","parse-names":false,"suffix":""},{"dropping-particle":"","family":"Wymer","given":"James P.","non-dropping-particle":"","parse-names":false,"suffix":""},{"dropping-particle":"","family":"Rice","given":"Frank L.","non-dropping-particle":"","parse-names":false,"suffix":""}],"container-title":"Pain Medicine","id":"ITEM-1","issue":"6","issued":{"date-parts":[["2013","6"]]},"page":"895-915","title":"Excessive Peptidergic Sensory Innervation of Cutaneous Arteriole-Venule Shunts (AVS) in the Palmar Glabrous Skin of Fibromyalgia Patients: Implications for Widespread Deep Tissue Pain and Fatigue","type":"article-journal","volume":"14"},"uris":["http://www.mendeley.com/documents/?uuid=5ec91e61-7ded-309e-859a-34a5d81538e6"]}],"mendeley":{"formattedCitation":"(Albrecht et al., 2013)","plainTextFormattedCitation":"(Albrecht et al., 2013)","previouslyFormattedCitation":"(Albrecht et al., 2013)"},"properties":{"noteIndex":0},"schema":"https://github.com/citation-style-language/schema/raw/master/csl-citation.json"}</w:instrText>
      </w:r>
      <w:r w:rsidR="00F56A53" w:rsidRPr="00042ADE">
        <w:rPr>
          <w:rFonts w:ascii="Times New Roman" w:hAnsi="Times New Roman"/>
          <w:sz w:val="24"/>
          <w:szCs w:val="24"/>
          <w:lang w:val="en-GB"/>
        </w:rPr>
        <w:fldChar w:fldCharType="separate"/>
      </w:r>
      <w:r w:rsidR="00F56A53" w:rsidRPr="00042ADE">
        <w:rPr>
          <w:rFonts w:ascii="Times New Roman" w:hAnsi="Times New Roman"/>
          <w:noProof/>
          <w:sz w:val="24"/>
          <w:szCs w:val="24"/>
          <w:lang w:val="en-GB"/>
        </w:rPr>
        <w:t>(Albrecht et al., 2013)</w:t>
      </w:r>
      <w:r w:rsidR="00F56A53"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w:t>
      </w:r>
      <w:r w:rsidR="00E9115F" w:rsidRPr="00042ADE">
        <w:rPr>
          <w:rFonts w:ascii="Times New Roman" w:hAnsi="Times New Roman"/>
          <w:sz w:val="24"/>
          <w:szCs w:val="24"/>
          <w:lang w:val="en-GB"/>
        </w:rPr>
        <w:t xml:space="preserve">The thermoregulatory activity in this area is regulated by the adrenergic vasoconstrictor system that can be activated during cold stress </w:t>
      </w:r>
      <w:r w:rsidR="00E9115F" w:rsidRPr="00042ADE">
        <w:rPr>
          <w:rFonts w:ascii="Times New Roman" w:hAnsi="Times New Roman"/>
          <w:sz w:val="24"/>
          <w:szCs w:val="24"/>
          <w:lang w:val="en-GB"/>
        </w:rPr>
        <w:fldChar w:fldCharType="begin" w:fldLock="1"/>
      </w:r>
      <w:r w:rsidR="00AC1AA1" w:rsidRPr="00042ADE">
        <w:rPr>
          <w:rFonts w:ascii="Times New Roman" w:hAnsi="Times New Roman"/>
          <w:sz w:val="24"/>
          <w:szCs w:val="24"/>
          <w:lang w:val="en-GB"/>
        </w:rPr>
        <w:instrText>ADDIN CSL_CITATION {"citationItems":[{"id":"ITEM-1","itemData":{"DOI":"10.1046/j.1365-201X.2003.01079.x","ISSN":"00016772","abstract":"Aim: In this article, we review the functional organization of the peripheral autonomic pathways regulating the vasculature. Results: The final motor neurones in vasomotor pathways tend to be smaller than neurones in other autonomic pathways. This suggests that they have relatively smaller target territories and receive fewer pre-ganglionic inputs than non-vasomotor neurones. Nevertheless, single vasomotor neurones project to large areas of the vasculature separated by up to 7 mm. Different functional pools of vasomotor neurones project to specific segments of the vasculature, allowing for the selective neural control of resistance in vessels in proximal or distal regions of the vascular bed. In many cases, each functional pool of vasomotor neurones utilizes a characteristic combination of cotransmitters. The various pools of final motor neurones in vasomotor pathways receive convergent synaptic input from different pools of pre-ganglionic neurones, many of which also contain neuropeptides which enhance the excitability of the final motor neurones. The excitability of vasomotor neurones regulating gastrointestinal and mesenteric blood flow, also can be increased by the actions of peptides such as substance P that are released from visceral nociceptors. Conclusions: We propose that autonomic pathways regulating the vasculature are organized into 'vasomotor units'. Each vasomotor unit consists of a pre-ganglionic neurone, the final motor neurones it innervates, and the blood vessels that they regulate. The vasomotor units are likely to be grouped into functional pools that can be recruited as necessary to provide highly specific, graded control of blood flow both within and between vascular beds.","author":[{"dropping-particle":"","family":"Gibbins","given":"Ian L.","non-dropping-particle":"","parse-names":false,"suffix":""},{"dropping-particle":"","family":"Jobling","given":"Phillip","non-dropping-particle":"","parse-names":false,"suffix":""},{"dropping-particle":"","family":"Morris","given":"Judy L.","non-dropping-particle":"","parse-names":false,"suffix":""}],"container-title":"Acta Physiologica Scandinavica","id":"ITEM-1","issue":"3","issued":{"date-parts":[["2003","3","1"]]},"page":"237-245","publisher":"Acta Physiol Scand","title":"Functional organization of peripheral vasomotor pathways","type":"paper-conference","volume":"177"},"uris":["http://www.mendeley.com/documents/?uuid=e510d085-970b-3734-b086-31d99f9bf762"]},{"id":"ITEM-2","itemData":{"DOI":"10.1152/japplphysiol.01071.2005","ISSN":"87507587","PMID":"16614368","abstract":"This review focuses on the neural and local mechanisms that have been demonstrated to effect cutaneous vasodilation and vasoconstriction in response to heat and cold stress in vivo in humans. First, our present understanding of the mechanisms by which sympathetic cholinergic nerves mediate cutaneous active vasodilation during reflex responses to whole body heating is discussed. These mechanisms include roles for cotransmission as well as nitric oxide (NO). Next, the mechanisms by which sympathetic noradrenergic nerves mediate cutaneous active vasoconstriction during whole body cooling are reviewed, including cotransmission by neuropeptide Y (NPY) acting through NPY Y1 receptors. Subsequently, current concepts for the mechanisms that effect local cutaneous vascular responses to direct skin warming are examined. These mechanisms include the roles of temperature-sensitive afferent neurons as well as NO in causing vasodilation during local heating of skin. This section is followed by a review of the mechanisms that cause local cutaneous vasoconstriction in response to direct cooling of the skin, including the dependence of these responses on intact sensory and sympathetic, noradrenergic innervation as well as roles for nonneural mechanisms. Finally, unresolved issues that warrant further research on mechanisms that control cutaneous vascular responses to heating and cooling are discussed. Copyright © 2006 the American Physiological Society.","author":[{"dropping-particle":"","family":"Kellogg","given":"D. L.","non-dropping-particle":"","parse-names":false,"suffix":""}],"container-title":"Journal of Applied Physiology","id":"ITEM-2","issue":"5","issued":{"date-parts":[["2006","5"]]},"page":"1709-1718","publisher":"J Appl Physiol (1985)","title":"In vivo mechanisms of cutaneous vasodilation and vasoconstriction in humans during thermoregulatory challenges","type":"article","volume":"100"},"uris":["http://www.mendeley.com/documents/?uuid=86ee95bd-8675-3a56-b5b8-db479ba7f121"]},{"id":"ITEM-3","itemData":{"DOI":"10.2741/s105","ISSN":"19450516","abstract":"The past 10-15 years has been a time of focus on the mechanisms of control in the human cutaneous circulation. Methodological developments have provided powerful means for resolving the important contributors to the reflex control of skin blood flow (thermoregulatory control) and also for the equally impressive effects of direct heating and cooling of the skin (thermal control). This review is devoted largely to that recent literature. We treat the sympathetic vasoconstrictor system and its transmitters and modulatory factors and the sympathetic active vasodilator system and its abundant mysteries, with focus on the putative transmitters and cotransmitters, the involvement of nitric oxide and the relationship to sweating and modulatory factors. We also deal with the current understanding of the mechanisms of vasoconstriction and vasodilation that accompany direct skin cooling and heating, noting that adrenergic function, afferent nerve function and the nitric oxide system are involved in the vascular responses to both thermal stimuli.","author":[{"dropping-particle":"","family":"Johnson","given":"John M.","non-dropping-particle":"","parse-names":false,"suffix":""},{"dropping-particle":"","family":"Kellogg","given":"Dean L.","non-dropping-particle":"","parse-names":false,"suffix":""}],"container-title":"Frontiers in Bioscience - Scholar","id":"ITEM-3","issue":"3","issued":{"date-parts":[["2010","6","1"]]},"page":"825-853","publisher":"Front Biosci (Schol Ed)","title":"Thermoregulatory and thermal control in the human cutaneous circulation","type":"article-journal","volume":"2 S"},"uris":["http://www.mendeley.com/documents/?uuid=af009f23-8b4b-3e91-959c-a31a6ff1a36d"]}],"mendeley":{"formattedCitation":"(Gibbins et al., 2003; Johnson and Kellogg, 2010b; Kellogg, 2006)","plainTextFormattedCitation":"(Gibbins et al., 2003; Johnson and Kellogg, 2010b; Kellogg, 2006)","previouslyFormattedCitation":"(Gibbins et al., 2003; Johnson and Kellogg, 2010b; Kellogg, 2006)"},"properties":{"noteIndex":0},"schema":"https://github.com/citation-style-language/schema/raw/master/csl-citation.json"}</w:instrText>
      </w:r>
      <w:r w:rsidR="00E9115F" w:rsidRPr="00042ADE">
        <w:rPr>
          <w:rFonts w:ascii="Times New Roman" w:hAnsi="Times New Roman"/>
          <w:sz w:val="24"/>
          <w:szCs w:val="24"/>
          <w:lang w:val="en-GB"/>
        </w:rPr>
        <w:fldChar w:fldCharType="separate"/>
      </w:r>
      <w:r w:rsidR="00E9115F" w:rsidRPr="00042ADE">
        <w:rPr>
          <w:rFonts w:ascii="Times New Roman" w:hAnsi="Times New Roman"/>
          <w:noProof/>
          <w:sz w:val="24"/>
          <w:szCs w:val="24"/>
          <w:lang w:val="en-GB"/>
        </w:rPr>
        <w:t>(Gibbins et al., 2003; Johnson and Kellogg, 2010b; Kellogg, 2006)</w:t>
      </w:r>
      <w:r w:rsidR="00E9115F" w:rsidRPr="00042ADE">
        <w:rPr>
          <w:rFonts w:ascii="Times New Roman" w:hAnsi="Times New Roman"/>
          <w:sz w:val="24"/>
          <w:szCs w:val="24"/>
          <w:lang w:val="en-GB"/>
        </w:rPr>
        <w:fldChar w:fldCharType="end"/>
      </w:r>
      <w:r w:rsidR="00E9115F" w:rsidRPr="00042ADE">
        <w:rPr>
          <w:rFonts w:ascii="Times New Roman" w:hAnsi="Times New Roman"/>
          <w:sz w:val="24"/>
          <w:szCs w:val="24"/>
          <w:lang w:val="en-GB"/>
        </w:rPr>
        <w:t xml:space="preserve">. </w:t>
      </w:r>
      <w:r w:rsidR="00A81F09" w:rsidRPr="00042ADE">
        <w:rPr>
          <w:rFonts w:ascii="Times New Roman" w:hAnsi="Times New Roman"/>
          <w:sz w:val="24"/>
          <w:szCs w:val="24"/>
          <w:lang w:val="en-GB"/>
        </w:rPr>
        <w:t>Facing cold conditions, such as cold stress test, FMS patients show similar characteristics of Raynaud’s phenomenon, including cyanosis and vasospasm on the fingers of the hands</w:t>
      </w:r>
      <w:r w:rsidR="00AC1AA1" w:rsidRPr="00042ADE">
        <w:rPr>
          <w:rFonts w:ascii="Times New Roman" w:hAnsi="Times New Roman"/>
          <w:sz w:val="24"/>
          <w:szCs w:val="24"/>
          <w:lang w:val="en-GB"/>
        </w:rPr>
        <w:t xml:space="preserve"> </w:t>
      </w:r>
      <w:r w:rsidR="00AC1AA1" w:rsidRPr="00042ADE">
        <w:rPr>
          <w:rFonts w:ascii="Times New Roman" w:hAnsi="Times New Roman"/>
          <w:sz w:val="24"/>
          <w:szCs w:val="24"/>
          <w:lang w:val="en-GB"/>
        </w:rPr>
        <w:fldChar w:fldCharType="begin" w:fldLock="1"/>
      </w:r>
      <w:r w:rsidR="0066193C" w:rsidRPr="00042ADE">
        <w:rPr>
          <w:rFonts w:ascii="Times New Roman" w:hAnsi="Times New Roman"/>
          <w:sz w:val="24"/>
          <w:szCs w:val="24"/>
          <w:lang w:val="en-GB"/>
        </w:rPr>
        <w:instrText>ADDIN CSL_CITATION {"citationItems":[{"id":"ITEM-1","itemData":{"DOI":"10.1007/s00296-016-3483-6","ISSN":"1437-160X","PMID":"27136918","abstract":"Symptoms of Raynaud's phenomenon (RP) are common in fibromyalgia syndrome (FMS). We compared symptom characteristics and objective assessment of digital microvascular function using infrared thermography (and nailfold capillaroscopy where available) in patients with FMS (reporting RP symptoms) and primary RP. We retrospectively reviewed the outcome of microvascular imaging studies and RP symptom characteristics (captured using patient-completed questionnaire at the time of assessment) for patients with FMS (reporting RP symptoms) and patients with primary RP referred for thermographic assessment of RP symptoms over a 2-year period. Of 257 patients referred for thermographic assessment of RP symptoms between 2010 and 2012, we identified 85 patients with primary RP and 43 patients with FMS. There were no differences in RP symptom characteristics between FMS and primary RP (p &gt; 0.05 for all comparisons). In contrast, patients with FMS had higher baseline temperature of the digits (32.1 vs. 29.0 °C, p = 0.004), dorsum (31.9 vs. 30.2 °C, p = 0.005) and thermal gradient (temperature of digits minus temperature of dorsum; +0.0 vs. -0.9 °C, p = 0.03) compared with primary RP. Significant differences between groups persisted following local cold challenge. In primary RP, patient reporting \"blue\" digits, bi-phasic and tri-phasic RP was associated with lower digital perfusion. In contrast, no associations between skin temperature and RP digital colour changes/phases were identified in FMS. Our findings suggest that symptoms of RP in FMS may have a different aetiology to those seen in primary RP. These findings have potential implications for both the classification of RP symptoms and the management of RP symptoms in the context of FMS. Digital colour changes reported by patients might reflect the degree of digital microvascular compromise in primary RP.","author":[{"dropping-particle":"","family":"Scolnik","given":"M","non-dropping-particle":"","parse-names":false,"suffix":""},{"dropping-particle":"","family":"Vasta","given":"B","non-dropping-particle":"","parse-names":false,"suffix":""},{"dropping-particle":"","family":"Hart","given":"D J","non-dropping-particle":"","parse-names":false,"suffix":""},{"dropping-particle":"","family":"Shipley","given":"J A","non-dropping-particle":"","parse-names":false,"suffix":""},{"dropping-particle":"","family":"McHugh","given":"N J","non-dropping-particle":"","parse-names":false,"suffix":""},{"dropping-particle":"","family":"Pauling","given":"J D","non-dropping-particle":"","parse-names":false,"suffix":""}],"container-title":"Rheumatology international","id":"ITEM-1","issue":"10","issued":{"date-parts":[["2016","10"]]},"page":"1371-7","publisher":"Springer","title":"Symptoms of Raynaud's phenomenon (RP) in fibromyalgia syndrome are similar to those reported in primary RP despite differences in objective assessment of digital microvascular function and morphology.","type":"article-journal","volume":"36"},"uris":["http://www.mendeley.com/documents/?uuid=ac32a601-1c22-3d18-8e13-96def666bdbc"]}],"mendeley":{"formattedCitation":"(Scolnik et al., 2016)","plainTextFormattedCitation":"(Scolnik et al., 2016)","previouslyFormattedCitation":"(Scolnik et al., 2016)"},"properties":{"noteIndex":0},"schema":"https://github.com/citation-style-language/schema/raw/master/csl-citation.json"}</w:instrText>
      </w:r>
      <w:r w:rsidR="00AC1AA1" w:rsidRPr="00042ADE">
        <w:rPr>
          <w:rFonts w:ascii="Times New Roman" w:hAnsi="Times New Roman"/>
          <w:sz w:val="24"/>
          <w:szCs w:val="24"/>
          <w:lang w:val="en-GB"/>
        </w:rPr>
        <w:fldChar w:fldCharType="separate"/>
      </w:r>
      <w:r w:rsidR="00AC1AA1" w:rsidRPr="00042ADE">
        <w:rPr>
          <w:rFonts w:ascii="Times New Roman" w:hAnsi="Times New Roman"/>
          <w:noProof/>
          <w:sz w:val="24"/>
          <w:szCs w:val="24"/>
          <w:lang w:val="en-GB"/>
        </w:rPr>
        <w:t>(Scolnik et al., 2016)</w:t>
      </w:r>
      <w:r w:rsidR="00AC1AA1" w:rsidRPr="00042ADE">
        <w:rPr>
          <w:rFonts w:ascii="Times New Roman" w:hAnsi="Times New Roman"/>
          <w:sz w:val="24"/>
          <w:szCs w:val="24"/>
          <w:lang w:val="en-GB"/>
        </w:rPr>
        <w:fldChar w:fldCharType="end"/>
      </w:r>
      <w:r w:rsidR="00A81F09" w:rsidRPr="00042ADE">
        <w:rPr>
          <w:rFonts w:ascii="Times New Roman" w:hAnsi="Times New Roman"/>
          <w:sz w:val="24"/>
          <w:szCs w:val="24"/>
          <w:lang w:val="en-GB"/>
        </w:rPr>
        <w:t xml:space="preserve">. </w:t>
      </w:r>
      <w:r w:rsidR="0066193C" w:rsidRPr="00042ADE">
        <w:rPr>
          <w:rFonts w:ascii="Times New Roman" w:hAnsi="Times New Roman"/>
          <w:sz w:val="24"/>
          <w:szCs w:val="24"/>
          <w:lang w:val="en-GB"/>
        </w:rPr>
        <w:t xml:space="preserve">The adrenergic axons of the AVAs are stimulated by cold conditions, they can detect a reduction of skin surface temperature and transmit this information to the CNS </w:t>
      </w:r>
      <w:proofErr w:type="gramStart"/>
      <w:r w:rsidR="0066193C" w:rsidRPr="00042ADE">
        <w:rPr>
          <w:rFonts w:ascii="Times New Roman" w:hAnsi="Times New Roman"/>
          <w:sz w:val="24"/>
          <w:szCs w:val="24"/>
          <w:lang w:val="en-GB"/>
        </w:rPr>
        <w:t>in order to</w:t>
      </w:r>
      <w:proofErr w:type="gramEnd"/>
      <w:r w:rsidR="0066193C" w:rsidRPr="00042ADE">
        <w:rPr>
          <w:rFonts w:ascii="Times New Roman" w:hAnsi="Times New Roman"/>
          <w:sz w:val="24"/>
          <w:szCs w:val="24"/>
          <w:lang w:val="en-GB"/>
        </w:rPr>
        <w:t xml:space="preserve"> stimulate the sympathetic vasoconstrictor system. This process impedes the blood supply to the peripheral capillaries of the superficial plexus with the objective of delivering the blood to the deep venous system, thereby maintaining tissue temperature and preserving tissue viability </w:t>
      </w:r>
      <w:r w:rsidR="0066193C" w:rsidRPr="00042ADE">
        <w:rPr>
          <w:rFonts w:ascii="Times New Roman" w:hAnsi="Times New Roman"/>
          <w:sz w:val="24"/>
          <w:szCs w:val="24"/>
          <w:lang w:val="en-GB"/>
        </w:rPr>
        <w:fldChar w:fldCharType="begin" w:fldLock="1"/>
      </w:r>
      <w:r w:rsidR="00EA66AC" w:rsidRPr="00042ADE">
        <w:rPr>
          <w:rFonts w:ascii="Times New Roman" w:hAnsi="Times New Roman"/>
          <w:sz w:val="24"/>
          <w:szCs w:val="24"/>
          <w:lang w:val="en-GB"/>
        </w:rPr>
        <w:instrText>ADDIN CSL_CITATION {"citationItems":[{"id":"ITEM-1","itemData":{"DOI":"10.1007/s00421-003-0818-2","ISSN":"14396319","abstract":"Cold-induced vasodilation (CIVD) in the finger tips generally occurs 5-10 min after the start of local cold exposure of the extremities. This phenomenon is believed to reduce the risk of local cold injuries. However, CIVD is almost absent during hypothermia, when survival of the organism takes precedence over the survival of peripheral tissue. Subjects that are often exposed to local cold (e.g. fish filleters) develop an enhanced CIVD response. Also, differences between ethnic groups are obvious, with black people having the weakest CIVD response. Many other factors affect CIVD, such as diet, alcohol consumption, altitude, age and stress. CIVD is probably caused by a sudden decrease in the release of neurotransmitters from the sympathetic nerves to the muscular coat of the arterio-venous anastomoses (AVAs) due to local cold. AVAs are specific thermoregulatory organs that regulate blood flow in the cold and heat. Their relatively large diameter enables large amounts of blood to pass and convey heat to the surrounding tissue. Unfortunately, information on the quantity of AVAs is lacking, which makes it difficult to estimate the full impact on peripheral blood flow. This review illustrates the thermospecificity of the AVAs and the close link to CIVD. CIVD is influenced by many parameters, but controlled experiments yield information on how CIVD protects the extremities against cold injuries.","author":[{"dropping-particle":"","family":"Daanen","given":"H. A.M.","non-dropping-particle":"","parse-names":false,"suffix":""}],"container-title":"European Journal of Applied Physiology","id":"ITEM-1","issue":"5","issued":{"date-parts":[["2003"]]},"page":"411-426","publisher":"Springer Verlag","title":"Finger cold-induced vasodilation: A review","type":"article","volume":"89"},"uris":["http://www.mendeley.com/documents/?uuid=59cab1e9-52b5-317e-bf91-aa41f8fc3cfc"]},{"id":"ITEM-2","itemData":{"DOI":"10.1073/pnas.49.6.832","ISSN":"00278424","author":[{"dropping-particle":"","family":"BENZINGER","given":"T. H.","non-dropping-particle":"","parse-names":false,"suffix":""}],"container-title":"Proceedings of the National Academy of Sciences of the United States of America","id":"ITEM-2","issue":"6","issued":{"date-parts":[["1963"]]},"page":"832-839","publisher":"Proc Natl Acad Sci U S A","title":"Peripheral cold- and central warm-reception, main origins of human thermal discomfort.","type":"article-journal","volume":"49"},"uris":["http://www.mendeley.com/documents/?uuid=ee36d23b-1295-3190-9d33-b957d7473141"]}],"mendeley":{"formattedCitation":"(BENZINGER, 1963; Daanen, 2003)","manualFormatting":"(Benzinger, 1963; Daanen, 2003)","plainTextFormattedCitation":"(BENZINGER, 1963; Daanen, 2003)","previouslyFormattedCitation":"(BENZINGER, 1963; Daanen, 2003)"},"properties":{"noteIndex":0},"schema":"https://github.com/citation-style-language/schema/raw/master/csl-citation.json"}</w:instrText>
      </w:r>
      <w:r w:rsidR="0066193C" w:rsidRPr="00042ADE">
        <w:rPr>
          <w:rFonts w:ascii="Times New Roman" w:hAnsi="Times New Roman"/>
          <w:sz w:val="24"/>
          <w:szCs w:val="24"/>
          <w:lang w:val="en-GB"/>
        </w:rPr>
        <w:fldChar w:fldCharType="separate"/>
      </w:r>
      <w:r w:rsidR="0066193C" w:rsidRPr="00042ADE">
        <w:rPr>
          <w:rFonts w:ascii="Times New Roman" w:hAnsi="Times New Roman"/>
          <w:noProof/>
          <w:sz w:val="24"/>
          <w:szCs w:val="24"/>
          <w:lang w:val="en-GB"/>
        </w:rPr>
        <w:t>(</w:t>
      </w:r>
      <w:r w:rsidR="00C6478B" w:rsidRPr="00042ADE">
        <w:rPr>
          <w:rFonts w:ascii="Times New Roman" w:hAnsi="Times New Roman"/>
          <w:noProof/>
          <w:sz w:val="24"/>
          <w:szCs w:val="24"/>
          <w:lang w:val="en-GB"/>
        </w:rPr>
        <w:t>Benzinger</w:t>
      </w:r>
      <w:r w:rsidR="0066193C" w:rsidRPr="00042ADE">
        <w:rPr>
          <w:rFonts w:ascii="Times New Roman" w:hAnsi="Times New Roman"/>
          <w:noProof/>
          <w:sz w:val="24"/>
          <w:szCs w:val="24"/>
          <w:lang w:val="en-GB"/>
        </w:rPr>
        <w:t>, 1963; Daanen, 2003)</w:t>
      </w:r>
      <w:r w:rsidR="0066193C" w:rsidRPr="00042ADE">
        <w:rPr>
          <w:rFonts w:ascii="Times New Roman" w:hAnsi="Times New Roman"/>
          <w:sz w:val="24"/>
          <w:szCs w:val="24"/>
          <w:lang w:val="en-GB"/>
        </w:rPr>
        <w:fldChar w:fldCharType="end"/>
      </w:r>
      <w:r w:rsidR="0066193C" w:rsidRPr="00042ADE">
        <w:rPr>
          <w:rFonts w:ascii="Times New Roman" w:hAnsi="Times New Roman"/>
          <w:sz w:val="24"/>
          <w:szCs w:val="24"/>
          <w:lang w:val="en-GB"/>
        </w:rPr>
        <w:t>.</w:t>
      </w:r>
      <w:r w:rsidR="00827E99" w:rsidRPr="00042ADE">
        <w:rPr>
          <w:rFonts w:ascii="Times New Roman" w:hAnsi="Times New Roman"/>
          <w:sz w:val="24"/>
          <w:szCs w:val="24"/>
          <w:lang w:val="en-GB"/>
        </w:rPr>
        <w:t xml:space="preserve"> In line with our results</w:t>
      </w:r>
      <w:r w:rsidR="008F4162" w:rsidRPr="00042ADE">
        <w:rPr>
          <w:rFonts w:ascii="Times New Roman" w:hAnsi="Times New Roman"/>
          <w:sz w:val="24"/>
          <w:szCs w:val="24"/>
          <w:lang w:val="en-GB"/>
        </w:rPr>
        <w:t xml:space="preserve"> regarding higher temperature observed </w:t>
      </w:r>
      <w:r w:rsidR="008B5C5F" w:rsidRPr="00042ADE">
        <w:rPr>
          <w:rFonts w:ascii="Times New Roman" w:hAnsi="Times New Roman"/>
          <w:sz w:val="24"/>
          <w:szCs w:val="24"/>
          <w:lang w:val="en-GB"/>
        </w:rPr>
        <w:t xml:space="preserve">in the palmar site </w:t>
      </w:r>
      <w:r w:rsidR="008F4162" w:rsidRPr="00042ADE">
        <w:rPr>
          <w:rFonts w:ascii="Times New Roman" w:hAnsi="Times New Roman"/>
          <w:sz w:val="24"/>
          <w:szCs w:val="24"/>
          <w:lang w:val="en-GB"/>
        </w:rPr>
        <w:t>of the digits</w:t>
      </w:r>
      <w:r w:rsidR="00C005A0" w:rsidRPr="00042ADE">
        <w:rPr>
          <w:rFonts w:ascii="Times New Roman" w:hAnsi="Times New Roman"/>
          <w:sz w:val="24"/>
          <w:szCs w:val="24"/>
          <w:lang w:val="en-GB"/>
        </w:rPr>
        <w:t xml:space="preserve"> (33.36±1.06)</w:t>
      </w:r>
      <w:r w:rsidR="008F4162" w:rsidRPr="00042ADE">
        <w:rPr>
          <w:rFonts w:ascii="Times New Roman" w:hAnsi="Times New Roman"/>
          <w:sz w:val="24"/>
          <w:szCs w:val="24"/>
          <w:lang w:val="en-GB"/>
        </w:rPr>
        <w:t xml:space="preserve"> and dorsal centre temperature</w:t>
      </w:r>
      <w:r w:rsidR="00BE3BF3" w:rsidRPr="00042ADE">
        <w:rPr>
          <w:rFonts w:ascii="Times New Roman" w:hAnsi="Times New Roman"/>
          <w:sz w:val="24"/>
          <w:szCs w:val="24"/>
          <w:lang w:val="en-GB"/>
        </w:rPr>
        <w:t xml:space="preserve"> (33.40±0.92)</w:t>
      </w:r>
      <w:r w:rsidR="008F4162" w:rsidRPr="00042ADE">
        <w:rPr>
          <w:rFonts w:ascii="Times New Roman" w:hAnsi="Times New Roman"/>
          <w:sz w:val="24"/>
          <w:szCs w:val="24"/>
          <w:lang w:val="en-GB"/>
        </w:rPr>
        <w:t xml:space="preserve"> of both hands </w:t>
      </w:r>
      <w:r w:rsidR="008B5C5F" w:rsidRPr="00042ADE">
        <w:rPr>
          <w:rFonts w:ascii="Times New Roman" w:hAnsi="Times New Roman"/>
          <w:sz w:val="24"/>
          <w:szCs w:val="24"/>
          <w:lang w:val="en-GB"/>
        </w:rPr>
        <w:t>in the FMS group</w:t>
      </w:r>
      <w:r w:rsidR="00827E99" w:rsidRPr="00042ADE">
        <w:rPr>
          <w:rFonts w:ascii="Times New Roman" w:hAnsi="Times New Roman"/>
          <w:sz w:val="24"/>
          <w:szCs w:val="24"/>
          <w:lang w:val="en-GB"/>
        </w:rPr>
        <w:t>,</w:t>
      </w:r>
      <w:r w:rsidR="0066193C" w:rsidRPr="00042ADE">
        <w:rPr>
          <w:rFonts w:ascii="Times New Roman" w:hAnsi="Times New Roman"/>
          <w:sz w:val="24"/>
          <w:szCs w:val="24"/>
          <w:lang w:val="en-GB"/>
        </w:rPr>
        <w:t xml:space="preserve"> </w:t>
      </w:r>
      <w:r w:rsidR="00E62390" w:rsidRPr="00042ADE">
        <w:rPr>
          <w:rFonts w:ascii="Times New Roman" w:hAnsi="Times New Roman"/>
          <w:sz w:val="24"/>
          <w:szCs w:val="24"/>
          <w:lang w:val="en-GB"/>
        </w:rPr>
        <w:fldChar w:fldCharType="begin" w:fldLock="1"/>
      </w:r>
      <w:r w:rsidR="007D4E67" w:rsidRPr="00042ADE">
        <w:rPr>
          <w:rFonts w:ascii="Times New Roman" w:hAnsi="Times New Roman"/>
          <w:sz w:val="24"/>
          <w:szCs w:val="24"/>
          <w:lang w:val="en-GB"/>
        </w:rPr>
        <w:instrText>ADDIN CSL_CITATION {"citationItems":[{"id":"ITEM-1","itemData":{"DOI":"10.1007/s00296-016-3483-6","ISSN":"1437-160X","PMID":"27136918","abstract":"Symptoms of Raynaud's phenomenon (RP) are common in fibromyalgia syndrome (FMS). We compared symptom characteristics and objective assessment of digital microvascular function using infrared thermography (and nailfold capillaroscopy where available) in patients with FMS (reporting RP symptoms) and primary RP. We retrospectively reviewed the outcome of microvascular imaging studies and RP symptom characteristics (captured using patient-completed questionnaire at the time of assessment) for patients with FMS (reporting RP symptoms) and patients with primary RP referred for thermographic assessment of RP symptoms over a 2-year period. Of 257 patients referred for thermographic assessment of RP symptoms between 2010 and 2012, we identified 85 patients with primary RP and 43 patients with FMS. There were no differences in RP symptom characteristics between FMS and primary RP (p &gt; 0.05 for all comparisons). In contrast, patients with FMS had higher baseline temperature of the digits (32.1 vs. 29.0 °C, p = 0.004), dorsum (31.9 vs. 30.2 °C, p = 0.005) and thermal gradient (temperature of digits minus temperature of dorsum; +0.0 vs. -0.9 °C, p = 0.03) compared with primary RP. Significant differences between groups persisted following local cold challenge. In primary RP, patient reporting \"blue\" digits, bi-phasic and tri-phasic RP was associated with lower digital perfusion. In contrast, no associations between skin temperature and RP digital colour changes/phases were identified in FMS. Our findings suggest that symptoms of RP in FMS may have a different aetiology to those seen in primary RP. These findings have potential implications for both the classification of RP symptoms and the management of RP symptoms in the context of FMS. Digital colour changes reported by patients might reflect the degree of digital microvascular compromise in primary RP.","author":[{"dropping-particle":"","family":"Scolnik","given":"M","non-dropping-particle":"","parse-names":false,"suffix":""},{"dropping-particle":"","family":"Vasta","given":"B","non-dropping-particle":"","parse-names":false,"suffix":""},{"dropping-particle":"","family":"Hart","given":"D J","non-dropping-particle":"","parse-names":false,"suffix":""},{"dropping-particle":"","family":"Shipley","given":"J A","non-dropping-particle":"","parse-names":false,"suffix":""},{"dropping-particle":"","family":"McHugh","given":"N J","non-dropping-particle":"","parse-names":false,"suffix":""},{"dropping-particle":"","family":"Pauling","given":"J D","non-dropping-particle":"","parse-names":false,"suffix":""}],"container-title":"Rheumatology international","id":"ITEM-1","issue":"10","issued":{"date-parts":[["2016","10"]]},"page":"1371-7","publisher":"Springer","title":"Symptoms of Raynaud's phenomenon (RP) in fibromyalgia syndrome are similar to those reported in primary RP despite differences in objective assessment of digital microvascular function and morphology.","type":"article-journal","volume":"36"},"uris":["http://www.mendeley.com/documents/?uuid=ac32a601-1c22-3d18-8e13-96def666bdbc"]}],"mendeley":{"formattedCitation":"(Scolnik et al., 2016)","manualFormatting":"Scolnik et al. (2016)","plainTextFormattedCitation":"(Scolnik et al., 2016)","previouslyFormattedCitation":"(Scolnik et al., 2016)"},"properties":{"noteIndex":0},"schema":"https://github.com/citation-style-language/schema/raw/master/csl-citation.json"}</w:instrText>
      </w:r>
      <w:r w:rsidR="00E62390" w:rsidRPr="00042ADE">
        <w:rPr>
          <w:rFonts w:ascii="Times New Roman" w:hAnsi="Times New Roman"/>
          <w:sz w:val="24"/>
          <w:szCs w:val="24"/>
          <w:lang w:val="en-GB"/>
        </w:rPr>
        <w:fldChar w:fldCharType="separate"/>
      </w:r>
      <w:r w:rsidR="00E62390" w:rsidRPr="00042ADE">
        <w:rPr>
          <w:rFonts w:ascii="Times New Roman" w:hAnsi="Times New Roman"/>
          <w:noProof/>
          <w:sz w:val="24"/>
          <w:szCs w:val="24"/>
          <w:lang w:val="en-GB"/>
        </w:rPr>
        <w:t>Scolnik et al. (2016)</w:t>
      </w:r>
      <w:r w:rsidR="00E62390" w:rsidRPr="00042ADE">
        <w:rPr>
          <w:rFonts w:ascii="Times New Roman" w:hAnsi="Times New Roman"/>
          <w:sz w:val="24"/>
          <w:szCs w:val="24"/>
          <w:lang w:val="en-GB"/>
        </w:rPr>
        <w:fldChar w:fldCharType="end"/>
      </w:r>
      <w:r w:rsidR="00E62390" w:rsidRPr="00042ADE">
        <w:rPr>
          <w:rFonts w:ascii="Times New Roman" w:hAnsi="Times New Roman"/>
          <w:sz w:val="24"/>
          <w:szCs w:val="24"/>
          <w:lang w:val="en-GB"/>
        </w:rPr>
        <w:t xml:space="preserve"> </w:t>
      </w:r>
      <w:r w:rsidR="00827E99" w:rsidRPr="00042ADE">
        <w:rPr>
          <w:rFonts w:ascii="Times New Roman" w:hAnsi="Times New Roman"/>
          <w:sz w:val="24"/>
          <w:szCs w:val="24"/>
          <w:lang w:val="en-GB"/>
        </w:rPr>
        <w:t>assessed Raynaud and FMS digits and dorsal hands temperature by infrared thermography</w:t>
      </w:r>
      <w:r w:rsidR="008F4162" w:rsidRPr="00042ADE">
        <w:rPr>
          <w:rFonts w:ascii="Times New Roman" w:hAnsi="Times New Roman"/>
          <w:sz w:val="24"/>
          <w:szCs w:val="24"/>
          <w:lang w:val="en-GB"/>
        </w:rPr>
        <w:t xml:space="preserve"> and</w:t>
      </w:r>
      <w:r w:rsidR="00827E99" w:rsidRPr="00042ADE">
        <w:rPr>
          <w:rFonts w:ascii="Times New Roman" w:hAnsi="Times New Roman"/>
          <w:sz w:val="24"/>
          <w:szCs w:val="24"/>
          <w:lang w:val="en-GB"/>
        </w:rPr>
        <w:t xml:space="preserve"> showed that patients diagnosed with FMS had significant higher baseline temperat</w:t>
      </w:r>
      <w:r w:rsidR="008F4162" w:rsidRPr="00042ADE">
        <w:rPr>
          <w:rFonts w:ascii="Times New Roman" w:hAnsi="Times New Roman"/>
          <w:sz w:val="24"/>
          <w:szCs w:val="24"/>
          <w:lang w:val="en-GB"/>
        </w:rPr>
        <w:t>ur</w:t>
      </w:r>
      <w:r w:rsidR="00827E99" w:rsidRPr="00042ADE">
        <w:rPr>
          <w:rFonts w:ascii="Times New Roman" w:hAnsi="Times New Roman"/>
          <w:sz w:val="24"/>
          <w:szCs w:val="24"/>
          <w:lang w:val="en-GB"/>
        </w:rPr>
        <w:t>e of the digits (32.1</w:t>
      </w:r>
      <w:r w:rsidR="00750AF9" w:rsidRPr="00042ADE">
        <w:rPr>
          <w:rFonts w:ascii="Times New Roman" w:hAnsi="Times New Roman"/>
          <w:sz w:val="24"/>
          <w:szCs w:val="24"/>
          <w:lang w:val="en-GB"/>
        </w:rPr>
        <w:t>±7.3 versus 29.0±7.3 ºC</w:t>
      </w:r>
      <w:r w:rsidR="00827E99" w:rsidRPr="00042ADE">
        <w:rPr>
          <w:rFonts w:ascii="Times New Roman" w:hAnsi="Times New Roman"/>
          <w:sz w:val="24"/>
          <w:szCs w:val="24"/>
          <w:lang w:val="en-GB"/>
        </w:rPr>
        <w:t>) and dorsum (31.9</w:t>
      </w:r>
      <w:r w:rsidR="00B35E13" w:rsidRPr="00042ADE">
        <w:rPr>
          <w:rFonts w:ascii="Times New Roman" w:hAnsi="Times New Roman"/>
          <w:sz w:val="24"/>
          <w:szCs w:val="24"/>
          <w:lang w:val="en-GB"/>
        </w:rPr>
        <w:t>±4.3 versus 30.2±4.4 ºC</w:t>
      </w:r>
      <w:r w:rsidR="00827E99" w:rsidRPr="00042ADE">
        <w:rPr>
          <w:rFonts w:ascii="Times New Roman" w:hAnsi="Times New Roman"/>
          <w:sz w:val="24"/>
          <w:szCs w:val="24"/>
          <w:lang w:val="en-GB"/>
        </w:rPr>
        <w:t>) of the hands compared with Primary Raynaud’s patients, despite that there were no differences in symptom characteristics between Primary Raynaud’s and FMS patients (Scolnik et al., 2016)</w:t>
      </w:r>
      <w:r w:rsidR="00E62390" w:rsidRPr="00042ADE">
        <w:rPr>
          <w:rFonts w:ascii="Times New Roman" w:hAnsi="Times New Roman"/>
          <w:sz w:val="24"/>
          <w:szCs w:val="24"/>
          <w:lang w:val="en-GB"/>
        </w:rPr>
        <w:t>.</w:t>
      </w:r>
      <w:r w:rsidR="00A021CF" w:rsidRPr="00042ADE">
        <w:rPr>
          <w:rFonts w:ascii="Times New Roman" w:hAnsi="Times New Roman"/>
          <w:sz w:val="24"/>
          <w:szCs w:val="24"/>
          <w:lang w:val="en-GB"/>
        </w:rPr>
        <w:t xml:space="preserve"> By contrast, a recent study has demonstrated a lower cold detection pain threshold in hands of patients with FMS (29.9±0.7ºC) compared with healthy controls (31.0±0.6ºC) throughout an electrochemical skin conductance</w:t>
      </w:r>
      <w:r w:rsidR="00FA5707" w:rsidRPr="00042ADE">
        <w:rPr>
          <w:rFonts w:ascii="Times New Roman" w:hAnsi="Times New Roman"/>
          <w:sz w:val="24"/>
          <w:szCs w:val="24"/>
          <w:lang w:val="en-GB"/>
        </w:rPr>
        <w:t xml:space="preserve"> </w:t>
      </w:r>
      <w:r w:rsidR="00FA5707" w:rsidRPr="00042ADE">
        <w:rPr>
          <w:rFonts w:ascii="Times New Roman" w:hAnsi="Times New Roman"/>
          <w:sz w:val="24"/>
          <w:szCs w:val="24"/>
          <w:lang w:val="en-GB"/>
        </w:rPr>
        <w:fldChar w:fldCharType="begin" w:fldLock="1"/>
      </w:r>
      <w:r w:rsidR="002B4879" w:rsidRPr="00042ADE">
        <w:rPr>
          <w:rFonts w:ascii="Times New Roman" w:hAnsi="Times New Roman"/>
          <w:sz w:val="24"/>
          <w:szCs w:val="24"/>
          <w:lang w:val="en-GB"/>
        </w:rPr>
        <w:instrText>ADDIN CSL_CITATION {"citationItems":[{"id":"ITEM-1","itemData":{"DOI":"10.1111/papr.12857","ISSN":"15332500","PMID":"31705738","abstract":"Background: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[µS]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 ± 11.2 µS vs. 74.4 ± 10.3 µS, respectively; P = 0.003), especially on the dominant hand (P = 0.03), where more patients with FM had ESC values &lt; 66 µS than did HVs (P = 0.046). No difference was observed on feet. In patients with FM, all collected characteristics were impaired (P &lt; 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author":[{"dropping-particle":"","family":"Pickering","given":"Gisèle","non-dropping-particle":"","parse-names":false,"suffix":""},{"dropping-particle":"","family":"Achard","given":"Alexanne","non-dropping-particle":"","parse-names":false,"suffix":""},{"dropping-particle":"","family":"Corriger","given":"Alexandrine","non-dropping-particle":"","parse-names":false,"suffix":""},{"dropping-particle":"","family":"Sickout-Arondo","given":"Sophia","non-dropping-particle":"","parse-names":false,"suffix":""},{"dropping-particle":"","family":"Macian","given":"Nicolas","non-dropping-particle":"","parse-names":false,"suffix":""},{"dropping-particle":"","family":"Leray","given":"Vincent","non-dropping-particle":"","parse-names":false,"suffix":""},{"dropping-particle":"","family":"Lucchini","given":"Camille","non-dropping-particle":"","parse-names":false,"suffix":""},{"dropping-particle":"","family":"Cardot","given":"Jean Michel","non-dropping-particle":"","parse-names":false,"suffix":""},{"dropping-particle":"","family":"Pereira","given":"Bruno","non-dropping-particle":"","parse-names":false,"suffix":""}],"container-title":"Pain Practice","id":"ITEM-1","issue":"4","issued":{"date-parts":[["2020","4","1"]]},"page":"348-356","publisher":"Blackwell Publishing Inc.","title":"Electrochemical Skin Conductance and Quantitative Sensory Testing on Fibromyalgia","type":"article-journal","volume":"20"},"uris":["http://www.mendeley.com/documents/?uuid=195066ab-2ae9-3259-a9f2-4bfb7aad6586"]}],"mendeley":{"formattedCitation":"(Pickering et al., 2020)","plainTextFormattedCitation":"(Pickering et al., 2020)","previouslyFormattedCitation":"(Pickering et al., 2020)"},"properties":{"noteIndex":0},"schema":"https://github.com/citation-style-language/schema/raw/master/csl-citation.json"}</w:instrText>
      </w:r>
      <w:r w:rsidR="00FA5707" w:rsidRPr="00042ADE">
        <w:rPr>
          <w:rFonts w:ascii="Times New Roman" w:hAnsi="Times New Roman"/>
          <w:sz w:val="24"/>
          <w:szCs w:val="24"/>
          <w:lang w:val="en-GB"/>
        </w:rPr>
        <w:fldChar w:fldCharType="separate"/>
      </w:r>
      <w:r w:rsidR="00FA5707" w:rsidRPr="00042ADE">
        <w:rPr>
          <w:rFonts w:ascii="Times New Roman" w:hAnsi="Times New Roman"/>
          <w:noProof/>
          <w:sz w:val="24"/>
          <w:szCs w:val="24"/>
          <w:lang w:val="en-GB"/>
        </w:rPr>
        <w:t>(Pickering et al., 2020)</w:t>
      </w:r>
      <w:r w:rsidR="00FA5707" w:rsidRPr="00042ADE">
        <w:rPr>
          <w:rFonts w:ascii="Times New Roman" w:hAnsi="Times New Roman"/>
          <w:sz w:val="24"/>
          <w:szCs w:val="24"/>
          <w:lang w:val="en-GB"/>
        </w:rPr>
        <w:fldChar w:fldCharType="end"/>
      </w:r>
      <w:r w:rsidR="00A021CF" w:rsidRPr="00042ADE">
        <w:rPr>
          <w:rFonts w:ascii="Times New Roman" w:hAnsi="Times New Roman"/>
          <w:sz w:val="24"/>
          <w:szCs w:val="24"/>
          <w:lang w:val="en-GB"/>
        </w:rPr>
        <w:t>.</w:t>
      </w:r>
      <w:r w:rsidR="00FA5707" w:rsidRPr="00042ADE">
        <w:rPr>
          <w:rFonts w:ascii="Times New Roman" w:hAnsi="Times New Roman"/>
          <w:sz w:val="24"/>
          <w:szCs w:val="24"/>
          <w:lang w:val="en-GB"/>
        </w:rPr>
        <w:t xml:space="preserve"> This could due to an impaired sudomotor function at the dominant hands in FMS patients, being neces</w:t>
      </w:r>
      <w:r w:rsidR="0078431C" w:rsidRPr="00042ADE">
        <w:rPr>
          <w:rFonts w:ascii="Times New Roman" w:hAnsi="Times New Roman"/>
          <w:sz w:val="24"/>
          <w:szCs w:val="24"/>
          <w:lang w:val="en-GB"/>
        </w:rPr>
        <w:t>sary explored more</w:t>
      </w:r>
      <w:r w:rsidR="00FA5707" w:rsidRPr="00042ADE">
        <w:rPr>
          <w:rFonts w:ascii="Times New Roman" w:hAnsi="Times New Roman"/>
          <w:sz w:val="24"/>
          <w:szCs w:val="24"/>
          <w:lang w:val="en-GB"/>
        </w:rPr>
        <w:t xml:space="preserve"> studies regarding to the nociception-autonomic system intertwining</w:t>
      </w:r>
      <w:r w:rsidR="002B4879" w:rsidRPr="00042ADE">
        <w:rPr>
          <w:rFonts w:ascii="Times New Roman" w:hAnsi="Times New Roman"/>
          <w:sz w:val="24"/>
          <w:szCs w:val="24"/>
          <w:lang w:val="en-GB"/>
        </w:rPr>
        <w:t xml:space="preserve"> </w:t>
      </w:r>
      <w:r w:rsidR="002B4879" w:rsidRPr="00042ADE">
        <w:rPr>
          <w:rFonts w:ascii="Times New Roman" w:hAnsi="Times New Roman"/>
          <w:sz w:val="24"/>
          <w:szCs w:val="24"/>
          <w:lang w:val="en-GB"/>
        </w:rPr>
        <w:fldChar w:fldCharType="begin" w:fldLock="1"/>
      </w:r>
      <w:r w:rsidR="0078447B" w:rsidRPr="00042ADE">
        <w:rPr>
          <w:rFonts w:ascii="Times New Roman" w:hAnsi="Times New Roman"/>
          <w:sz w:val="24"/>
          <w:szCs w:val="24"/>
          <w:lang w:val="en-GB"/>
        </w:rPr>
        <w:instrText>ADDIN CSL_CITATION {"citationItems":[{"id":"ITEM-1","itemData":{"DOI":"10.1111/papr.12857","ISSN":"15332500","PMID":"31705738","abstract":"Background: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[µS]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 ± 11.2 µS vs. 74.4 ± 10.3 µS, respectively; P = 0.003), especially on the dominant hand (P = 0.03), where more patients with FM had ESC values &lt; 66 µS than did HVs (P = 0.046). No difference was observed on feet. In patients with FM, all collected characteristics were impaired (P &lt; 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author":[{"dropping-particle":"","family":"Pickering","given":"Gisèle","non-dropping-particle":"","parse-names":false,"suffix":""},{"dropping-particle":"","family":"Achard","given":"Alexanne","non-dropping-particle":"","parse-names":false,"suffix":""},{"dropping-particle":"","family":"Corriger","given":"Alexandrine","non-dropping-particle":"","parse-names":false,"suffix":""},{"dropping-particle":"","family":"Sickout-Arondo","given":"Sophia","non-dropping-particle":"","parse-names":false,"suffix":""},{"dropping-particle":"","family":"Macian","given":"Nicolas","non-dropping-particle":"","parse-names":false,"suffix":""},{"dropping-particle":"","family":"Leray","given":"Vincent","non-dropping-particle":"","parse-names":false,"suffix":""},{"dropping-particle":"","family":"Lucchini","given":"Camille","non-dropping-particle":"","parse-names":false,"suffix":""},{"dropping-particle":"","family":"Cardot","given":"Jean Michel","non-dropping-particle":"","parse-names":false,"suffix":""},{"dropping-particle":"","family":"Pereira","given":"Bruno","non-dropping-particle":"","parse-names":false,"suffix":""}],"container-title":"Pain Practice","id":"ITEM-1","issue":"4","issued":{"date-parts":[["2020","4","1"]]},"page":"348-356","publisher":"Blackwell Publishing Inc.","title":"Electrochemical Skin Conductance and Quantitative Sensory Testing on Fibromyalgia","type":"article-journal","volume":"20"},"uris":["http://www.mendeley.com/documents/?uuid=195066ab-2ae9-3259-a9f2-4bfb7aad6586"]}],"mendeley":{"formattedCitation":"(Pickering et al., 2020)","plainTextFormattedCitation":"(Pickering et al., 2020)","previouslyFormattedCitation":"(Pickering et al., 2020)"},"properties":{"noteIndex":0},"schema":"https://github.com/citation-style-language/schema/raw/master/csl-citation.json"}</w:instrText>
      </w:r>
      <w:r w:rsidR="002B4879" w:rsidRPr="00042ADE">
        <w:rPr>
          <w:rFonts w:ascii="Times New Roman" w:hAnsi="Times New Roman"/>
          <w:sz w:val="24"/>
          <w:szCs w:val="24"/>
          <w:lang w:val="en-GB"/>
        </w:rPr>
        <w:fldChar w:fldCharType="separate"/>
      </w:r>
      <w:r w:rsidR="002B4879" w:rsidRPr="00042ADE">
        <w:rPr>
          <w:rFonts w:ascii="Times New Roman" w:hAnsi="Times New Roman"/>
          <w:noProof/>
          <w:sz w:val="24"/>
          <w:szCs w:val="24"/>
          <w:lang w:val="en-GB"/>
        </w:rPr>
        <w:t>(Pickering et al., 2020)</w:t>
      </w:r>
      <w:r w:rsidR="002B4879" w:rsidRPr="00042ADE">
        <w:rPr>
          <w:rFonts w:ascii="Times New Roman" w:hAnsi="Times New Roman"/>
          <w:sz w:val="24"/>
          <w:szCs w:val="24"/>
          <w:lang w:val="en-GB"/>
        </w:rPr>
        <w:fldChar w:fldCharType="end"/>
      </w:r>
      <w:r w:rsidR="00FA5707" w:rsidRPr="00042ADE">
        <w:rPr>
          <w:rFonts w:ascii="Times New Roman" w:hAnsi="Times New Roman"/>
          <w:sz w:val="24"/>
          <w:szCs w:val="24"/>
          <w:lang w:val="en-GB"/>
        </w:rPr>
        <w:t>.</w:t>
      </w:r>
      <w:r w:rsidR="00A021CF" w:rsidRPr="00042ADE">
        <w:rPr>
          <w:rFonts w:ascii="Times New Roman" w:hAnsi="Times New Roman"/>
          <w:sz w:val="24"/>
          <w:szCs w:val="24"/>
          <w:lang w:val="en-GB"/>
        </w:rPr>
        <w:t xml:space="preserve"> </w:t>
      </w:r>
      <w:r w:rsidR="00E62390" w:rsidRPr="00042ADE">
        <w:rPr>
          <w:rFonts w:ascii="Times New Roman" w:hAnsi="Times New Roman"/>
          <w:sz w:val="24"/>
          <w:szCs w:val="24"/>
          <w:lang w:val="en-GB"/>
        </w:rPr>
        <w:t xml:space="preserve">Further longitudinal studies are necessary to clarify the contribution of AVAs to the capillary circulation regarding </w:t>
      </w:r>
      <w:r w:rsidR="00E62390" w:rsidRPr="00042ADE">
        <w:rPr>
          <w:rFonts w:ascii="Times New Roman" w:hAnsi="Times New Roman"/>
          <w:sz w:val="24"/>
          <w:szCs w:val="24"/>
          <w:lang w:val="en-GB"/>
        </w:rPr>
        <w:lastRenderedPageBreak/>
        <w:t xml:space="preserve">changes in the temperature of the </w:t>
      </w:r>
      <w:proofErr w:type="spellStart"/>
      <w:r w:rsidR="00E62390" w:rsidRPr="00042ADE">
        <w:rPr>
          <w:rFonts w:ascii="Times New Roman" w:hAnsi="Times New Roman"/>
          <w:sz w:val="24"/>
          <w:szCs w:val="24"/>
          <w:lang w:val="en-GB"/>
        </w:rPr>
        <w:t>glabrous</w:t>
      </w:r>
      <w:proofErr w:type="spellEnd"/>
      <w:r w:rsidR="00E62390" w:rsidRPr="00042ADE">
        <w:rPr>
          <w:rFonts w:ascii="Times New Roman" w:hAnsi="Times New Roman"/>
          <w:sz w:val="24"/>
          <w:szCs w:val="24"/>
          <w:lang w:val="en-GB"/>
        </w:rPr>
        <w:t xml:space="preserve"> skin of the hands before and after ice-water test in FMS.</w:t>
      </w:r>
    </w:p>
    <w:p w14:paraId="28854A44" w14:textId="77777777" w:rsidR="007D4E67" w:rsidRPr="00042ADE" w:rsidRDefault="007D4E67"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The dilation of peripheral capillaries could also be caused by vasoactive compounds such as NO which plays an important role in cutaneous vasoactive vasodilation, eliciting </w:t>
      </w:r>
      <w:proofErr w:type="spellStart"/>
      <w:r w:rsidRPr="00042ADE">
        <w:rPr>
          <w:rFonts w:ascii="Times New Roman" w:hAnsi="Times New Roman"/>
          <w:sz w:val="24"/>
          <w:szCs w:val="24"/>
          <w:lang w:val="en-GB"/>
        </w:rPr>
        <w:t>hyperperfusion</w:t>
      </w:r>
      <w:proofErr w:type="spellEnd"/>
      <w:r w:rsidRPr="00042ADE">
        <w:rPr>
          <w:rFonts w:ascii="Times New Roman" w:hAnsi="Times New Roman"/>
          <w:sz w:val="24"/>
          <w:szCs w:val="24"/>
          <w:lang w:val="en-GB"/>
        </w:rPr>
        <w:t xml:space="preserve"> and local hyperthermia </w:t>
      </w:r>
      <w:r w:rsidRPr="00042ADE">
        <w:rPr>
          <w:rFonts w:ascii="Times New Roman" w:hAnsi="Times New Roman"/>
          <w:sz w:val="24"/>
          <w:szCs w:val="24"/>
          <w:lang w:val="en-GB"/>
        </w:rPr>
        <w:fldChar w:fldCharType="begin" w:fldLock="1"/>
      </w:r>
      <w:r w:rsidR="00321E0F" w:rsidRPr="00042ADE">
        <w:rPr>
          <w:rFonts w:ascii="Times New Roman" w:hAnsi="Times New Roman"/>
          <w:sz w:val="24"/>
          <w:szCs w:val="24"/>
          <w:lang w:val="en-GB"/>
        </w:rPr>
        <w:instrText>ADDIN CSL_CITATION {"citationItems":[{"id":"ITEM-1","itemData":{"DOI":"10.1152/jappl.1995.78.3.948","ISSN":"87507587","PMID":"7775340","abstract":"To test for an active vasodilator system in human hand and finger skin, seven subjects had a small area of dorsal hand, palm, or dorsal finger pretreated with bretylium (BT) to block adrenergic vasoconstriction. Skin blood flow was monitored at a BT-treated site, a comparable untreated site, and the forearm by laser-Doppler flowmetry. Cutaneous vascular conductance (CVC) was evaluated from the ratio of blood flow to arterial pressure. Body cooling, to evaluate vasoconstrictor system blockade, caused CVC at untreated sites of forearm, palm, dorsal hand, and dorsal finger to fall by 45 ± 4, 85 ± 5, 51 ± 9, and 63 ± 7%, respectively (all P &lt; 0.05). At BT treated sites of palm, dorsal hand, and dorsal finger, reductions in CVC were only 13 ± 3, 2 ± 18, and 13 ± 4%, respectively (dorsal hand not significant, others P &lt; 0.05). With body heating, increases in CVC at untreated sites of forearm, palm, dorsal hand, and dorsal finger were 881 ± 165,779 ± 368, 423 ± 115, and 1,430 ± 716%, respectively (all P &lt; 0.05). At BT-treated sites of palm, dorsal hand, and dorsal finger, increases were 35 ± 15, 342 ± 107, and 343 ± 34%, respectively (palm not significant, others P &lt; 0.05). Increased CVC at the palm began after 1.2 ± 0.2 min of heating, significantly earlier than forearm (11.8 ± 2.5 min), dorsal hand (16.4 ± 3.4 min), or dorsal finger (15.6 ± 3.6 min), which did not differ significantly from one another. These findings indicate that, unlike the traditional description, the dorsal hand and fingers have an active vasodilator system. We found no evidence for such a system in palmar skin.","author":[{"dropping-particle":"","family":"Johnson","given":"J. M.","non-dropping-particle":"","parse-names":false,"suffix":""},{"dropping-particle":"","family":"Pergola","given":"P. E.","non-dropping-particle":"","parse-names":false,"suffix":""},{"dropping-particle":"","family":"Liao","given":"F. K.","non-dropping-particle":"","parse-names":false,"suffix":""},{"dropping-particle":"","family":"Kellogg","given":"D. L.","non-dropping-particle":"","parse-names":false,"suffix":""},{"dropping-particle":"","family":"Crandall","given":"C. G.","non-dropping-particle":"","parse-names":false,"suffix":""}],"container-title":"Journal of Applied Physiology","id":"ITEM-1","issue":"3","issued":{"date-parts":[["1995"]]},"page":"948-954","publisher":"American Physiological Society","title":"Skin of the dorsal aspect of human hands and fingers possesses an active vasodilator system","type":"article-journal","volume":"78"},"uris":["http://www.mendeley.com/documents/?uuid=b9545862-93f1-3f53-9f18-944c30f77afe"]}],"mendeley":{"formattedCitation":"(Johnson et al., 1995)","plainTextFormattedCitation":"(Johnson et al., 1995)","previouslyFormattedCitation":"(Johnson et al., 1995)"},"properties":{"noteIndex":0},"schema":"https://github.com/citation-style-language/schema/raw/master/csl-citation.json"}</w:instrText>
      </w:r>
      <w:r w:rsidRPr="00042ADE">
        <w:rPr>
          <w:rFonts w:ascii="Times New Roman" w:hAnsi="Times New Roman"/>
          <w:sz w:val="24"/>
          <w:szCs w:val="24"/>
          <w:lang w:val="en-GB"/>
        </w:rPr>
        <w:fldChar w:fldCharType="separate"/>
      </w:r>
      <w:r w:rsidRPr="00042ADE">
        <w:rPr>
          <w:rFonts w:ascii="Times New Roman" w:hAnsi="Times New Roman"/>
          <w:noProof/>
          <w:sz w:val="24"/>
          <w:szCs w:val="24"/>
          <w:lang w:val="en-GB"/>
        </w:rPr>
        <w:t>(Johnson et al., 1995)</w:t>
      </w:r>
      <w:r w:rsidRPr="00042ADE">
        <w:rPr>
          <w:rFonts w:ascii="Times New Roman" w:hAnsi="Times New Roman"/>
          <w:sz w:val="24"/>
          <w:szCs w:val="24"/>
          <w:lang w:val="en-GB"/>
        </w:rPr>
        <w:fldChar w:fldCharType="end"/>
      </w:r>
      <w:r w:rsidRPr="00042ADE">
        <w:rPr>
          <w:rFonts w:ascii="Times New Roman" w:hAnsi="Times New Roman"/>
          <w:sz w:val="24"/>
          <w:szCs w:val="24"/>
          <w:lang w:val="en-GB"/>
        </w:rPr>
        <w:t>.</w:t>
      </w:r>
      <w:r w:rsidR="00321E0F" w:rsidRPr="00042ADE">
        <w:rPr>
          <w:rFonts w:ascii="Times New Roman" w:hAnsi="Times New Roman"/>
          <w:sz w:val="24"/>
          <w:szCs w:val="24"/>
          <w:lang w:val="en-GB"/>
        </w:rPr>
        <w:t xml:space="preserve"> </w:t>
      </w:r>
      <w:r w:rsidR="00321E0F" w:rsidRPr="00042ADE">
        <w:rPr>
          <w:rFonts w:ascii="Times New Roman" w:hAnsi="Times New Roman"/>
          <w:sz w:val="24"/>
          <w:szCs w:val="24"/>
          <w:lang w:val="en-GB"/>
        </w:rPr>
        <w:fldChar w:fldCharType="begin" w:fldLock="1"/>
      </w:r>
      <w:r w:rsidR="00A451C2" w:rsidRPr="00042ADE">
        <w:rPr>
          <w:rFonts w:ascii="Times New Roman" w:hAnsi="Times New Roman"/>
          <w:sz w:val="24"/>
          <w:szCs w:val="24"/>
          <w:lang w:val="en-GB"/>
        </w:rPr>
        <w:instrText>ADDIN CSL_CITATION {"citationItems":[{"id":"ITEM-1","itemData":{"DOI":"10.1016/j.tripleo.2004.02.081","ISSN":"10792104","abstract":"Background. Control of pain is the major goal in the management of chronic orofacial pain (COP) patients. The pathogenesis of COP is currently not well understood. Consequently, the treatment of COP may be suboptimal or even harmful. Based on independent observations, we propose that local elevated levels of nitric oxide (NO) may have a central role in the pathogenesis of COP. Hypothesis. NO level in the orofacial region of COP patients is elevated. A regional increased level of NO causes excessive vasodilatation. This hyperperfusion is manifested by hyperthermia of the overlying skin, while NO enhances nociception, aggravating orofacial pain. An alternative mechanism involving NO as a neurotransmitter at the CNS level may contribute to orofacial pain, but seems not to account for all the known clinical observations. Methods. Two groups of subjects were studied: 5 patients with COP and 59 control subjects. For each subject we collected blood samples for analysis of nitrite\\nitrate (or NOx). Results. (1) NOx blood levels for 5 patients diagnosed with COP was 65.9 μM (SD of 10.4) verses 42.7 μM (SD of 24.2) for 59 control subjects, the difference being statistically significant, t-statistic = -2.12 (P &gt; .05). (2) No statistical difference was found for NOx blood levels for 59 control subjects divided by gender (male vs female), with 23 female controls having NOx blood levels of 42.6 μM (SD of 25.2) and male controls having NOx blood levels of 42.8 μM (SD of 24.0), t-statistic = -0.03, P = .98. Conclusion. This pilot study suggests that NO blood levels may have an association with COP. A better understanding of the mechanism of chronic orofacial pain is expected to lead to more precise diagnostic staging and management of this disorder. © 2005 Elsevier Inc. All rights reserved.","author":[{"dropping-particle":"","family":"Gratt","given":"Barton M.","non-dropping-particle":"","parse-names":false,"suffix":""},{"dropping-particle":"","family":"Anbar","given":"Michael","non-dropping-particle":"","parse-names":false,"suffix":""}],"container-title":"Oral Surgery, Oral Medicine, Oral Pathology, Oral Radiology and Endodontology","id":"ITEM-1","issue":"4","issued":{"date-parts":[["2005","10"]]},"page":"441-448","title":"A pilot study of nitric oxide blood levels in patients with chronic orofacial pain","type":"article-journal","volume":"100"},"uris":["http://www.mendeley.com/documents/?uuid=84f20bea-78c8-36b5-92e2-cb8b83ce5d4f"]}],"mendeley":{"formattedCitation":"(Gratt and Anbar, 2005)","manualFormatting":"Gratt and Anbar. (2005)","plainTextFormattedCitation":"(Gratt and Anbar, 2005)","previouslyFormattedCitation":"(Gratt and Anbar, 2005)"},"properties":{"noteIndex":0},"schema":"https://github.com/citation-style-language/schema/raw/master/csl-citation.json"}</w:instrText>
      </w:r>
      <w:r w:rsidR="00321E0F" w:rsidRPr="00042ADE">
        <w:rPr>
          <w:rFonts w:ascii="Times New Roman" w:hAnsi="Times New Roman"/>
          <w:sz w:val="24"/>
          <w:szCs w:val="24"/>
          <w:lang w:val="en-GB"/>
        </w:rPr>
        <w:fldChar w:fldCharType="separate"/>
      </w:r>
      <w:r w:rsidR="00321E0F" w:rsidRPr="00042ADE">
        <w:rPr>
          <w:rFonts w:ascii="Times New Roman" w:hAnsi="Times New Roman"/>
          <w:noProof/>
          <w:sz w:val="24"/>
          <w:szCs w:val="24"/>
          <w:lang w:val="en-GB"/>
        </w:rPr>
        <w:t>Gratt and Anbar. (2005)</w:t>
      </w:r>
      <w:r w:rsidR="00321E0F" w:rsidRPr="00042ADE">
        <w:rPr>
          <w:rFonts w:ascii="Times New Roman" w:hAnsi="Times New Roman"/>
          <w:sz w:val="24"/>
          <w:szCs w:val="24"/>
          <w:lang w:val="en-GB"/>
        </w:rPr>
        <w:fldChar w:fldCharType="end"/>
      </w:r>
      <w:r w:rsidR="00321E0F" w:rsidRPr="00042ADE">
        <w:rPr>
          <w:rFonts w:ascii="Times New Roman" w:hAnsi="Times New Roman"/>
          <w:sz w:val="24"/>
          <w:szCs w:val="24"/>
          <w:lang w:val="en-GB"/>
        </w:rPr>
        <w:t xml:space="preserve"> reported elevated NO levels in patients with chronic orofacial pain associated with an excessive vasodilation and hyperthermia in this region.</w:t>
      </w:r>
      <w:r w:rsidR="00331F13" w:rsidRPr="00042ADE">
        <w:rPr>
          <w:rFonts w:ascii="Times New Roman" w:hAnsi="Times New Roman"/>
          <w:sz w:val="24"/>
          <w:szCs w:val="24"/>
          <w:lang w:val="en-GB"/>
        </w:rPr>
        <w:t xml:space="preserve"> Our data showed no differences in NO levels between FMS patients and controls and no significant associations between NO and hand temperature. However, some correlations were found in the control group. Previous works have informed that NO is not involved in reflex vasodilation at peripheral cutaneous of forearm skin</w:t>
      </w:r>
      <w:r w:rsidR="00A451C2" w:rsidRPr="00042ADE">
        <w:rPr>
          <w:rFonts w:ascii="Times New Roman" w:hAnsi="Times New Roman"/>
          <w:sz w:val="24"/>
          <w:szCs w:val="24"/>
          <w:lang w:val="en-GB"/>
        </w:rPr>
        <w:t xml:space="preserve"> </w:t>
      </w:r>
      <w:r w:rsidR="00A451C2" w:rsidRPr="00042ADE">
        <w:rPr>
          <w:rFonts w:ascii="Times New Roman" w:hAnsi="Times New Roman"/>
          <w:sz w:val="24"/>
          <w:szCs w:val="24"/>
          <w:lang w:val="en-GB"/>
        </w:rPr>
        <w:fldChar w:fldCharType="begin" w:fldLock="1"/>
      </w:r>
      <w:r w:rsidR="003D090A" w:rsidRPr="00042ADE">
        <w:rPr>
          <w:rFonts w:ascii="Times New Roman" w:hAnsi="Times New Roman"/>
          <w:sz w:val="24"/>
          <w:szCs w:val="24"/>
          <w:lang w:val="en-GB"/>
        </w:rPr>
        <w:instrText>ADDIN CSL_CITATION {"citationItems":[{"id":"ITEM-1","itemData":{"DOI":"10.1152/jappl.1994.76.5.2047","ISSN":"87507587","abstract":"The neurotransmitter responsible for neurogenic vasodilation in human skin during body heating is unknown. We sought to determine whether the vasodilating substance nitric oxide (NO) is involved in this phenomenon. Six subjects were heated for 50 min by use of a water-perfused suit while forearm blood flow (FBF) was measured with plethysmography and skin blood flow (SkBF) was measured by the laser-Doppler method in both arms. In one forearm, N(G)- monomethyl-L-arginine (L-NMMA), an NO synthase blocker, was infused into the brachial artery. Bolus doses of L-NMMA (≤4 mg/min) for 5 min were given to blunt NO-mediated vasodilator responses to acetylcholine (ACh, 64 μg/min). A continuous infusion of L-NMMA (≤1.0 mg/min) was used during body heating to maintain NO synthase blockade. In the forearm receiving L-NMMA, FBF was 1.8 ± 0.3 ml · 100 ml-1 · min-1 before drug infusion and rose to 9.5 ± 1.3 ml · 100 ml-1 · min-1 with ACh. After L-NMMA infusion, FBF was 1.3 ± 0.2 ml · 100 ml -1 · min-1 and rose to 2.6 ± 0.4 ml · 100 ml-1 · min-1 with ACh (both P &lt; 0.05 vs. pre-L-NMMA). Similar changes in SkBF were seen with ACh and L-NMMA, confirming that the drugs reached cutaneous vessels. With body heating, oral temperature increased by 1.2°C, heart rate increased by 34 beats/min, and mean arterial pressure remained constant at ~ 75 mmHg. FBF in the treated forearm rose to 11.5 ± 2.1 vs. 12.6 ± 1.7 ml · 100 ml-1 · min-1 in the control forearm (P &gt; 0.05, control vs. treated response). These FBF responses were also similar to those in control studies without drug administration. SkBF responses to heating were also similar in both forearms. At the end of heating, variable dilator responses to repeat doses of ACh were observed. However, increases in blood flow with heating were similar bilaterally in the subjects whose dilator responses to ACh were blocked at the end of heating. These data suggest that NO does not play a major role in cutaneous vasodilation during body heating in humans.","author":[{"dropping-particle":"","family":"Dietz","given":"N. M.","non-dropping-particle":"","parse-names":false,"suffix":""},{"dropping-particle":"","family":"Rivera","given":"J. M.","non-dropping-particle":"","parse-names":false,"suffix":""},{"dropping-particle":"","family":"Warner","given":"D. O.","non-dropping-particle":"","parse-names":false,"suffix":""},{"dropping-particle":"","family":"Joyner","given":"M. J.","non-dropping-particle":"","parse-names":false,"suffix":""}],"container-title":"Journal of Applied Physiology","id":"ITEM-1","issue":"5","issued":{"date-parts":[["1994"]]},"page":"2047-2053","publisher":"American Physiological Society","title":"Is nitric oxide involved in cutaneous vasodilation during body heating in humans?","type":"article-journal","volume":"76"},"uris":["http://www.mendeley.com/documents/?uuid=63242c13-a131-3824-b151-7d4cd5a32edc"]},{"id":"ITEM-2","itemData":{"DOI":"10.1152/jappl.2001.90.3.1020","ISSN":"87507587","abstract":"Inhibition of cutaneous nitric oxide (NO) synthase reduces the magnitude of cutaneous vasodilation during whole body heating in humans. However, this observation is insufficient to conclude that NO concentration increases in the skin during a heat stress. This study was designed to test the hypothesis that whole body heating increases cutaneous interstitial NO concentration. This was accomplished by placing 2 microdialysis membranes in the forearm dermal space of 12 subjects. Both membranes were perfused with lactated Ringer solutions at a rate of 2 μl/min. In both normothermia and during whole body heating via a water perfused suit, dialysate from these membranes were obtained and analyzed for NO using the chemiluminescence technique. In six of these subjects, after the heat stress, the membranes were perfused with a 1 M solution of acetylcholine to stimulate NO release. Dialysate from these trials was also assayed to quantify cutaneous interstitial NO concentration. Whole body heating increased skin temperature from 34.6 ± 0.2 to 38.8 ± 0.2°C (P &lt; 0.05), which increased sublingual temperature (36.4 ± 0.1 to 37.6 ± 0.1°C; P &lt; 0.05), heart rate (63 ± 5 to 93 ± 5 beats/min; P &lt; 0.05), and skin blood flow over the membranes (21 ± 4 to 88 ± 10 perfusion units; P &lt; 0.05). NO concentration in the dialysate did not increase significantly during of the heat stress (7.6 ± 0.7 to 8.6 ± 0.8 μM; P &gt; 0.05). After the heat stress, administration of acetylcholine in the perfusate significantly increased skin blood flow (128 ± 6 perfusion units) relative to both normothermic and heat stress values and significantly increased NO concentration in the dialysate (15.8 ± 2.4 μM). These data suggest that whole body heating does not increase cutaneous interstitial NO concentration in forearm skin. Rather, NO may serve in a permissive role in facilitating the effects of an unknown neurotransmitter, leading to cutaneous vasodilation during a heat stress.","author":[{"dropping-particle":"","family":"Crandall","given":"C. G.","non-dropping-particle":"","parse-names":false,"suffix":""},{"dropping-particle":"","family":"MacLean","given":"D. A.","non-dropping-particle":"","parse-names":false,"suffix":""}],"container-title":"Journal of Applied Physiology","id":"ITEM-2","issue":"3","issued":{"date-parts":[["2001"]]},"page":"1020-1024","publisher":"J Appl Physiol (1985)","title":"Cutaneous interstitial nitric oxide concentration does not increase during heat stress in humans","type":"article-journal","volume":"90"},"uris":["http://www.mendeley.com/documents/?uuid=ad4945dd-7183-34d3-a5d7-f8d9fed990db"]}],"mendeley":{"formattedCitation":"(Crandall and MacLean, 2001; Dietz et al., 1994)","plainTextFormattedCitation":"(Crandall and MacLean, 2001; Dietz et al., 1994)","previouslyFormattedCitation":"(Crandall and MacLean, 2001; Dietz et al., 1994)"},"properties":{"noteIndex":0},"schema":"https://github.com/citation-style-language/schema/raw/master/csl-citation.json"}</w:instrText>
      </w:r>
      <w:r w:rsidR="00A451C2" w:rsidRPr="00042ADE">
        <w:rPr>
          <w:rFonts w:ascii="Times New Roman" w:hAnsi="Times New Roman"/>
          <w:sz w:val="24"/>
          <w:szCs w:val="24"/>
          <w:lang w:val="en-GB"/>
        </w:rPr>
        <w:fldChar w:fldCharType="separate"/>
      </w:r>
      <w:r w:rsidR="00A451C2" w:rsidRPr="00042ADE">
        <w:rPr>
          <w:rFonts w:ascii="Times New Roman" w:hAnsi="Times New Roman"/>
          <w:noProof/>
          <w:sz w:val="24"/>
          <w:szCs w:val="24"/>
          <w:lang w:val="en-GB"/>
        </w:rPr>
        <w:t>(Crandall and MacLean, 2001; Dietz et al., 1994)</w:t>
      </w:r>
      <w:r w:rsidR="00A451C2" w:rsidRPr="00042ADE">
        <w:rPr>
          <w:rFonts w:ascii="Times New Roman" w:hAnsi="Times New Roman"/>
          <w:sz w:val="24"/>
          <w:szCs w:val="24"/>
          <w:lang w:val="en-GB"/>
        </w:rPr>
        <w:fldChar w:fldCharType="end"/>
      </w:r>
      <w:r w:rsidR="00331F13" w:rsidRPr="00042ADE">
        <w:rPr>
          <w:rFonts w:ascii="Times New Roman" w:hAnsi="Times New Roman"/>
          <w:sz w:val="24"/>
          <w:szCs w:val="24"/>
          <w:lang w:val="en-GB"/>
        </w:rPr>
        <w:t xml:space="preserve">. </w:t>
      </w:r>
      <w:r w:rsidR="009E3457" w:rsidRPr="00042ADE">
        <w:rPr>
          <w:rFonts w:ascii="Times New Roman" w:hAnsi="Times New Roman"/>
          <w:sz w:val="24"/>
          <w:szCs w:val="24"/>
          <w:lang w:val="en-GB"/>
        </w:rPr>
        <w:t>However, other studies reported that NO plays an important role in cutaneous vasodilation after a whole body hyperthermia in healthy subjects</w:t>
      </w:r>
      <w:r w:rsidR="00AC0C37" w:rsidRPr="00042ADE">
        <w:rPr>
          <w:rFonts w:ascii="Times New Roman" w:hAnsi="Times New Roman"/>
          <w:sz w:val="24"/>
          <w:szCs w:val="24"/>
          <w:lang w:val="en-GB"/>
        </w:rPr>
        <w:t xml:space="preserve"> </w:t>
      </w:r>
      <w:r w:rsidR="00AC0C37" w:rsidRPr="00042ADE">
        <w:rPr>
          <w:rFonts w:ascii="Times New Roman" w:hAnsi="Times New Roman"/>
          <w:sz w:val="24"/>
          <w:szCs w:val="24"/>
          <w:lang w:val="en-GB"/>
        </w:rPr>
        <w:fldChar w:fldCharType="begin" w:fldLock="1"/>
      </w:r>
      <w:r w:rsidR="00974F22" w:rsidRPr="00042ADE">
        <w:rPr>
          <w:rFonts w:ascii="Times New Roman" w:hAnsi="Times New Roman"/>
          <w:sz w:val="24"/>
          <w:szCs w:val="24"/>
          <w:lang w:val="en-GB"/>
        </w:rPr>
        <w:instrText>ADDIN CSL_CITATION {"citationItems":[{"id":"ITEM-1","itemData":{"DOI":"10.1152/ajpheart.00082.2008","ISSN":"03636135","abstract":"Nitric oxide (NO) participates in locally mediated vasodilation induced by increased local skin temperature (Tloc) and in sympathetically mediated vasodilation during whole body heat stress. We hypothesized that endothelial NOS (eNOS) participates in the former, but not the latter, response. We tested this hypothesis by examining the effects of the eNOS antagonist NG-amino-L-arginine (L-NAA) on skin blood flow (SkBF) responses to increased Tloc and whole body heat stress. Microdialysis probes were inserted into forearm skin for drug delivery. One microdialysis site was perfused with L-NAA in Ringer solution and a second site with Ringer solution alone. SkBF [laser-Doppler flowmetry (LDF)] and blood pressure [mean arterial pressure (MAP)] were monitored, and cutaneous vascular conductance (CVC) was calculated (CVC = LDF ÷ MAP). In protocol 1, Tloc was controlled with LDF/local heating units. Tloc initially was held at 34°C and then increased to 41.5°C. In protocol 2, after a normothermic period, whole body heat stress was induced (water-perfused suits). At the end of both protocols, 58 mM sodium nitroprusside was perfused at both microdialysis sites to cause maximal vasodilation for data normalization. In protocol 1, CVC at 34°C Tloc did not differ between L-NAA-treated and untreated sites (P &gt; 0.05). Local skin warming to 41.5°C Tloc increased CVC at both sites. This response was attenuated at L-NAA-treated sites (P &lt; 0.05). In protocol 2, during normothermia, CVC did not differ between L-NAA-treated and untreated sites (P &gt; 0.05). During heat stress, CVC rose to similar levels at L-NAA-treated and untreated sites (P &gt; 0.05). We conclude that eNOS is predominantly responsible for NO generation in skin during responses to increased Tloc, but not during reflex responses to whole body heat stress.","author":[{"dropping-particle":"","family":"Kellogg","given":"Dean L.","non-dropping-particle":"","parse-names":false,"suffix":""},{"dropping-particle":"","family":"Zhao","given":"Joan L.","non-dropping-particle":"","parse-names":false,"suffix":""},{"dropping-particle":"","family":"Wu","given":"Yubo","non-dropping-particle":"","parse-names":false,"suffix":""}],"container-title":"American Journal of Physiology - Heart and Circulatory Physiology","id":"ITEM-1","issue":"1","issued":{"date-parts":[["2008","7"]]},"title":"Endothelial nitric oxide synthase control mechanisms in the cutaneous vasculature of humans in vivo","type":"article-journal","volume":"295"},"uris":["http://www.mendeley.com/documents/?uuid=7b46cc90-eb36-37cd-89f3-dd5d23afa6e8"]}],"mendeley":{"formattedCitation":"(Kellogg et al., 2008)","plainTextFormattedCitation":"(Kellogg et al., 2008)","previouslyFormattedCitation":"(Kellogg et al., 2008)"},"properties":{"noteIndex":0},"schema":"https://github.com/citation-style-language/schema/raw/master/csl-citation.json"}</w:instrText>
      </w:r>
      <w:r w:rsidR="00AC0C37" w:rsidRPr="00042ADE">
        <w:rPr>
          <w:rFonts w:ascii="Times New Roman" w:hAnsi="Times New Roman"/>
          <w:sz w:val="24"/>
          <w:szCs w:val="24"/>
          <w:lang w:val="en-GB"/>
        </w:rPr>
        <w:fldChar w:fldCharType="separate"/>
      </w:r>
      <w:r w:rsidR="00AC0C37" w:rsidRPr="00042ADE">
        <w:rPr>
          <w:rFonts w:ascii="Times New Roman" w:hAnsi="Times New Roman"/>
          <w:noProof/>
          <w:sz w:val="24"/>
          <w:szCs w:val="24"/>
          <w:lang w:val="en-GB"/>
        </w:rPr>
        <w:t>(Kellogg et al., 2008)</w:t>
      </w:r>
      <w:r w:rsidR="00AC0C37" w:rsidRPr="00042ADE">
        <w:rPr>
          <w:rFonts w:ascii="Times New Roman" w:hAnsi="Times New Roman"/>
          <w:sz w:val="24"/>
          <w:szCs w:val="24"/>
          <w:lang w:val="en-GB"/>
        </w:rPr>
        <w:fldChar w:fldCharType="end"/>
      </w:r>
      <w:r w:rsidR="00AC0C37" w:rsidRPr="00042ADE">
        <w:rPr>
          <w:rFonts w:ascii="Times New Roman" w:hAnsi="Times New Roman"/>
          <w:sz w:val="24"/>
          <w:szCs w:val="24"/>
          <w:lang w:val="en-GB"/>
        </w:rPr>
        <w:t>.</w:t>
      </w:r>
      <w:r w:rsidR="00974F22" w:rsidRPr="00042ADE">
        <w:rPr>
          <w:rFonts w:ascii="Times New Roman" w:hAnsi="Times New Roman"/>
          <w:sz w:val="24"/>
          <w:szCs w:val="24"/>
          <w:lang w:val="en-GB"/>
        </w:rPr>
        <w:t xml:space="preserve"> Consequently, the role that NO plays in vasodilation and  peripheral blood flow is still unclear and suggests the presence of other vasodilator mechanisms that may contribute to NO effects </w:t>
      </w:r>
      <w:r w:rsidR="00974F22" w:rsidRPr="00042ADE">
        <w:rPr>
          <w:rFonts w:ascii="Times New Roman" w:hAnsi="Times New Roman"/>
          <w:sz w:val="24"/>
          <w:szCs w:val="24"/>
          <w:lang w:val="en-GB"/>
        </w:rPr>
        <w:fldChar w:fldCharType="begin" w:fldLock="1"/>
      </w:r>
      <w:r w:rsidR="00965D94" w:rsidRPr="00042ADE">
        <w:rPr>
          <w:rFonts w:ascii="Times New Roman" w:hAnsi="Times New Roman"/>
          <w:sz w:val="24"/>
          <w:szCs w:val="24"/>
          <w:lang w:val="en-GB"/>
        </w:rPr>
        <w:instrText>ADDIN CSL_CITATION {"citationItems":[{"id":"ITEM-1","itemData":{"DOI":"10.1152/ajpheart.00082.2008","ISSN":"03636135","abstract":"Nitric oxide (NO) participates in locally mediated vasodilation induced by increased local skin temperature (Tloc) and in sympathetically mediated vasodilation during whole body heat stress. We hypothesized that endothelial NOS (eNOS) participates in the former, but not the latter, response. We tested this hypothesis by examining the effects of the eNOS antagonist NG-amino-L-arginine (L-NAA) on skin blood flow (SkBF) responses to increased Tloc and whole body heat stress. Microdialysis probes were inserted into forearm skin for drug delivery. One microdialysis site was perfused with L-NAA in Ringer solution and a second site with Ringer solution alone. SkBF [laser-Doppler flowmetry (LDF)] and blood pressure [mean arterial pressure (MAP)] were monitored, and cutaneous vascular conductance (CVC) was calculated (CVC = LDF ÷ MAP). In protocol 1, Tloc was controlled with LDF/local heating units. Tloc initially was held at 34°C and then increased to 41.5°C. In protocol 2, after a normothermic period, whole body heat stress was induced (water-perfused suits). At the end of both protocols, 58 mM sodium nitroprusside was perfused at both microdialysis sites to cause maximal vasodilation for data normalization. In protocol 1, CVC at 34°C Tloc did not differ between L-NAA-treated and untreated sites (P &gt; 0.05). Local skin warming to 41.5°C Tloc increased CVC at both sites. This response was attenuated at L-NAA-treated sites (P &lt; 0.05). In protocol 2, during normothermia, CVC did not differ between L-NAA-treated and untreated sites (P &gt; 0.05). During heat stress, CVC rose to similar levels at L-NAA-treated and untreated sites (P &gt; 0.05). We conclude that eNOS is predominantly responsible for NO generation in skin during responses to increased Tloc, but not during reflex responses to whole body heat stress.","author":[{"dropping-particle":"","family":"Kellogg","given":"Dean L.","non-dropping-particle":"","parse-names":false,"suffix":""},{"dropping-particle":"","family":"Zhao","given":"Joan L.","non-dropping-particle":"","parse-names":false,"suffix":""},{"dropping-particle":"","family":"Wu","given":"Yubo","non-dropping-particle":"","parse-names":false,"suffix":""}],"container-title":"American Journal of Physiology - Heart and Circulatory Physiology","id":"ITEM-1","issue":"1","issued":{"date-parts":[["2008","7"]]},"title":"Endothelial nitric oxide synthase control mechanisms in the cutaneous vasculature of humans in vivo","type":"article-journal","volume":"295"},"uris":["http://www.mendeley.com/documents/?uuid=7b46cc90-eb36-37cd-89f3-dd5d23afa6e8"]},{"id":"ITEM-2","itemData":{"DOI":"10.1113/EP086092","ISSN":"1469445X","abstract":"New Findings: What is the central question of this study? Protease-activated receptor 2 (PAR2) is located in the endothelial cells of skin vessels and eccrine sweat glands. However, a functional role of PAR2 in the control of cutaneous blood flow and sweating remains to be assessed in humans in vivo. What is the main finding and its importance? Our results demonstrate that in normothermic resting humans in vivo, activation of PAR2 elicits cutaneous vasodilatation partly through nitric oxide synthase-dependent mechanisms, but does not mediate sweating. These results provide important new insights into the physiological significance of PAR2 in human skin. Protease-activated receptor 2 (PAR2) is present in human skin, including keratinocytes, endothelial cells of skin microvessels and eccrine sweat glands. However, whether PAR2 contributes functionally to the regulation of cutaneous blood flow and sweating remains entirely unclear in humans in vivo. We hypothesized that activation of PAR2 directly stimulates cutaneous vasodilatation and sweating via actions of nitric oxide synthase (NOS) and cyclo-oxygenase (COX). In 12 physically active young men (29 ± 5 years old), cutaneous vascular conductance (CVC) and sweat rate were measured at four intradermal microdialysis forearm skin sites that were treated with the following: (i) lactated Ringer's solution (control); (ii) 10 mm NG-nitro-l-arginine (NOS inhibitor); (iii) 10 mm ketorolac (COX inhibitor); or (iv) a combination of both inhibitors. At all sites, a PAR2 agonist (SLIGKV-NH2) was co-administered in a dose-dependent fashion (0.06, 0.18, 0.55, 1.66 and 5 mm, each for 25 min). The highest dose of SLIGKV-NH2 (5 mm) increased CVC from baseline at the control site (P ≤ 0.05). This increase in CVC associated with PAR2 activation was attenuated by NOS inhibition regardless of the presence or absence of simultaneous COX inhibition (both P ≤ 0.05). However, COX inhibition alone did not affect the PAR2-mediated increase in CVC (P &gt; 0.05). No increase in sweat rate was measured at any administered dose of SLIGKV-NH2 (all P &gt; 0.05). We show that in normothermic resting humans in vivo, PAR2 activation does not increase sweat rate, whereas it does modulate cutaneous vasodilatation through NOS-dependent mechanisms.","author":[{"dropping-particle":"","family":"Fujii","given":"Naoto","non-dropping-particle":"","parse-names":false,"suffix":""},{"dropping-particle":"","family":"McNeely","given":"Brendan D.","non-dropping-particle":"","parse-names":false,"suffix":""},{"dropping-particle":"","family":"Zhang","given":"Sarah Y.","non-dropping-particle":"","parse-names":false,"suffix":""},{"dropping-particle":"","family":"Abdellaoui","given":"Yasmine C.","non-dropping-particle":"","parse-names":false,"suffix":""},{"dropping-particle":"","family":"Danquah","given":"Mercy O.","non-dropping-particle":"","parse-names":false,"suffix":""},{"dropping-particle":"","family":"Kenny","given":"Glen P.","non-dropping-particle":"","parse-names":false,"suffix":""}],"container-title":"Experimental Physiology","id":"ITEM-2","issue":"2","issued":{"date-parts":[["2017","2","1"]]},"page":"265-272","publisher":"Blackwell Publishing Ltd","title":"Activation of protease-activated receptor 2 mediates cutaneous vasodilatation but not sweating: roles of nitric oxide synthase and cyclo-oxygenase","type":"article-journal","volume":"102"},"uris":["http://www.mendeley.com/documents/?uuid=3037aff6-0680-3a55-8496-76950ea3ddcd"]}],"mendeley":{"formattedCitation":"(Fujii et al., 2017; Kellogg et al., 2008)","plainTextFormattedCitation":"(Fujii et al., 2017; Kellogg et al., 2008)","previouslyFormattedCitation":"(Fujii et al., 2017; Kellogg et al., 2008)"},"properties":{"noteIndex":0},"schema":"https://github.com/citation-style-language/schema/raw/master/csl-citation.json"}</w:instrText>
      </w:r>
      <w:r w:rsidR="00974F22" w:rsidRPr="00042ADE">
        <w:rPr>
          <w:rFonts w:ascii="Times New Roman" w:hAnsi="Times New Roman"/>
          <w:sz w:val="24"/>
          <w:szCs w:val="24"/>
          <w:lang w:val="en-GB"/>
        </w:rPr>
        <w:fldChar w:fldCharType="separate"/>
      </w:r>
      <w:r w:rsidR="00974F22" w:rsidRPr="00042ADE">
        <w:rPr>
          <w:rFonts w:ascii="Times New Roman" w:hAnsi="Times New Roman"/>
          <w:noProof/>
          <w:sz w:val="24"/>
          <w:szCs w:val="24"/>
          <w:lang w:val="en-GB"/>
        </w:rPr>
        <w:t>(Fujii et al., 2017; Kellogg et al., 2008)</w:t>
      </w:r>
      <w:r w:rsidR="00974F22" w:rsidRPr="00042ADE">
        <w:rPr>
          <w:rFonts w:ascii="Times New Roman" w:hAnsi="Times New Roman"/>
          <w:sz w:val="24"/>
          <w:szCs w:val="24"/>
          <w:lang w:val="en-GB"/>
        </w:rPr>
        <w:fldChar w:fldCharType="end"/>
      </w:r>
      <w:r w:rsidR="003F22D1" w:rsidRPr="00042ADE">
        <w:rPr>
          <w:rFonts w:ascii="Times New Roman" w:hAnsi="Times New Roman"/>
          <w:sz w:val="24"/>
          <w:szCs w:val="24"/>
          <w:lang w:val="en-GB"/>
        </w:rPr>
        <w:t>. Taking into account the contradictory results in the literature, more research is needed to validate our preliminary findings.</w:t>
      </w:r>
    </w:p>
    <w:p w14:paraId="1C7ECC2D" w14:textId="76B35129" w:rsidR="00F05B79" w:rsidRPr="00042ADE" w:rsidRDefault="00672509"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We should recognize some limitations of the current study. Firstly, the small sample size. Therefore, additional researches in a larger sample are</w:t>
      </w:r>
      <w:r w:rsidR="005B6431" w:rsidRPr="00042ADE">
        <w:rPr>
          <w:rFonts w:ascii="Times New Roman" w:hAnsi="Times New Roman"/>
          <w:sz w:val="24"/>
          <w:szCs w:val="24"/>
          <w:lang w:val="en-GB"/>
        </w:rPr>
        <w:t xml:space="preserve"> needed to confirm our results.</w:t>
      </w:r>
      <w:r w:rsidRPr="00042ADE">
        <w:rPr>
          <w:rFonts w:ascii="Times New Roman" w:hAnsi="Times New Roman"/>
          <w:sz w:val="24"/>
          <w:szCs w:val="24"/>
          <w:lang w:val="en-GB"/>
        </w:rPr>
        <w:t xml:space="preserve"> Secondly, no causal conclusions can be drawn due to the cross-sectional design of the present study. Thirdly, it is know that there is considerable intra-subject variability in thermography quantification</w:t>
      </w:r>
      <w:r w:rsidR="00965D94" w:rsidRPr="00042ADE">
        <w:rPr>
          <w:rFonts w:ascii="Times New Roman" w:hAnsi="Times New Roman"/>
          <w:sz w:val="24"/>
          <w:szCs w:val="24"/>
          <w:lang w:val="en-GB"/>
        </w:rPr>
        <w:t xml:space="preserve"> </w:t>
      </w:r>
      <w:r w:rsidR="00965D94" w:rsidRPr="00042ADE">
        <w:rPr>
          <w:rFonts w:ascii="Times New Roman" w:hAnsi="Times New Roman"/>
          <w:sz w:val="24"/>
          <w:szCs w:val="24"/>
          <w:lang w:val="en-GB"/>
        </w:rPr>
        <w:fldChar w:fldCharType="begin" w:fldLock="1"/>
      </w:r>
      <w:r w:rsidR="00BF625F" w:rsidRPr="00042ADE">
        <w:rPr>
          <w:rFonts w:ascii="Times New Roman" w:hAnsi="Times New Roman"/>
          <w:sz w:val="24"/>
          <w:szCs w:val="24"/>
          <w:lang w:val="en-GB"/>
        </w:rPr>
        <w:instrText>ADDIN CSL_CITATION {"citationItems":[{"id":"ITEM-1","itemData":{"PMID":"10332978","abstract":"OBJECTIVE To investigate the possibility that a hand distal-dorsal difference in temperature of greater than 1 degree C (fingers colder than the dorsum) at a room temperature of 30 degrees C is a good predictor of secondary Raynaud's phenomenon (RP). METHODS We imaged the hands of patients with primary Raynaud's phenomenon (PRP) and systemic sclerosis (SSc) using a thermal camera at room temperatures of 23 and 30 degrees C. From these images we measured the distal-dorsal difference in temperature for all fingers excluding the thumbs. At a room temperature of 23 degrees C we also performed a cold challenge test using water at 15 degrees C for 1 min and thermally imaged the rewarming process for 15 min. Several variables were derived from the rewarming curve. The procedure was repeated within 3 days to assess reproducibility. RESULTS The best discriminator between PRP and SSc was found to be a distal-dorsal difference of &gt; 1 degree C at 30 degrees C (p = 0.005). There is reasonable reproducibility when considering groups of patients. However, the intra-subject standard deviations were large, indicating that measurements for the same patient on separate visits may vary considerably. CONCLUSION Our results suggest that the finding of a distal-dorsal difference of &gt; 1 degree C (cold fingers) at 30 degrees C in a patient with RP is specific for underlying connective tissue disease.","author":[{"dropping-particle":"","family":"Clark","given":"S","non-dropping-particle":"","parse-names":false,"suffix":""},{"dropping-particle":"","family":"Hollis","given":"S","non-dropping-particle":"","parse-names":false,"suffix":""},{"dropping-particle":"","family":"Campbell","given":"F","non-dropping-particle":"","parse-names":false,"suffix":""},{"dropping-particle":"","family":"Moore","given":"T","non-dropping-particle":"","parse-names":false,"suffix":""},{"dropping-particle":"","family":"Jayson","given":"M","non-dropping-particle":"","parse-names":false,"suffix":""},{"dropping-particle":"","family":"Herrick","given":"A","non-dropping-particle":"","parse-names":false,"suffix":""}],"container-title":"The Journal of rheumatology","id":"ITEM-1","issue":"5","issued":{"date-parts":[["1999","5"]]},"page":"1125-8","title":"The &amp;quot;distal-dorsal difference&amp;quot; as a possible predictor of secondary Raynaud's phenomenon","type":"article-journal","volume":"26"},"uris":["http://www.mendeley.com/documents/?uuid=3cb13e7b-92b7-30fa-a4de-cc4ac3aa7c29"]}],"mendeley":{"formattedCitation":"(Clark et al., 1999)","plainTextFormattedCitation":"(Clark et al., 1999)","previouslyFormattedCitation":"(Clark et al., 1999)"},"properties":{"noteIndex":0},"schema":"https://github.com/citation-style-language/schema/raw/master/csl-citation.json"}</w:instrText>
      </w:r>
      <w:r w:rsidR="00965D94" w:rsidRPr="00042ADE">
        <w:rPr>
          <w:rFonts w:ascii="Times New Roman" w:hAnsi="Times New Roman"/>
          <w:sz w:val="24"/>
          <w:szCs w:val="24"/>
          <w:lang w:val="en-GB"/>
        </w:rPr>
        <w:fldChar w:fldCharType="separate"/>
      </w:r>
      <w:r w:rsidR="00965D94" w:rsidRPr="00042ADE">
        <w:rPr>
          <w:rFonts w:ascii="Times New Roman" w:hAnsi="Times New Roman"/>
          <w:noProof/>
          <w:sz w:val="24"/>
          <w:szCs w:val="24"/>
          <w:lang w:val="en-GB"/>
        </w:rPr>
        <w:t>(Clark et al., 1999)</w:t>
      </w:r>
      <w:r w:rsidR="00965D94" w:rsidRPr="00042ADE">
        <w:rPr>
          <w:rFonts w:ascii="Times New Roman" w:hAnsi="Times New Roman"/>
          <w:sz w:val="24"/>
          <w:szCs w:val="24"/>
          <w:lang w:val="en-GB"/>
        </w:rPr>
        <w:fldChar w:fldCharType="end"/>
      </w:r>
      <w:r w:rsidRPr="00042ADE">
        <w:rPr>
          <w:rFonts w:ascii="Times New Roman" w:hAnsi="Times New Roman"/>
          <w:sz w:val="24"/>
          <w:szCs w:val="24"/>
          <w:lang w:val="en-GB"/>
        </w:rPr>
        <w:t xml:space="preserve">. </w:t>
      </w:r>
      <w:r w:rsidR="00BF38D2" w:rsidRPr="00042ADE">
        <w:rPr>
          <w:rFonts w:ascii="Times New Roman" w:hAnsi="Times New Roman"/>
          <w:sz w:val="24"/>
          <w:szCs w:val="24"/>
          <w:lang w:val="en-GB"/>
        </w:rPr>
        <w:t>This variability can be minimized by incorporating as the protocol that we have done in our study. Fourth</w:t>
      </w:r>
      <w:r w:rsidR="00C7483F" w:rsidRPr="00042ADE">
        <w:rPr>
          <w:rFonts w:ascii="Times New Roman" w:hAnsi="Times New Roman"/>
          <w:sz w:val="24"/>
          <w:szCs w:val="24"/>
          <w:lang w:val="en-GB"/>
        </w:rPr>
        <w:t>ly</w:t>
      </w:r>
      <w:r w:rsidR="00BF38D2" w:rsidRPr="00042ADE">
        <w:rPr>
          <w:rFonts w:ascii="Times New Roman" w:hAnsi="Times New Roman"/>
          <w:sz w:val="24"/>
          <w:szCs w:val="24"/>
          <w:lang w:val="en-GB"/>
        </w:rPr>
        <w:t xml:space="preserve">, we did not control the menstrual cycle phase of the participants, which could affect the reflex vascular responses </w:t>
      </w:r>
      <w:r w:rsidR="00BF625F" w:rsidRPr="00042ADE">
        <w:rPr>
          <w:rFonts w:ascii="Times New Roman" w:hAnsi="Times New Roman"/>
          <w:sz w:val="24"/>
          <w:szCs w:val="24"/>
          <w:lang w:val="en-GB"/>
        </w:rPr>
        <w:fldChar w:fldCharType="begin" w:fldLock="1"/>
      </w:r>
      <w:r w:rsidR="00EA66AC" w:rsidRPr="00042ADE">
        <w:rPr>
          <w:rFonts w:ascii="Times New Roman" w:hAnsi="Times New Roman"/>
          <w:sz w:val="24"/>
          <w:szCs w:val="24"/>
          <w:lang w:val="en-GB"/>
        </w:rPr>
        <w:instrText>ADDIN CSL_CITATION {"citationItems":[{"id":"ITEM-1","itemData":{"ISSN":"0143-5221","PMID":"2485265","abstract":"1. Raynaud's phenomenon is a condition which primarily affects women and it must be assumed that hormonal influences are responsible. 2. To further investigate this assumption the effect of cyclic sex hormone fluctuations on the digital vascular reactivity of ten normal young women was studied by the diagnostic techniques of thermal entrainment of finger blood flow and Doppler ultrasound mapping of the digital arteries. 3. In the immediate pre-ovulatory period the results obtained were comparable with those found in patients with established Raynaud's phenomenon, suggesting that oestrogen has an important modulating effect in vivo on reflex peripheral vasomotor responses to thermal stimuli. 4. 'Primary' Raynaud's phenomenon may represent an exaggerated response to oestrogen.","author":[{"dropping-particle":"","family":"Lafferty","given":"K","non-dropping-particle":"","parse-names":false,"suffix":""},{"dropping-particle":"","family":"Trafford","given":"J C","non-dropping-particle":"De","parse-names":false,"suffix":""},{"dropping-particle":"","family":"Potter","given":"C","non-dropping-particle":"","parse-names":false,"suffix":""},{"dropping-particle":"","family":"Roberts","given":"V C","non-dropping-particle":"","parse-names":false,"suffix":""},{"dropping-particle":"","family":"Cotton","given":"L T","non-dropping-particle":"","parse-names":false,"suffix":""}],"container-title":"Clinical science (London, England : 1979)","id":"ITEM-1","issue":"6","issued":{"date-parts":[["1985","6"]]},"page":"639-45","title":"Reflex vascular responses in the finger to contralateral thermal stimuli during the normal menstrual cycle: a hormonal basis to Raynaud's phenomenon?","type":"article-journal","volume":"68"},"uris":["http://www.mendeley.com/documents/?uuid=1fee616a-2f30-3353-b6a5-cba964a92b43"]}],"mendeley":{"formattedCitation":"(Lafferty et al., 1985)","plainTextFormattedCitation":"(Lafferty et al., 1985)","previouslyFormattedCitation":"(Lafferty et al., 1985)"},"properties":{"noteIndex":0},"schema":"https://github.com/citation-style-language/schema/raw/master/csl-citation.json"}</w:instrText>
      </w:r>
      <w:r w:rsidR="00BF625F" w:rsidRPr="00042ADE">
        <w:rPr>
          <w:rFonts w:ascii="Times New Roman" w:hAnsi="Times New Roman"/>
          <w:sz w:val="24"/>
          <w:szCs w:val="24"/>
          <w:lang w:val="en-GB"/>
        </w:rPr>
        <w:fldChar w:fldCharType="separate"/>
      </w:r>
      <w:r w:rsidR="00BF625F" w:rsidRPr="00042ADE">
        <w:rPr>
          <w:rFonts w:ascii="Times New Roman" w:hAnsi="Times New Roman"/>
          <w:noProof/>
          <w:sz w:val="24"/>
          <w:szCs w:val="24"/>
          <w:lang w:val="en-GB"/>
        </w:rPr>
        <w:t>(Lafferty et al., 1985)</w:t>
      </w:r>
      <w:r w:rsidR="00BF625F" w:rsidRPr="00042ADE">
        <w:rPr>
          <w:rFonts w:ascii="Times New Roman" w:hAnsi="Times New Roman"/>
          <w:sz w:val="24"/>
          <w:szCs w:val="24"/>
          <w:lang w:val="en-GB"/>
        </w:rPr>
        <w:fldChar w:fldCharType="end"/>
      </w:r>
      <w:r w:rsidR="00BF38D2" w:rsidRPr="00042ADE">
        <w:rPr>
          <w:rFonts w:ascii="Times New Roman" w:hAnsi="Times New Roman"/>
          <w:sz w:val="24"/>
          <w:szCs w:val="24"/>
          <w:lang w:val="en-GB"/>
        </w:rPr>
        <w:t xml:space="preserve">. </w:t>
      </w:r>
      <w:r w:rsidR="00BA035A" w:rsidRPr="00042ADE">
        <w:rPr>
          <w:rFonts w:ascii="Times New Roman" w:hAnsi="Times New Roman"/>
          <w:sz w:val="24"/>
          <w:szCs w:val="24"/>
          <w:lang w:val="en-GB"/>
        </w:rPr>
        <w:t>Fifthly</w:t>
      </w:r>
      <w:r w:rsidR="009D4CCA" w:rsidRPr="00042ADE">
        <w:rPr>
          <w:rFonts w:ascii="Times New Roman" w:hAnsi="Times New Roman"/>
          <w:sz w:val="24"/>
          <w:szCs w:val="24"/>
          <w:lang w:val="en-GB"/>
        </w:rPr>
        <w:t xml:space="preserve">, the existence and symptoms of neurological </w:t>
      </w:r>
      <w:r w:rsidR="009D4CCA" w:rsidRPr="00042ADE">
        <w:rPr>
          <w:rFonts w:ascii="Times New Roman" w:hAnsi="Times New Roman"/>
          <w:sz w:val="24"/>
          <w:szCs w:val="24"/>
          <w:lang w:val="en-GB"/>
        </w:rPr>
        <w:lastRenderedPageBreak/>
        <w:t xml:space="preserve">disorders were examined by questionnaire, which might have led to </w:t>
      </w:r>
      <w:r w:rsidR="009A39EA" w:rsidRPr="00042ADE">
        <w:rPr>
          <w:rFonts w:ascii="Times New Roman" w:hAnsi="Times New Roman"/>
          <w:sz w:val="24"/>
          <w:szCs w:val="24"/>
          <w:lang w:val="en-GB"/>
        </w:rPr>
        <w:t>undetected</w:t>
      </w:r>
      <w:r w:rsidR="009D4CCA" w:rsidRPr="00042ADE">
        <w:rPr>
          <w:rFonts w:ascii="Times New Roman" w:hAnsi="Times New Roman"/>
          <w:sz w:val="24"/>
          <w:szCs w:val="24"/>
          <w:lang w:val="en-GB"/>
        </w:rPr>
        <w:t xml:space="preserve"> possible underlying neurological disturbs</w:t>
      </w:r>
      <w:r w:rsidR="00BA035A" w:rsidRPr="00042ADE">
        <w:rPr>
          <w:rFonts w:ascii="Times New Roman" w:hAnsi="Times New Roman"/>
          <w:sz w:val="24"/>
          <w:szCs w:val="24"/>
          <w:lang w:val="en-GB"/>
        </w:rPr>
        <w:t xml:space="preserve"> of the hands</w:t>
      </w:r>
      <w:r w:rsidR="009D4CCA" w:rsidRPr="00042ADE">
        <w:rPr>
          <w:rFonts w:ascii="Times New Roman" w:hAnsi="Times New Roman"/>
          <w:sz w:val="24"/>
          <w:szCs w:val="24"/>
          <w:lang w:val="en-GB"/>
        </w:rPr>
        <w:t xml:space="preserve">. </w:t>
      </w:r>
      <w:r w:rsidR="003B120A" w:rsidRPr="00042ADE">
        <w:rPr>
          <w:rFonts w:ascii="Times New Roman" w:hAnsi="Times New Roman"/>
          <w:sz w:val="24"/>
          <w:szCs w:val="24"/>
          <w:lang w:val="en-GB"/>
        </w:rPr>
        <w:t>Besides, we have</w:t>
      </w:r>
      <w:r w:rsidR="00BA035A" w:rsidRPr="00042ADE">
        <w:rPr>
          <w:rFonts w:ascii="Times New Roman" w:hAnsi="Times New Roman"/>
          <w:sz w:val="24"/>
          <w:szCs w:val="24"/>
          <w:lang w:val="en-GB"/>
        </w:rPr>
        <w:t xml:space="preserve"> not record</w:t>
      </w:r>
      <w:r w:rsidR="003B120A" w:rsidRPr="00042ADE">
        <w:rPr>
          <w:rFonts w:ascii="Times New Roman" w:hAnsi="Times New Roman"/>
          <w:sz w:val="24"/>
          <w:szCs w:val="24"/>
          <w:lang w:val="en-GB"/>
        </w:rPr>
        <w:t>ed</w:t>
      </w:r>
      <w:r w:rsidR="00BA035A" w:rsidRPr="00042ADE">
        <w:rPr>
          <w:rFonts w:ascii="Times New Roman" w:hAnsi="Times New Roman"/>
          <w:sz w:val="24"/>
          <w:szCs w:val="24"/>
          <w:lang w:val="en-GB"/>
        </w:rPr>
        <w:t xml:space="preserve"> the eye temperature as a reliable and reproducible method for estimating the body core temperature </w:t>
      </w:r>
      <w:r w:rsidR="0078447B" w:rsidRPr="00042ADE">
        <w:rPr>
          <w:rFonts w:ascii="Times New Roman" w:hAnsi="Times New Roman"/>
          <w:sz w:val="24"/>
          <w:szCs w:val="24"/>
          <w:lang w:val="en-GB"/>
        </w:rPr>
        <w:fldChar w:fldCharType="begin" w:fldLock="1"/>
      </w:r>
      <w:r w:rsidR="00931FEB" w:rsidRPr="00042ADE">
        <w:rPr>
          <w:rFonts w:ascii="Times New Roman" w:hAnsi="Times New Roman"/>
          <w:sz w:val="24"/>
          <w:szCs w:val="24"/>
          <w:lang w:val="en-GB"/>
        </w:rPr>
        <w:instrText>ADDIN CSL_CITATION {"citationItems":[{"id":"ITEM-1","itemData":{"DOI":"10.1016/j.infrared.2009.05.002","ISSN":"13504495","abstract":"Body temperature is a good indicator of human health. Thermal imaging system (thermography) is a non-invasive imaging procedure used to record the thermal patterns using Infrared (IR) camera. It provides visual and qualitative documentation of temperature changes in the vascular tissues, and is beginning to play an important role in the field of ophthalmology. This paper deals with the working principle, use and advantages of IR thermography in the field of ophthalmology. Different algorithms to acquire the ocular surface temperature (OST), that can be used for the diagnosis of ocular diseases are discussed. © 2009 Elsevier B.V. All rights reserved.","author":[{"dropping-particle":"","family":"Tan","given":"Jen Hong","non-dropping-particle":"","parse-names":false,"suffix":""},{"dropping-particle":"","family":"Ng","given":"E. Y.K.","non-dropping-particle":"","parse-names":false,"suffix":""},{"dropping-particle":"","family":"Rajendra Acharya","given":"U.","non-dropping-particle":"","parse-names":false,"suffix":""},{"dropping-particle":"","family":"Chee","given":"C.","non-dropping-particle":"","parse-names":false,"suffix":""}],"container-title":"Infrared Physics and Technology","id":"ITEM-1","issue":"4","issued":{"date-parts":[["2009","7","1"]]},"page":"97-108","publisher":"Pergamon","title":"Infrared thermography on ocular surface temperature: A review","type":"article","volume":"52"},"uris":["http://www.mendeley.com/documents/?uuid=16ddf2c8-3742-357a-a4a5-a3771a643aca"]},{"id":"ITEM-2","itemData":{"DOI":"10.1088/1361-6579/ab2af6","ISSN":"13616579","PMID":"31216516","abstract":"There are several sites in which the human body core temperature can be estimated and used to identify febrile states in a threat of pandemic situations at high-populational-Traffic places (e.g. airports, ports, universities, schools, public buildings). In these locations, a fast method is required for temperature screening of masses. The most common methods are axillar and tympanic thermometers. However, in addition, measurement of the inner canthi (IC) of the eye with infrared thermal (IRT) imaging has been suggested as a fast mass measurement screening tool. Objective: It is the aim of this research to identify the bilateral difference of the available body temperature screening methods with potential use for large-scale fever screening and to verify if such a difference is acceptable. Approach: A total of 206 young participants (104 females and 102 males) were recruited, having their temperatures taken with the different methods bilaterally under neutral environmental conditions. The obtained results were statistically processed. Main results: Results established absent reference data for site and method in west European populations. The bilateral differences were minor using the IC of the eye monitored with infrared imaging, which was also proved with the Bland-Altmann limits of agreement. Significance: Based on the findings of this research, despite all methods being able to estimate body core temperature, it is suggested to use IRT images of the IC of the eye, due to its fast, reliable and reproducible procedure for mass screening. Further research is required to understand the higher bilateral variability in using the traditional thermometer axilla and tympanic membrane assessments, since these are the methods currently used within a clinical setup. The same procedure must be applied to fever cases to establish a decision threshold per method.","author":[{"dropping-particle":"","family":"Vardasca","given":"Ricardo","non-dropping-particle":"","parse-names":false,"suffix":""},{"dropping-particle":"","family":"Magalhaes","given":"Carolina","non-dropping-particle":"","parse-names":false,"suffix":""},{"dropping-particle":"","family":"Marques","given":"Diana","non-dropping-particle":"","parse-names":false,"suffix":""},{"dropping-particle":"","family":"Moreira","given":"Joana","non-dropping-particle":"","parse-names":false,"suffix":""},{"dropping-particle":"","family":"Frade","given":"Rita","non-dropping-particle":"","parse-names":false,"suffix":""},{"dropping-particle":"","family":"Seixas","given":"Aderito","non-dropping-particle":"","parse-names":false,"suffix":""},{"dropping-particle":"","family":"Mendes","given":"Joaquim","non-dropping-particle":"","parse-names":false,"suffix":""},{"dropping-particle":"","family":"Ring","given":"Francis","non-dropping-particle":"","parse-names":false,"suffix":""}],"container-title":"Physiological Measurement","id":"ITEM-2","issue":"9","issued":{"date-parts":[["2019","9","16"]]},"publisher":"Institute of Physics Publishing","title":"Bilateral assessment of body core temperature through axillar, tympanic and inner canthi thermometers in a young population","type":"article-journal","volume":"40"},"uris":["http://www.mendeley.com/documents/?uuid=a06278fe-17c9-3484-af21-2b8e0753bba3"]}],"mendeley":{"formattedCitation":"(Tan et al., 2009; Vardasca et al., 2019)","plainTextFormattedCitation":"(Tan et al., 2009; Vardasca et al., 2019)","previouslyFormattedCitation":"(Tan et al., 2009; Vardasca et al., 2019)"},"properties":{"noteIndex":0},"schema":"https://github.com/citation-style-language/schema/raw/master/csl-citation.json"}</w:instrText>
      </w:r>
      <w:r w:rsidR="0078447B" w:rsidRPr="00042ADE">
        <w:rPr>
          <w:rFonts w:ascii="Times New Roman" w:hAnsi="Times New Roman"/>
          <w:sz w:val="24"/>
          <w:szCs w:val="24"/>
          <w:lang w:val="en-GB"/>
        </w:rPr>
        <w:fldChar w:fldCharType="separate"/>
      </w:r>
      <w:r w:rsidR="0078447B" w:rsidRPr="00042ADE">
        <w:rPr>
          <w:rFonts w:ascii="Times New Roman" w:hAnsi="Times New Roman"/>
          <w:noProof/>
          <w:sz w:val="24"/>
          <w:szCs w:val="24"/>
          <w:lang w:val="en-GB"/>
        </w:rPr>
        <w:t>(Tan et al., 2009; Vardasca et al., 2019)</w:t>
      </w:r>
      <w:r w:rsidR="0078447B" w:rsidRPr="00042ADE">
        <w:rPr>
          <w:rFonts w:ascii="Times New Roman" w:hAnsi="Times New Roman"/>
          <w:sz w:val="24"/>
          <w:szCs w:val="24"/>
          <w:lang w:val="en-GB"/>
        </w:rPr>
        <w:fldChar w:fldCharType="end"/>
      </w:r>
      <w:r w:rsidR="00BA035A" w:rsidRPr="00042ADE">
        <w:rPr>
          <w:rFonts w:ascii="Times New Roman" w:hAnsi="Times New Roman"/>
          <w:sz w:val="24"/>
          <w:szCs w:val="24"/>
          <w:lang w:val="en-GB"/>
        </w:rPr>
        <w:t>.</w:t>
      </w:r>
      <w:r w:rsidR="0078447B" w:rsidRPr="00042ADE">
        <w:rPr>
          <w:rFonts w:ascii="Times New Roman" w:hAnsi="Times New Roman"/>
          <w:sz w:val="24"/>
          <w:szCs w:val="24"/>
          <w:lang w:val="en-GB"/>
        </w:rPr>
        <w:t xml:space="preserve"> </w:t>
      </w:r>
      <w:r w:rsidR="007964F0" w:rsidRPr="00042ADE">
        <w:rPr>
          <w:rFonts w:ascii="Times New Roman" w:hAnsi="Times New Roman"/>
          <w:sz w:val="24"/>
          <w:szCs w:val="24"/>
          <w:lang w:val="en-GB"/>
        </w:rPr>
        <w:t>Finally, only women were included in the study due to the higher prevalence of FMS among women, and to avoid a possible confounder</w:t>
      </w:r>
      <w:r w:rsidR="005B0606" w:rsidRPr="00042ADE">
        <w:rPr>
          <w:rFonts w:ascii="Times New Roman" w:hAnsi="Times New Roman"/>
          <w:sz w:val="24"/>
          <w:szCs w:val="24"/>
          <w:lang w:val="en-GB"/>
        </w:rPr>
        <w:t xml:space="preserve"> </w:t>
      </w:r>
      <w:r w:rsidR="005B0606" w:rsidRPr="00042ADE">
        <w:rPr>
          <w:rFonts w:ascii="Times New Roman" w:hAnsi="Times New Roman"/>
          <w:sz w:val="24"/>
          <w:szCs w:val="24"/>
          <w:lang w:val="en-GB"/>
        </w:rPr>
        <w:fldChar w:fldCharType="begin" w:fldLock="1"/>
      </w:r>
      <w:r w:rsidR="00AA1C1A" w:rsidRPr="00042ADE">
        <w:rPr>
          <w:rFonts w:ascii="Times New Roman" w:hAnsi="Times New Roman"/>
          <w:sz w:val="24"/>
          <w:szCs w:val="24"/>
          <w:lang w:val="en-GB"/>
        </w:rPr>
        <w:instrText>ADDIN CSL_CITATION {"citationItems":[{"id":"ITEM-1","itemData":{"DOI":"10.1089/jwh.2017.6622","ISSN":"1931843X","PMID":"29608126","abstract":"Background: Fibromyalgia is a poorly understood, chronically disabling pain syndrome. While research has focused on its clinical presentation and treatment, less is known about fibromyalgia's clinical epidemiology in real-world healthcare systems. Gender differences have been difficult to study because relatively few males are diagnosed with fibromyalgia. Methods: Veterans Health Administration (VHA) patients diagnosed with fibromyalgia nationwide in FY 2012 were compared to Veterans with other pain diagnoses on sociodemographic characteristics, medical and psychiatric diagnoses, health service use, and opioid and psychotropic prescription fills. Additional analyses compared characteristics of men and women diagnosed with fibromyalgia. Risk ratios and Cohen's d were used for bivariate comparisons, followed by logistic regression analyses to identify independent factors associated with a diagnosis of fibromyalgia in the VHA. Results: Altogether, 77,087 of 2,216,621 Veterans with pain diagnoses (3.48%) were diagnosed with fibromyalgia. They were more likely to be female, younger than patients with other pain conditions, more likely to have multiple psychiatric comorbidities and other types of pain, and used more medical outpatient services. Women diagnosed with fibromyalgia were younger and more likely to have headaches, connective tissue diseases (CTD), and psychiatric comorbidities, while men had more comorbid medical conditions. Conclusions: In this large, predominantly older male sample of Veterans with pain diagnoses, those with fibromyalgia were far more likely to be women. Gender comparisons showed women with fibromyalgia were more likely to be diagnosed with psychiatric disorders and CTD, while males were more likely to be diagnosed with medical conditions. Fibromyalgia shows a striking, gender-dependent picture of multimorbidity, which should be considered in treatment.","author":[{"dropping-particle":"","family":"Arout","given":"Caroline A.","non-dropping-particle":"","parse-names":false,"suffix":""},{"dropping-particle":"","family":"Sofuoglu","given":"Mehmet","non-dropping-particle":"","parse-names":false,"suffix":""},{"dropping-particle":"","family":"Bastian","given":"Lori A.","non-dropping-particle":"","parse-names":false,"suffix":""},{"dropping-particle":"","family":"Rosenheck","given":"Robert A.","non-dropping-particle":"","parse-names":false,"suffix":""}],"container-title":"Journal of Women's Health","id":"ITEM-1","issue":"8","issued":{"date-parts":[["2018","8","1"]]},"page":"1035-1044","publisher":"Mary Ann Liebert Inc.","title":"Gender Differences in the Prevalence of Fibromyalgia and in Concomitant Medical and Psychiatric Disorders: A National Veterans Health Administration Study","type":"article-journal","volume":"27"},"uris":["http://www.mendeley.com/documents/?uuid=4211c426-e9c5-31a3-a47d-d4958727640c"]},{"id":"ITEM-2","itemData":{"DOI":"10.1053/sarh.2000.8363","ISSN":"00490172","PMID":"10966212","abstract":"Objective: Fibromyalgia syndrome (FMS) is uncommon in men and data on its characteristics and severity are limited. The current study was undertaken to determine whether the clinical characteristics and the spectrum of this disorder are similar in men and women. Methods: Forty men with FMS were matched with 40 women by age and educational level. All subjects were asked about the presence and severity (assessed by visual analog scale) of FMS symptoms; a count of 18 tender points was conducted by thumb palpation, and tenderness thresholds were measured by dolorimetry. Psychological status was assessed by the anxiety and depression subscales of the revised Arthritis Impact Measurement Scales. Quality of life was evaluated by two scales, QOL-16 and SF-36, and physical function was measured by the Fibromyalgia Impact Questionnaire. Results: Men with FMS reported more severe symptoms than women, decreased physical function, and lower quality of life. Women had lower tender thresholds than men; however their mean point counts were similar. Conclusion: Although FMS is uncommon in men, its health outcome in our study population was worse than in women. Further studies in larger samples and in diverse ethnocultural populations are needed to confirm this observation. (C) 2000 by W.B. Saunders Company.","author":[{"dropping-particle":"","family":"Buskila","given":"Dan","non-dropping-particle":"","parse-names":false,"suffix":""},{"dropping-particle":"","family":"Neumann","given":"Lily","non-dropping-particle":"","parse-names":false,"suffix":""},{"dropping-particle":"","family":"Alhoashle","given":"Ali","non-dropping-particle":"","parse-names":false,"suffix":""},{"dropping-particle":"","family":"Abu-Shakra","given":"Mahmoud","non-dropping-particle":"","parse-names":false,"suffix":""}],"container-title":"Seminars in Arthritis and Rheumatism","id":"ITEM-2","issue":"1","issued":{"date-parts":[["2000"]]},"page":"47-51","publisher":"W.B. Saunders","title":"Fibromyalgia syndrome in men","type":"article-journal","volume":"30"},"uris":["http://www.mendeley.com/documents/?uuid=737800ee-c1ea-3753-b356-626c20547d25"]}],"mendeley":{"formattedCitation":"(Arout et al., 2018; Buskila et al., 2000)","plainTextFormattedCitation":"(Arout et al., 2018; Buskila et al., 2000)","previouslyFormattedCitation":"(Arout et al., 2018; Buskila et al., 2000)"},"properties":{"noteIndex":0},"schema":"https://github.com/citation-style-language/schema/raw/master/csl-citation.json"}</w:instrText>
      </w:r>
      <w:r w:rsidR="005B0606" w:rsidRPr="00042ADE">
        <w:rPr>
          <w:rFonts w:ascii="Times New Roman" w:hAnsi="Times New Roman"/>
          <w:sz w:val="24"/>
          <w:szCs w:val="24"/>
          <w:lang w:val="en-GB"/>
        </w:rPr>
        <w:fldChar w:fldCharType="separate"/>
      </w:r>
      <w:r w:rsidR="005B0606" w:rsidRPr="00042ADE">
        <w:rPr>
          <w:rFonts w:ascii="Times New Roman" w:hAnsi="Times New Roman"/>
          <w:noProof/>
          <w:sz w:val="24"/>
          <w:szCs w:val="24"/>
          <w:lang w:val="en-GB"/>
        </w:rPr>
        <w:t>(Arout et al., 2018; Buskila et al., 2000)</w:t>
      </w:r>
      <w:r w:rsidR="005B0606" w:rsidRPr="00042ADE">
        <w:rPr>
          <w:rFonts w:ascii="Times New Roman" w:hAnsi="Times New Roman"/>
          <w:sz w:val="24"/>
          <w:szCs w:val="24"/>
          <w:lang w:val="en-GB"/>
        </w:rPr>
        <w:fldChar w:fldCharType="end"/>
      </w:r>
      <w:r w:rsidR="007964F0" w:rsidRPr="00042ADE">
        <w:rPr>
          <w:rFonts w:ascii="Times New Roman" w:hAnsi="Times New Roman"/>
          <w:sz w:val="24"/>
          <w:szCs w:val="24"/>
          <w:lang w:val="en-GB"/>
        </w:rPr>
        <w:t>.</w:t>
      </w:r>
      <w:r w:rsidR="001A7730" w:rsidRPr="00042ADE">
        <w:rPr>
          <w:rFonts w:ascii="Times New Roman" w:hAnsi="Times New Roman"/>
          <w:sz w:val="24"/>
          <w:szCs w:val="24"/>
          <w:lang w:val="en-GB"/>
        </w:rPr>
        <w:t xml:space="preserve"> </w:t>
      </w:r>
      <w:r w:rsidR="00C7483F" w:rsidRPr="00042ADE">
        <w:rPr>
          <w:rFonts w:ascii="Times New Roman" w:hAnsi="Times New Roman"/>
          <w:sz w:val="24"/>
          <w:szCs w:val="24"/>
          <w:lang w:val="en-GB"/>
        </w:rPr>
        <w:t xml:space="preserve">However, </w:t>
      </w:r>
      <w:r w:rsidR="001A7730" w:rsidRPr="00042ADE">
        <w:rPr>
          <w:rFonts w:ascii="Times New Roman" w:hAnsi="Times New Roman"/>
          <w:sz w:val="24"/>
          <w:szCs w:val="24"/>
          <w:lang w:val="en-GB"/>
        </w:rPr>
        <w:t>to the best of our knowledge, this is the first study to investigate the thermographic pattern of the hands as expression of sympathetic neural control activity and the relationship with NO in patients diagnosed with FMS.</w:t>
      </w:r>
    </w:p>
    <w:p w14:paraId="476B9A09" w14:textId="77777777" w:rsidR="007964F0" w:rsidRPr="00042ADE" w:rsidRDefault="003D439B" w:rsidP="00807AE6">
      <w:pPr>
        <w:spacing w:line="480" w:lineRule="auto"/>
        <w:jc w:val="both"/>
        <w:rPr>
          <w:rFonts w:ascii="Times New Roman" w:hAnsi="Times New Roman"/>
          <w:b/>
          <w:sz w:val="24"/>
          <w:szCs w:val="24"/>
          <w:lang w:val="en-GB"/>
        </w:rPr>
      </w:pPr>
      <w:r w:rsidRPr="00042ADE">
        <w:rPr>
          <w:rFonts w:ascii="Times New Roman" w:hAnsi="Times New Roman"/>
          <w:b/>
          <w:sz w:val="24"/>
          <w:szCs w:val="24"/>
          <w:lang w:val="en-GB"/>
        </w:rPr>
        <w:t>5. Conclusions</w:t>
      </w:r>
    </w:p>
    <w:p w14:paraId="7171F7D4" w14:textId="730E7ACE" w:rsidR="00931A2A" w:rsidRPr="00042ADE" w:rsidRDefault="003D5E29" w:rsidP="00807AE6">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 xml:space="preserve">In conclusion, we have found an </w:t>
      </w:r>
      <w:r w:rsidR="009757F7" w:rsidRPr="00042ADE">
        <w:rPr>
          <w:rFonts w:ascii="Times New Roman" w:hAnsi="Times New Roman"/>
          <w:sz w:val="24"/>
          <w:szCs w:val="24"/>
          <w:lang w:val="en-GB"/>
        </w:rPr>
        <w:t xml:space="preserve">increased </w:t>
      </w:r>
      <w:r w:rsidRPr="00042ADE">
        <w:rPr>
          <w:rFonts w:ascii="Times New Roman" w:hAnsi="Times New Roman"/>
          <w:sz w:val="24"/>
          <w:szCs w:val="24"/>
          <w:lang w:val="en-GB"/>
        </w:rPr>
        <w:t>tympanic and hand temperature at all points assessed by IT in FMS participant</w:t>
      </w:r>
      <w:r w:rsidR="001A7730" w:rsidRPr="00042ADE">
        <w:rPr>
          <w:rFonts w:ascii="Times New Roman" w:hAnsi="Times New Roman"/>
          <w:sz w:val="24"/>
          <w:szCs w:val="24"/>
          <w:lang w:val="en-GB"/>
        </w:rPr>
        <w:t>s compared with healthy people. These</w:t>
      </w:r>
      <w:r w:rsidRPr="00042ADE">
        <w:rPr>
          <w:rFonts w:ascii="Times New Roman" w:hAnsi="Times New Roman"/>
          <w:sz w:val="24"/>
          <w:szCs w:val="24"/>
          <w:lang w:val="en-GB"/>
        </w:rPr>
        <w:t xml:space="preserve"> results suggest a dysfunction of sympathetic cutaneous neural control and therefore in blood microcirculation and thermogenesis in these </w:t>
      </w:r>
      <w:proofErr w:type="spellStart"/>
      <w:r w:rsidRPr="00042ADE">
        <w:rPr>
          <w:rFonts w:ascii="Times New Roman" w:hAnsi="Times New Roman"/>
          <w:sz w:val="24"/>
          <w:szCs w:val="24"/>
          <w:lang w:val="en-GB"/>
        </w:rPr>
        <w:t>patients.Future</w:t>
      </w:r>
      <w:proofErr w:type="spellEnd"/>
      <w:r w:rsidRPr="00042ADE">
        <w:rPr>
          <w:rFonts w:ascii="Times New Roman" w:hAnsi="Times New Roman"/>
          <w:sz w:val="24"/>
          <w:szCs w:val="24"/>
          <w:lang w:val="en-GB"/>
        </w:rPr>
        <w:t xml:space="preserve"> studies should investigate the relationship between thermal images of the hands and NO levels for validating our data as well as the relationship with FMS clinical symptoms and others biomarkers.</w:t>
      </w:r>
    </w:p>
    <w:p w14:paraId="773E1AB8" w14:textId="77777777" w:rsidR="003D439B" w:rsidRPr="00042ADE" w:rsidRDefault="0032787F" w:rsidP="00807AE6">
      <w:pPr>
        <w:spacing w:line="480" w:lineRule="auto"/>
        <w:jc w:val="both"/>
        <w:rPr>
          <w:rFonts w:ascii="Times New Roman" w:hAnsi="Times New Roman"/>
          <w:b/>
          <w:sz w:val="24"/>
          <w:szCs w:val="24"/>
          <w:lang w:val="en-GB"/>
        </w:rPr>
      </w:pPr>
      <w:proofErr w:type="spellStart"/>
      <w:r w:rsidRPr="00042ADE">
        <w:rPr>
          <w:rFonts w:ascii="Times New Roman" w:hAnsi="Times New Roman"/>
          <w:b/>
          <w:sz w:val="24"/>
          <w:szCs w:val="24"/>
          <w:lang w:val="en-GB"/>
        </w:rPr>
        <w:t>CRediT</w:t>
      </w:r>
      <w:proofErr w:type="spellEnd"/>
      <w:r w:rsidRPr="00042ADE">
        <w:rPr>
          <w:rFonts w:ascii="Times New Roman" w:hAnsi="Times New Roman"/>
          <w:b/>
          <w:sz w:val="24"/>
          <w:szCs w:val="24"/>
          <w:lang w:val="en-GB"/>
        </w:rPr>
        <w:t xml:space="preserve"> authorship contribution statement</w:t>
      </w:r>
    </w:p>
    <w:p w14:paraId="699CAE15" w14:textId="5C1D6A37" w:rsidR="000B14AE" w:rsidRPr="00042ADE" w:rsidRDefault="00733C9E" w:rsidP="00091E0C">
      <w:pPr>
        <w:spacing w:line="480" w:lineRule="auto"/>
        <w:jc w:val="both"/>
        <w:rPr>
          <w:rFonts w:ascii="Times New Roman" w:hAnsi="Times New Roman"/>
          <w:sz w:val="24"/>
          <w:szCs w:val="24"/>
          <w:lang w:val="en-GB"/>
        </w:rPr>
      </w:pPr>
      <w:r w:rsidRPr="00042ADE">
        <w:rPr>
          <w:rFonts w:ascii="Times New Roman" w:hAnsi="Times New Roman"/>
          <w:b/>
          <w:sz w:val="24"/>
          <w:szCs w:val="24"/>
          <w:lang w:val="en-GB"/>
        </w:rPr>
        <w:t xml:space="preserve">María Encarnación Aguilar </w:t>
      </w:r>
      <w:proofErr w:type="spellStart"/>
      <w:r w:rsidRPr="00042ADE">
        <w:rPr>
          <w:rFonts w:ascii="Times New Roman" w:hAnsi="Times New Roman"/>
          <w:b/>
          <w:sz w:val="24"/>
          <w:szCs w:val="24"/>
          <w:lang w:val="en-GB"/>
        </w:rPr>
        <w:t>Ferrándiz</w:t>
      </w:r>
      <w:proofErr w:type="spellEnd"/>
      <w:r w:rsidRPr="00042ADE">
        <w:rPr>
          <w:rFonts w:ascii="Times New Roman" w:hAnsi="Times New Roman"/>
          <w:sz w:val="24"/>
          <w:szCs w:val="24"/>
          <w:lang w:val="en-GB"/>
        </w:rPr>
        <w:t xml:space="preserve">: Investigation, Conceptualization, Writing - Review &amp; Editing; </w:t>
      </w:r>
      <w:r w:rsidRPr="00042ADE">
        <w:rPr>
          <w:rFonts w:ascii="Times New Roman" w:hAnsi="Times New Roman"/>
          <w:b/>
          <w:sz w:val="24"/>
          <w:szCs w:val="24"/>
          <w:lang w:val="en-GB"/>
        </w:rPr>
        <w:t>Antonio Casas Barragán</w:t>
      </w:r>
      <w:r w:rsidRPr="00042ADE">
        <w:rPr>
          <w:rFonts w:ascii="Times New Roman" w:hAnsi="Times New Roman"/>
          <w:sz w:val="24"/>
          <w:szCs w:val="24"/>
          <w:lang w:val="en-GB"/>
        </w:rPr>
        <w:t xml:space="preserve">: Investigation, Methodology; </w:t>
      </w:r>
      <w:r w:rsidRPr="00042ADE">
        <w:rPr>
          <w:rFonts w:ascii="Times New Roman" w:hAnsi="Times New Roman"/>
          <w:b/>
          <w:sz w:val="24"/>
          <w:szCs w:val="24"/>
          <w:lang w:val="en-GB"/>
        </w:rPr>
        <w:t>Rosa María Tapia Haro</w:t>
      </w:r>
      <w:r w:rsidRPr="00042ADE">
        <w:rPr>
          <w:rFonts w:ascii="Times New Roman" w:hAnsi="Times New Roman"/>
          <w:sz w:val="24"/>
          <w:szCs w:val="24"/>
          <w:lang w:val="en-GB"/>
        </w:rPr>
        <w:t xml:space="preserve">: Resources, Writing - Original Draft; </w:t>
      </w:r>
      <w:r w:rsidRPr="00042ADE">
        <w:rPr>
          <w:rFonts w:ascii="Times New Roman" w:hAnsi="Times New Roman"/>
          <w:b/>
          <w:sz w:val="24"/>
          <w:szCs w:val="24"/>
          <w:lang w:val="en-GB"/>
        </w:rPr>
        <w:t>Alma Rus</w:t>
      </w:r>
      <w:r w:rsidRPr="00042ADE">
        <w:rPr>
          <w:rFonts w:ascii="Times New Roman" w:hAnsi="Times New Roman"/>
          <w:sz w:val="24"/>
          <w:szCs w:val="24"/>
          <w:lang w:val="en-GB"/>
        </w:rPr>
        <w:t xml:space="preserve">: Resources, Data Curation; </w:t>
      </w:r>
      <w:r w:rsidRPr="00042ADE">
        <w:rPr>
          <w:rFonts w:ascii="Times New Roman" w:hAnsi="Times New Roman"/>
          <w:b/>
          <w:sz w:val="24"/>
          <w:szCs w:val="24"/>
          <w:lang w:val="en-GB"/>
        </w:rPr>
        <w:t>Francisco Molina</w:t>
      </w:r>
      <w:r w:rsidRPr="00042ADE">
        <w:rPr>
          <w:rFonts w:ascii="Times New Roman" w:hAnsi="Times New Roman"/>
          <w:sz w:val="24"/>
          <w:szCs w:val="24"/>
          <w:lang w:val="en-GB"/>
        </w:rPr>
        <w:t xml:space="preserve">: Formal analysis, Data Curation, Writing - Original Draft. </w:t>
      </w:r>
      <w:r w:rsidRPr="00042ADE">
        <w:rPr>
          <w:rFonts w:ascii="Times New Roman" w:hAnsi="Times New Roman"/>
          <w:b/>
          <w:sz w:val="24"/>
          <w:szCs w:val="24"/>
          <w:lang w:val="en-GB"/>
        </w:rPr>
        <w:t>María Correa Rodríguez</w:t>
      </w:r>
      <w:r w:rsidRPr="00042ADE">
        <w:rPr>
          <w:rFonts w:ascii="Times New Roman" w:hAnsi="Times New Roman"/>
          <w:sz w:val="24"/>
          <w:szCs w:val="24"/>
          <w:lang w:val="en-GB"/>
        </w:rPr>
        <w:t>: Formal analysis; Methodology, Writing - Review &amp; Editing.</w:t>
      </w:r>
    </w:p>
    <w:p w14:paraId="597C1E2E" w14:textId="77777777" w:rsidR="007E5CA5" w:rsidRPr="00042ADE" w:rsidRDefault="007E5CA5" w:rsidP="007E5CA5">
      <w:pPr>
        <w:spacing w:line="480" w:lineRule="auto"/>
        <w:jc w:val="both"/>
        <w:rPr>
          <w:rFonts w:ascii="Times New Roman" w:hAnsi="Times New Roman"/>
          <w:b/>
          <w:sz w:val="24"/>
          <w:szCs w:val="24"/>
          <w:lang w:val="en-US"/>
        </w:rPr>
      </w:pPr>
      <w:r w:rsidRPr="00042ADE">
        <w:rPr>
          <w:rFonts w:ascii="Times New Roman" w:hAnsi="Times New Roman"/>
          <w:b/>
          <w:sz w:val="24"/>
          <w:szCs w:val="24"/>
          <w:lang w:val="en-US"/>
        </w:rPr>
        <w:t>Funding sources</w:t>
      </w:r>
    </w:p>
    <w:p w14:paraId="099EAEF8" w14:textId="77777777" w:rsidR="0032787F" w:rsidRPr="00042ADE" w:rsidRDefault="007E5CA5" w:rsidP="007E5CA5">
      <w:pPr>
        <w:spacing w:line="480" w:lineRule="auto"/>
        <w:jc w:val="both"/>
        <w:rPr>
          <w:rFonts w:ascii="Times New Roman" w:hAnsi="Times New Roman"/>
          <w:sz w:val="24"/>
          <w:szCs w:val="24"/>
          <w:lang w:val="en-US"/>
        </w:rPr>
      </w:pPr>
      <w:r w:rsidRPr="00042ADE">
        <w:rPr>
          <w:rFonts w:ascii="Times New Roman" w:hAnsi="Times New Roman"/>
          <w:sz w:val="24"/>
          <w:szCs w:val="24"/>
          <w:lang w:val="en-US"/>
        </w:rPr>
        <w:lastRenderedPageBreak/>
        <w:t>This research did not receive any specific grant from funding agencies in the public, commercial, or not-for-profit sectors.</w:t>
      </w:r>
    </w:p>
    <w:p w14:paraId="27AB14EC" w14:textId="77777777" w:rsidR="007E5CA5" w:rsidRPr="00042ADE" w:rsidRDefault="007E5CA5" w:rsidP="007E5CA5">
      <w:pPr>
        <w:spacing w:line="480" w:lineRule="auto"/>
        <w:jc w:val="both"/>
        <w:rPr>
          <w:rFonts w:ascii="Times New Roman" w:hAnsi="Times New Roman"/>
          <w:b/>
          <w:sz w:val="24"/>
          <w:szCs w:val="24"/>
          <w:lang w:val="en-US"/>
        </w:rPr>
      </w:pPr>
      <w:r w:rsidRPr="00042ADE">
        <w:rPr>
          <w:rFonts w:ascii="Times New Roman" w:hAnsi="Times New Roman"/>
          <w:b/>
          <w:sz w:val="24"/>
          <w:szCs w:val="24"/>
          <w:lang w:val="en-US"/>
        </w:rPr>
        <w:t>Acknowledgments</w:t>
      </w:r>
    </w:p>
    <w:p w14:paraId="7D7B2689" w14:textId="4399924E" w:rsidR="00304FE1" w:rsidRPr="00042ADE" w:rsidRDefault="007E5CA5" w:rsidP="001A5031">
      <w:pPr>
        <w:spacing w:line="480" w:lineRule="auto"/>
        <w:jc w:val="both"/>
        <w:rPr>
          <w:rFonts w:ascii="Times New Roman" w:hAnsi="Times New Roman"/>
          <w:sz w:val="24"/>
          <w:szCs w:val="24"/>
          <w:lang w:val="en-US"/>
        </w:rPr>
      </w:pPr>
      <w:r w:rsidRPr="00042ADE">
        <w:rPr>
          <w:rFonts w:ascii="Times New Roman" w:hAnsi="Times New Roman"/>
          <w:sz w:val="24"/>
          <w:szCs w:val="24"/>
          <w:lang w:val="en-US"/>
        </w:rPr>
        <w:t xml:space="preserve">Authors would like to thank AFIXA and AGRAMFIM Fibromyalgia associations for participating in this study. The results reported in the study are from the Doctoral Thesis of the co-author </w:t>
      </w:r>
      <w:proofErr w:type="gramStart"/>
      <w:r w:rsidRPr="00042ADE">
        <w:rPr>
          <w:rFonts w:ascii="Times New Roman" w:hAnsi="Times New Roman"/>
          <w:sz w:val="24"/>
          <w:szCs w:val="24"/>
          <w:lang w:val="en-US"/>
        </w:rPr>
        <w:t>ACB, and</w:t>
      </w:r>
      <w:proofErr w:type="gramEnd"/>
      <w:r w:rsidRPr="00042ADE">
        <w:rPr>
          <w:rFonts w:ascii="Times New Roman" w:hAnsi="Times New Roman"/>
          <w:sz w:val="24"/>
          <w:szCs w:val="24"/>
          <w:lang w:val="en-US"/>
        </w:rPr>
        <w:t xml:space="preserve"> belong to the Biomedicine </w:t>
      </w:r>
      <w:proofErr w:type="spellStart"/>
      <w:r w:rsidRPr="00042ADE">
        <w:rPr>
          <w:rFonts w:ascii="Times New Roman" w:hAnsi="Times New Roman"/>
          <w:sz w:val="24"/>
          <w:szCs w:val="24"/>
          <w:lang w:val="en-US"/>
        </w:rPr>
        <w:t>Programme</w:t>
      </w:r>
      <w:proofErr w:type="spellEnd"/>
      <w:r w:rsidRPr="00042ADE">
        <w:rPr>
          <w:rFonts w:ascii="Times New Roman" w:hAnsi="Times New Roman"/>
          <w:sz w:val="24"/>
          <w:szCs w:val="24"/>
          <w:lang w:val="en-US"/>
        </w:rPr>
        <w:t xml:space="preserve"> (B 11.56.1) of the University of Granada, Spain.</w:t>
      </w:r>
      <w:r w:rsidR="00304FE1" w:rsidRPr="00042ADE">
        <w:rPr>
          <w:rFonts w:ascii="Times New Roman" w:hAnsi="Times New Roman"/>
          <w:sz w:val="24"/>
          <w:szCs w:val="24"/>
          <w:lang w:val="en-GB"/>
        </w:rPr>
        <w:br w:type="page"/>
      </w:r>
    </w:p>
    <w:p w14:paraId="78825119" w14:textId="77777777" w:rsidR="001D1AE5" w:rsidRPr="00042ADE" w:rsidRDefault="00304FE1" w:rsidP="004F19E8">
      <w:pPr>
        <w:spacing w:line="360" w:lineRule="auto"/>
        <w:jc w:val="both"/>
        <w:rPr>
          <w:rFonts w:ascii="Times New Roman" w:hAnsi="Times New Roman"/>
          <w:sz w:val="24"/>
          <w:szCs w:val="24"/>
          <w:lang w:val="en-GB"/>
        </w:rPr>
      </w:pPr>
      <w:r w:rsidRPr="00042ADE">
        <w:rPr>
          <w:rFonts w:ascii="Times New Roman" w:hAnsi="Times New Roman"/>
          <w:b/>
          <w:sz w:val="24"/>
          <w:szCs w:val="24"/>
          <w:lang w:val="en-GB"/>
        </w:rPr>
        <w:lastRenderedPageBreak/>
        <w:t>References</w:t>
      </w:r>
    </w:p>
    <w:p w14:paraId="359878FB" w14:textId="43A5CDEA" w:rsidR="00931FEB" w:rsidRPr="00042ADE" w:rsidRDefault="00722F6A"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sz w:val="24"/>
          <w:szCs w:val="24"/>
          <w:lang w:val="en-GB"/>
        </w:rPr>
        <w:fldChar w:fldCharType="begin" w:fldLock="1"/>
      </w:r>
      <w:r w:rsidRPr="00042ADE">
        <w:rPr>
          <w:rFonts w:ascii="Times New Roman" w:hAnsi="Times New Roman"/>
          <w:sz w:val="24"/>
          <w:szCs w:val="24"/>
          <w:lang w:val="en-GB"/>
        </w:rPr>
        <w:instrText xml:space="preserve">ADDIN Mendeley Bibliography CSL_BIBLIOGRAPHY </w:instrText>
      </w:r>
      <w:r w:rsidRPr="00042ADE">
        <w:rPr>
          <w:rFonts w:ascii="Times New Roman" w:hAnsi="Times New Roman"/>
          <w:sz w:val="24"/>
          <w:szCs w:val="24"/>
          <w:lang w:val="en-GB"/>
        </w:rPr>
        <w:fldChar w:fldCharType="separate"/>
      </w:r>
      <w:r w:rsidR="00931FEB" w:rsidRPr="00042ADE">
        <w:rPr>
          <w:rFonts w:ascii="Times New Roman" w:hAnsi="Times New Roman"/>
          <w:noProof/>
          <w:sz w:val="24"/>
          <w:szCs w:val="24"/>
          <w:lang w:val="en-GB"/>
        </w:rPr>
        <w:t>Abdi, A., Asadian, S., Khatony, A., Moradi, G.R., Rezaei, M., 2016. Accuracy and precision of four common peripheral temperature measurement methods in intensive care patients. Med. Devices Evid. Res. Volume 9, 301–308. https://doi.org/10.2147/MDER.S109904</w:t>
      </w:r>
    </w:p>
    <w:p w14:paraId="3566054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Akkuş, S., Naziroǧlu, M., Eriş, S., Yalman, K., Yilmaz, N., Yener, M., 2009. Levels of lipid peroxidation, nitric oxide, and antioxidant vitamins in plasma of patients with fibromyalgia. Cell Biochem. Funct. 27, 181–185. https://doi.org/10.1002/cbf.1548</w:t>
      </w:r>
    </w:p>
    <w:p w14:paraId="25E57BA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Alaşehirli, B., Demiryürek, Ş., Arica, E., Gürsoy, S., Demiryürek, A.T., 2007. No evidence for an association between the Glu298Asp polymorphism of the endothelial nitric oxide synthase gene and fibromyalgia syndrome. Rheumatol. Int. 27, 275–280. https://doi.org/10.1007/s00296-006-0199-z</w:t>
      </w:r>
    </w:p>
    <w:p w14:paraId="6FC600C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Albrecht, P.J., Hou, Q., Argoff, C.E., Storey, J.R., Wymer, J.P., Rice, F.L., 2013. Excessive Peptidergic Sensory Innervation of Cutaneous Arteriole-Venule Shunts (AVS) in the Palmar Glabrous Skin of Fibromyalgia Patients: Implications for Widespread Deep Tissue Pain and Fatigue. Pain Med. 14, 895–915. https://doi.org/10.1111/pme.12139</w:t>
      </w:r>
    </w:p>
    <w:p w14:paraId="1A197C5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Arout, C.A., Sofuoglu, M., Bastian, L.A., Rosenheck, R.A., 2018. Gender Differences in the Prevalence of Fibromyalgia and in Concomitant Medical and Psychiatric Disorders: A National Veterans Health Administration Study. J. Women’s Heal. 27, 1035–1044. https://doi.org/10.1089/jwh.2017.6622</w:t>
      </w:r>
    </w:p>
    <w:p w14:paraId="5EC49EA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BENZINGER, T.H., 1963. Peripheral cold- and central warm-reception, main origins of human thermal discomfort. Proc. Natl. Acad. Sci. U. S. A. 49, 832–839. https://doi.org/10.1073/pnas.49.6.832</w:t>
      </w:r>
    </w:p>
    <w:p w14:paraId="38064BB9"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Bijur, P.E., Shah, P.D., Esses, D., 2016. Temperature measurement in the adult emergency department: Oral, tympanic membrane and temporal artery temperatures versus rectal temperature. Emerg. Med. J. 33, 843–847. https://doi.org/10.1136/emermed-2015-205122</w:t>
      </w:r>
    </w:p>
    <w:p w14:paraId="6493CBC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Branco, J.C., Bannwarth, B., Failde, I., Abello Carbonell, J., Blotman, F., Spaeth, M., Saraiva, F., Nacci, F., Thomas, E., Caubère, J.-P., Le Lay, K., Taieb, C., Matucci-</w:t>
      </w:r>
      <w:r w:rsidRPr="00042ADE">
        <w:rPr>
          <w:rFonts w:ascii="Times New Roman" w:hAnsi="Times New Roman"/>
          <w:noProof/>
          <w:sz w:val="24"/>
          <w:szCs w:val="24"/>
          <w:lang w:val="en-GB"/>
        </w:rPr>
        <w:lastRenderedPageBreak/>
        <w:t>Cerinic, M., 2010. Prevalence of Fibromyalgia: A Survey in Five European Countries. Semin. Arthritis Rheum. 39, 448–453. https://doi.org/10.1016/j.semarthrit.2008.12.003</w:t>
      </w:r>
    </w:p>
    <w:p w14:paraId="14FC72E6"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Brusselmans, G., Nogueira, H., De Schamphelaere, E., Devulder, J., Crombez, G., 2015. Skin Temperature during Cold Pressor Test in Fibromyalgia: an Evaluation of the Autonomic Nervous System? Acta Anaesthesiol. Belg. 66, 19–27.</w:t>
      </w:r>
    </w:p>
    <w:p w14:paraId="33D0957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Burnstock, G., Ralevic, V., 1994. New insights into the local regulation of blood flow by perivascular nerves and endothelium. Br. J. Plast. Surg. 47, 527–43.</w:t>
      </w:r>
    </w:p>
    <w:p w14:paraId="640364CD"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Busbridge, N.J., Rothwell, N.J., 1993. Thermogenic Effects of Cytokines: Methods and Mechanisms. Methods Neurosci. 17, 96–110. https://doi.org/10.1016/S1043-9471(13)70011-9</w:t>
      </w:r>
    </w:p>
    <w:p w14:paraId="713EF37F"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Buskila, D., Neumann, L., Alhoashle, A., Abu-Shakra, M., 2000. Fibromyalgia syndrome in men. Semin. Arthritis Rheum. 30, 47–51. https://doi.org/10.1053/sarh.2000.8363</w:t>
      </w:r>
    </w:p>
    <w:p w14:paraId="171045F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Cabo-Meseguer, A., Cerdá-Olmedo, G., Trillo-Mata, J.L., 2017. Fibromyalgia: Prevalence, epidemiologic profiles and economic costs. Med. Clin. (Barc). 149, 441–448. https://doi.org/10.1016/j.medcli.2017.06.008</w:t>
      </w:r>
    </w:p>
    <w:p w14:paraId="66593E71"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Charkoudian, N., 2010. Mechanisms and modifiers of reflex induced cutaneous vasodilation and vasoconstriction in humans. J. Appl. Physiol. https://doi.org/10.1152/japplphysiol.00298.2010</w:t>
      </w:r>
    </w:p>
    <w:p w14:paraId="08BD5ED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Cheung, S.S., 2015. Responses of the hands and feet to cold exposure. Temp. (Austin, Tex.) 2, 105–20. https://doi.org/10.1080/23328940.2015.1008890</w:t>
      </w:r>
    </w:p>
    <w:p w14:paraId="63EC96F4"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Chinn, S., Caldwell, W., Gritsenko, K., 2016. Fibromyalgia Pathogenesis and Treatment Options Update. Curr. Pain Headache Rep. https://doi.org/10.1007/s11916-016-0556-x</w:t>
      </w:r>
    </w:p>
    <w:p w14:paraId="0667EC9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Choi, D.-H., Kim, H.-S., 2015. Quantitative analysis of nailfold capillary morphology in patients with fibromyalgia. Korean J. Intern. Med. 30, 531–7. https://doi.org/10.3904/kjim.2015.30.4.531</w:t>
      </w:r>
    </w:p>
    <w:p w14:paraId="5BECA13E"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 xml:space="preserve">Çimen, Ö.B., Çimen, M.Y.B., Yapici, Y., Çamdeviren, H., 2009. Arginase, NOS </w:t>
      </w:r>
      <w:r w:rsidRPr="00042ADE">
        <w:rPr>
          <w:rFonts w:ascii="Times New Roman" w:hAnsi="Times New Roman"/>
          <w:noProof/>
          <w:sz w:val="24"/>
          <w:szCs w:val="24"/>
          <w:lang w:val="en-GB"/>
        </w:rPr>
        <w:lastRenderedPageBreak/>
        <w:t>activities, and clinical features in fibromyalgia patients. Pain Med. 10, 813–818. https://doi.org/10.1111/j.1526-4637.2009.00642.x</w:t>
      </w:r>
    </w:p>
    <w:p w14:paraId="1FF2A47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Clark, S., Hollis, S., Campbell, F., Moore, T., Jayson, M., Herrick, A., 1999. The &amp;quot;distal-dorsal difference&amp;quot; as a possible predictor of secondary Raynaud’s phenomenon. J. Rheumatol. 26, 1125–8.</w:t>
      </w:r>
    </w:p>
    <w:p w14:paraId="3A9B192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Clauw, D.J., 2014. Fibromyalgia: A clinical review. JAMA - J. Am. Med. Assoc. https://doi.org/10.1001/jama.2014.3266</w:t>
      </w:r>
    </w:p>
    <w:p w14:paraId="6B20DD69"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Crandall, C.G., MacLean, D.A., 2001. Cutaneous interstitial nitric oxide concentration does not increase during heat stress in humans. J. Appl. Physiol. 90, 1020–1024. https://doi.org/10.1152/jappl.2001.90.3.1020</w:t>
      </w:r>
    </w:p>
    <w:p w14:paraId="66DAE2B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Daanen, H.A.M., 2003. Finger cold-induced vasodilation: A review. Eur. J. Appl. Physiol. https://doi.org/10.1007/s00421-003-0818-2</w:t>
      </w:r>
    </w:p>
    <w:p w14:paraId="7638F4D3"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Dietz, N.M., Rivera, J.M., Warner, D.O., Joyner, M.J., 1994. Is nitric oxide involved in cutaneous vasodilation during body heating in humans? J. Appl. Physiol. 76, 2047–2053. https://doi.org/10.1152/jappl.1994.76.5.2047</w:t>
      </w:r>
    </w:p>
    <w:p w14:paraId="02153B24"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Elmas, O., Yildiz, S., Bilgin, S., Demirci, S., Comlekci, S., Koyuncuoglu, H.R., Akkus, S., Colak, O.H., Etem Koklukaya, Arslan, E., Ozkan, O., Bilgin, G., 2016. Physiological parameters as a tool in the diagnosis of fibromyalgia syndrome in females: A preliminary study. Life Sci. 145, 51–56. https://doi.org/10.1016/j.lfs.2015.12.029</w:t>
      </w:r>
    </w:p>
    <w:p w14:paraId="038A8A8E"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Fujii, N., McNeely, B.D., Zhang, S.Y., Abdellaoui, Y.C., Danquah, M.O., Kenny, G.P., 2017. Activation of protease-activated receptor 2 mediates cutaneous vasodilatation but not sweating: roles of nitric oxide synthase and cyclo-oxygenase. Exp. Physiol. 102, 265–272. https://doi.org/10.1113/EP086092</w:t>
      </w:r>
    </w:p>
    <w:p w14:paraId="74F21F16" w14:textId="439E1C96"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 xml:space="preserve">Fujimasa, I., Chinzei, T., Saito, I., </w:t>
      </w:r>
      <w:r w:rsidR="002A1E3C" w:rsidRPr="00042ADE">
        <w:rPr>
          <w:rFonts w:ascii="Times New Roman" w:hAnsi="Times New Roman"/>
          <w:noProof/>
          <w:sz w:val="24"/>
          <w:szCs w:val="24"/>
          <w:lang w:val="en-GB"/>
        </w:rPr>
        <w:t>2000</w:t>
      </w:r>
      <w:r w:rsidRPr="00042ADE">
        <w:rPr>
          <w:rFonts w:ascii="Times New Roman" w:hAnsi="Times New Roman"/>
          <w:noProof/>
          <w:sz w:val="24"/>
          <w:szCs w:val="24"/>
          <w:lang w:val="en-GB"/>
        </w:rPr>
        <w:t>. Converting far infrared image information to other physiological data. IEEE Eng. Med. Biol. Mag. 19, 71–6.</w:t>
      </w:r>
    </w:p>
    <w:p w14:paraId="079F73FF"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Gasim, G.I., Musa, I.R., Abdien, M.T., Adam, I., 2013. Accuracy of tympanic temperature measurement using an infrared tympanic membrane thermometer. BMC Res. Notes 6, 194. https://doi.org/10.1186/1756-0500-6-194</w:t>
      </w:r>
    </w:p>
    <w:p w14:paraId="0B31A3C7" w14:textId="1EDE10AA"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it-IT"/>
        </w:rPr>
      </w:pPr>
      <w:r w:rsidRPr="00042ADE">
        <w:rPr>
          <w:rFonts w:ascii="Times New Roman" w:hAnsi="Times New Roman"/>
          <w:noProof/>
          <w:sz w:val="24"/>
          <w:szCs w:val="24"/>
          <w:lang w:val="en-GB"/>
        </w:rPr>
        <w:lastRenderedPageBreak/>
        <w:t>G</w:t>
      </w:r>
      <w:r w:rsidR="00ED24F9" w:rsidRPr="00042ADE">
        <w:rPr>
          <w:rFonts w:ascii="Times New Roman" w:hAnsi="Times New Roman"/>
          <w:noProof/>
          <w:sz w:val="24"/>
          <w:szCs w:val="24"/>
          <w:lang w:val="en-GB"/>
        </w:rPr>
        <w:t>askell</w:t>
      </w:r>
      <w:r w:rsidRPr="00042ADE">
        <w:rPr>
          <w:rFonts w:ascii="Times New Roman" w:hAnsi="Times New Roman"/>
          <w:noProof/>
          <w:sz w:val="24"/>
          <w:szCs w:val="24"/>
          <w:lang w:val="en-GB"/>
        </w:rPr>
        <w:t xml:space="preserve">, P., 1956. Are there sympathetic vasodilator nerves to the vessels of the hands. </w:t>
      </w:r>
      <w:r w:rsidRPr="00042ADE">
        <w:rPr>
          <w:rFonts w:ascii="Times New Roman" w:hAnsi="Times New Roman"/>
          <w:noProof/>
          <w:sz w:val="24"/>
          <w:szCs w:val="24"/>
          <w:lang w:val="it-IT"/>
        </w:rPr>
        <w:t>J. Physiol. 131, 647–656. https://doi.org/10.1113/jphysiol.1956.sp005489</w:t>
      </w:r>
    </w:p>
    <w:p w14:paraId="0A64CE3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it-IT"/>
        </w:rPr>
        <w:t xml:space="preserve">Giacomelli, C., Sernissi, F., Sarzi-Puttini, P., Di Franco, M., Atzeni, F., Bazzichi, L., 2013. </w:t>
      </w:r>
      <w:r w:rsidRPr="00042ADE">
        <w:rPr>
          <w:rFonts w:ascii="Times New Roman" w:hAnsi="Times New Roman"/>
          <w:noProof/>
          <w:sz w:val="24"/>
          <w:szCs w:val="24"/>
          <w:lang w:val="en-GB"/>
        </w:rPr>
        <w:t>Fibromyalgia: A critical digest of the recent literature. Clin. Exp. Rheumatol.</w:t>
      </w:r>
    </w:p>
    <w:p w14:paraId="5848651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Gibbins, I.L., Jobling, P., Morris, J.L., 2003. Functional organization of peripheral vasomotor pathways, in: Acta Physiologica Scandinavica. Acta Physiol Scand, pp. 237–245. https://doi.org/10.1046/j.1365-201X.2003.01079.x</w:t>
      </w:r>
    </w:p>
    <w:p w14:paraId="6C5B9512"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Gratt, B.M., Anbar, M., 2005. A pilot study of nitric oxide blood levels in patients with chronic orofacial pain. Oral Surgery, Oral Med. Oral Pathol. Oral Radiol. Endodontology 100, 441–448. https://doi.org/10.1016/j.tripleo.2004.02.081</w:t>
      </w:r>
    </w:p>
    <w:p w14:paraId="1072D2B2"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Häuser, W., Ablin, J., Fitzcharles, M.-A., Littlejohn, G., Luciano, J. V., Usui, C., Walitt, B., 2015. Fibromyalgia. Nat. Rev. Dis. Prim. 1, 15022. https://doi.org/10.1038/nrdp.2015.22</w:t>
      </w:r>
    </w:p>
    <w:p w14:paraId="2009B395"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Holzer, P., 1998. Neurogenic vasodilatation and plasma leakage in the skin. Gen. Pharmacol. 30, 5–11.</w:t>
      </w:r>
    </w:p>
    <w:p w14:paraId="2F3B2875"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Holzer, P., 1992. Peptidergic sensory neurons in the control of vascular functions: mechanisms and significance in the cutaneous and splanchnic vascular beds. Rev. Physiol. Biochem. Pharmacol. https://doi.org/10.1007/bfb0033194</w:t>
      </w:r>
    </w:p>
    <w:p w14:paraId="0B8BD55E"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Johnson, J.M., Kellogg, D.L., 2010a. Local thermal control of the human cutaneous circulation. J. Appl. Physiol. https://doi.org/10.1152/japplphysiol.00407.2010</w:t>
      </w:r>
    </w:p>
    <w:p w14:paraId="0E8527D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Johnson, J.M., Kellogg, D.L., 2010b. Thermoregulatory and thermal control in the human cutaneous circulation. Front. Biosci. - Sch. 2 S, 825–853. https://doi.org/10.2741/s105</w:t>
      </w:r>
    </w:p>
    <w:p w14:paraId="2556B295"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Johnson, J.M., Pergola, P.E., Liao, F.K., Kellogg, D.L., Crandall, C.G., 1995. Skin of the dorsal aspect of human hands and fingers possesses an active vasodilator system. J. Appl. Physiol. 78, 948–954. https://doi.org/10.1152/jappl.1995.78.3.948</w:t>
      </w:r>
    </w:p>
    <w:p w14:paraId="0A0DD68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Jones, B.F., 1998. A reappraisal of the use of infrared thermal image analysis in medicine. IEEE Trans. Med. Imaging 17, 1019–1027. https://doi.org/10.1109/42.746635</w:t>
      </w:r>
    </w:p>
    <w:p w14:paraId="4FEC7939"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lastRenderedPageBreak/>
        <w:t>Jones, B.F., Plassmann, P., 2002. Digital infrared thermal imaging of human skin. IEEE Eng. Med. Biol. Mag. https://doi.org/10.1109/MEMB.2002.1175137</w:t>
      </w:r>
    </w:p>
    <w:p w14:paraId="3DF35AA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Kellogg, D.L., 2006. In vivo mechanisms of cutaneous vasodilation and vasoconstriction in humans during thermoregulatory challenges. J. Appl. Physiol. https://doi.org/10.1152/japplphysiol.01071.2005</w:t>
      </w:r>
    </w:p>
    <w:p w14:paraId="3BEA3F9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Kellogg, D.L., Zhao, J.L., Wu, Y., 2008. Endothelial nitric oxide synthase control mechanisms in the cutaneous vasculature of humans in vivo. Am. J. Physiol. - Hear. Circ. Physiol. 295. https://doi.org/10.1152/ajpheart.00082.2008</w:t>
      </w:r>
    </w:p>
    <w:p w14:paraId="24966C2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Koca, T.T., Seyithanoglu, M., Sagiroglu, S., Berk, E., Dagli, H., 2018. Frequency of audiological complaints in patients with fibromyalgia syndrome and its relationship with oxidative stress. Niger. J. Clin. Pract. 21, 1271–1277. https://doi.org/10.4103/njcp.njcp_95_18</w:t>
      </w:r>
    </w:p>
    <w:p w14:paraId="39C00E6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Kulshreshtha, P., Gupta, R., Yadav, R.K., Bijlani, R.L., Deepak, K.K., 2012. A comprehensive study of autonomic dysfunction in the fibromyalgia patients. Clin. Auton. Res. 22, 117–122. https://doi.org/10.1007/s10286-011-0150-6</w:t>
      </w:r>
    </w:p>
    <w:p w14:paraId="17F45C8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Lafferty, K., De Trafford, J.C., Potter, C., Roberts, V.C., Cotton, L.T., 1985. Reflex vascular responses in the finger to contralateral thermal stimuli during the normal menstrual cycle: a hormonal basis to Raynaud’s phenomenon? Clin. Sci. (Lond). 68, 639–45.</w:t>
      </w:r>
    </w:p>
    <w:p w14:paraId="148E9737"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Lewis, D.A., Rud, K.S., Miller, V.M., 1993. Cofactors of constitutive nitric oxide synthase and endothelium-dependent relaxations in canine femoral veins. J. Cardiovasc. Pharmacol. 22, 443–448. https://doi.org/10.1097/00005344-199309000-00015</w:t>
      </w:r>
    </w:p>
    <w:p w14:paraId="3D4BC93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Lim, M.J., Kwon, S.R., Jung, K.H., Joo, K., Park, S.G., Park, W., 2014. Digital thermography of the fingers and toes in Raynaud’s phenomenon. J. Korean Med. Sci. 29, 502–506. https://doi.org/10.3346/jkms.2014.29.4.502</w:t>
      </w:r>
    </w:p>
    <w:p w14:paraId="1F73DBBD"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rPr>
      </w:pPr>
      <w:r w:rsidRPr="00042ADE">
        <w:rPr>
          <w:rFonts w:ascii="Times New Roman" w:hAnsi="Times New Roman"/>
          <w:noProof/>
          <w:sz w:val="24"/>
          <w:szCs w:val="24"/>
          <w:lang w:val="en-GB"/>
        </w:rPr>
        <w:t xml:space="preserve">Lodha, R., Mukerji, N., Sinha, N., Pandey, R.M., Jain, Y., 2000. Is axillary temperature an appropriate surrogate for core temperature? Indian J. Pediatr. </w:t>
      </w:r>
      <w:r w:rsidRPr="00042ADE">
        <w:rPr>
          <w:rFonts w:ascii="Times New Roman" w:hAnsi="Times New Roman"/>
          <w:noProof/>
          <w:sz w:val="24"/>
          <w:szCs w:val="24"/>
        </w:rPr>
        <w:t>67, 571–574. https://doi.org/10.1007/BF02758482</w:t>
      </w:r>
    </w:p>
    <w:p w14:paraId="3AC1AC7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rPr>
        <w:lastRenderedPageBreak/>
        <w:t xml:space="preserve">López-Ramos, J.C., Martínez-Romero, R., Molina, F., Cañuelo, A., Martínez-Lara, E., Siles, E., Peinado, M.A., 2005. </w:t>
      </w:r>
      <w:r w:rsidRPr="00042ADE">
        <w:rPr>
          <w:rFonts w:ascii="Times New Roman" w:hAnsi="Times New Roman"/>
          <w:noProof/>
          <w:sz w:val="24"/>
          <w:szCs w:val="24"/>
          <w:lang w:val="en-GB"/>
        </w:rPr>
        <w:t>Evidence of a decrease in nitric oxide-storage molecules following acute hypoxia and/or hypobaria, by means of chemiluminescence analysis. Nitric Oxide - Biol. Chem. 13, 62–67. https://doi.org/10.1016/j.niox.2005.05.003</w:t>
      </w:r>
    </w:p>
    <w:p w14:paraId="3301292B"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MacArthur, P.H., Shiva, S., Gladwin, M.T., 2007. Measurement of circulating nitrite and S-nitrosothiols by reductive chemiluminescence. J. Chromatogr. B Anal. Technol. Biomed. Life Sci. https://doi.org/10.1016/j.jchromb.2006.12.012</w:t>
      </w:r>
    </w:p>
    <w:p w14:paraId="4E95205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Minson, C.T., 2010. Thermal provocation to evaluate microvascular reactivity in human skin. J. Appl. Physiol. https://doi.org/10.1152/japplphysiol.00414.2010</w:t>
      </w:r>
    </w:p>
    <w:p w14:paraId="4A06EC58"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Mirbod, S.M., Sugiura, H., 2017. A non-invasive technique for the evaluation of peripheral circulatory functions in female subjects with Raynaud’s phenomenon. Ind. Health 55, 275–284. https://doi.org/10.2486/indhealth.2016-0201</w:t>
      </w:r>
    </w:p>
    <w:p w14:paraId="06A5C909"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Morf, S., Amann-Vesti, B., Forster, A., Franzeck, U.K., Koppensteiner, R., Uebelhart, D., Sprott, H., 2005. Microcirculation abnormalities in patients with fibromyalgia - measured by capillary microscopy and laser fluxmetry. Arthritis Res. Ther. 7, R209-16. https://doi.org/10.1186/ar1459</w:t>
      </w:r>
    </w:p>
    <w:p w14:paraId="211E0250"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Neves, E.B., 2017. The effect of body fat percentage and body fat distribution on skin surface temperature with infrared thermography. J. Therm. Biol. 66, 1–9. https://doi.org/10.1016/j.jtherbio.2017.03.006</w:t>
      </w:r>
    </w:p>
    <w:p w14:paraId="174B78B4"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Paus, R., Theoharides, T.C., Arck, P.C., 2006. Neuroimmunoendocrine circuitry of the “brain-skin connection.” Trends Immunol. https://doi.org/10.1016/j.it.2005.10.002</w:t>
      </w:r>
    </w:p>
    <w:p w14:paraId="4562495D"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it-IT"/>
        </w:rPr>
      </w:pPr>
      <w:r w:rsidRPr="00042ADE">
        <w:rPr>
          <w:rFonts w:ascii="Times New Roman" w:hAnsi="Times New Roman"/>
          <w:noProof/>
          <w:sz w:val="24"/>
          <w:szCs w:val="24"/>
          <w:lang w:val="en-GB"/>
        </w:rPr>
        <w:t xml:space="preserve">Pickering, G., Achard, A., Corriger, A., Sickout-Arondo, S., Macian, N., Leray, V., Lucchini, C., Cardot, J.M., Pereira, B., 2020. Electrochemical Skin Conductance and Quantitative Sensory Testing on Fibromyalgia. Pain Pract. </w:t>
      </w:r>
      <w:r w:rsidRPr="00042ADE">
        <w:rPr>
          <w:rFonts w:ascii="Times New Roman" w:hAnsi="Times New Roman"/>
          <w:noProof/>
          <w:sz w:val="24"/>
          <w:szCs w:val="24"/>
          <w:lang w:val="it-IT"/>
        </w:rPr>
        <w:t>20, 348–356. https://doi.org/10.1111/papr.12857</w:t>
      </w:r>
    </w:p>
    <w:p w14:paraId="66A5428F"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it-IT"/>
        </w:rPr>
        <w:t xml:space="preserve">Ring, E.F.J., Ammer, K., 2012. </w:t>
      </w:r>
      <w:r w:rsidRPr="00042ADE">
        <w:rPr>
          <w:rFonts w:ascii="Times New Roman" w:hAnsi="Times New Roman"/>
          <w:noProof/>
          <w:sz w:val="24"/>
          <w:szCs w:val="24"/>
          <w:lang w:val="en-GB"/>
        </w:rPr>
        <w:t>Infrared thermal imaging in medicine. Physiol. Meas. 33, R33–R46. https://doi.org/10.1088/0967-3334/33/3/R33</w:t>
      </w:r>
    </w:p>
    <w:p w14:paraId="6CF7569E"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 xml:space="preserve">Russell, I.J., Larson, A.A., 2009. Neurophysiopathogenesis of Fibromyalgia Syndrome: </w:t>
      </w:r>
      <w:r w:rsidRPr="00042ADE">
        <w:rPr>
          <w:rFonts w:ascii="Times New Roman" w:hAnsi="Times New Roman"/>
          <w:noProof/>
          <w:sz w:val="24"/>
          <w:szCs w:val="24"/>
          <w:lang w:val="en-GB"/>
        </w:rPr>
        <w:lastRenderedPageBreak/>
        <w:t>A Unified Hypothesis. Rheum. Dis. Clin. North Am. 35, 421–435. https://doi.org/10.1016/j.rdc.2009.06.005</w:t>
      </w:r>
    </w:p>
    <w:p w14:paraId="67C2D01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Sagaidachnyi, A.A., Fomin, A. V, Usanov, D.A., Skripal, A. V, 2017. Thermography-based blood flow imaging in human skin of the hands and feet: a spectral filtering approach. Physiol. Meas. 38, 272–288. https://doi.org/10.1088/1361-6579/aa4eaf</w:t>
      </w:r>
    </w:p>
    <w:p w14:paraId="37B65415"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rPr>
      </w:pPr>
      <w:r w:rsidRPr="00042ADE">
        <w:rPr>
          <w:rFonts w:ascii="Times New Roman" w:hAnsi="Times New Roman"/>
          <w:noProof/>
          <w:sz w:val="24"/>
          <w:szCs w:val="24"/>
          <w:lang w:val="en-GB"/>
        </w:rPr>
        <w:t xml:space="preserve">Sagaidachnyi, A.A., Skripal, A. V, Fomin, A. V, Usanov, D.A., 2014. Determination of the amplitude and phase relationships between oscillations in skin temperature and photoplethysmography-measured blood flow in fingertips. </w:t>
      </w:r>
      <w:r w:rsidRPr="00042ADE">
        <w:rPr>
          <w:rFonts w:ascii="Times New Roman" w:hAnsi="Times New Roman"/>
          <w:noProof/>
          <w:sz w:val="24"/>
          <w:szCs w:val="24"/>
        </w:rPr>
        <w:t>Physiol. Meas. 35, 153–166. https://doi.org/10.1088/0967-3334/35/2/153</w:t>
      </w:r>
    </w:p>
    <w:p w14:paraId="68C46CE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rPr>
        <w:t xml:space="preserve">Salgueiro, M., García-Leiva, J.M., Ballesteros, J., Hidalgo, J., Molina, R., Calandre, E.P., 2013. </w:t>
      </w:r>
      <w:r w:rsidRPr="00042ADE">
        <w:rPr>
          <w:rFonts w:ascii="Times New Roman" w:hAnsi="Times New Roman"/>
          <w:noProof/>
          <w:sz w:val="24"/>
          <w:szCs w:val="24"/>
          <w:lang w:val="en-GB"/>
        </w:rPr>
        <w:t>Validation of a Spanish version of the Revised Fibromyalgia Impact Questionnaire (FIQR). Health Qual. Life Outcomes 11, 132. https://doi.org/10.1186/1477-7525-11-132</w:t>
      </w:r>
    </w:p>
    <w:p w14:paraId="52932B31"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Sanchez-Marin, F.J., Calixto-Carrera, S., Villaseñor-Mora, C., 2009. Novel approach to assess the emissivity of the human skin. J. Biomed. Opt. 14, 024006. https://doi.org/10.1117/1.3086612</w:t>
      </w:r>
    </w:p>
    <w:p w14:paraId="72ECDD00" w14:textId="40692521"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S</w:t>
      </w:r>
      <w:r w:rsidR="00ED24F9" w:rsidRPr="00042ADE">
        <w:rPr>
          <w:rFonts w:ascii="Times New Roman" w:hAnsi="Times New Roman"/>
          <w:noProof/>
          <w:sz w:val="24"/>
          <w:szCs w:val="24"/>
          <w:lang w:val="en-GB"/>
        </w:rPr>
        <w:t>cholander, P.F., Hock, R., Walters, V., Johnson, F., Irving, L., 1950. Heat Regulation In Some Arctic And Tropical Mammals And Birds</w:t>
      </w:r>
      <w:r w:rsidRPr="00042ADE">
        <w:rPr>
          <w:rFonts w:ascii="Times New Roman" w:hAnsi="Times New Roman"/>
          <w:noProof/>
          <w:sz w:val="24"/>
          <w:szCs w:val="24"/>
          <w:lang w:val="en-GB"/>
        </w:rPr>
        <w:t>. Biol. Bull. 99, 237–258. https://doi.org/10.2307/1538741</w:t>
      </w:r>
    </w:p>
    <w:p w14:paraId="03E73FEA"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it-IT"/>
        </w:rPr>
      </w:pPr>
      <w:r w:rsidRPr="00042ADE">
        <w:rPr>
          <w:rFonts w:ascii="Times New Roman" w:hAnsi="Times New Roman"/>
          <w:noProof/>
          <w:sz w:val="24"/>
          <w:szCs w:val="24"/>
          <w:lang w:val="en-GB"/>
        </w:rPr>
        <w:t xml:space="preserve">Schulman, H., 1997. Nitric oxide: A spatial second messenger. </w:t>
      </w:r>
      <w:r w:rsidRPr="00042ADE">
        <w:rPr>
          <w:rFonts w:ascii="Times New Roman" w:hAnsi="Times New Roman"/>
          <w:noProof/>
          <w:sz w:val="24"/>
          <w:szCs w:val="24"/>
          <w:lang w:val="it-IT"/>
        </w:rPr>
        <w:t>Mol. Psychiatry. https://doi.org/10.1038/sj.mp.4000197</w:t>
      </w:r>
    </w:p>
    <w:p w14:paraId="598BB1AC"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it-IT"/>
        </w:rPr>
        <w:t xml:space="preserve">Scolnik, M., Vasta, B., Hart, D.J., Shipley, J.A., McHugh, N.J., Pauling, J.D., 2016. </w:t>
      </w:r>
      <w:r w:rsidRPr="00042ADE">
        <w:rPr>
          <w:rFonts w:ascii="Times New Roman" w:hAnsi="Times New Roman"/>
          <w:noProof/>
          <w:sz w:val="24"/>
          <w:szCs w:val="24"/>
          <w:lang w:val="en-GB"/>
        </w:rPr>
        <w:t>Symptoms of Raynaud’s phenomenon (RP) in fibromyalgia syndrome are similar to those reported in primary RP despite differences in objective assessment of digital microvascular function and morphology. Rheumatol. Int. 36, 1371–7. https://doi.org/10.1007/s00296-016-3483-6</w:t>
      </w:r>
    </w:p>
    <w:p w14:paraId="5F2C0021"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Tan, J.H., Ng, E.Y.K., Rajendra Acharya, U., Chee, C., 2009. Infrared thermography on ocular surface temperature: A review. Infrared Phys. Technol. https://doi.org/10.1016/j.infrared.2009.05.002</w:t>
      </w:r>
    </w:p>
    <w:p w14:paraId="360DDA5D"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rPr>
      </w:pPr>
      <w:r w:rsidRPr="00042ADE">
        <w:rPr>
          <w:rFonts w:ascii="Times New Roman" w:hAnsi="Times New Roman"/>
          <w:noProof/>
          <w:sz w:val="24"/>
          <w:szCs w:val="24"/>
          <w:lang w:val="en-GB"/>
        </w:rPr>
        <w:lastRenderedPageBreak/>
        <w:t xml:space="preserve">Theoharides, T.C., Valent, P., Akin, C., 2015. Mast cells, mastocytosis, and related disorders. </w:t>
      </w:r>
      <w:r w:rsidRPr="00042ADE">
        <w:rPr>
          <w:rFonts w:ascii="Times New Roman" w:hAnsi="Times New Roman"/>
          <w:noProof/>
          <w:sz w:val="24"/>
          <w:szCs w:val="24"/>
        </w:rPr>
        <w:t>N. Engl. J. Med. https://doi.org/10.1056/NEJMra1409760</w:t>
      </w:r>
    </w:p>
    <w:p w14:paraId="4C7EFC99"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rPr>
        <w:t xml:space="preserve">Theoharides, T.C., Zhang, B., Kempuraj, D., Tagen, M., Vasiadi, M., Angelidou, A., Alysandratos, K.-D., Kalogeromitros, D., Asadi, S., Stavrianeas, N., Peterson, E., Leeman, S., Conti, P., 2010. </w:t>
      </w:r>
      <w:r w:rsidRPr="00042ADE">
        <w:rPr>
          <w:rFonts w:ascii="Times New Roman" w:hAnsi="Times New Roman"/>
          <w:noProof/>
          <w:sz w:val="24"/>
          <w:szCs w:val="24"/>
          <w:lang w:val="en-GB"/>
        </w:rPr>
        <w:t>IL-33 augments substance P-induced VEGF secretion from human mast cells and is increased in psoriatic skin. Proc. Natl. Acad. Sci. 107, 4448–4453. https://doi.org/10.1073/pnas.1000803107</w:t>
      </w:r>
    </w:p>
    <w:p w14:paraId="3EAD591E"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Tsilioni, I., Russell, I.J., Stewart, J.M., Gleason, R.M., Theoharides, T.C., 2016. Neuropeptides CRH, SP, HK-1, and Inflammatory Cytokines IL-6 and TNF Are Increased in Serum of Patients with Fibromyalgia Syndrome, Implicating Mast Cells. J. Pharmacol. Exp. Ther. 356, 664–672. https://doi.org/10.1124/jpet.115.230060</w:t>
      </w:r>
    </w:p>
    <w:p w14:paraId="1B409E14"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Vardasca, R., Magalhaes, C., Marques, D., Moreira, J., Frade, R., Seixas, A., Mendes, J., Ring, F., 2019. Bilateral assessment of body core temperature through axillar, tympanic and inner canthi thermometers in a young population. Physiol. Meas. 40. https://doi.org/10.1088/1361-6579/ab2af6</w:t>
      </w:r>
    </w:p>
    <w:p w14:paraId="18FD385D"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szCs w:val="24"/>
          <w:lang w:val="en-GB"/>
        </w:rPr>
      </w:pPr>
      <w:r w:rsidRPr="00042ADE">
        <w:rPr>
          <w:rFonts w:ascii="Times New Roman" w:hAnsi="Times New Roman"/>
          <w:noProof/>
          <w:sz w:val="24"/>
          <w:szCs w:val="24"/>
          <w:lang w:val="en-GB"/>
        </w:rPr>
        <w:t>Walløe, L., 2016. Arterio-venous anastomoses in the human skin and their role in temperature control. Temp. (Austin, Tex.) 3, 92–103. https://doi.org/10.1080/23328940.2015.1088502</w:t>
      </w:r>
    </w:p>
    <w:p w14:paraId="45680C1F" w14:textId="77777777" w:rsidR="00931FEB" w:rsidRPr="00042ADE" w:rsidRDefault="00931FEB" w:rsidP="00931FEB">
      <w:pPr>
        <w:widowControl w:val="0"/>
        <w:autoSpaceDE w:val="0"/>
        <w:autoSpaceDN w:val="0"/>
        <w:adjustRightInd w:val="0"/>
        <w:spacing w:line="360" w:lineRule="auto"/>
        <w:ind w:left="480" w:hanging="480"/>
        <w:rPr>
          <w:rFonts w:ascii="Times New Roman" w:hAnsi="Times New Roman"/>
          <w:noProof/>
          <w:sz w:val="24"/>
          <w:lang w:val="en-GB"/>
        </w:rPr>
      </w:pPr>
      <w:r w:rsidRPr="00042ADE">
        <w:rPr>
          <w:rFonts w:ascii="Times New Roman" w:hAnsi="Times New Roman"/>
          <w:noProof/>
          <w:sz w:val="24"/>
          <w:szCs w:val="24"/>
          <w:lang w:val="en-GB"/>
        </w:rPr>
        <w:t>Wolfe, F., Clauw, D.J., Fitzcharles, M.A., Goldenberg, D.L., Häuser, W., Katz, R.L., Mease, P.J., Russell, A.S., Russell, I.J., Walitt, B., 2016. 2016 Revisions to the 2010/2011 fibromyalgia diagnostic criteria. Semin. Arthritis Rheum. 46, 319–329. https://doi.org/10.1016/j.semarthrit.2016.08.012</w:t>
      </w:r>
    </w:p>
    <w:p w14:paraId="3003B4AF" w14:textId="583D8A01" w:rsidR="00304FE1" w:rsidRPr="00042ADE" w:rsidRDefault="00722F6A" w:rsidP="00931FEB">
      <w:pPr>
        <w:widowControl w:val="0"/>
        <w:autoSpaceDE w:val="0"/>
        <w:autoSpaceDN w:val="0"/>
        <w:adjustRightInd w:val="0"/>
        <w:spacing w:line="360" w:lineRule="auto"/>
        <w:ind w:left="480" w:hanging="480"/>
        <w:jc w:val="both"/>
        <w:rPr>
          <w:rFonts w:ascii="Times New Roman" w:hAnsi="Times New Roman"/>
          <w:sz w:val="24"/>
          <w:szCs w:val="24"/>
          <w:lang w:val="en-GB"/>
        </w:rPr>
      </w:pPr>
      <w:r w:rsidRPr="00042ADE">
        <w:rPr>
          <w:rFonts w:ascii="Times New Roman" w:hAnsi="Times New Roman"/>
          <w:sz w:val="24"/>
          <w:szCs w:val="24"/>
          <w:lang w:val="en-GB"/>
        </w:rPr>
        <w:fldChar w:fldCharType="end"/>
      </w:r>
      <w:r w:rsidR="00304FE1" w:rsidRPr="00042ADE">
        <w:rPr>
          <w:rFonts w:ascii="Times New Roman" w:hAnsi="Times New Roman"/>
          <w:b/>
          <w:sz w:val="24"/>
          <w:szCs w:val="24"/>
          <w:lang w:val="en-GB"/>
        </w:rPr>
        <w:br w:type="page"/>
      </w:r>
    </w:p>
    <w:p w14:paraId="193774B8" w14:textId="77777777" w:rsidR="008D5A10" w:rsidRPr="00042ADE" w:rsidRDefault="008D5A10" w:rsidP="008D5A10">
      <w:pPr>
        <w:spacing w:line="360" w:lineRule="auto"/>
        <w:rPr>
          <w:rFonts w:ascii="Times New Roman" w:hAnsi="Times New Roman"/>
          <w:b/>
          <w:sz w:val="24"/>
          <w:szCs w:val="24"/>
          <w:lang w:val="en-GB"/>
        </w:rPr>
      </w:pPr>
      <w:r w:rsidRPr="00042ADE">
        <w:rPr>
          <w:rFonts w:ascii="Times New Roman" w:hAnsi="Times New Roman"/>
          <w:b/>
          <w:sz w:val="24"/>
          <w:szCs w:val="24"/>
          <w:lang w:val="en-GB"/>
        </w:rPr>
        <w:lastRenderedPageBreak/>
        <w:t>Figure Legends:</w:t>
      </w:r>
    </w:p>
    <w:p w14:paraId="7F8573D5" w14:textId="5BA7107F" w:rsidR="00C2081A" w:rsidRPr="00042ADE" w:rsidRDefault="00A70537" w:rsidP="00C2081A">
      <w:pPr>
        <w:spacing w:line="480" w:lineRule="auto"/>
        <w:jc w:val="both"/>
        <w:rPr>
          <w:rFonts w:ascii="Times New Roman" w:hAnsi="Times New Roman"/>
          <w:sz w:val="24"/>
          <w:szCs w:val="24"/>
          <w:lang w:val="en-GB"/>
        </w:rPr>
      </w:pPr>
      <w:r w:rsidRPr="00042ADE">
        <w:rPr>
          <w:rFonts w:ascii="Times New Roman" w:hAnsi="Times New Roman"/>
          <w:b/>
          <w:sz w:val="24"/>
          <w:szCs w:val="24"/>
          <w:lang w:val="en-GB"/>
        </w:rPr>
        <w:t>Fig.</w:t>
      </w:r>
      <w:r w:rsidR="00C2081A" w:rsidRPr="00042ADE">
        <w:rPr>
          <w:rFonts w:ascii="Times New Roman" w:hAnsi="Times New Roman"/>
          <w:b/>
          <w:sz w:val="24"/>
          <w:szCs w:val="24"/>
          <w:lang w:val="en-GB"/>
        </w:rPr>
        <w:t xml:space="preserve"> 1.</w:t>
      </w:r>
      <w:r w:rsidR="00C2081A" w:rsidRPr="00042ADE">
        <w:rPr>
          <w:rFonts w:ascii="Times New Roman" w:hAnsi="Times New Roman"/>
          <w:sz w:val="24"/>
          <w:szCs w:val="24"/>
          <w:lang w:val="en-GB"/>
        </w:rPr>
        <w:t xml:space="preserve"> Thermograph</w:t>
      </w:r>
      <w:r w:rsidR="00636F24" w:rsidRPr="00042ADE">
        <w:rPr>
          <w:rFonts w:ascii="Times New Roman" w:hAnsi="Times New Roman"/>
          <w:sz w:val="24"/>
          <w:szCs w:val="24"/>
          <w:lang w:val="en-GB"/>
        </w:rPr>
        <w:t>y image of the hands of a patient diagnosed with Fibromyalgia</w:t>
      </w:r>
      <w:r w:rsidR="00636F24" w:rsidRPr="00042ADE">
        <w:rPr>
          <w:rFonts w:ascii="Times New Roman" w:hAnsi="Times New Roman"/>
          <w:b/>
          <w:sz w:val="24"/>
          <w:szCs w:val="24"/>
          <w:lang w:val="en-GB"/>
        </w:rPr>
        <w:t xml:space="preserve"> </w:t>
      </w:r>
      <w:r w:rsidR="00636F24" w:rsidRPr="00042ADE">
        <w:rPr>
          <w:rFonts w:ascii="Times New Roman" w:hAnsi="Times New Roman"/>
          <w:sz w:val="24"/>
          <w:szCs w:val="24"/>
          <w:lang w:val="en-GB"/>
        </w:rPr>
        <w:t>and healthy control.</w:t>
      </w:r>
    </w:p>
    <w:p w14:paraId="3DB9AD09" w14:textId="01CB50F2" w:rsidR="00C2081A" w:rsidRPr="00042ADE" w:rsidRDefault="00C2081A" w:rsidP="00C2081A">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The analysis of the temperature of the skin surface was conducted through a circle at the centre of each dorsal and palm fingertip (diameter 10×10 mm), at dorsal and palm centre of each hand (diameter 20×20 mm), at the thenar eminence of each hand, (diameter 38×72 mm), and at the hypothenar eminence of each hand (diameter 31×75 mm).</w:t>
      </w:r>
      <w:r w:rsidR="00636F24" w:rsidRPr="00042ADE">
        <w:rPr>
          <w:rFonts w:ascii="Times New Roman" w:hAnsi="Times New Roman"/>
          <w:sz w:val="24"/>
          <w:szCs w:val="24"/>
          <w:lang w:val="en-GB"/>
        </w:rPr>
        <w:t xml:space="preserve"> (A) Image of the dorsal and palmar thermography of the hands from the same Fibromyalgia participant. (B) Image of the dorsal and palmar thermography of the hands from the same healthy control participant.</w:t>
      </w:r>
    </w:p>
    <w:p w14:paraId="17301973" w14:textId="77777777" w:rsidR="00F60350" w:rsidRPr="00042ADE" w:rsidRDefault="00F60350" w:rsidP="00C2081A">
      <w:pPr>
        <w:spacing w:line="480" w:lineRule="auto"/>
        <w:jc w:val="both"/>
        <w:rPr>
          <w:rFonts w:ascii="Times New Roman" w:hAnsi="Times New Roman"/>
          <w:sz w:val="24"/>
          <w:szCs w:val="24"/>
          <w:lang w:val="en-GB"/>
        </w:rPr>
      </w:pPr>
      <w:r w:rsidRPr="00042ADE">
        <w:rPr>
          <w:rFonts w:ascii="Times New Roman" w:hAnsi="Times New Roman"/>
          <w:b/>
          <w:sz w:val="24"/>
          <w:szCs w:val="24"/>
          <w:lang w:val="en-GB"/>
        </w:rPr>
        <w:t>Fig. 2.</w:t>
      </w:r>
      <w:r w:rsidRPr="00042ADE">
        <w:rPr>
          <w:rFonts w:ascii="Times New Roman" w:hAnsi="Times New Roman"/>
          <w:sz w:val="24"/>
          <w:szCs w:val="24"/>
          <w:lang w:val="en-GB"/>
        </w:rPr>
        <w:t xml:space="preserve"> Box plots of average temperature of the dorsal site of the hands in cases of women with</w:t>
      </w:r>
      <w:r w:rsidR="00082ED5" w:rsidRPr="00042ADE">
        <w:rPr>
          <w:rFonts w:ascii="Times New Roman" w:hAnsi="Times New Roman"/>
          <w:sz w:val="24"/>
          <w:szCs w:val="24"/>
          <w:lang w:val="en-GB"/>
        </w:rPr>
        <w:t xml:space="preserve"> Fibromyalgia and healthy controls</w:t>
      </w:r>
      <w:r w:rsidRPr="00042ADE">
        <w:rPr>
          <w:rFonts w:ascii="Times New Roman" w:hAnsi="Times New Roman"/>
          <w:sz w:val="24"/>
          <w:szCs w:val="24"/>
          <w:lang w:val="en-GB"/>
        </w:rPr>
        <w:t>.</w:t>
      </w:r>
    </w:p>
    <w:p w14:paraId="2B4D08D3" w14:textId="79F27535" w:rsidR="00082ED5" w:rsidRPr="00042ADE" w:rsidRDefault="00082ED5" w:rsidP="009E1509">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In the box plots are show</w:t>
      </w:r>
      <w:r w:rsidR="008328DE" w:rsidRPr="00042ADE">
        <w:rPr>
          <w:rFonts w:ascii="Times New Roman" w:hAnsi="Times New Roman"/>
          <w:sz w:val="24"/>
          <w:szCs w:val="24"/>
          <w:lang w:val="en-GB"/>
        </w:rPr>
        <w:t>n</w:t>
      </w:r>
      <w:r w:rsidRPr="00042ADE">
        <w:rPr>
          <w:rFonts w:ascii="Times New Roman" w:hAnsi="Times New Roman"/>
          <w:sz w:val="24"/>
          <w:szCs w:val="24"/>
          <w:lang w:val="en-GB"/>
        </w:rPr>
        <w:t xml:space="preserve"> the average temperature</w:t>
      </w:r>
      <w:r w:rsidR="002D757C" w:rsidRPr="00042ADE">
        <w:rPr>
          <w:rFonts w:ascii="Times New Roman" w:hAnsi="Times New Roman"/>
          <w:sz w:val="24"/>
          <w:szCs w:val="24"/>
          <w:lang w:val="en-GB"/>
        </w:rPr>
        <w:t xml:space="preserve"> (ºC)</w:t>
      </w:r>
      <w:r w:rsidRPr="00042ADE">
        <w:rPr>
          <w:rFonts w:ascii="Times New Roman" w:hAnsi="Times New Roman"/>
          <w:sz w:val="24"/>
          <w:szCs w:val="24"/>
          <w:lang w:val="en-GB"/>
        </w:rPr>
        <w:t xml:space="preserve"> from each point (thumb</w:t>
      </w:r>
      <w:r w:rsidR="00794582" w:rsidRPr="00042ADE">
        <w:rPr>
          <w:rFonts w:ascii="Times New Roman" w:hAnsi="Times New Roman"/>
          <w:sz w:val="24"/>
          <w:szCs w:val="24"/>
          <w:lang w:val="en-GB"/>
        </w:rPr>
        <w:t xml:space="preserve"> fingertip</w:t>
      </w:r>
      <w:r w:rsidRPr="00042ADE">
        <w:rPr>
          <w:rFonts w:ascii="Times New Roman" w:hAnsi="Times New Roman"/>
          <w:sz w:val="24"/>
          <w:szCs w:val="24"/>
          <w:lang w:val="en-GB"/>
        </w:rPr>
        <w:t>, index</w:t>
      </w:r>
      <w:r w:rsidR="00794582" w:rsidRPr="00042ADE">
        <w:rPr>
          <w:rFonts w:ascii="Times New Roman" w:hAnsi="Times New Roman"/>
          <w:sz w:val="24"/>
          <w:szCs w:val="24"/>
          <w:lang w:val="en-GB"/>
        </w:rPr>
        <w:t xml:space="preserve"> fingertip</w:t>
      </w:r>
      <w:r w:rsidRPr="00042ADE">
        <w:rPr>
          <w:rFonts w:ascii="Times New Roman" w:hAnsi="Times New Roman"/>
          <w:sz w:val="24"/>
          <w:szCs w:val="24"/>
          <w:lang w:val="en-GB"/>
        </w:rPr>
        <w:t>, middle</w:t>
      </w:r>
      <w:r w:rsidR="00794582" w:rsidRPr="00042ADE">
        <w:rPr>
          <w:rFonts w:ascii="Times New Roman" w:hAnsi="Times New Roman"/>
          <w:sz w:val="24"/>
          <w:szCs w:val="24"/>
          <w:lang w:val="en-GB"/>
        </w:rPr>
        <w:t xml:space="preserve"> fingertip</w:t>
      </w:r>
      <w:r w:rsidRPr="00042ADE">
        <w:rPr>
          <w:rFonts w:ascii="Times New Roman" w:hAnsi="Times New Roman"/>
          <w:sz w:val="24"/>
          <w:szCs w:val="24"/>
          <w:lang w:val="en-GB"/>
        </w:rPr>
        <w:t>, ring</w:t>
      </w:r>
      <w:r w:rsidR="00794582" w:rsidRPr="00042ADE">
        <w:rPr>
          <w:rFonts w:ascii="Times New Roman" w:hAnsi="Times New Roman"/>
          <w:sz w:val="24"/>
          <w:szCs w:val="24"/>
          <w:lang w:val="en-GB"/>
        </w:rPr>
        <w:t xml:space="preserve"> fingertip</w:t>
      </w:r>
      <w:r w:rsidRPr="00042ADE">
        <w:rPr>
          <w:rFonts w:ascii="Times New Roman" w:hAnsi="Times New Roman"/>
          <w:sz w:val="24"/>
          <w:szCs w:val="24"/>
          <w:lang w:val="en-GB"/>
        </w:rPr>
        <w:t>, pinkie</w:t>
      </w:r>
      <w:r w:rsidR="00794582" w:rsidRPr="00042ADE">
        <w:rPr>
          <w:rFonts w:ascii="Times New Roman" w:hAnsi="Times New Roman"/>
          <w:sz w:val="24"/>
          <w:szCs w:val="24"/>
          <w:lang w:val="en-GB"/>
        </w:rPr>
        <w:t xml:space="preserve"> fingertip</w:t>
      </w:r>
      <w:r w:rsidRPr="00042ADE">
        <w:rPr>
          <w:rFonts w:ascii="Times New Roman" w:hAnsi="Times New Roman"/>
          <w:sz w:val="24"/>
          <w:szCs w:val="24"/>
          <w:lang w:val="en-GB"/>
        </w:rPr>
        <w:t>, dorsal centre) of the dominant and non-dominant dorsal site of both hands between women diagnosed with Fibromyalgia and healthy controls.</w:t>
      </w:r>
      <w:r w:rsidR="009E1509" w:rsidRPr="00042ADE">
        <w:rPr>
          <w:rFonts w:ascii="Times New Roman" w:hAnsi="Times New Roman"/>
          <w:sz w:val="24"/>
          <w:szCs w:val="24"/>
          <w:lang w:val="en-GB"/>
        </w:rPr>
        <w:t xml:space="preserve"> In the box plots, the boundary of the box closest to zero indicates the 25th percentile, the black line within the box marks the median, and the boundary of the box farthest from zero indicates the 75th percentile. Whiskers above and below the box indicate the 10th and 90th percentiles.</w:t>
      </w:r>
    </w:p>
    <w:p w14:paraId="45585B65" w14:textId="77777777" w:rsidR="00794582" w:rsidRPr="00042ADE" w:rsidRDefault="00794582" w:rsidP="00794582">
      <w:pPr>
        <w:spacing w:line="480" w:lineRule="auto"/>
        <w:jc w:val="both"/>
        <w:rPr>
          <w:rFonts w:ascii="Times New Roman" w:hAnsi="Times New Roman"/>
          <w:sz w:val="24"/>
          <w:szCs w:val="24"/>
          <w:lang w:val="en-GB"/>
        </w:rPr>
      </w:pPr>
      <w:r w:rsidRPr="00042ADE">
        <w:rPr>
          <w:rFonts w:ascii="Times New Roman" w:hAnsi="Times New Roman"/>
          <w:b/>
          <w:sz w:val="24"/>
          <w:szCs w:val="24"/>
          <w:lang w:val="en-GB"/>
        </w:rPr>
        <w:t>Fig. 3.</w:t>
      </w:r>
      <w:r w:rsidRPr="00042ADE">
        <w:rPr>
          <w:rFonts w:ascii="Times New Roman" w:hAnsi="Times New Roman"/>
          <w:sz w:val="24"/>
          <w:szCs w:val="24"/>
          <w:lang w:val="en-GB"/>
        </w:rPr>
        <w:t xml:space="preserve"> Box plots of average temperature of the palm site of the hands in cases of women with Fibromyalgia and healthy controls.</w:t>
      </w:r>
    </w:p>
    <w:p w14:paraId="69B71C3D" w14:textId="65877899" w:rsidR="00794582" w:rsidRPr="00042ADE" w:rsidRDefault="00794582" w:rsidP="00794582">
      <w:pPr>
        <w:spacing w:line="480" w:lineRule="auto"/>
        <w:jc w:val="both"/>
        <w:rPr>
          <w:rFonts w:ascii="Times New Roman" w:hAnsi="Times New Roman"/>
          <w:sz w:val="24"/>
          <w:szCs w:val="24"/>
          <w:lang w:val="en-GB"/>
        </w:rPr>
      </w:pPr>
      <w:r w:rsidRPr="00042ADE">
        <w:rPr>
          <w:rFonts w:ascii="Times New Roman" w:hAnsi="Times New Roman"/>
          <w:sz w:val="24"/>
          <w:szCs w:val="24"/>
          <w:lang w:val="en-GB"/>
        </w:rPr>
        <w:t>In the box plots are show</w:t>
      </w:r>
      <w:r w:rsidR="008328DE" w:rsidRPr="00042ADE">
        <w:rPr>
          <w:rFonts w:ascii="Times New Roman" w:hAnsi="Times New Roman"/>
          <w:sz w:val="24"/>
          <w:szCs w:val="24"/>
          <w:lang w:val="en-GB"/>
        </w:rPr>
        <w:t>n</w:t>
      </w:r>
      <w:r w:rsidRPr="00042ADE">
        <w:rPr>
          <w:rFonts w:ascii="Times New Roman" w:hAnsi="Times New Roman"/>
          <w:sz w:val="24"/>
          <w:szCs w:val="24"/>
          <w:lang w:val="en-GB"/>
        </w:rPr>
        <w:t xml:space="preserve"> the average temperature (ºC) from each point (thumb fingertip, index fingertip, middle fingertip, ring fingertip, pinkie fingertip, thenar eminence, </w:t>
      </w:r>
      <w:r w:rsidRPr="00042ADE">
        <w:rPr>
          <w:rFonts w:ascii="Times New Roman" w:hAnsi="Times New Roman"/>
          <w:sz w:val="24"/>
          <w:szCs w:val="24"/>
          <w:lang w:val="en-GB"/>
        </w:rPr>
        <w:lastRenderedPageBreak/>
        <w:t>hypothenar eminence, palm centre) of the dominant and non-dominant palm site of both hands between women diagnosed with Fibromyalgia and healthy controls.</w:t>
      </w:r>
      <w:r w:rsidR="009E1509" w:rsidRPr="00042ADE">
        <w:rPr>
          <w:rFonts w:ascii="Times New Roman" w:hAnsi="Times New Roman"/>
          <w:sz w:val="24"/>
          <w:szCs w:val="24"/>
          <w:lang w:val="en-GB"/>
        </w:rPr>
        <w:t xml:space="preserve"> In the box plots, the boundary of the box closest to zero indicates the 25th percentile, the black line within the box marks the median, and the boundary of the box farthest from zero indicates the 75th percentile. Whiskers above and below the box indicate the 10th and 90th percentiles.</w:t>
      </w:r>
    </w:p>
    <w:p w14:paraId="30C3353D" w14:textId="77777777" w:rsidR="00794582" w:rsidRPr="00042ADE" w:rsidRDefault="001450CD" w:rsidP="00C2081A">
      <w:pPr>
        <w:spacing w:line="480" w:lineRule="auto"/>
        <w:jc w:val="both"/>
        <w:rPr>
          <w:rFonts w:ascii="Times New Roman" w:hAnsi="Times New Roman"/>
          <w:b/>
          <w:sz w:val="24"/>
          <w:szCs w:val="24"/>
          <w:lang w:val="en-GB"/>
        </w:rPr>
      </w:pPr>
      <w:r w:rsidRPr="00042ADE">
        <w:rPr>
          <w:rFonts w:ascii="Times New Roman" w:hAnsi="Times New Roman"/>
          <w:b/>
          <w:sz w:val="24"/>
          <w:szCs w:val="24"/>
          <w:lang w:val="en-GB"/>
        </w:rPr>
        <w:t>Table Legends:</w:t>
      </w:r>
    </w:p>
    <w:p w14:paraId="4BDE4046" w14:textId="77777777" w:rsidR="001450CD" w:rsidRPr="00042ADE" w:rsidRDefault="001450CD" w:rsidP="001450CD">
      <w:pPr>
        <w:spacing w:line="360" w:lineRule="auto"/>
        <w:rPr>
          <w:rFonts w:ascii="Times New Roman" w:hAnsi="Times New Roman"/>
          <w:sz w:val="24"/>
          <w:szCs w:val="24"/>
          <w:lang w:val="en-US"/>
        </w:rPr>
      </w:pPr>
      <w:r w:rsidRPr="00042ADE">
        <w:rPr>
          <w:rFonts w:ascii="Times New Roman" w:hAnsi="Times New Roman"/>
          <w:b/>
          <w:sz w:val="24"/>
          <w:szCs w:val="24"/>
          <w:lang w:val="en-GB"/>
        </w:rPr>
        <w:t>Table 1</w:t>
      </w:r>
      <w:r w:rsidRPr="00042ADE">
        <w:rPr>
          <w:rFonts w:ascii="Times New Roman" w:hAnsi="Times New Roman"/>
          <w:sz w:val="24"/>
          <w:szCs w:val="24"/>
          <w:lang w:val="en-GB"/>
        </w:rPr>
        <w:t>. Demographic and clinical characteristics of women with FMS and healthy women.</w:t>
      </w:r>
    </w:p>
    <w:p w14:paraId="2854927A" w14:textId="77777777" w:rsidR="001450CD" w:rsidRPr="00042ADE" w:rsidRDefault="0071499B" w:rsidP="00C2081A">
      <w:pPr>
        <w:spacing w:line="480" w:lineRule="auto"/>
        <w:jc w:val="both"/>
        <w:rPr>
          <w:rFonts w:ascii="Times New Roman" w:hAnsi="Times New Roman"/>
          <w:sz w:val="24"/>
          <w:szCs w:val="24"/>
          <w:lang w:val="en-GB"/>
        </w:rPr>
      </w:pPr>
      <w:r w:rsidRPr="00042ADE">
        <w:rPr>
          <w:rFonts w:ascii="Times New Roman" w:hAnsi="Times New Roman"/>
          <w:b/>
          <w:sz w:val="24"/>
          <w:szCs w:val="24"/>
          <w:lang w:val="en-US"/>
        </w:rPr>
        <w:t>Table 2</w:t>
      </w:r>
      <w:r w:rsidRPr="00042ADE">
        <w:rPr>
          <w:rFonts w:ascii="Times New Roman" w:hAnsi="Times New Roman"/>
          <w:sz w:val="24"/>
          <w:szCs w:val="24"/>
          <w:lang w:val="en-US"/>
        </w:rPr>
        <w:t xml:space="preserve">. Associations between nitric oxide (NOx) levels and temperature of dorsal site of both hands </w:t>
      </w:r>
      <w:r w:rsidRPr="00042ADE">
        <w:rPr>
          <w:rFonts w:ascii="Times New Roman" w:hAnsi="Times New Roman"/>
          <w:sz w:val="24"/>
          <w:szCs w:val="24"/>
          <w:lang w:val="en-GB"/>
        </w:rPr>
        <w:t>among cases (women with FMS) and controls (healthy women).</w:t>
      </w:r>
    </w:p>
    <w:p w14:paraId="4F840C04" w14:textId="77777777" w:rsidR="00AD7C3E" w:rsidRPr="00042ADE" w:rsidRDefault="00AD7C3E" w:rsidP="00AD7C3E">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t>Table 3</w:t>
      </w:r>
      <w:r w:rsidRPr="00042ADE">
        <w:rPr>
          <w:rFonts w:ascii="Times New Roman" w:hAnsi="Times New Roman"/>
          <w:sz w:val="24"/>
          <w:szCs w:val="24"/>
          <w:lang w:val="en-US"/>
        </w:rPr>
        <w:t xml:space="preserve">. Beta estimates and confidence intervals for the association between nitric oxide (NOx) and </w:t>
      </w:r>
      <w:r w:rsidRPr="00042ADE">
        <w:rPr>
          <w:rFonts w:ascii="Times New Roman" w:hAnsi="Times New Roman"/>
          <w:sz w:val="24"/>
          <w:szCs w:val="24"/>
          <w:lang w:val="en-GB"/>
        </w:rPr>
        <w:t>tympanic and axillary core temperature among cases (women with FMS) and controls (healthy women).</w:t>
      </w:r>
    </w:p>
    <w:p w14:paraId="17CDCA0D" w14:textId="77777777" w:rsidR="00AD7C3E" w:rsidRPr="00042ADE" w:rsidRDefault="00AD7C3E" w:rsidP="00C2081A">
      <w:pPr>
        <w:spacing w:line="480" w:lineRule="auto"/>
        <w:jc w:val="both"/>
        <w:rPr>
          <w:rFonts w:ascii="Times New Roman" w:hAnsi="Times New Roman"/>
          <w:sz w:val="24"/>
          <w:szCs w:val="24"/>
          <w:lang w:val="en-US"/>
        </w:rPr>
      </w:pPr>
    </w:p>
    <w:p w14:paraId="4CCD0AF8" w14:textId="77777777" w:rsidR="001A6FF4" w:rsidRPr="00042ADE" w:rsidRDefault="001A6FF4" w:rsidP="00C2081A">
      <w:pPr>
        <w:spacing w:line="480" w:lineRule="auto"/>
        <w:jc w:val="both"/>
        <w:rPr>
          <w:rFonts w:ascii="Times New Roman" w:hAnsi="Times New Roman"/>
          <w:sz w:val="24"/>
          <w:szCs w:val="24"/>
          <w:lang w:val="en-GB"/>
        </w:rPr>
      </w:pPr>
    </w:p>
    <w:p w14:paraId="712AB969" w14:textId="77777777" w:rsidR="00F60350" w:rsidRPr="00042ADE" w:rsidRDefault="00F60350" w:rsidP="00C2081A">
      <w:pPr>
        <w:spacing w:line="480" w:lineRule="auto"/>
        <w:jc w:val="both"/>
        <w:rPr>
          <w:rFonts w:ascii="Times New Roman" w:hAnsi="Times New Roman"/>
          <w:sz w:val="24"/>
          <w:szCs w:val="24"/>
          <w:lang w:val="en-GB"/>
        </w:rPr>
      </w:pPr>
    </w:p>
    <w:p w14:paraId="0F17F1E0" w14:textId="77777777" w:rsidR="001A5031" w:rsidRPr="00042ADE" w:rsidRDefault="001A5031">
      <w:pPr>
        <w:rPr>
          <w:rFonts w:ascii="Times New Roman" w:hAnsi="Times New Roman"/>
          <w:sz w:val="24"/>
          <w:szCs w:val="24"/>
          <w:lang w:val="en-GB"/>
        </w:rPr>
      </w:pPr>
      <w:r w:rsidRPr="00042ADE">
        <w:rPr>
          <w:rFonts w:ascii="Times New Roman" w:hAnsi="Times New Roman"/>
          <w:sz w:val="24"/>
          <w:szCs w:val="24"/>
          <w:lang w:val="en-GB"/>
        </w:rPr>
        <w:br w:type="page"/>
      </w:r>
    </w:p>
    <w:p w14:paraId="75D9979F" w14:textId="77777777" w:rsidR="009A3539" w:rsidRPr="00042ADE" w:rsidRDefault="009A3539" w:rsidP="009A3539">
      <w:pPr>
        <w:spacing w:line="360" w:lineRule="auto"/>
        <w:rPr>
          <w:rFonts w:ascii="Times New Roman" w:hAnsi="Times New Roman"/>
          <w:sz w:val="24"/>
          <w:szCs w:val="24"/>
          <w:lang w:val="en-US"/>
        </w:rPr>
      </w:pPr>
      <w:r w:rsidRPr="00042ADE">
        <w:rPr>
          <w:rFonts w:ascii="Times New Roman" w:hAnsi="Times New Roman"/>
          <w:b/>
          <w:sz w:val="24"/>
          <w:szCs w:val="24"/>
          <w:lang w:val="en-GB"/>
        </w:rPr>
        <w:lastRenderedPageBreak/>
        <w:t>Table 1</w:t>
      </w:r>
      <w:r w:rsidRPr="00042ADE">
        <w:rPr>
          <w:rFonts w:ascii="Times New Roman" w:hAnsi="Times New Roman"/>
          <w:sz w:val="24"/>
          <w:szCs w:val="24"/>
          <w:lang w:val="en-GB"/>
        </w:rPr>
        <w:t>. Demographic and clinical characteristics of women with FMS and healthy women.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104"/>
        <w:gridCol w:w="1967"/>
        <w:gridCol w:w="1365"/>
      </w:tblGrid>
      <w:tr w:rsidR="009A3539" w:rsidRPr="00042ADE" w14:paraId="4BC47BFC" w14:textId="77777777" w:rsidTr="00C51483">
        <w:tc>
          <w:tcPr>
            <w:tcW w:w="3119" w:type="dxa"/>
            <w:tcBorders>
              <w:top w:val="single" w:sz="4" w:space="0" w:color="auto"/>
              <w:bottom w:val="single" w:sz="4" w:space="0" w:color="auto"/>
            </w:tcBorders>
          </w:tcPr>
          <w:p w14:paraId="379AA60C" w14:textId="77777777" w:rsidR="009A3539" w:rsidRPr="00042ADE" w:rsidRDefault="009A3539" w:rsidP="00C51483">
            <w:pPr>
              <w:spacing w:line="360" w:lineRule="auto"/>
              <w:rPr>
                <w:rFonts w:ascii="Times New Roman" w:hAnsi="Times New Roman"/>
                <w:sz w:val="24"/>
                <w:szCs w:val="24"/>
                <w:lang w:val="en-GB"/>
              </w:rPr>
            </w:pPr>
          </w:p>
        </w:tc>
        <w:tc>
          <w:tcPr>
            <w:tcW w:w="2126" w:type="dxa"/>
            <w:tcBorders>
              <w:top w:val="single" w:sz="4" w:space="0" w:color="auto"/>
              <w:bottom w:val="single" w:sz="4" w:space="0" w:color="auto"/>
            </w:tcBorders>
          </w:tcPr>
          <w:p w14:paraId="42E0FACB" w14:textId="77777777" w:rsidR="009A3539" w:rsidRPr="00042ADE" w:rsidRDefault="009A3539" w:rsidP="00C51483">
            <w:pPr>
              <w:spacing w:line="360" w:lineRule="auto"/>
              <w:jc w:val="center"/>
              <w:rPr>
                <w:rFonts w:ascii="Times New Roman" w:hAnsi="Times New Roman"/>
                <w:b/>
                <w:sz w:val="24"/>
                <w:szCs w:val="24"/>
                <w:lang w:val="en-GB"/>
              </w:rPr>
            </w:pPr>
            <w:r w:rsidRPr="00042ADE">
              <w:rPr>
                <w:rFonts w:ascii="Times New Roman" w:hAnsi="Times New Roman"/>
                <w:b/>
                <w:sz w:val="24"/>
                <w:szCs w:val="24"/>
                <w:lang w:val="en-GB"/>
              </w:rPr>
              <w:t>Women with FMS</w:t>
            </w:r>
          </w:p>
          <w:p w14:paraId="4C020ED1" w14:textId="77777777" w:rsidR="009A3539" w:rsidRPr="00042ADE" w:rsidRDefault="009A3539" w:rsidP="00C51483">
            <w:pPr>
              <w:spacing w:line="360" w:lineRule="auto"/>
              <w:jc w:val="center"/>
              <w:rPr>
                <w:rFonts w:ascii="Times New Roman" w:hAnsi="Times New Roman"/>
                <w:b/>
                <w:sz w:val="24"/>
                <w:szCs w:val="24"/>
                <w:lang w:val="en-GB"/>
              </w:rPr>
            </w:pPr>
            <w:r w:rsidRPr="00042ADE">
              <w:rPr>
                <w:rFonts w:ascii="Times New Roman" w:hAnsi="Times New Roman"/>
                <w:b/>
                <w:sz w:val="24"/>
                <w:szCs w:val="24"/>
                <w:lang w:val="en-GB"/>
              </w:rPr>
              <w:t>(n=42)</w:t>
            </w:r>
          </w:p>
        </w:tc>
        <w:tc>
          <w:tcPr>
            <w:tcW w:w="1985" w:type="dxa"/>
            <w:tcBorders>
              <w:top w:val="single" w:sz="4" w:space="0" w:color="auto"/>
              <w:bottom w:val="single" w:sz="4" w:space="0" w:color="auto"/>
            </w:tcBorders>
          </w:tcPr>
          <w:p w14:paraId="05FF564D" w14:textId="77777777" w:rsidR="009A3539" w:rsidRPr="00042ADE" w:rsidRDefault="009A3539" w:rsidP="00C51483">
            <w:pPr>
              <w:spacing w:line="360" w:lineRule="auto"/>
              <w:jc w:val="center"/>
              <w:rPr>
                <w:rFonts w:ascii="Times New Roman" w:hAnsi="Times New Roman"/>
                <w:b/>
                <w:sz w:val="24"/>
                <w:szCs w:val="24"/>
                <w:lang w:val="en-GB"/>
              </w:rPr>
            </w:pPr>
            <w:r w:rsidRPr="00042ADE">
              <w:rPr>
                <w:rFonts w:ascii="Times New Roman" w:hAnsi="Times New Roman"/>
                <w:b/>
                <w:sz w:val="24"/>
                <w:szCs w:val="24"/>
                <w:lang w:val="en-GB"/>
              </w:rPr>
              <w:t>Healthy women</w:t>
            </w:r>
          </w:p>
          <w:p w14:paraId="2F9E6A71" w14:textId="77777777" w:rsidR="009A3539" w:rsidRPr="00042ADE" w:rsidRDefault="009A3539" w:rsidP="00C51483">
            <w:pPr>
              <w:spacing w:line="360" w:lineRule="auto"/>
              <w:jc w:val="center"/>
              <w:rPr>
                <w:rFonts w:ascii="Times New Roman" w:hAnsi="Times New Roman"/>
                <w:b/>
                <w:sz w:val="24"/>
                <w:szCs w:val="24"/>
                <w:lang w:val="en-GB"/>
              </w:rPr>
            </w:pPr>
            <w:r w:rsidRPr="00042ADE">
              <w:rPr>
                <w:rFonts w:ascii="Times New Roman" w:hAnsi="Times New Roman"/>
                <w:b/>
                <w:sz w:val="24"/>
                <w:szCs w:val="24"/>
                <w:lang w:val="en-GB"/>
              </w:rPr>
              <w:t>(n=52)</w:t>
            </w:r>
          </w:p>
        </w:tc>
        <w:tc>
          <w:tcPr>
            <w:tcW w:w="1382" w:type="dxa"/>
            <w:tcBorders>
              <w:top w:val="single" w:sz="4" w:space="0" w:color="auto"/>
              <w:bottom w:val="single" w:sz="4" w:space="0" w:color="auto"/>
            </w:tcBorders>
          </w:tcPr>
          <w:p w14:paraId="6B6639CE" w14:textId="77777777" w:rsidR="009A3539" w:rsidRPr="00042ADE" w:rsidRDefault="009A3539" w:rsidP="00C51483">
            <w:pPr>
              <w:spacing w:line="360" w:lineRule="auto"/>
              <w:jc w:val="center"/>
              <w:rPr>
                <w:rFonts w:ascii="Times New Roman" w:hAnsi="Times New Roman"/>
                <w:b/>
                <w:sz w:val="24"/>
                <w:szCs w:val="24"/>
                <w:lang w:val="en-GB"/>
              </w:rPr>
            </w:pPr>
            <w:r w:rsidRPr="00042ADE">
              <w:rPr>
                <w:rFonts w:ascii="Times New Roman" w:hAnsi="Times New Roman"/>
                <w:b/>
                <w:i/>
                <w:sz w:val="24"/>
                <w:szCs w:val="24"/>
                <w:lang w:val="en-GB"/>
              </w:rPr>
              <w:t>P</w:t>
            </w:r>
            <w:r w:rsidRPr="00042ADE">
              <w:rPr>
                <w:rFonts w:ascii="Times New Roman" w:hAnsi="Times New Roman"/>
                <w:b/>
                <w:sz w:val="24"/>
                <w:szCs w:val="24"/>
                <w:lang w:val="en-GB"/>
              </w:rPr>
              <w:t>-value</w:t>
            </w:r>
          </w:p>
        </w:tc>
      </w:tr>
      <w:tr w:rsidR="009A3539" w:rsidRPr="00042ADE" w14:paraId="3FA2754C" w14:textId="77777777" w:rsidTr="00C51483">
        <w:tc>
          <w:tcPr>
            <w:tcW w:w="3119" w:type="dxa"/>
            <w:tcBorders>
              <w:top w:val="single" w:sz="4" w:space="0" w:color="auto"/>
            </w:tcBorders>
          </w:tcPr>
          <w:p w14:paraId="4BD55ED1"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Age (years)</w:t>
            </w:r>
          </w:p>
        </w:tc>
        <w:tc>
          <w:tcPr>
            <w:tcW w:w="2126" w:type="dxa"/>
            <w:tcBorders>
              <w:top w:val="single" w:sz="4" w:space="0" w:color="auto"/>
            </w:tcBorders>
          </w:tcPr>
          <w:p w14:paraId="53A363D2"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56.45±6.58</w:t>
            </w:r>
          </w:p>
        </w:tc>
        <w:tc>
          <w:tcPr>
            <w:tcW w:w="1985" w:type="dxa"/>
            <w:tcBorders>
              <w:top w:val="single" w:sz="4" w:space="0" w:color="auto"/>
            </w:tcBorders>
          </w:tcPr>
          <w:p w14:paraId="3E395EB5"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57.15</w:t>
            </w:r>
            <w:r w:rsidRPr="00042ADE">
              <w:rPr>
                <w:rFonts w:ascii="Times New Roman" w:hAnsi="Times New Roman"/>
                <w:color w:val="010205"/>
                <w:sz w:val="24"/>
                <w:szCs w:val="24"/>
              </w:rPr>
              <w:t>±10.52</w:t>
            </w:r>
          </w:p>
        </w:tc>
        <w:tc>
          <w:tcPr>
            <w:tcW w:w="1382" w:type="dxa"/>
            <w:tcBorders>
              <w:top w:val="single" w:sz="4" w:space="0" w:color="auto"/>
            </w:tcBorders>
          </w:tcPr>
          <w:p w14:paraId="39F3236A"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0.707</w:t>
            </w:r>
          </w:p>
        </w:tc>
      </w:tr>
      <w:tr w:rsidR="009A3539" w:rsidRPr="00042ADE" w14:paraId="6D56E5F7" w14:textId="77777777" w:rsidTr="00C51483">
        <w:tc>
          <w:tcPr>
            <w:tcW w:w="3119" w:type="dxa"/>
          </w:tcPr>
          <w:p w14:paraId="567AABA4"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Height (cm)</w:t>
            </w:r>
          </w:p>
        </w:tc>
        <w:tc>
          <w:tcPr>
            <w:tcW w:w="2126" w:type="dxa"/>
          </w:tcPr>
          <w:p w14:paraId="3B1793E9"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159.12±5.67</w:t>
            </w:r>
          </w:p>
        </w:tc>
        <w:tc>
          <w:tcPr>
            <w:tcW w:w="1985" w:type="dxa"/>
          </w:tcPr>
          <w:p w14:paraId="1292299D"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157.63±6.51</w:t>
            </w:r>
          </w:p>
        </w:tc>
        <w:tc>
          <w:tcPr>
            <w:tcW w:w="1382" w:type="dxa"/>
          </w:tcPr>
          <w:p w14:paraId="0C5328F5"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0.248</w:t>
            </w:r>
          </w:p>
        </w:tc>
      </w:tr>
      <w:tr w:rsidR="009A3539" w:rsidRPr="00042ADE" w14:paraId="441D6FB4" w14:textId="77777777" w:rsidTr="00C51483">
        <w:tc>
          <w:tcPr>
            <w:tcW w:w="3119" w:type="dxa"/>
          </w:tcPr>
          <w:p w14:paraId="39C11FF4"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Weight (kg)</w:t>
            </w:r>
          </w:p>
        </w:tc>
        <w:tc>
          <w:tcPr>
            <w:tcW w:w="2126" w:type="dxa"/>
          </w:tcPr>
          <w:p w14:paraId="40F3AAC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72.76±12.48</w:t>
            </w:r>
          </w:p>
        </w:tc>
        <w:tc>
          <w:tcPr>
            <w:tcW w:w="1985" w:type="dxa"/>
          </w:tcPr>
          <w:p w14:paraId="5EEB9E02"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65.58±10.34</w:t>
            </w:r>
          </w:p>
        </w:tc>
        <w:tc>
          <w:tcPr>
            <w:tcW w:w="1382" w:type="dxa"/>
          </w:tcPr>
          <w:p w14:paraId="1019AD63"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0.003</w:t>
            </w:r>
            <w:r w:rsidRPr="00042ADE">
              <w:rPr>
                <w:rFonts w:ascii="Times New Roman" w:hAnsi="Times New Roman"/>
                <w:sz w:val="24"/>
                <w:szCs w:val="24"/>
                <w:vertAlign w:val="superscript"/>
                <w:lang w:val="en-GB"/>
              </w:rPr>
              <w:t>*</w:t>
            </w:r>
          </w:p>
        </w:tc>
      </w:tr>
      <w:tr w:rsidR="009A3539" w:rsidRPr="00042ADE" w14:paraId="295D560F" w14:textId="77777777" w:rsidTr="00C51483">
        <w:tc>
          <w:tcPr>
            <w:tcW w:w="3119" w:type="dxa"/>
          </w:tcPr>
          <w:p w14:paraId="385323D5"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BMI (kg/m</w:t>
            </w:r>
            <w:r w:rsidRPr="00042ADE">
              <w:rPr>
                <w:rFonts w:ascii="Times New Roman" w:hAnsi="Times New Roman"/>
                <w:b/>
                <w:sz w:val="24"/>
                <w:szCs w:val="24"/>
                <w:vertAlign w:val="superscript"/>
                <w:lang w:val="en-GB"/>
              </w:rPr>
              <w:t>2</w:t>
            </w:r>
            <w:r w:rsidRPr="00042ADE">
              <w:rPr>
                <w:rFonts w:ascii="Times New Roman" w:hAnsi="Times New Roman"/>
                <w:b/>
                <w:sz w:val="24"/>
                <w:szCs w:val="24"/>
                <w:lang w:val="en-GB"/>
              </w:rPr>
              <w:t>)</w:t>
            </w:r>
          </w:p>
        </w:tc>
        <w:tc>
          <w:tcPr>
            <w:tcW w:w="2126" w:type="dxa"/>
          </w:tcPr>
          <w:p w14:paraId="68927B3E"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28.88±5.70</w:t>
            </w:r>
          </w:p>
        </w:tc>
        <w:tc>
          <w:tcPr>
            <w:tcW w:w="1985" w:type="dxa"/>
          </w:tcPr>
          <w:p w14:paraId="568EE3B2"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26.29±4.04</w:t>
            </w:r>
          </w:p>
        </w:tc>
        <w:tc>
          <w:tcPr>
            <w:tcW w:w="1382" w:type="dxa"/>
          </w:tcPr>
          <w:p w14:paraId="42C20C44"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0.012</w:t>
            </w:r>
            <w:r w:rsidRPr="00042ADE">
              <w:rPr>
                <w:rFonts w:ascii="Times New Roman" w:hAnsi="Times New Roman"/>
                <w:sz w:val="24"/>
                <w:szCs w:val="24"/>
                <w:vertAlign w:val="superscript"/>
                <w:lang w:val="en-GB"/>
              </w:rPr>
              <w:t>*</w:t>
            </w:r>
          </w:p>
        </w:tc>
      </w:tr>
      <w:tr w:rsidR="009A3539" w:rsidRPr="00042ADE" w14:paraId="7400E229" w14:textId="77777777" w:rsidTr="00C51483">
        <w:tc>
          <w:tcPr>
            <w:tcW w:w="3119" w:type="dxa"/>
          </w:tcPr>
          <w:p w14:paraId="7CBB509E"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US"/>
              </w:rPr>
              <w:t>NOx (</w:t>
            </w:r>
            <w:proofErr w:type="spellStart"/>
            <w:r w:rsidRPr="00042ADE">
              <w:rPr>
                <w:rFonts w:ascii="Times New Roman" w:hAnsi="Times New Roman"/>
                <w:b/>
                <w:sz w:val="24"/>
                <w:szCs w:val="24"/>
                <w:lang w:val="en-US"/>
              </w:rPr>
              <w:t>μmol</w:t>
            </w:r>
            <w:proofErr w:type="spellEnd"/>
            <w:r w:rsidRPr="00042ADE">
              <w:rPr>
                <w:rFonts w:ascii="Times New Roman" w:hAnsi="Times New Roman"/>
                <w:b/>
                <w:sz w:val="24"/>
                <w:szCs w:val="24"/>
                <w:lang w:val="en-US"/>
              </w:rPr>
              <w:t>/mg protein)</w:t>
            </w:r>
          </w:p>
        </w:tc>
        <w:tc>
          <w:tcPr>
            <w:tcW w:w="2126" w:type="dxa"/>
          </w:tcPr>
          <w:p w14:paraId="3910AF11"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27.88±21.44</w:t>
            </w:r>
          </w:p>
        </w:tc>
        <w:tc>
          <w:tcPr>
            <w:tcW w:w="1985" w:type="dxa"/>
          </w:tcPr>
          <w:p w14:paraId="5018E7C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29.81±18.13</w:t>
            </w:r>
          </w:p>
        </w:tc>
        <w:tc>
          <w:tcPr>
            <w:tcW w:w="1382" w:type="dxa"/>
          </w:tcPr>
          <w:p w14:paraId="6680BDDE"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0.637</w:t>
            </w:r>
          </w:p>
        </w:tc>
      </w:tr>
      <w:tr w:rsidR="009A3539" w:rsidRPr="00042ADE" w14:paraId="56BF7A6B" w14:textId="77777777" w:rsidTr="00C51483">
        <w:tc>
          <w:tcPr>
            <w:tcW w:w="3119" w:type="dxa"/>
          </w:tcPr>
          <w:p w14:paraId="60F12A0A"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Tympanic temperature ºC</w:t>
            </w:r>
          </w:p>
        </w:tc>
        <w:tc>
          <w:tcPr>
            <w:tcW w:w="2126" w:type="dxa"/>
          </w:tcPr>
          <w:p w14:paraId="1EE6B819"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36.03±0.68</w:t>
            </w:r>
          </w:p>
        </w:tc>
        <w:tc>
          <w:tcPr>
            <w:tcW w:w="1985" w:type="dxa"/>
          </w:tcPr>
          <w:p w14:paraId="1431513B"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35.62±0.58</w:t>
            </w:r>
          </w:p>
        </w:tc>
        <w:tc>
          <w:tcPr>
            <w:tcW w:w="1382" w:type="dxa"/>
          </w:tcPr>
          <w:p w14:paraId="4305F61C"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0.002</w:t>
            </w:r>
            <w:r w:rsidRPr="00042ADE">
              <w:rPr>
                <w:rFonts w:ascii="Times New Roman" w:hAnsi="Times New Roman"/>
                <w:sz w:val="24"/>
                <w:szCs w:val="24"/>
                <w:vertAlign w:val="superscript"/>
                <w:lang w:val="en-GB"/>
              </w:rPr>
              <w:t>*</w:t>
            </w:r>
          </w:p>
        </w:tc>
      </w:tr>
      <w:tr w:rsidR="009A3539" w:rsidRPr="00042ADE" w14:paraId="7EF08A4A" w14:textId="77777777" w:rsidTr="00C51483">
        <w:tc>
          <w:tcPr>
            <w:tcW w:w="3119" w:type="dxa"/>
          </w:tcPr>
          <w:p w14:paraId="0AC84A71" w14:textId="77777777" w:rsidR="009A3539" w:rsidRPr="00042ADE" w:rsidRDefault="009A3539" w:rsidP="00C51483">
            <w:pPr>
              <w:spacing w:line="360" w:lineRule="auto"/>
              <w:rPr>
                <w:rFonts w:ascii="Times New Roman" w:hAnsi="Times New Roman"/>
                <w:b/>
                <w:sz w:val="24"/>
                <w:szCs w:val="24"/>
                <w:lang w:val="en-GB"/>
              </w:rPr>
            </w:pPr>
            <w:r w:rsidRPr="00042ADE">
              <w:rPr>
                <w:rFonts w:ascii="Times New Roman" w:hAnsi="Times New Roman"/>
                <w:b/>
                <w:sz w:val="24"/>
                <w:szCs w:val="24"/>
                <w:lang w:val="en-GB"/>
              </w:rPr>
              <w:t>Axillary temperature ºC</w:t>
            </w:r>
          </w:p>
        </w:tc>
        <w:tc>
          <w:tcPr>
            <w:tcW w:w="2126" w:type="dxa"/>
          </w:tcPr>
          <w:p w14:paraId="40DC9649"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35.65±0.53</w:t>
            </w:r>
          </w:p>
        </w:tc>
        <w:tc>
          <w:tcPr>
            <w:tcW w:w="1985" w:type="dxa"/>
          </w:tcPr>
          <w:p w14:paraId="697E4210"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35.58±0.63</w:t>
            </w:r>
          </w:p>
        </w:tc>
        <w:tc>
          <w:tcPr>
            <w:tcW w:w="1382" w:type="dxa"/>
          </w:tcPr>
          <w:p w14:paraId="2BB94DF5"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0.341</w:t>
            </w:r>
          </w:p>
        </w:tc>
      </w:tr>
      <w:tr w:rsidR="009A3539" w:rsidRPr="00042ADE" w14:paraId="30C22D4E" w14:textId="77777777" w:rsidTr="00C51483">
        <w:tc>
          <w:tcPr>
            <w:tcW w:w="3119" w:type="dxa"/>
          </w:tcPr>
          <w:p w14:paraId="6CF6345D" w14:textId="77777777" w:rsidR="009A3539" w:rsidRPr="00042ADE" w:rsidRDefault="009A3539" w:rsidP="00C51483">
            <w:pPr>
              <w:rPr>
                <w:rFonts w:ascii="Times New Roman" w:hAnsi="Times New Roman"/>
                <w:b/>
                <w:sz w:val="24"/>
                <w:szCs w:val="24"/>
              </w:rPr>
            </w:pPr>
            <w:r w:rsidRPr="00042ADE">
              <w:rPr>
                <w:rFonts w:ascii="Times New Roman" w:hAnsi="Times New Roman"/>
                <w:b/>
                <w:sz w:val="24"/>
                <w:szCs w:val="24"/>
              </w:rPr>
              <w:t>FIQ-R</w:t>
            </w:r>
          </w:p>
        </w:tc>
        <w:tc>
          <w:tcPr>
            <w:tcW w:w="2126" w:type="dxa"/>
          </w:tcPr>
          <w:p w14:paraId="3C43BAD0" w14:textId="77777777" w:rsidR="009A3539" w:rsidRPr="00042ADE" w:rsidRDefault="009A3539" w:rsidP="00C51483">
            <w:pPr>
              <w:spacing w:line="360" w:lineRule="auto"/>
              <w:jc w:val="center"/>
              <w:rPr>
                <w:rFonts w:ascii="Times New Roman" w:hAnsi="Times New Roman"/>
                <w:sz w:val="24"/>
                <w:szCs w:val="24"/>
                <w:lang w:val="en-GB"/>
              </w:rPr>
            </w:pPr>
          </w:p>
        </w:tc>
        <w:tc>
          <w:tcPr>
            <w:tcW w:w="1985" w:type="dxa"/>
          </w:tcPr>
          <w:p w14:paraId="0D628E1D" w14:textId="77777777" w:rsidR="009A3539" w:rsidRPr="00042ADE" w:rsidRDefault="009A3539" w:rsidP="00C51483">
            <w:pPr>
              <w:spacing w:line="360" w:lineRule="auto"/>
              <w:jc w:val="center"/>
              <w:rPr>
                <w:rFonts w:ascii="Times New Roman" w:hAnsi="Times New Roman"/>
                <w:sz w:val="24"/>
                <w:szCs w:val="24"/>
                <w:lang w:val="en-GB"/>
              </w:rPr>
            </w:pPr>
          </w:p>
        </w:tc>
        <w:tc>
          <w:tcPr>
            <w:tcW w:w="1382" w:type="dxa"/>
          </w:tcPr>
          <w:p w14:paraId="18F2AC21" w14:textId="77777777" w:rsidR="009A3539" w:rsidRPr="00042ADE" w:rsidRDefault="009A3539" w:rsidP="00C51483">
            <w:pPr>
              <w:spacing w:line="360" w:lineRule="auto"/>
              <w:jc w:val="center"/>
              <w:rPr>
                <w:rFonts w:ascii="Times New Roman" w:hAnsi="Times New Roman"/>
                <w:sz w:val="24"/>
                <w:szCs w:val="24"/>
                <w:lang w:val="en-GB"/>
              </w:rPr>
            </w:pPr>
          </w:p>
        </w:tc>
      </w:tr>
      <w:tr w:rsidR="009A3539" w:rsidRPr="00042ADE" w14:paraId="36A79F64" w14:textId="77777777" w:rsidTr="00C51483">
        <w:tc>
          <w:tcPr>
            <w:tcW w:w="3119" w:type="dxa"/>
          </w:tcPr>
          <w:p w14:paraId="2450CF79" w14:textId="77777777" w:rsidR="009A3539" w:rsidRPr="00042ADE" w:rsidRDefault="009A3539" w:rsidP="00C51483">
            <w:pPr>
              <w:jc w:val="center"/>
              <w:rPr>
                <w:rFonts w:ascii="Times New Roman" w:hAnsi="Times New Roman"/>
                <w:b/>
                <w:sz w:val="24"/>
                <w:szCs w:val="24"/>
              </w:rPr>
            </w:pPr>
            <w:r w:rsidRPr="00042ADE">
              <w:rPr>
                <w:rFonts w:ascii="Times New Roman" w:hAnsi="Times New Roman"/>
                <w:b/>
                <w:sz w:val="24"/>
                <w:szCs w:val="24"/>
              </w:rPr>
              <w:t>FIQ-R.1</w:t>
            </w:r>
          </w:p>
        </w:tc>
        <w:tc>
          <w:tcPr>
            <w:tcW w:w="2126" w:type="dxa"/>
          </w:tcPr>
          <w:p w14:paraId="4B34090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20.00±4.79</w:t>
            </w:r>
          </w:p>
        </w:tc>
        <w:tc>
          <w:tcPr>
            <w:tcW w:w="1985" w:type="dxa"/>
          </w:tcPr>
          <w:p w14:paraId="264B5AF7"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c>
          <w:tcPr>
            <w:tcW w:w="1382" w:type="dxa"/>
          </w:tcPr>
          <w:p w14:paraId="33ED6E27"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r>
      <w:tr w:rsidR="009A3539" w:rsidRPr="00042ADE" w14:paraId="435FE89E" w14:textId="77777777" w:rsidTr="00C51483">
        <w:tc>
          <w:tcPr>
            <w:tcW w:w="3119" w:type="dxa"/>
          </w:tcPr>
          <w:p w14:paraId="579A9545" w14:textId="77777777" w:rsidR="009A3539" w:rsidRPr="00042ADE" w:rsidRDefault="009A3539" w:rsidP="00C51483">
            <w:pPr>
              <w:jc w:val="center"/>
              <w:rPr>
                <w:rFonts w:ascii="Times New Roman" w:hAnsi="Times New Roman"/>
                <w:b/>
                <w:sz w:val="24"/>
                <w:szCs w:val="24"/>
              </w:rPr>
            </w:pPr>
            <w:r w:rsidRPr="00042ADE">
              <w:rPr>
                <w:rFonts w:ascii="Times New Roman" w:hAnsi="Times New Roman"/>
                <w:b/>
                <w:sz w:val="24"/>
                <w:szCs w:val="24"/>
              </w:rPr>
              <w:t>FIQ-R.2</w:t>
            </w:r>
          </w:p>
        </w:tc>
        <w:tc>
          <w:tcPr>
            <w:tcW w:w="2126" w:type="dxa"/>
          </w:tcPr>
          <w:p w14:paraId="605D5F04"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13.79±4.46</w:t>
            </w:r>
          </w:p>
        </w:tc>
        <w:tc>
          <w:tcPr>
            <w:tcW w:w="1985" w:type="dxa"/>
          </w:tcPr>
          <w:p w14:paraId="79130C51"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c>
          <w:tcPr>
            <w:tcW w:w="1382" w:type="dxa"/>
          </w:tcPr>
          <w:p w14:paraId="6ACC86E5"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r>
      <w:tr w:rsidR="009A3539" w:rsidRPr="00042ADE" w14:paraId="05A0F553" w14:textId="77777777" w:rsidTr="00C51483">
        <w:tc>
          <w:tcPr>
            <w:tcW w:w="3119" w:type="dxa"/>
          </w:tcPr>
          <w:p w14:paraId="516BBEC1" w14:textId="77777777" w:rsidR="009A3539" w:rsidRPr="00042ADE" w:rsidRDefault="009A3539" w:rsidP="00C51483">
            <w:pPr>
              <w:jc w:val="center"/>
              <w:rPr>
                <w:rFonts w:ascii="Times New Roman" w:hAnsi="Times New Roman"/>
                <w:b/>
                <w:sz w:val="24"/>
                <w:szCs w:val="24"/>
              </w:rPr>
            </w:pPr>
            <w:r w:rsidRPr="00042ADE">
              <w:rPr>
                <w:rFonts w:ascii="Times New Roman" w:hAnsi="Times New Roman"/>
                <w:b/>
                <w:sz w:val="24"/>
                <w:szCs w:val="24"/>
              </w:rPr>
              <w:t>FIQ-R.3</w:t>
            </w:r>
          </w:p>
        </w:tc>
        <w:tc>
          <w:tcPr>
            <w:tcW w:w="2126" w:type="dxa"/>
          </w:tcPr>
          <w:p w14:paraId="2D81C549"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38.44±5.75</w:t>
            </w:r>
          </w:p>
        </w:tc>
        <w:tc>
          <w:tcPr>
            <w:tcW w:w="1985" w:type="dxa"/>
          </w:tcPr>
          <w:p w14:paraId="667A4CD2"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c>
          <w:tcPr>
            <w:tcW w:w="1382" w:type="dxa"/>
          </w:tcPr>
          <w:p w14:paraId="7CE2032E"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r>
      <w:tr w:rsidR="009A3539" w:rsidRPr="00042ADE" w14:paraId="12EADC3E" w14:textId="77777777" w:rsidTr="00C51483">
        <w:tc>
          <w:tcPr>
            <w:tcW w:w="3119" w:type="dxa"/>
            <w:tcBorders>
              <w:bottom w:val="single" w:sz="4" w:space="0" w:color="auto"/>
            </w:tcBorders>
          </w:tcPr>
          <w:p w14:paraId="0AF01D24" w14:textId="77777777" w:rsidR="009A3539" w:rsidRPr="00042ADE" w:rsidRDefault="009A3539" w:rsidP="00C51483">
            <w:pPr>
              <w:jc w:val="center"/>
              <w:rPr>
                <w:rFonts w:ascii="Times New Roman" w:hAnsi="Times New Roman"/>
                <w:b/>
                <w:sz w:val="24"/>
                <w:szCs w:val="24"/>
              </w:rPr>
            </w:pPr>
            <w:r w:rsidRPr="00042ADE">
              <w:rPr>
                <w:rFonts w:ascii="Times New Roman" w:hAnsi="Times New Roman"/>
                <w:b/>
                <w:sz w:val="24"/>
                <w:szCs w:val="24"/>
              </w:rPr>
              <w:t>Total score</w:t>
            </w:r>
          </w:p>
        </w:tc>
        <w:tc>
          <w:tcPr>
            <w:tcW w:w="2126" w:type="dxa"/>
            <w:tcBorders>
              <w:bottom w:val="single" w:sz="4" w:space="0" w:color="auto"/>
            </w:tcBorders>
          </w:tcPr>
          <w:p w14:paraId="389A931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72.48±12.73</w:t>
            </w:r>
          </w:p>
        </w:tc>
        <w:tc>
          <w:tcPr>
            <w:tcW w:w="1985" w:type="dxa"/>
            <w:tcBorders>
              <w:bottom w:val="single" w:sz="4" w:space="0" w:color="auto"/>
            </w:tcBorders>
          </w:tcPr>
          <w:p w14:paraId="1D09CF3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c>
          <w:tcPr>
            <w:tcW w:w="1382" w:type="dxa"/>
            <w:tcBorders>
              <w:bottom w:val="single" w:sz="4" w:space="0" w:color="auto"/>
            </w:tcBorders>
          </w:tcPr>
          <w:p w14:paraId="1C5F6678" w14:textId="77777777" w:rsidR="009A3539" w:rsidRPr="00042ADE" w:rsidRDefault="009A3539" w:rsidP="00C51483">
            <w:pPr>
              <w:spacing w:line="360" w:lineRule="auto"/>
              <w:jc w:val="center"/>
              <w:rPr>
                <w:rFonts w:ascii="Times New Roman" w:hAnsi="Times New Roman"/>
                <w:sz w:val="24"/>
                <w:szCs w:val="24"/>
                <w:lang w:val="en-GB"/>
              </w:rPr>
            </w:pPr>
            <w:r w:rsidRPr="00042ADE">
              <w:rPr>
                <w:rFonts w:ascii="Times New Roman" w:hAnsi="Times New Roman"/>
                <w:sz w:val="24"/>
                <w:szCs w:val="24"/>
                <w:lang w:val="en-GB"/>
              </w:rPr>
              <w:t>-</w:t>
            </w:r>
          </w:p>
        </w:tc>
      </w:tr>
    </w:tbl>
    <w:p w14:paraId="570FF769" w14:textId="77777777" w:rsidR="009A3539" w:rsidRPr="00042ADE" w:rsidRDefault="009A3539" w:rsidP="009A3539">
      <w:pPr>
        <w:spacing w:line="360" w:lineRule="auto"/>
        <w:rPr>
          <w:rFonts w:ascii="Times New Roman" w:hAnsi="Times New Roman"/>
          <w:sz w:val="24"/>
          <w:szCs w:val="24"/>
          <w:lang w:val="en-GB"/>
        </w:rPr>
      </w:pPr>
      <w:r w:rsidRPr="00042ADE">
        <w:rPr>
          <w:rFonts w:ascii="Times New Roman" w:hAnsi="Times New Roman"/>
          <w:sz w:val="24"/>
          <w:szCs w:val="24"/>
          <w:vertAlign w:val="superscript"/>
          <w:lang w:val="en-GB"/>
        </w:rPr>
        <w:t xml:space="preserve">* </w:t>
      </w:r>
      <w:r w:rsidRPr="00042ADE">
        <w:rPr>
          <w:rFonts w:ascii="Times New Roman" w:hAnsi="Times New Roman"/>
          <w:sz w:val="24"/>
          <w:szCs w:val="24"/>
          <w:lang w:val="en-GB"/>
        </w:rPr>
        <w:t xml:space="preserve">Significance level </w:t>
      </w:r>
      <w:r w:rsidRPr="00042ADE">
        <w:rPr>
          <w:rFonts w:ascii="Times New Roman" w:hAnsi="Times New Roman"/>
          <w:i/>
          <w:sz w:val="24"/>
          <w:szCs w:val="24"/>
          <w:lang w:val="en-GB"/>
        </w:rPr>
        <w:t>P</w:t>
      </w:r>
      <w:r w:rsidRPr="00042ADE">
        <w:rPr>
          <w:rFonts w:ascii="Times New Roman" w:hAnsi="Times New Roman"/>
          <w:sz w:val="24"/>
          <w:szCs w:val="24"/>
          <w:lang w:val="en-GB"/>
        </w:rPr>
        <w:t>&lt;0.05.</w:t>
      </w:r>
    </w:p>
    <w:p w14:paraId="1A935C86" w14:textId="77777777" w:rsidR="009A3539" w:rsidRPr="00042ADE" w:rsidRDefault="009A3539" w:rsidP="009A3539">
      <w:pPr>
        <w:spacing w:line="360" w:lineRule="auto"/>
        <w:jc w:val="both"/>
        <w:rPr>
          <w:rFonts w:ascii="Times New Roman" w:hAnsi="Times New Roman"/>
          <w:sz w:val="24"/>
          <w:szCs w:val="24"/>
          <w:lang w:val="en-GB"/>
        </w:rPr>
      </w:pPr>
      <w:r w:rsidRPr="00042ADE">
        <w:rPr>
          <w:rFonts w:ascii="Times New Roman" w:hAnsi="Times New Roman"/>
          <w:sz w:val="24"/>
          <w:szCs w:val="24"/>
          <w:lang w:val="en-GB"/>
        </w:rPr>
        <w:t xml:space="preserve">Note. Data are expressed as mean ± standard deviation (SD). FMS: Fibromyalgia Syndrome; </w:t>
      </w:r>
      <w:r w:rsidRPr="00042ADE">
        <w:rPr>
          <w:rFonts w:ascii="Times New Roman" w:hAnsi="Times New Roman"/>
          <w:sz w:val="24"/>
          <w:szCs w:val="24"/>
          <w:lang w:val="en-US"/>
        </w:rPr>
        <w:t>BMI: body mass index</w:t>
      </w:r>
      <w:r w:rsidRPr="00042ADE">
        <w:rPr>
          <w:rFonts w:ascii="Times New Roman" w:hAnsi="Times New Roman"/>
          <w:sz w:val="24"/>
          <w:szCs w:val="24"/>
          <w:lang w:val="en-GB"/>
        </w:rPr>
        <w:t>; NOx: nitric oxide metabolites; FIQ-R= revised Fibromyalgia Impact Questionnaire; FIQ-R.1= activity level of the FIQ; FIQ-R.2= overall impact of the FIQ-R; FIQ-R.3= intensity of symptoms of the FIQ-R.</w:t>
      </w:r>
    </w:p>
    <w:p w14:paraId="6AEF9758" w14:textId="77777777" w:rsidR="00981063" w:rsidRPr="00042ADE" w:rsidRDefault="00981063">
      <w:pPr>
        <w:rPr>
          <w:rFonts w:ascii="Times New Roman" w:hAnsi="Times New Roman"/>
          <w:sz w:val="24"/>
          <w:szCs w:val="24"/>
          <w:lang w:val="en-GB"/>
        </w:rPr>
      </w:pPr>
      <w:r w:rsidRPr="00042ADE">
        <w:rPr>
          <w:rFonts w:ascii="Times New Roman" w:hAnsi="Times New Roman"/>
          <w:sz w:val="24"/>
          <w:szCs w:val="24"/>
          <w:lang w:val="en-GB"/>
        </w:rPr>
        <w:br w:type="page"/>
      </w:r>
    </w:p>
    <w:p w14:paraId="048DFB84" w14:textId="77777777" w:rsidR="00BC12EC" w:rsidRPr="00042ADE" w:rsidRDefault="00BC12EC" w:rsidP="00BC12EC">
      <w:pPr>
        <w:spacing w:line="360" w:lineRule="auto"/>
        <w:rPr>
          <w:rFonts w:ascii="Times New Roman" w:hAnsi="Times New Roman"/>
          <w:sz w:val="24"/>
          <w:szCs w:val="24"/>
          <w:lang w:val="en-US"/>
        </w:rPr>
      </w:pPr>
      <w:r w:rsidRPr="00042ADE">
        <w:rPr>
          <w:rFonts w:ascii="Times New Roman" w:hAnsi="Times New Roman"/>
          <w:b/>
          <w:sz w:val="24"/>
          <w:szCs w:val="24"/>
          <w:lang w:val="en-US"/>
        </w:rPr>
        <w:lastRenderedPageBreak/>
        <w:t>Table 2</w:t>
      </w:r>
      <w:r w:rsidRPr="00042ADE">
        <w:rPr>
          <w:rFonts w:ascii="Times New Roman" w:hAnsi="Times New Roman"/>
          <w:sz w:val="24"/>
          <w:szCs w:val="24"/>
          <w:lang w:val="en-US"/>
        </w:rPr>
        <w:t xml:space="preserve">. Associations between nitric oxide (NOx) levels and temperature of dorsal site of both hands </w:t>
      </w:r>
      <w:r w:rsidRPr="00042ADE">
        <w:rPr>
          <w:rFonts w:ascii="Times New Roman" w:hAnsi="Times New Roman"/>
          <w:sz w:val="24"/>
          <w:szCs w:val="24"/>
          <w:lang w:val="en-GB"/>
        </w:rPr>
        <w:t>among cases (women with FMS) and controls (healthy women).</w:t>
      </w:r>
    </w:p>
    <w:tbl>
      <w:tblPr>
        <w:tblStyle w:val="Tablaconcuadrcula"/>
        <w:tblW w:w="11340" w:type="dxa"/>
        <w:tblInd w:w="-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1481"/>
        <w:gridCol w:w="629"/>
        <w:gridCol w:w="912"/>
        <w:gridCol w:w="1843"/>
        <w:gridCol w:w="992"/>
        <w:gridCol w:w="992"/>
        <w:gridCol w:w="1701"/>
        <w:gridCol w:w="993"/>
      </w:tblGrid>
      <w:tr w:rsidR="00BC12EC" w:rsidRPr="00042ADE" w14:paraId="14018091" w14:textId="77777777" w:rsidTr="00D5141F">
        <w:trPr>
          <w:trHeight w:val="383"/>
        </w:trPr>
        <w:tc>
          <w:tcPr>
            <w:tcW w:w="1797" w:type="dxa"/>
            <w:tcBorders>
              <w:top w:val="single" w:sz="4" w:space="0" w:color="auto"/>
            </w:tcBorders>
          </w:tcPr>
          <w:p w14:paraId="55F6A3D6"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71F81B03" w14:textId="77777777" w:rsidR="00BC12EC" w:rsidRPr="00042ADE" w:rsidRDefault="00BC12EC" w:rsidP="00C709CC">
            <w:pPr>
              <w:pStyle w:val="Tabletitle"/>
              <w:spacing w:line="240" w:lineRule="auto"/>
              <w:rPr>
                <w:b/>
                <w:sz w:val="22"/>
                <w:szCs w:val="22"/>
              </w:rPr>
            </w:pPr>
          </w:p>
        </w:tc>
        <w:tc>
          <w:tcPr>
            <w:tcW w:w="629" w:type="dxa"/>
            <w:tcBorders>
              <w:top w:val="single" w:sz="4" w:space="0" w:color="auto"/>
            </w:tcBorders>
          </w:tcPr>
          <w:p w14:paraId="56312CDD" w14:textId="77777777" w:rsidR="00BC12EC" w:rsidRPr="00042ADE" w:rsidRDefault="00BC12EC" w:rsidP="00C709CC">
            <w:pPr>
              <w:pStyle w:val="Tabletitle"/>
              <w:spacing w:line="240" w:lineRule="auto"/>
              <w:rPr>
                <w:b/>
                <w:sz w:val="22"/>
                <w:szCs w:val="22"/>
              </w:rPr>
            </w:pPr>
          </w:p>
        </w:tc>
        <w:tc>
          <w:tcPr>
            <w:tcW w:w="2755" w:type="dxa"/>
            <w:gridSpan w:val="2"/>
            <w:tcBorders>
              <w:top w:val="single" w:sz="4" w:space="0" w:color="auto"/>
              <w:bottom w:val="single" w:sz="4" w:space="0" w:color="auto"/>
            </w:tcBorders>
            <w:hideMark/>
          </w:tcPr>
          <w:p w14:paraId="3792EDFB" w14:textId="77777777" w:rsidR="00BC12EC" w:rsidRPr="00042ADE" w:rsidRDefault="00BC12EC" w:rsidP="00C709CC">
            <w:pPr>
              <w:pStyle w:val="Tabletitle"/>
              <w:spacing w:line="240" w:lineRule="auto"/>
              <w:rPr>
                <w:b/>
                <w:sz w:val="22"/>
                <w:szCs w:val="22"/>
              </w:rPr>
            </w:pPr>
          </w:p>
        </w:tc>
        <w:tc>
          <w:tcPr>
            <w:tcW w:w="1984" w:type="dxa"/>
            <w:gridSpan w:val="2"/>
            <w:tcBorders>
              <w:top w:val="single" w:sz="4" w:space="0" w:color="auto"/>
              <w:bottom w:val="single" w:sz="4" w:space="0" w:color="auto"/>
            </w:tcBorders>
          </w:tcPr>
          <w:p w14:paraId="1AC08BE7" w14:textId="77777777" w:rsidR="00BC12EC" w:rsidRPr="00042ADE" w:rsidRDefault="00BC12EC" w:rsidP="00C709CC">
            <w:pPr>
              <w:pStyle w:val="Tabletitle"/>
              <w:spacing w:line="240" w:lineRule="auto"/>
              <w:jc w:val="center"/>
              <w:rPr>
                <w:b/>
                <w:sz w:val="22"/>
                <w:szCs w:val="22"/>
              </w:rPr>
            </w:pPr>
            <w:r w:rsidRPr="00042ADE">
              <w:rPr>
                <w:b/>
                <w:sz w:val="22"/>
                <w:szCs w:val="22"/>
              </w:rPr>
              <w:t>NOx Levels</w:t>
            </w:r>
          </w:p>
        </w:tc>
        <w:tc>
          <w:tcPr>
            <w:tcW w:w="1701" w:type="dxa"/>
            <w:tcBorders>
              <w:top w:val="single" w:sz="4" w:space="0" w:color="auto"/>
              <w:bottom w:val="single" w:sz="4" w:space="0" w:color="auto"/>
            </w:tcBorders>
          </w:tcPr>
          <w:p w14:paraId="67C3EEF6" w14:textId="77777777" w:rsidR="00BC12EC" w:rsidRPr="00042ADE" w:rsidRDefault="00BC12EC" w:rsidP="00C709CC">
            <w:pPr>
              <w:pStyle w:val="Tabletitle"/>
              <w:spacing w:line="240" w:lineRule="auto"/>
              <w:rPr>
                <w:b/>
                <w:sz w:val="22"/>
                <w:szCs w:val="22"/>
              </w:rPr>
            </w:pPr>
          </w:p>
        </w:tc>
        <w:tc>
          <w:tcPr>
            <w:tcW w:w="993" w:type="dxa"/>
            <w:tcBorders>
              <w:top w:val="single" w:sz="4" w:space="0" w:color="auto"/>
              <w:bottom w:val="single" w:sz="4" w:space="0" w:color="auto"/>
            </w:tcBorders>
          </w:tcPr>
          <w:p w14:paraId="62B34F99" w14:textId="77777777" w:rsidR="00BC12EC" w:rsidRPr="00042ADE" w:rsidRDefault="00BC12EC" w:rsidP="00C709CC">
            <w:pPr>
              <w:pStyle w:val="Tabletitle"/>
              <w:spacing w:line="240" w:lineRule="auto"/>
              <w:rPr>
                <w:b/>
                <w:sz w:val="22"/>
                <w:szCs w:val="22"/>
              </w:rPr>
            </w:pPr>
          </w:p>
        </w:tc>
      </w:tr>
      <w:tr w:rsidR="00BC12EC" w:rsidRPr="00042ADE" w14:paraId="33917DC5" w14:textId="77777777" w:rsidTr="00D5141F">
        <w:trPr>
          <w:trHeight w:val="236"/>
        </w:trPr>
        <w:tc>
          <w:tcPr>
            <w:tcW w:w="1797" w:type="dxa"/>
          </w:tcPr>
          <w:p w14:paraId="18AE084E" w14:textId="77777777" w:rsidR="00BC12EC" w:rsidRPr="00042ADE" w:rsidRDefault="00BC12EC" w:rsidP="00C709CC">
            <w:pPr>
              <w:pStyle w:val="Tabletitle"/>
              <w:spacing w:line="240" w:lineRule="auto"/>
              <w:rPr>
                <w:sz w:val="22"/>
                <w:szCs w:val="22"/>
              </w:rPr>
            </w:pPr>
          </w:p>
        </w:tc>
        <w:tc>
          <w:tcPr>
            <w:tcW w:w="1481" w:type="dxa"/>
          </w:tcPr>
          <w:p w14:paraId="678152B4" w14:textId="77777777" w:rsidR="00BC12EC" w:rsidRPr="00042ADE" w:rsidRDefault="00BC12EC" w:rsidP="00C709CC">
            <w:pPr>
              <w:pStyle w:val="Tabletitle"/>
              <w:spacing w:line="240" w:lineRule="auto"/>
              <w:jc w:val="center"/>
              <w:rPr>
                <w:b/>
                <w:sz w:val="22"/>
                <w:szCs w:val="22"/>
              </w:rPr>
            </w:pPr>
          </w:p>
        </w:tc>
        <w:tc>
          <w:tcPr>
            <w:tcW w:w="629" w:type="dxa"/>
          </w:tcPr>
          <w:p w14:paraId="674EB056"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tcPr>
          <w:p w14:paraId="50CFB120" w14:textId="77777777" w:rsidR="00BC12EC" w:rsidRPr="00042ADE" w:rsidRDefault="00BC12EC" w:rsidP="00C709CC">
            <w:pPr>
              <w:pStyle w:val="Tabletitle"/>
              <w:spacing w:line="240" w:lineRule="auto"/>
              <w:jc w:val="center"/>
              <w:rPr>
                <w:b/>
                <w:sz w:val="22"/>
                <w:szCs w:val="22"/>
              </w:rPr>
            </w:pPr>
          </w:p>
        </w:tc>
        <w:tc>
          <w:tcPr>
            <w:tcW w:w="2835" w:type="dxa"/>
            <w:gridSpan w:val="2"/>
            <w:tcBorders>
              <w:top w:val="single" w:sz="4" w:space="0" w:color="auto"/>
              <w:bottom w:val="single" w:sz="4" w:space="0" w:color="auto"/>
            </w:tcBorders>
          </w:tcPr>
          <w:p w14:paraId="4ACB0951" w14:textId="77777777" w:rsidR="00BC12EC" w:rsidRPr="00042ADE" w:rsidRDefault="00BC12EC" w:rsidP="00C709CC">
            <w:pPr>
              <w:pStyle w:val="Tabletitle"/>
              <w:spacing w:line="240" w:lineRule="auto"/>
              <w:jc w:val="center"/>
              <w:rPr>
                <w:b/>
                <w:i/>
                <w:sz w:val="22"/>
                <w:szCs w:val="22"/>
              </w:rPr>
            </w:pPr>
            <w:r w:rsidRPr="00042ADE">
              <w:rPr>
                <w:b/>
                <w:sz w:val="22"/>
                <w:szCs w:val="22"/>
              </w:rPr>
              <w:t>FMS Women (n=42)</w:t>
            </w:r>
          </w:p>
        </w:tc>
        <w:tc>
          <w:tcPr>
            <w:tcW w:w="992" w:type="dxa"/>
            <w:tcBorders>
              <w:top w:val="single" w:sz="4" w:space="0" w:color="auto"/>
              <w:bottom w:val="single" w:sz="4" w:space="0" w:color="auto"/>
            </w:tcBorders>
          </w:tcPr>
          <w:p w14:paraId="6A314975" w14:textId="77777777" w:rsidR="00BC12EC" w:rsidRPr="00042ADE" w:rsidRDefault="00BC12EC" w:rsidP="00C709CC">
            <w:pPr>
              <w:pStyle w:val="Tabletitle"/>
              <w:spacing w:line="240" w:lineRule="auto"/>
              <w:jc w:val="center"/>
              <w:rPr>
                <w:b/>
                <w:sz w:val="22"/>
                <w:szCs w:val="22"/>
              </w:rPr>
            </w:pPr>
          </w:p>
        </w:tc>
        <w:tc>
          <w:tcPr>
            <w:tcW w:w="2694" w:type="dxa"/>
            <w:gridSpan w:val="2"/>
            <w:tcBorders>
              <w:top w:val="single" w:sz="4" w:space="0" w:color="auto"/>
              <w:bottom w:val="single" w:sz="4" w:space="0" w:color="auto"/>
            </w:tcBorders>
          </w:tcPr>
          <w:p w14:paraId="7FDBEFF5" w14:textId="77777777" w:rsidR="00BC12EC" w:rsidRPr="00042ADE" w:rsidRDefault="00BC12EC" w:rsidP="00C709CC">
            <w:pPr>
              <w:pStyle w:val="Tabletitle"/>
              <w:spacing w:line="240" w:lineRule="auto"/>
              <w:jc w:val="center"/>
              <w:rPr>
                <w:b/>
                <w:i/>
                <w:sz w:val="22"/>
                <w:szCs w:val="22"/>
              </w:rPr>
            </w:pPr>
            <w:r w:rsidRPr="00042ADE">
              <w:rPr>
                <w:b/>
                <w:sz w:val="22"/>
                <w:szCs w:val="22"/>
              </w:rPr>
              <w:t>Healthy Women (n=52)</w:t>
            </w:r>
          </w:p>
        </w:tc>
      </w:tr>
      <w:tr w:rsidR="00BC12EC" w:rsidRPr="00042ADE" w14:paraId="52EE6F63" w14:textId="77777777" w:rsidTr="00D5141F">
        <w:trPr>
          <w:trHeight w:val="236"/>
        </w:trPr>
        <w:tc>
          <w:tcPr>
            <w:tcW w:w="1797" w:type="dxa"/>
            <w:tcBorders>
              <w:bottom w:val="single" w:sz="4" w:space="0" w:color="auto"/>
            </w:tcBorders>
          </w:tcPr>
          <w:p w14:paraId="6F92BA77"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6B086781"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3C77BEDE"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hideMark/>
          </w:tcPr>
          <w:p w14:paraId="58E21FFE"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43" w:type="dxa"/>
            <w:tcBorders>
              <w:top w:val="single" w:sz="4" w:space="0" w:color="auto"/>
              <w:bottom w:val="single" w:sz="4" w:space="0" w:color="auto"/>
            </w:tcBorders>
            <w:hideMark/>
          </w:tcPr>
          <w:p w14:paraId="75F228D7"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2" w:type="dxa"/>
            <w:tcBorders>
              <w:top w:val="single" w:sz="4" w:space="0" w:color="auto"/>
              <w:bottom w:val="single" w:sz="4" w:space="0" w:color="auto"/>
            </w:tcBorders>
            <w:hideMark/>
          </w:tcPr>
          <w:p w14:paraId="6615AA94"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c>
          <w:tcPr>
            <w:tcW w:w="992" w:type="dxa"/>
            <w:tcBorders>
              <w:top w:val="single" w:sz="4" w:space="0" w:color="auto"/>
              <w:bottom w:val="single" w:sz="4" w:space="0" w:color="auto"/>
            </w:tcBorders>
          </w:tcPr>
          <w:p w14:paraId="683DCDF3"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701" w:type="dxa"/>
            <w:tcBorders>
              <w:top w:val="single" w:sz="4" w:space="0" w:color="auto"/>
              <w:bottom w:val="single" w:sz="4" w:space="0" w:color="auto"/>
            </w:tcBorders>
          </w:tcPr>
          <w:p w14:paraId="2612C97B"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3" w:type="dxa"/>
            <w:tcBorders>
              <w:top w:val="single" w:sz="4" w:space="0" w:color="auto"/>
              <w:bottom w:val="single" w:sz="4" w:space="0" w:color="auto"/>
            </w:tcBorders>
          </w:tcPr>
          <w:p w14:paraId="39C8443B"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r>
      <w:tr w:rsidR="00BC12EC" w:rsidRPr="00042ADE" w14:paraId="02303661" w14:textId="77777777" w:rsidTr="00D5141F">
        <w:trPr>
          <w:trHeight w:val="196"/>
        </w:trPr>
        <w:tc>
          <w:tcPr>
            <w:tcW w:w="1797" w:type="dxa"/>
            <w:tcBorders>
              <w:top w:val="single" w:sz="4" w:space="0" w:color="auto"/>
              <w:bottom w:val="single" w:sz="4" w:space="0" w:color="auto"/>
            </w:tcBorders>
          </w:tcPr>
          <w:p w14:paraId="20340EA5" w14:textId="77777777" w:rsidR="00BC12EC" w:rsidRPr="00042ADE" w:rsidRDefault="00BC12EC" w:rsidP="00C709CC">
            <w:pPr>
              <w:pStyle w:val="Tabletitle"/>
              <w:spacing w:line="240" w:lineRule="auto"/>
              <w:rPr>
                <w:b/>
                <w:sz w:val="22"/>
                <w:szCs w:val="22"/>
              </w:rPr>
            </w:pPr>
            <w:r w:rsidRPr="00042ADE">
              <w:rPr>
                <w:b/>
                <w:sz w:val="22"/>
                <w:szCs w:val="22"/>
              </w:rPr>
              <w:t>Dorsal site of the hand</w:t>
            </w:r>
          </w:p>
        </w:tc>
        <w:tc>
          <w:tcPr>
            <w:tcW w:w="1481" w:type="dxa"/>
            <w:tcBorders>
              <w:top w:val="single" w:sz="4" w:space="0" w:color="auto"/>
              <w:bottom w:val="single" w:sz="4" w:space="0" w:color="auto"/>
            </w:tcBorders>
          </w:tcPr>
          <w:p w14:paraId="08229614" w14:textId="77777777" w:rsidR="00BC12EC" w:rsidRPr="00042ADE" w:rsidRDefault="00BC12EC" w:rsidP="00C709CC">
            <w:pPr>
              <w:pStyle w:val="Tabletitle"/>
              <w:spacing w:line="240" w:lineRule="auto"/>
              <w:jc w:val="center"/>
              <w:rPr>
                <w:sz w:val="22"/>
                <w:szCs w:val="22"/>
              </w:rPr>
            </w:pPr>
          </w:p>
        </w:tc>
        <w:tc>
          <w:tcPr>
            <w:tcW w:w="629" w:type="dxa"/>
            <w:tcBorders>
              <w:top w:val="single" w:sz="4" w:space="0" w:color="auto"/>
              <w:bottom w:val="single" w:sz="4" w:space="0" w:color="auto"/>
            </w:tcBorders>
          </w:tcPr>
          <w:p w14:paraId="31E43158" w14:textId="77777777" w:rsidR="00BC12EC" w:rsidRPr="00042ADE" w:rsidRDefault="00BC12EC" w:rsidP="00C709CC">
            <w:pPr>
              <w:pStyle w:val="Tabletitle"/>
              <w:spacing w:line="240" w:lineRule="auto"/>
              <w:jc w:val="center"/>
              <w:rPr>
                <w:sz w:val="22"/>
                <w:szCs w:val="22"/>
              </w:rPr>
            </w:pPr>
          </w:p>
        </w:tc>
        <w:tc>
          <w:tcPr>
            <w:tcW w:w="912" w:type="dxa"/>
            <w:tcBorders>
              <w:top w:val="single" w:sz="4" w:space="0" w:color="auto"/>
              <w:bottom w:val="single" w:sz="4" w:space="0" w:color="auto"/>
            </w:tcBorders>
          </w:tcPr>
          <w:p w14:paraId="1A45B9AA" w14:textId="77777777" w:rsidR="00BC12EC" w:rsidRPr="00042ADE" w:rsidRDefault="00BC12EC" w:rsidP="00C709CC">
            <w:pPr>
              <w:pStyle w:val="Tabletitle"/>
              <w:spacing w:line="240" w:lineRule="auto"/>
              <w:jc w:val="center"/>
              <w:rPr>
                <w:sz w:val="22"/>
                <w:szCs w:val="22"/>
              </w:rPr>
            </w:pPr>
          </w:p>
        </w:tc>
        <w:tc>
          <w:tcPr>
            <w:tcW w:w="1843" w:type="dxa"/>
            <w:tcBorders>
              <w:top w:val="single" w:sz="4" w:space="0" w:color="auto"/>
              <w:bottom w:val="single" w:sz="4" w:space="0" w:color="auto"/>
            </w:tcBorders>
          </w:tcPr>
          <w:p w14:paraId="7FF0672D"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bottom w:val="single" w:sz="4" w:space="0" w:color="auto"/>
            </w:tcBorders>
          </w:tcPr>
          <w:p w14:paraId="44B320EF"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bottom w:val="single" w:sz="4" w:space="0" w:color="auto"/>
            </w:tcBorders>
          </w:tcPr>
          <w:p w14:paraId="270346C5" w14:textId="77777777" w:rsidR="00BC12EC" w:rsidRPr="00042ADE" w:rsidRDefault="00BC12EC" w:rsidP="00C709CC">
            <w:pPr>
              <w:pStyle w:val="Tabletitle"/>
              <w:spacing w:line="240" w:lineRule="auto"/>
              <w:jc w:val="center"/>
              <w:rPr>
                <w:sz w:val="22"/>
                <w:szCs w:val="22"/>
              </w:rPr>
            </w:pPr>
          </w:p>
        </w:tc>
        <w:tc>
          <w:tcPr>
            <w:tcW w:w="1701" w:type="dxa"/>
            <w:tcBorders>
              <w:top w:val="single" w:sz="4" w:space="0" w:color="auto"/>
              <w:bottom w:val="single" w:sz="4" w:space="0" w:color="auto"/>
            </w:tcBorders>
          </w:tcPr>
          <w:p w14:paraId="43BEB428"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bottom w:val="single" w:sz="4" w:space="0" w:color="auto"/>
            </w:tcBorders>
          </w:tcPr>
          <w:p w14:paraId="06122C0A" w14:textId="77777777" w:rsidR="00BC12EC" w:rsidRPr="00042ADE" w:rsidRDefault="00BC12EC" w:rsidP="00C709CC">
            <w:pPr>
              <w:pStyle w:val="Tabletitle"/>
              <w:spacing w:line="240" w:lineRule="auto"/>
              <w:jc w:val="center"/>
              <w:rPr>
                <w:sz w:val="22"/>
                <w:szCs w:val="22"/>
              </w:rPr>
            </w:pPr>
          </w:p>
        </w:tc>
      </w:tr>
      <w:tr w:rsidR="00BC12EC" w:rsidRPr="00042ADE" w14:paraId="59FF4A4F" w14:textId="77777777" w:rsidTr="00D5141F">
        <w:trPr>
          <w:trHeight w:val="196"/>
        </w:trPr>
        <w:tc>
          <w:tcPr>
            <w:tcW w:w="1797" w:type="dxa"/>
            <w:tcBorders>
              <w:top w:val="single" w:sz="4" w:space="0" w:color="auto"/>
            </w:tcBorders>
          </w:tcPr>
          <w:p w14:paraId="0EA2EA4D"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1B035542"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Borders>
              <w:top w:val="single" w:sz="4" w:space="0" w:color="auto"/>
            </w:tcBorders>
          </w:tcPr>
          <w:p w14:paraId="69EA81D1"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Borders>
              <w:top w:val="single" w:sz="4" w:space="0" w:color="auto"/>
            </w:tcBorders>
          </w:tcPr>
          <w:p w14:paraId="64831BA5" w14:textId="77777777" w:rsidR="00BC12EC" w:rsidRPr="00042ADE" w:rsidRDefault="00BC12EC" w:rsidP="00C709CC">
            <w:pPr>
              <w:pStyle w:val="Tabletitle"/>
              <w:spacing w:line="240" w:lineRule="auto"/>
              <w:jc w:val="center"/>
              <w:rPr>
                <w:sz w:val="22"/>
                <w:szCs w:val="22"/>
              </w:rPr>
            </w:pPr>
            <w:r w:rsidRPr="00042ADE">
              <w:rPr>
                <w:sz w:val="22"/>
                <w:szCs w:val="22"/>
              </w:rPr>
              <w:t>7.313</w:t>
            </w:r>
          </w:p>
        </w:tc>
        <w:tc>
          <w:tcPr>
            <w:tcW w:w="1843" w:type="dxa"/>
            <w:tcBorders>
              <w:top w:val="single" w:sz="4" w:space="0" w:color="auto"/>
            </w:tcBorders>
          </w:tcPr>
          <w:p w14:paraId="14C8784A" w14:textId="77777777" w:rsidR="00BC12EC" w:rsidRPr="00042ADE" w:rsidRDefault="00BC12EC" w:rsidP="00C709CC">
            <w:pPr>
              <w:pStyle w:val="Tabletitle"/>
              <w:spacing w:line="240" w:lineRule="auto"/>
              <w:jc w:val="center"/>
              <w:rPr>
                <w:sz w:val="22"/>
                <w:szCs w:val="22"/>
              </w:rPr>
            </w:pPr>
            <w:r w:rsidRPr="00042ADE">
              <w:rPr>
                <w:sz w:val="22"/>
                <w:szCs w:val="22"/>
              </w:rPr>
              <w:t>(-6.641, 21.266)</w:t>
            </w:r>
          </w:p>
        </w:tc>
        <w:tc>
          <w:tcPr>
            <w:tcW w:w="992" w:type="dxa"/>
            <w:tcBorders>
              <w:top w:val="single" w:sz="4" w:space="0" w:color="auto"/>
            </w:tcBorders>
          </w:tcPr>
          <w:p w14:paraId="69BB5F36" w14:textId="77777777" w:rsidR="00BC12EC" w:rsidRPr="00042ADE" w:rsidRDefault="00BC12EC" w:rsidP="00C709CC">
            <w:pPr>
              <w:pStyle w:val="Tabletitle"/>
              <w:spacing w:line="240" w:lineRule="auto"/>
              <w:jc w:val="center"/>
              <w:rPr>
                <w:sz w:val="22"/>
                <w:szCs w:val="22"/>
              </w:rPr>
            </w:pPr>
            <w:r w:rsidRPr="00042ADE">
              <w:rPr>
                <w:sz w:val="22"/>
                <w:szCs w:val="22"/>
              </w:rPr>
              <w:t>0.295</w:t>
            </w:r>
          </w:p>
        </w:tc>
        <w:tc>
          <w:tcPr>
            <w:tcW w:w="992" w:type="dxa"/>
            <w:tcBorders>
              <w:top w:val="single" w:sz="4" w:space="0" w:color="auto"/>
            </w:tcBorders>
          </w:tcPr>
          <w:p w14:paraId="54407A86" w14:textId="77777777" w:rsidR="00BC12EC" w:rsidRPr="00042ADE" w:rsidRDefault="00BC12EC" w:rsidP="00C709CC">
            <w:pPr>
              <w:pStyle w:val="Tabletitle"/>
              <w:spacing w:line="240" w:lineRule="auto"/>
              <w:jc w:val="center"/>
              <w:rPr>
                <w:sz w:val="22"/>
                <w:szCs w:val="22"/>
              </w:rPr>
            </w:pPr>
            <w:r w:rsidRPr="00042ADE">
              <w:rPr>
                <w:sz w:val="22"/>
                <w:szCs w:val="22"/>
              </w:rPr>
              <w:t>-0.827</w:t>
            </w:r>
          </w:p>
        </w:tc>
        <w:tc>
          <w:tcPr>
            <w:tcW w:w="1701" w:type="dxa"/>
            <w:tcBorders>
              <w:top w:val="single" w:sz="4" w:space="0" w:color="auto"/>
            </w:tcBorders>
          </w:tcPr>
          <w:p w14:paraId="48A953B3" w14:textId="77777777" w:rsidR="00BC12EC" w:rsidRPr="00042ADE" w:rsidRDefault="00BC12EC" w:rsidP="00C709CC">
            <w:pPr>
              <w:pStyle w:val="Tabletitle"/>
              <w:spacing w:line="240" w:lineRule="auto"/>
              <w:jc w:val="center"/>
              <w:rPr>
                <w:sz w:val="22"/>
                <w:szCs w:val="22"/>
              </w:rPr>
            </w:pPr>
            <w:r w:rsidRPr="00042ADE">
              <w:rPr>
                <w:sz w:val="22"/>
                <w:szCs w:val="22"/>
              </w:rPr>
              <w:t>(-2.857, 1.203)</w:t>
            </w:r>
          </w:p>
        </w:tc>
        <w:tc>
          <w:tcPr>
            <w:tcW w:w="993" w:type="dxa"/>
            <w:tcBorders>
              <w:top w:val="single" w:sz="4" w:space="0" w:color="auto"/>
            </w:tcBorders>
          </w:tcPr>
          <w:p w14:paraId="22FCDEE2" w14:textId="77777777" w:rsidR="00BC12EC" w:rsidRPr="00042ADE" w:rsidRDefault="00BC12EC" w:rsidP="00C709CC">
            <w:pPr>
              <w:pStyle w:val="Tabletitle"/>
              <w:spacing w:line="240" w:lineRule="auto"/>
              <w:jc w:val="center"/>
              <w:rPr>
                <w:sz w:val="22"/>
                <w:szCs w:val="22"/>
              </w:rPr>
            </w:pPr>
            <w:r w:rsidRPr="00042ADE">
              <w:rPr>
                <w:sz w:val="22"/>
                <w:szCs w:val="22"/>
              </w:rPr>
              <w:t>0.416</w:t>
            </w:r>
          </w:p>
        </w:tc>
      </w:tr>
      <w:tr w:rsidR="00BC12EC" w:rsidRPr="00042ADE" w14:paraId="5AA7415D" w14:textId="77777777" w:rsidTr="00D5141F">
        <w:trPr>
          <w:trHeight w:val="196"/>
        </w:trPr>
        <w:tc>
          <w:tcPr>
            <w:tcW w:w="1797" w:type="dxa"/>
          </w:tcPr>
          <w:p w14:paraId="31D29A1B" w14:textId="77777777" w:rsidR="00BC12EC" w:rsidRPr="00042ADE" w:rsidRDefault="00BC12EC" w:rsidP="00C709CC">
            <w:pPr>
              <w:pStyle w:val="Tabletitle"/>
              <w:spacing w:line="240" w:lineRule="auto"/>
              <w:rPr>
                <w:sz w:val="22"/>
                <w:szCs w:val="22"/>
              </w:rPr>
            </w:pPr>
          </w:p>
        </w:tc>
        <w:tc>
          <w:tcPr>
            <w:tcW w:w="1481" w:type="dxa"/>
          </w:tcPr>
          <w:p w14:paraId="776EDCBD" w14:textId="77777777" w:rsidR="00BC12EC" w:rsidRPr="00042ADE" w:rsidRDefault="00BC12EC" w:rsidP="00C709CC">
            <w:pPr>
              <w:pStyle w:val="Tabletitle"/>
              <w:spacing w:line="240" w:lineRule="auto"/>
              <w:jc w:val="center"/>
              <w:rPr>
                <w:b/>
                <w:sz w:val="22"/>
                <w:szCs w:val="22"/>
              </w:rPr>
            </w:pPr>
          </w:p>
        </w:tc>
        <w:tc>
          <w:tcPr>
            <w:tcW w:w="629" w:type="dxa"/>
          </w:tcPr>
          <w:p w14:paraId="7317442E"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5E9F8CEC" w14:textId="77777777" w:rsidR="00BC12EC" w:rsidRPr="00042ADE" w:rsidRDefault="00BC12EC" w:rsidP="00C709CC">
            <w:pPr>
              <w:pStyle w:val="Tabletitle"/>
              <w:spacing w:line="240" w:lineRule="auto"/>
              <w:jc w:val="center"/>
              <w:rPr>
                <w:sz w:val="22"/>
                <w:szCs w:val="22"/>
              </w:rPr>
            </w:pPr>
            <w:r w:rsidRPr="00042ADE">
              <w:rPr>
                <w:sz w:val="22"/>
                <w:szCs w:val="22"/>
              </w:rPr>
              <w:t>7.676</w:t>
            </w:r>
          </w:p>
        </w:tc>
        <w:tc>
          <w:tcPr>
            <w:tcW w:w="1843" w:type="dxa"/>
          </w:tcPr>
          <w:p w14:paraId="29EE2F73" w14:textId="77777777" w:rsidR="00BC12EC" w:rsidRPr="00042ADE" w:rsidRDefault="00BC12EC" w:rsidP="00C709CC">
            <w:pPr>
              <w:pStyle w:val="Tabletitle"/>
              <w:spacing w:line="240" w:lineRule="auto"/>
              <w:jc w:val="center"/>
              <w:rPr>
                <w:sz w:val="22"/>
                <w:szCs w:val="22"/>
              </w:rPr>
            </w:pPr>
            <w:r w:rsidRPr="00042ADE">
              <w:rPr>
                <w:sz w:val="22"/>
                <w:szCs w:val="22"/>
              </w:rPr>
              <w:t>(-5.765, 21.117)</w:t>
            </w:r>
          </w:p>
        </w:tc>
        <w:tc>
          <w:tcPr>
            <w:tcW w:w="992" w:type="dxa"/>
          </w:tcPr>
          <w:p w14:paraId="319F0FF7" w14:textId="77777777" w:rsidR="00BC12EC" w:rsidRPr="00042ADE" w:rsidRDefault="00BC12EC" w:rsidP="00C709CC">
            <w:pPr>
              <w:pStyle w:val="Tabletitle"/>
              <w:spacing w:line="240" w:lineRule="auto"/>
              <w:jc w:val="center"/>
              <w:rPr>
                <w:sz w:val="22"/>
                <w:szCs w:val="22"/>
              </w:rPr>
            </w:pPr>
            <w:r w:rsidRPr="00042ADE">
              <w:rPr>
                <w:sz w:val="22"/>
                <w:szCs w:val="22"/>
              </w:rPr>
              <w:t>0.255</w:t>
            </w:r>
          </w:p>
        </w:tc>
        <w:tc>
          <w:tcPr>
            <w:tcW w:w="992" w:type="dxa"/>
          </w:tcPr>
          <w:p w14:paraId="3E34519E" w14:textId="77777777" w:rsidR="00BC12EC" w:rsidRPr="00042ADE" w:rsidRDefault="00BC12EC" w:rsidP="00C709CC">
            <w:pPr>
              <w:pStyle w:val="Tabletitle"/>
              <w:spacing w:line="240" w:lineRule="auto"/>
              <w:jc w:val="center"/>
              <w:rPr>
                <w:sz w:val="22"/>
                <w:szCs w:val="22"/>
              </w:rPr>
            </w:pPr>
            <w:r w:rsidRPr="00042ADE">
              <w:rPr>
                <w:sz w:val="22"/>
                <w:szCs w:val="22"/>
              </w:rPr>
              <w:t>-1.350</w:t>
            </w:r>
          </w:p>
        </w:tc>
        <w:tc>
          <w:tcPr>
            <w:tcW w:w="1701" w:type="dxa"/>
          </w:tcPr>
          <w:p w14:paraId="782C00E6" w14:textId="77777777" w:rsidR="00BC12EC" w:rsidRPr="00042ADE" w:rsidRDefault="00BC12EC" w:rsidP="00C709CC">
            <w:pPr>
              <w:pStyle w:val="Tabletitle"/>
              <w:spacing w:line="240" w:lineRule="auto"/>
              <w:jc w:val="center"/>
              <w:rPr>
                <w:sz w:val="22"/>
                <w:szCs w:val="22"/>
              </w:rPr>
            </w:pPr>
            <w:r w:rsidRPr="00042ADE">
              <w:rPr>
                <w:sz w:val="22"/>
                <w:szCs w:val="22"/>
              </w:rPr>
              <w:t>(-3.457, 0.757)</w:t>
            </w:r>
          </w:p>
        </w:tc>
        <w:tc>
          <w:tcPr>
            <w:tcW w:w="993" w:type="dxa"/>
          </w:tcPr>
          <w:p w14:paraId="4B2B63FA" w14:textId="77777777" w:rsidR="00BC12EC" w:rsidRPr="00042ADE" w:rsidRDefault="00BC12EC" w:rsidP="00C709CC">
            <w:pPr>
              <w:pStyle w:val="Tabletitle"/>
              <w:spacing w:line="240" w:lineRule="auto"/>
              <w:jc w:val="center"/>
              <w:rPr>
                <w:sz w:val="22"/>
                <w:szCs w:val="22"/>
              </w:rPr>
            </w:pPr>
            <w:r w:rsidRPr="00042ADE">
              <w:rPr>
                <w:sz w:val="22"/>
                <w:szCs w:val="22"/>
              </w:rPr>
              <w:t>0.204</w:t>
            </w:r>
          </w:p>
        </w:tc>
      </w:tr>
      <w:tr w:rsidR="00BC12EC" w:rsidRPr="00042ADE" w14:paraId="44569FBB" w14:textId="77777777" w:rsidTr="00D5141F">
        <w:trPr>
          <w:trHeight w:val="196"/>
        </w:trPr>
        <w:tc>
          <w:tcPr>
            <w:tcW w:w="1797" w:type="dxa"/>
          </w:tcPr>
          <w:p w14:paraId="5D837AEE" w14:textId="77777777" w:rsidR="00BC12EC" w:rsidRPr="00042ADE" w:rsidRDefault="00BC12EC" w:rsidP="00C709CC">
            <w:pPr>
              <w:pStyle w:val="Tabletitle"/>
              <w:spacing w:line="240" w:lineRule="auto"/>
              <w:rPr>
                <w:sz w:val="22"/>
                <w:szCs w:val="22"/>
              </w:rPr>
            </w:pPr>
            <w:r w:rsidRPr="00042ADE">
              <w:rPr>
                <w:b/>
                <w:sz w:val="22"/>
                <w:szCs w:val="22"/>
              </w:rPr>
              <w:t>Thumb Fingertip</w:t>
            </w:r>
          </w:p>
        </w:tc>
        <w:tc>
          <w:tcPr>
            <w:tcW w:w="1481" w:type="dxa"/>
          </w:tcPr>
          <w:p w14:paraId="180FD6C1"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32AE58DF"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59423AC" w14:textId="77777777" w:rsidR="00BC12EC" w:rsidRPr="00042ADE" w:rsidRDefault="00BC12EC" w:rsidP="00C709CC">
            <w:pPr>
              <w:pStyle w:val="Tabletitle"/>
              <w:spacing w:line="240" w:lineRule="auto"/>
              <w:jc w:val="center"/>
              <w:rPr>
                <w:sz w:val="22"/>
                <w:szCs w:val="22"/>
              </w:rPr>
            </w:pPr>
            <w:r w:rsidRPr="00042ADE">
              <w:rPr>
                <w:sz w:val="22"/>
                <w:szCs w:val="22"/>
              </w:rPr>
              <w:t>3.479</w:t>
            </w:r>
          </w:p>
        </w:tc>
        <w:tc>
          <w:tcPr>
            <w:tcW w:w="1843" w:type="dxa"/>
          </w:tcPr>
          <w:p w14:paraId="7F297451" w14:textId="77777777" w:rsidR="00BC12EC" w:rsidRPr="00042ADE" w:rsidRDefault="00BC12EC" w:rsidP="00C709CC">
            <w:pPr>
              <w:pStyle w:val="Tabletitle"/>
              <w:spacing w:line="240" w:lineRule="auto"/>
              <w:jc w:val="center"/>
              <w:rPr>
                <w:sz w:val="22"/>
                <w:szCs w:val="22"/>
              </w:rPr>
            </w:pPr>
            <w:r w:rsidRPr="00042ADE">
              <w:rPr>
                <w:sz w:val="22"/>
                <w:szCs w:val="22"/>
              </w:rPr>
              <w:t>(-3.845, 10.803)</w:t>
            </w:r>
          </w:p>
        </w:tc>
        <w:tc>
          <w:tcPr>
            <w:tcW w:w="992" w:type="dxa"/>
          </w:tcPr>
          <w:p w14:paraId="74604AC6" w14:textId="77777777" w:rsidR="00BC12EC" w:rsidRPr="00042ADE" w:rsidRDefault="00BC12EC" w:rsidP="00C709CC">
            <w:pPr>
              <w:pStyle w:val="Tabletitle"/>
              <w:spacing w:line="240" w:lineRule="auto"/>
              <w:jc w:val="center"/>
              <w:rPr>
                <w:sz w:val="22"/>
                <w:szCs w:val="22"/>
              </w:rPr>
            </w:pPr>
            <w:r w:rsidRPr="00042ADE">
              <w:rPr>
                <w:sz w:val="22"/>
                <w:szCs w:val="22"/>
              </w:rPr>
              <w:t>0.342</w:t>
            </w:r>
          </w:p>
        </w:tc>
        <w:tc>
          <w:tcPr>
            <w:tcW w:w="992" w:type="dxa"/>
          </w:tcPr>
          <w:p w14:paraId="2D2177CE" w14:textId="77777777" w:rsidR="00BC12EC" w:rsidRPr="00042ADE" w:rsidRDefault="00BC12EC" w:rsidP="00C709CC">
            <w:pPr>
              <w:pStyle w:val="Tabletitle"/>
              <w:spacing w:line="240" w:lineRule="auto"/>
              <w:jc w:val="center"/>
              <w:rPr>
                <w:sz w:val="22"/>
                <w:szCs w:val="22"/>
              </w:rPr>
            </w:pPr>
            <w:r w:rsidRPr="00042ADE">
              <w:rPr>
                <w:sz w:val="22"/>
                <w:szCs w:val="22"/>
              </w:rPr>
              <w:t>-0.656</w:t>
            </w:r>
          </w:p>
        </w:tc>
        <w:tc>
          <w:tcPr>
            <w:tcW w:w="1701" w:type="dxa"/>
          </w:tcPr>
          <w:p w14:paraId="77FDE6A2" w14:textId="77777777" w:rsidR="00BC12EC" w:rsidRPr="00042ADE" w:rsidRDefault="00BC12EC" w:rsidP="00C709CC">
            <w:pPr>
              <w:pStyle w:val="Tabletitle"/>
              <w:spacing w:line="240" w:lineRule="auto"/>
              <w:jc w:val="center"/>
              <w:rPr>
                <w:sz w:val="22"/>
                <w:szCs w:val="22"/>
              </w:rPr>
            </w:pPr>
            <w:r w:rsidRPr="00042ADE">
              <w:rPr>
                <w:sz w:val="22"/>
                <w:szCs w:val="22"/>
              </w:rPr>
              <w:t>(-2.680, 1.367)</w:t>
            </w:r>
          </w:p>
        </w:tc>
        <w:tc>
          <w:tcPr>
            <w:tcW w:w="993" w:type="dxa"/>
          </w:tcPr>
          <w:p w14:paraId="6285DC05" w14:textId="77777777" w:rsidR="00BC12EC" w:rsidRPr="00042ADE" w:rsidRDefault="00BC12EC" w:rsidP="00C709CC">
            <w:pPr>
              <w:pStyle w:val="Tabletitle"/>
              <w:spacing w:line="240" w:lineRule="auto"/>
              <w:jc w:val="center"/>
              <w:rPr>
                <w:sz w:val="22"/>
                <w:szCs w:val="22"/>
              </w:rPr>
            </w:pPr>
            <w:r w:rsidRPr="00042ADE">
              <w:rPr>
                <w:sz w:val="22"/>
                <w:szCs w:val="22"/>
              </w:rPr>
              <w:t>0.517</w:t>
            </w:r>
          </w:p>
        </w:tc>
      </w:tr>
      <w:tr w:rsidR="00BC12EC" w:rsidRPr="00042ADE" w14:paraId="428E72C0" w14:textId="77777777" w:rsidTr="00D5141F">
        <w:trPr>
          <w:trHeight w:val="196"/>
        </w:trPr>
        <w:tc>
          <w:tcPr>
            <w:tcW w:w="1797" w:type="dxa"/>
          </w:tcPr>
          <w:p w14:paraId="4A3AA2B3" w14:textId="77777777" w:rsidR="00BC12EC" w:rsidRPr="00042ADE" w:rsidRDefault="00BC12EC" w:rsidP="00C709CC">
            <w:pPr>
              <w:pStyle w:val="Tabletitle"/>
              <w:spacing w:line="240" w:lineRule="auto"/>
              <w:rPr>
                <w:sz w:val="22"/>
                <w:szCs w:val="22"/>
              </w:rPr>
            </w:pPr>
          </w:p>
        </w:tc>
        <w:tc>
          <w:tcPr>
            <w:tcW w:w="1481" w:type="dxa"/>
          </w:tcPr>
          <w:p w14:paraId="468077BB" w14:textId="77777777" w:rsidR="00BC12EC" w:rsidRPr="00042ADE" w:rsidRDefault="00BC12EC" w:rsidP="00C709CC">
            <w:pPr>
              <w:pStyle w:val="Tabletitle"/>
              <w:spacing w:line="240" w:lineRule="auto"/>
              <w:jc w:val="center"/>
              <w:rPr>
                <w:b/>
                <w:sz w:val="22"/>
                <w:szCs w:val="22"/>
              </w:rPr>
            </w:pPr>
          </w:p>
        </w:tc>
        <w:tc>
          <w:tcPr>
            <w:tcW w:w="629" w:type="dxa"/>
          </w:tcPr>
          <w:p w14:paraId="497E1E72"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0662C945" w14:textId="77777777" w:rsidR="00BC12EC" w:rsidRPr="00042ADE" w:rsidRDefault="00BC12EC" w:rsidP="00C709CC">
            <w:pPr>
              <w:pStyle w:val="Tabletitle"/>
              <w:spacing w:line="240" w:lineRule="auto"/>
              <w:jc w:val="center"/>
              <w:rPr>
                <w:sz w:val="22"/>
                <w:szCs w:val="22"/>
              </w:rPr>
            </w:pPr>
            <w:r w:rsidRPr="00042ADE">
              <w:rPr>
                <w:sz w:val="22"/>
                <w:szCs w:val="22"/>
              </w:rPr>
              <w:t>4.671</w:t>
            </w:r>
          </w:p>
        </w:tc>
        <w:tc>
          <w:tcPr>
            <w:tcW w:w="1843" w:type="dxa"/>
          </w:tcPr>
          <w:p w14:paraId="16D004FB" w14:textId="77777777" w:rsidR="00BC12EC" w:rsidRPr="00042ADE" w:rsidRDefault="00BC12EC" w:rsidP="00C709CC">
            <w:pPr>
              <w:pStyle w:val="Tabletitle"/>
              <w:spacing w:line="240" w:lineRule="auto"/>
              <w:jc w:val="center"/>
              <w:rPr>
                <w:sz w:val="22"/>
                <w:szCs w:val="22"/>
              </w:rPr>
            </w:pPr>
            <w:r w:rsidRPr="00042ADE">
              <w:rPr>
                <w:sz w:val="22"/>
                <w:szCs w:val="22"/>
              </w:rPr>
              <w:t>(-4.889, 14.232)</w:t>
            </w:r>
          </w:p>
        </w:tc>
        <w:tc>
          <w:tcPr>
            <w:tcW w:w="992" w:type="dxa"/>
          </w:tcPr>
          <w:p w14:paraId="455BCB67" w14:textId="77777777" w:rsidR="00BC12EC" w:rsidRPr="00042ADE" w:rsidRDefault="00BC12EC" w:rsidP="00C709CC">
            <w:pPr>
              <w:pStyle w:val="Tabletitle"/>
              <w:spacing w:line="240" w:lineRule="auto"/>
              <w:jc w:val="center"/>
              <w:rPr>
                <w:sz w:val="22"/>
                <w:szCs w:val="22"/>
              </w:rPr>
            </w:pPr>
            <w:r w:rsidRPr="00042ADE">
              <w:rPr>
                <w:sz w:val="22"/>
                <w:szCs w:val="22"/>
              </w:rPr>
              <w:t>0.329</w:t>
            </w:r>
          </w:p>
        </w:tc>
        <w:tc>
          <w:tcPr>
            <w:tcW w:w="992" w:type="dxa"/>
          </w:tcPr>
          <w:p w14:paraId="6D970D6D" w14:textId="77777777" w:rsidR="00BC12EC" w:rsidRPr="00042ADE" w:rsidRDefault="00BC12EC" w:rsidP="00C709CC">
            <w:pPr>
              <w:pStyle w:val="Tabletitle"/>
              <w:spacing w:line="240" w:lineRule="auto"/>
              <w:jc w:val="center"/>
              <w:rPr>
                <w:sz w:val="22"/>
                <w:szCs w:val="22"/>
              </w:rPr>
            </w:pPr>
            <w:r w:rsidRPr="00042ADE">
              <w:rPr>
                <w:sz w:val="22"/>
                <w:szCs w:val="22"/>
              </w:rPr>
              <w:t>-1.291</w:t>
            </w:r>
          </w:p>
        </w:tc>
        <w:tc>
          <w:tcPr>
            <w:tcW w:w="1701" w:type="dxa"/>
          </w:tcPr>
          <w:p w14:paraId="56EAF4B9" w14:textId="77777777" w:rsidR="00BC12EC" w:rsidRPr="00042ADE" w:rsidRDefault="00BC12EC" w:rsidP="00C709CC">
            <w:pPr>
              <w:pStyle w:val="Tabletitle"/>
              <w:spacing w:line="240" w:lineRule="auto"/>
              <w:jc w:val="center"/>
              <w:rPr>
                <w:sz w:val="22"/>
                <w:szCs w:val="22"/>
              </w:rPr>
            </w:pPr>
            <w:r w:rsidRPr="00042ADE">
              <w:rPr>
                <w:sz w:val="22"/>
                <w:szCs w:val="22"/>
              </w:rPr>
              <w:t>(-3.518, 0.936)</w:t>
            </w:r>
          </w:p>
        </w:tc>
        <w:tc>
          <w:tcPr>
            <w:tcW w:w="993" w:type="dxa"/>
          </w:tcPr>
          <w:p w14:paraId="0EBB4D3A" w14:textId="77777777" w:rsidR="00BC12EC" w:rsidRPr="00042ADE" w:rsidRDefault="00BC12EC" w:rsidP="00C709CC">
            <w:pPr>
              <w:pStyle w:val="Tabletitle"/>
              <w:spacing w:line="240" w:lineRule="auto"/>
              <w:jc w:val="center"/>
              <w:rPr>
                <w:sz w:val="22"/>
                <w:szCs w:val="22"/>
              </w:rPr>
            </w:pPr>
            <w:r w:rsidRPr="00042ADE">
              <w:rPr>
                <w:sz w:val="22"/>
                <w:szCs w:val="22"/>
              </w:rPr>
              <w:t>0.249</w:t>
            </w:r>
          </w:p>
        </w:tc>
      </w:tr>
      <w:tr w:rsidR="00BC12EC" w:rsidRPr="00042ADE" w14:paraId="40BCB1BD" w14:textId="77777777" w:rsidTr="00D5141F">
        <w:trPr>
          <w:trHeight w:val="196"/>
        </w:trPr>
        <w:tc>
          <w:tcPr>
            <w:tcW w:w="1797" w:type="dxa"/>
          </w:tcPr>
          <w:p w14:paraId="6DD510EE" w14:textId="77777777" w:rsidR="00BC12EC" w:rsidRPr="00042ADE" w:rsidRDefault="00BC12EC" w:rsidP="00C709CC">
            <w:pPr>
              <w:pStyle w:val="Tabletitle"/>
              <w:spacing w:line="240" w:lineRule="auto"/>
              <w:rPr>
                <w:sz w:val="22"/>
                <w:szCs w:val="22"/>
              </w:rPr>
            </w:pPr>
          </w:p>
        </w:tc>
        <w:tc>
          <w:tcPr>
            <w:tcW w:w="1481" w:type="dxa"/>
          </w:tcPr>
          <w:p w14:paraId="21F76ADB"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2BCB18B8"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980176C" w14:textId="77777777" w:rsidR="00BC12EC" w:rsidRPr="00042ADE" w:rsidRDefault="00BC12EC" w:rsidP="00C709CC">
            <w:pPr>
              <w:pStyle w:val="Tabletitle"/>
              <w:spacing w:line="240" w:lineRule="auto"/>
              <w:jc w:val="center"/>
              <w:rPr>
                <w:sz w:val="22"/>
                <w:szCs w:val="22"/>
              </w:rPr>
            </w:pPr>
            <w:r w:rsidRPr="00042ADE">
              <w:rPr>
                <w:sz w:val="22"/>
                <w:szCs w:val="22"/>
              </w:rPr>
              <w:t>6.240</w:t>
            </w:r>
          </w:p>
        </w:tc>
        <w:tc>
          <w:tcPr>
            <w:tcW w:w="1843" w:type="dxa"/>
          </w:tcPr>
          <w:p w14:paraId="320F5623" w14:textId="77777777" w:rsidR="00BC12EC" w:rsidRPr="00042ADE" w:rsidRDefault="00BC12EC" w:rsidP="00C709CC">
            <w:pPr>
              <w:pStyle w:val="Tabletitle"/>
              <w:spacing w:line="240" w:lineRule="auto"/>
              <w:jc w:val="center"/>
              <w:rPr>
                <w:sz w:val="22"/>
                <w:szCs w:val="22"/>
              </w:rPr>
            </w:pPr>
            <w:r w:rsidRPr="00042ADE">
              <w:rPr>
                <w:sz w:val="22"/>
                <w:szCs w:val="22"/>
              </w:rPr>
              <w:t>(-5.247, 17.728)</w:t>
            </w:r>
          </w:p>
        </w:tc>
        <w:tc>
          <w:tcPr>
            <w:tcW w:w="992" w:type="dxa"/>
          </w:tcPr>
          <w:p w14:paraId="116856A2" w14:textId="77777777" w:rsidR="00BC12EC" w:rsidRPr="00042ADE" w:rsidRDefault="00BC12EC" w:rsidP="00C709CC">
            <w:pPr>
              <w:pStyle w:val="Tabletitle"/>
              <w:spacing w:line="240" w:lineRule="auto"/>
              <w:jc w:val="center"/>
              <w:rPr>
                <w:sz w:val="22"/>
                <w:szCs w:val="22"/>
              </w:rPr>
            </w:pPr>
            <w:r w:rsidRPr="00042ADE">
              <w:rPr>
                <w:sz w:val="22"/>
                <w:szCs w:val="22"/>
              </w:rPr>
              <w:t>0.278</w:t>
            </w:r>
          </w:p>
        </w:tc>
        <w:tc>
          <w:tcPr>
            <w:tcW w:w="992" w:type="dxa"/>
          </w:tcPr>
          <w:p w14:paraId="6AD03720" w14:textId="77777777" w:rsidR="00BC12EC" w:rsidRPr="00042ADE" w:rsidRDefault="00BC12EC" w:rsidP="00C709CC">
            <w:pPr>
              <w:pStyle w:val="Tabletitle"/>
              <w:spacing w:line="240" w:lineRule="auto"/>
              <w:jc w:val="center"/>
              <w:rPr>
                <w:sz w:val="22"/>
                <w:szCs w:val="22"/>
              </w:rPr>
            </w:pPr>
            <w:r w:rsidRPr="00042ADE">
              <w:rPr>
                <w:sz w:val="22"/>
                <w:szCs w:val="22"/>
              </w:rPr>
              <w:t>-0.799</w:t>
            </w:r>
          </w:p>
        </w:tc>
        <w:tc>
          <w:tcPr>
            <w:tcW w:w="1701" w:type="dxa"/>
          </w:tcPr>
          <w:p w14:paraId="50DFC242" w14:textId="77777777" w:rsidR="00BC12EC" w:rsidRPr="00042ADE" w:rsidRDefault="00BC12EC" w:rsidP="00C709CC">
            <w:pPr>
              <w:pStyle w:val="Tabletitle"/>
              <w:spacing w:line="240" w:lineRule="auto"/>
              <w:jc w:val="center"/>
              <w:rPr>
                <w:sz w:val="22"/>
                <w:szCs w:val="22"/>
              </w:rPr>
            </w:pPr>
            <w:r w:rsidRPr="00042ADE">
              <w:rPr>
                <w:sz w:val="22"/>
                <w:szCs w:val="22"/>
              </w:rPr>
              <w:t>(-2.802, 1.204)</w:t>
            </w:r>
          </w:p>
        </w:tc>
        <w:tc>
          <w:tcPr>
            <w:tcW w:w="993" w:type="dxa"/>
          </w:tcPr>
          <w:p w14:paraId="332C2CBA" w14:textId="77777777" w:rsidR="00BC12EC" w:rsidRPr="00042ADE" w:rsidRDefault="00BC12EC" w:rsidP="00C709CC">
            <w:pPr>
              <w:pStyle w:val="Tabletitle"/>
              <w:spacing w:line="240" w:lineRule="auto"/>
              <w:jc w:val="center"/>
              <w:rPr>
                <w:sz w:val="22"/>
                <w:szCs w:val="22"/>
              </w:rPr>
            </w:pPr>
            <w:r w:rsidRPr="00042ADE">
              <w:rPr>
                <w:sz w:val="22"/>
                <w:szCs w:val="22"/>
              </w:rPr>
              <w:t>0.427</w:t>
            </w:r>
          </w:p>
        </w:tc>
      </w:tr>
      <w:tr w:rsidR="00BC12EC" w:rsidRPr="00042ADE" w14:paraId="4EC054AD" w14:textId="77777777" w:rsidTr="00D5141F">
        <w:trPr>
          <w:trHeight w:val="196"/>
        </w:trPr>
        <w:tc>
          <w:tcPr>
            <w:tcW w:w="1797" w:type="dxa"/>
          </w:tcPr>
          <w:p w14:paraId="21FB7528" w14:textId="77777777" w:rsidR="00BC12EC" w:rsidRPr="00042ADE" w:rsidRDefault="00BC12EC" w:rsidP="00C709CC">
            <w:pPr>
              <w:pStyle w:val="Tabletitle"/>
              <w:spacing w:line="240" w:lineRule="auto"/>
              <w:rPr>
                <w:sz w:val="22"/>
                <w:szCs w:val="22"/>
              </w:rPr>
            </w:pPr>
          </w:p>
        </w:tc>
        <w:tc>
          <w:tcPr>
            <w:tcW w:w="1481" w:type="dxa"/>
          </w:tcPr>
          <w:p w14:paraId="46CA3CAC" w14:textId="77777777" w:rsidR="00BC12EC" w:rsidRPr="00042ADE" w:rsidRDefault="00BC12EC" w:rsidP="00C709CC">
            <w:pPr>
              <w:pStyle w:val="Tabletitle"/>
              <w:spacing w:line="240" w:lineRule="auto"/>
              <w:jc w:val="center"/>
              <w:rPr>
                <w:b/>
                <w:sz w:val="22"/>
                <w:szCs w:val="22"/>
              </w:rPr>
            </w:pPr>
          </w:p>
        </w:tc>
        <w:tc>
          <w:tcPr>
            <w:tcW w:w="629" w:type="dxa"/>
          </w:tcPr>
          <w:p w14:paraId="578674B7"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5C386F57" w14:textId="77777777" w:rsidR="00BC12EC" w:rsidRPr="00042ADE" w:rsidRDefault="00BC12EC" w:rsidP="00C709CC">
            <w:pPr>
              <w:pStyle w:val="Tabletitle"/>
              <w:spacing w:line="240" w:lineRule="auto"/>
              <w:jc w:val="center"/>
              <w:rPr>
                <w:sz w:val="22"/>
                <w:szCs w:val="22"/>
              </w:rPr>
            </w:pPr>
            <w:r w:rsidRPr="00042ADE">
              <w:rPr>
                <w:sz w:val="22"/>
                <w:szCs w:val="22"/>
              </w:rPr>
              <w:t>6.073</w:t>
            </w:r>
          </w:p>
        </w:tc>
        <w:tc>
          <w:tcPr>
            <w:tcW w:w="1843" w:type="dxa"/>
          </w:tcPr>
          <w:p w14:paraId="7C1434CB" w14:textId="77777777" w:rsidR="00BC12EC" w:rsidRPr="00042ADE" w:rsidRDefault="00BC12EC" w:rsidP="00C709CC">
            <w:pPr>
              <w:pStyle w:val="Tabletitle"/>
              <w:spacing w:line="240" w:lineRule="auto"/>
              <w:jc w:val="center"/>
              <w:rPr>
                <w:sz w:val="22"/>
                <w:szCs w:val="22"/>
              </w:rPr>
            </w:pPr>
            <w:r w:rsidRPr="00042ADE">
              <w:rPr>
                <w:sz w:val="22"/>
                <w:szCs w:val="22"/>
              </w:rPr>
              <w:t>(-5.584, 17.729)</w:t>
            </w:r>
          </w:p>
        </w:tc>
        <w:tc>
          <w:tcPr>
            <w:tcW w:w="992" w:type="dxa"/>
          </w:tcPr>
          <w:p w14:paraId="2E3A47EF" w14:textId="77777777" w:rsidR="00BC12EC" w:rsidRPr="00042ADE" w:rsidRDefault="00BC12EC" w:rsidP="00C709CC">
            <w:pPr>
              <w:pStyle w:val="Tabletitle"/>
              <w:spacing w:line="240" w:lineRule="auto"/>
              <w:jc w:val="center"/>
              <w:rPr>
                <w:sz w:val="22"/>
                <w:szCs w:val="22"/>
              </w:rPr>
            </w:pPr>
            <w:r w:rsidRPr="00042ADE">
              <w:rPr>
                <w:sz w:val="22"/>
                <w:szCs w:val="22"/>
              </w:rPr>
              <w:t>0.298</w:t>
            </w:r>
          </w:p>
        </w:tc>
        <w:tc>
          <w:tcPr>
            <w:tcW w:w="992" w:type="dxa"/>
          </w:tcPr>
          <w:p w14:paraId="0CE65CCA" w14:textId="77777777" w:rsidR="00BC12EC" w:rsidRPr="00042ADE" w:rsidRDefault="00BC12EC" w:rsidP="00C709CC">
            <w:pPr>
              <w:pStyle w:val="Tabletitle"/>
              <w:spacing w:line="240" w:lineRule="auto"/>
              <w:jc w:val="center"/>
              <w:rPr>
                <w:sz w:val="22"/>
                <w:szCs w:val="22"/>
              </w:rPr>
            </w:pPr>
            <w:r w:rsidRPr="00042ADE">
              <w:rPr>
                <w:sz w:val="22"/>
                <w:szCs w:val="22"/>
              </w:rPr>
              <w:t>-1.339</w:t>
            </w:r>
          </w:p>
        </w:tc>
        <w:tc>
          <w:tcPr>
            <w:tcW w:w="1701" w:type="dxa"/>
          </w:tcPr>
          <w:p w14:paraId="7C82775D" w14:textId="77777777" w:rsidR="00BC12EC" w:rsidRPr="00042ADE" w:rsidRDefault="00BC12EC" w:rsidP="00C709CC">
            <w:pPr>
              <w:pStyle w:val="Tabletitle"/>
              <w:spacing w:line="240" w:lineRule="auto"/>
              <w:jc w:val="center"/>
              <w:rPr>
                <w:sz w:val="22"/>
                <w:szCs w:val="22"/>
              </w:rPr>
            </w:pPr>
            <w:r w:rsidRPr="00042ADE">
              <w:rPr>
                <w:sz w:val="22"/>
                <w:szCs w:val="22"/>
              </w:rPr>
              <w:t>(-3.498, 0.820)</w:t>
            </w:r>
          </w:p>
        </w:tc>
        <w:tc>
          <w:tcPr>
            <w:tcW w:w="993" w:type="dxa"/>
          </w:tcPr>
          <w:p w14:paraId="342A1DA7" w14:textId="77777777" w:rsidR="00BC12EC" w:rsidRPr="00042ADE" w:rsidRDefault="00BC12EC" w:rsidP="00C709CC">
            <w:pPr>
              <w:pStyle w:val="Tabletitle"/>
              <w:spacing w:line="240" w:lineRule="auto"/>
              <w:jc w:val="center"/>
              <w:rPr>
                <w:sz w:val="22"/>
                <w:szCs w:val="22"/>
              </w:rPr>
            </w:pPr>
            <w:r w:rsidRPr="00042ADE">
              <w:rPr>
                <w:sz w:val="22"/>
                <w:szCs w:val="22"/>
              </w:rPr>
              <w:t>0.218</w:t>
            </w:r>
          </w:p>
        </w:tc>
      </w:tr>
      <w:tr w:rsidR="00BC12EC" w:rsidRPr="00042ADE" w14:paraId="2BAF233B" w14:textId="77777777" w:rsidTr="00D5141F">
        <w:trPr>
          <w:trHeight w:val="196"/>
        </w:trPr>
        <w:tc>
          <w:tcPr>
            <w:tcW w:w="1797" w:type="dxa"/>
          </w:tcPr>
          <w:p w14:paraId="437D55DA" w14:textId="77777777" w:rsidR="00BC12EC" w:rsidRPr="00042ADE" w:rsidRDefault="00BC12EC" w:rsidP="00C709CC">
            <w:pPr>
              <w:pStyle w:val="Tabletitle"/>
              <w:spacing w:line="240" w:lineRule="auto"/>
              <w:rPr>
                <w:sz w:val="22"/>
                <w:szCs w:val="22"/>
              </w:rPr>
            </w:pPr>
          </w:p>
        </w:tc>
        <w:tc>
          <w:tcPr>
            <w:tcW w:w="1481" w:type="dxa"/>
          </w:tcPr>
          <w:p w14:paraId="3A536057"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2BA3C2C6"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4473DF40" w14:textId="77777777" w:rsidR="00BC12EC" w:rsidRPr="00042ADE" w:rsidRDefault="00BC12EC" w:rsidP="00C709CC">
            <w:pPr>
              <w:pStyle w:val="Tabletitle"/>
              <w:spacing w:line="240" w:lineRule="auto"/>
              <w:jc w:val="center"/>
              <w:rPr>
                <w:sz w:val="22"/>
                <w:szCs w:val="22"/>
              </w:rPr>
            </w:pPr>
            <w:r w:rsidRPr="00042ADE">
              <w:rPr>
                <w:sz w:val="22"/>
                <w:szCs w:val="22"/>
              </w:rPr>
              <w:t>4.653</w:t>
            </w:r>
          </w:p>
        </w:tc>
        <w:tc>
          <w:tcPr>
            <w:tcW w:w="1843" w:type="dxa"/>
          </w:tcPr>
          <w:p w14:paraId="2C48725E" w14:textId="77777777" w:rsidR="00BC12EC" w:rsidRPr="00042ADE" w:rsidRDefault="00BC12EC" w:rsidP="00C709CC">
            <w:pPr>
              <w:pStyle w:val="Tabletitle"/>
              <w:spacing w:line="240" w:lineRule="auto"/>
              <w:jc w:val="center"/>
              <w:rPr>
                <w:sz w:val="22"/>
                <w:szCs w:val="22"/>
              </w:rPr>
            </w:pPr>
            <w:r w:rsidRPr="00042ADE">
              <w:rPr>
                <w:sz w:val="22"/>
                <w:szCs w:val="22"/>
              </w:rPr>
              <w:t>(-5.737, 15.044)</w:t>
            </w:r>
          </w:p>
        </w:tc>
        <w:tc>
          <w:tcPr>
            <w:tcW w:w="992" w:type="dxa"/>
          </w:tcPr>
          <w:p w14:paraId="72584B00" w14:textId="77777777" w:rsidR="00BC12EC" w:rsidRPr="00042ADE" w:rsidRDefault="00BC12EC" w:rsidP="00C709CC">
            <w:pPr>
              <w:pStyle w:val="Tabletitle"/>
              <w:spacing w:line="240" w:lineRule="auto"/>
              <w:jc w:val="center"/>
              <w:rPr>
                <w:sz w:val="22"/>
                <w:szCs w:val="22"/>
              </w:rPr>
            </w:pPr>
            <w:r w:rsidRPr="00042ADE">
              <w:rPr>
                <w:sz w:val="22"/>
                <w:szCs w:val="22"/>
              </w:rPr>
              <w:t>0.370</w:t>
            </w:r>
          </w:p>
        </w:tc>
        <w:tc>
          <w:tcPr>
            <w:tcW w:w="992" w:type="dxa"/>
          </w:tcPr>
          <w:p w14:paraId="40422A73" w14:textId="77777777" w:rsidR="00BC12EC" w:rsidRPr="00042ADE" w:rsidRDefault="00BC12EC" w:rsidP="00C709CC">
            <w:pPr>
              <w:pStyle w:val="Tabletitle"/>
              <w:spacing w:line="240" w:lineRule="auto"/>
              <w:jc w:val="center"/>
              <w:rPr>
                <w:sz w:val="22"/>
                <w:szCs w:val="22"/>
              </w:rPr>
            </w:pPr>
            <w:r w:rsidRPr="00042ADE">
              <w:rPr>
                <w:sz w:val="22"/>
                <w:szCs w:val="22"/>
              </w:rPr>
              <w:t>-1.154</w:t>
            </w:r>
          </w:p>
        </w:tc>
        <w:tc>
          <w:tcPr>
            <w:tcW w:w="1701" w:type="dxa"/>
          </w:tcPr>
          <w:p w14:paraId="45634389" w14:textId="77777777" w:rsidR="00BC12EC" w:rsidRPr="00042ADE" w:rsidRDefault="00BC12EC" w:rsidP="00C709CC">
            <w:pPr>
              <w:pStyle w:val="Tabletitle"/>
              <w:spacing w:line="240" w:lineRule="auto"/>
              <w:jc w:val="center"/>
              <w:rPr>
                <w:sz w:val="22"/>
                <w:szCs w:val="22"/>
              </w:rPr>
            </w:pPr>
            <w:r w:rsidRPr="00042ADE">
              <w:rPr>
                <w:sz w:val="22"/>
                <w:szCs w:val="22"/>
              </w:rPr>
              <w:t>(-2.913, 0.605)</w:t>
            </w:r>
          </w:p>
        </w:tc>
        <w:tc>
          <w:tcPr>
            <w:tcW w:w="993" w:type="dxa"/>
          </w:tcPr>
          <w:p w14:paraId="0C22BCBC" w14:textId="77777777" w:rsidR="00BC12EC" w:rsidRPr="00042ADE" w:rsidRDefault="00BC12EC" w:rsidP="00C709CC">
            <w:pPr>
              <w:pStyle w:val="Tabletitle"/>
              <w:spacing w:line="240" w:lineRule="auto"/>
              <w:jc w:val="center"/>
              <w:rPr>
                <w:sz w:val="22"/>
                <w:szCs w:val="22"/>
              </w:rPr>
            </w:pPr>
            <w:r w:rsidRPr="00042ADE">
              <w:rPr>
                <w:sz w:val="22"/>
                <w:szCs w:val="22"/>
              </w:rPr>
              <w:t>0.193</w:t>
            </w:r>
          </w:p>
        </w:tc>
      </w:tr>
      <w:tr w:rsidR="00BC12EC" w:rsidRPr="00042ADE" w14:paraId="6ADE2AF9" w14:textId="77777777" w:rsidTr="00D5141F">
        <w:trPr>
          <w:trHeight w:val="196"/>
        </w:trPr>
        <w:tc>
          <w:tcPr>
            <w:tcW w:w="1797" w:type="dxa"/>
          </w:tcPr>
          <w:p w14:paraId="78E76B57" w14:textId="77777777" w:rsidR="00BC12EC" w:rsidRPr="00042ADE" w:rsidRDefault="00BC12EC" w:rsidP="00C709CC">
            <w:pPr>
              <w:pStyle w:val="Tabletitle"/>
              <w:spacing w:line="240" w:lineRule="auto"/>
              <w:rPr>
                <w:sz w:val="22"/>
                <w:szCs w:val="22"/>
              </w:rPr>
            </w:pPr>
          </w:p>
        </w:tc>
        <w:tc>
          <w:tcPr>
            <w:tcW w:w="1481" w:type="dxa"/>
          </w:tcPr>
          <w:p w14:paraId="610DF1CC" w14:textId="77777777" w:rsidR="00BC12EC" w:rsidRPr="00042ADE" w:rsidRDefault="00BC12EC" w:rsidP="00C709CC">
            <w:pPr>
              <w:pStyle w:val="Tabletitle"/>
              <w:spacing w:line="240" w:lineRule="auto"/>
              <w:jc w:val="center"/>
              <w:rPr>
                <w:b/>
                <w:sz w:val="22"/>
                <w:szCs w:val="22"/>
              </w:rPr>
            </w:pPr>
          </w:p>
        </w:tc>
        <w:tc>
          <w:tcPr>
            <w:tcW w:w="629" w:type="dxa"/>
          </w:tcPr>
          <w:p w14:paraId="6F020F6D"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3D16AD27" w14:textId="77777777" w:rsidR="00BC12EC" w:rsidRPr="00042ADE" w:rsidRDefault="00BC12EC" w:rsidP="00C709CC">
            <w:pPr>
              <w:pStyle w:val="Tabletitle"/>
              <w:spacing w:line="240" w:lineRule="auto"/>
              <w:jc w:val="center"/>
              <w:rPr>
                <w:sz w:val="22"/>
                <w:szCs w:val="22"/>
              </w:rPr>
            </w:pPr>
            <w:r w:rsidRPr="00042ADE">
              <w:rPr>
                <w:sz w:val="22"/>
                <w:szCs w:val="22"/>
              </w:rPr>
              <w:t>2.604</w:t>
            </w:r>
          </w:p>
        </w:tc>
        <w:tc>
          <w:tcPr>
            <w:tcW w:w="1843" w:type="dxa"/>
          </w:tcPr>
          <w:p w14:paraId="29FD8204" w14:textId="77777777" w:rsidR="00BC12EC" w:rsidRPr="00042ADE" w:rsidRDefault="00BC12EC" w:rsidP="00C709CC">
            <w:pPr>
              <w:pStyle w:val="Tabletitle"/>
              <w:spacing w:line="240" w:lineRule="auto"/>
              <w:jc w:val="center"/>
              <w:rPr>
                <w:sz w:val="22"/>
                <w:szCs w:val="22"/>
              </w:rPr>
            </w:pPr>
            <w:r w:rsidRPr="00042ADE">
              <w:rPr>
                <w:sz w:val="22"/>
                <w:szCs w:val="22"/>
              </w:rPr>
              <w:t>(-6.444, 11.652)</w:t>
            </w:r>
          </w:p>
        </w:tc>
        <w:tc>
          <w:tcPr>
            <w:tcW w:w="992" w:type="dxa"/>
          </w:tcPr>
          <w:p w14:paraId="7D71ACEA" w14:textId="77777777" w:rsidR="00BC12EC" w:rsidRPr="00042ADE" w:rsidRDefault="00BC12EC" w:rsidP="00C709CC">
            <w:pPr>
              <w:pStyle w:val="Tabletitle"/>
              <w:spacing w:line="240" w:lineRule="auto"/>
              <w:jc w:val="center"/>
              <w:rPr>
                <w:sz w:val="22"/>
                <w:szCs w:val="22"/>
              </w:rPr>
            </w:pPr>
            <w:r w:rsidRPr="00042ADE">
              <w:rPr>
                <w:sz w:val="22"/>
                <w:szCs w:val="22"/>
              </w:rPr>
              <w:t>0.563</w:t>
            </w:r>
          </w:p>
        </w:tc>
        <w:tc>
          <w:tcPr>
            <w:tcW w:w="992" w:type="dxa"/>
          </w:tcPr>
          <w:p w14:paraId="0D038891" w14:textId="77777777" w:rsidR="00BC12EC" w:rsidRPr="00042ADE" w:rsidRDefault="00BC12EC" w:rsidP="00C709CC">
            <w:pPr>
              <w:pStyle w:val="Tabletitle"/>
              <w:spacing w:line="240" w:lineRule="auto"/>
              <w:jc w:val="center"/>
              <w:rPr>
                <w:sz w:val="22"/>
                <w:szCs w:val="22"/>
              </w:rPr>
            </w:pPr>
            <w:r w:rsidRPr="00042ADE">
              <w:rPr>
                <w:sz w:val="22"/>
                <w:szCs w:val="22"/>
              </w:rPr>
              <w:t>-1.172</w:t>
            </w:r>
          </w:p>
        </w:tc>
        <w:tc>
          <w:tcPr>
            <w:tcW w:w="1701" w:type="dxa"/>
          </w:tcPr>
          <w:p w14:paraId="5B9AEA61" w14:textId="77777777" w:rsidR="00BC12EC" w:rsidRPr="00042ADE" w:rsidRDefault="00BC12EC" w:rsidP="00C709CC">
            <w:pPr>
              <w:pStyle w:val="Tabletitle"/>
              <w:spacing w:line="240" w:lineRule="auto"/>
              <w:jc w:val="center"/>
              <w:rPr>
                <w:sz w:val="22"/>
                <w:szCs w:val="22"/>
              </w:rPr>
            </w:pPr>
            <w:r w:rsidRPr="00042ADE">
              <w:rPr>
                <w:sz w:val="22"/>
                <w:szCs w:val="22"/>
              </w:rPr>
              <w:t>(-3.110, 0.767)</w:t>
            </w:r>
          </w:p>
        </w:tc>
        <w:tc>
          <w:tcPr>
            <w:tcW w:w="993" w:type="dxa"/>
          </w:tcPr>
          <w:p w14:paraId="611E84EC" w14:textId="77777777" w:rsidR="00BC12EC" w:rsidRPr="00042ADE" w:rsidRDefault="00BC12EC" w:rsidP="00C709CC">
            <w:pPr>
              <w:pStyle w:val="Tabletitle"/>
              <w:spacing w:line="240" w:lineRule="auto"/>
              <w:jc w:val="center"/>
              <w:rPr>
                <w:sz w:val="22"/>
                <w:szCs w:val="22"/>
              </w:rPr>
            </w:pPr>
            <w:r w:rsidRPr="00042ADE">
              <w:rPr>
                <w:sz w:val="22"/>
                <w:szCs w:val="22"/>
              </w:rPr>
              <w:t>0.230</w:t>
            </w:r>
          </w:p>
        </w:tc>
      </w:tr>
      <w:tr w:rsidR="00BC12EC" w:rsidRPr="00042ADE" w14:paraId="0086B6AE" w14:textId="77777777" w:rsidTr="00D5141F">
        <w:trPr>
          <w:trHeight w:val="196"/>
        </w:trPr>
        <w:tc>
          <w:tcPr>
            <w:tcW w:w="1797" w:type="dxa"/>
          </w:tcPr>
          <w:p w14:paraId="6823791B" w14:textId="77777777" w:rsidR="00BC12EC" w:rsidRPr="00042ADE" w:rsidRDefault="00BC12EC" w:rsidP="00C709CC">
            <w:pPr>
              <w:pStyle w:val="Tabletitle"/>
              <w:spacing w:line="240" w:lineRule="auto"/>
              <w:rPr>
                <w:sz w:val="22"/>
                <w:szCs w:val="22"/>
              </w:rPr>
            </w:pPr>
            <w:r w:rsidRPr="00042ADE">
              <w:rPr>
                <w:b/>
                <w:sz w:val="22"/>
                <w:szCs w:val="22"/>
              </w:rPr>
              <w:t>Index Fingertip</w:t>
            </w:r>
          </w:p>
        </w:tc>
        <w:tc>
          <w:tcPr>
            <w:tcW w:w="1481" w:type="dxa"/>
          </w:tcPr>
          <w:p w14:paraId="33E9FB51"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325B2B97"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EA41F89" w14:textId="77777777" w:rsidR="00BC12EC" w:rsidRPr="00042ADE" w:rsidRDefault="00BC12EC" w:rsidP="00C709CC">
            <w:pPr>
              <w:pStyle w:val="Tabletitle"/>
              <w:spacing w:line="240" w:lineRule="auto"/>
              <w:jc w:val="center"/>
              <w:rPr>
                <w:sz w:val="22"/>
                <w:szCs w:val="22"/>
              </w:rPr>
            </w:pPr>
            <w:r w:rsidRPr="00042ADE">
              <w:rPr>
                <w:sz w:val="22"/>
                <w:szCs w:val="22"/>
              </w:rPr>
              <w:t>3.271</w:t>
            </w:r>
          </w:p>
        </w:tc>
        <w:tc>
          <w:tcPr>
            <w:tcW w:w="1843" w:type="dxa"/>
          </w:tcPr>
          <w:p w14:paraId="295AC940" w14:textId="77777777" w:rsidR="00BC12EC" w:rsidRPr="00042ADE" w:rsidRDefault="00BC12EC" w:rsidP="00C709CC">
            <w:pPr>
              <w:pStyle w:val="Tabletitle"/>
              <w:spacing w:line="240" w:lineRule="auto"/>
              <w:jc w:val="center"/>
              <w:rPr>
                <w:sz w:val="22"/>
                <w:szCs w:val="22"/>
              </w:rPr>
            </w:pPr>
            <w:r w:rsidRPr="00042ADE">
              <w:rPr>
                <w:sz w:val="22"/>
                <w:szCs w:val="22"/>
              </w:rPr>
              <w:t>(-5.709, 12.250)</w:t>
            </w:r>
          </w:p>
        </w:tc>
        <w:tc>
          <w:tcPr>
            <w:tcW w:w="992" w:type="dxa"/>
          </w:tcPr>
          <w:p w14:paraId="1AE7671B" w14:textId="77777777" w:rsidR="00BC12EC" w:rsidRPr="00042ADE" w:rsidRDefault="00BC12EC" w:rsidP="00C709CC">
            <w:pPr>
              <w:pStyle w:val="Tabletitle"/>
              <w:spacing w:line="240" w:lineRule="auto"/>
              <w:jc w:val="center"/>
              <w:rPr>
                <w:sz w:val="22"/>
                <w:szCs w:val="22"/>
              </w:rPr>
            </w:pPr>
            <w:r w:rsidRPr="00042ADE">
              <w:rPr>
                <w:sz w:val="22"/>
                <w:szCs w:val="22"/>
              </w:rPr>
              <w:t>0.465</w:t>
            </w:r>
          </w:p>
        </w:tc>
        <w:tc>
          <w:tcPr>
            <w:tcW w:w="992" w:type="dxa"/>
          </w:tcPr>
          <w:p w14:paraId="3A6B3BE5" w14:textId="77777777" w:rsidR="00BC12EC" w:rsidRPr="00042ADE" w:rsidRDefault="00BC12EC" w:rsidP="00C709CC">
            <w:pPr>
              <w:pStyle w:val="Tabletitle"/>
              <w:spacing w:line="240" w:lineRule="auto"/>
              <w:jc w:val="center"/>
              <w:rPr>
                <w:sz w:val="22"/>
                <w:szCs w:val="22"/>
              </w:rPr>
            </w:pPr>
            <w:r w:rsidRPr="00042ADE">
              <w:rPr>
                <w:sz w:val="22"/>
                <w:szCs w:val="22"/>
              </w:rPr>
              <w:t>-1.044</w:t>
            </w:r>
          </w:p>
        </w:tc>
        <w:tc>
          <w:tcPr>
            <w:tcW w:w="1701" w:type="dxa"/>
          </w:tcPr>
          <w:p w14:paraId="3EE585CD" w14:textId="77777777" w:rsidR="00BC12EC" w:rsidRPr="00042ADE" w:rsidRDefault="00BC12EC" w:rsidP="00C709CC">
            <w:pPr>
              <w:pStyle w:val="Tabletitle"/>
              <w:spacing w:line="240" w:lineRule="auto"/>
              <w:jc w:val="center"/>
              <w:rPr>
                <w:sz w:val="22"/>
                <w:szCs w:val="22"/>
              </w:rPr>
            </w:pPr>
            <w:r w:rsidRPr="00042ADE">
              <w:rPr>
                <w:sz w:val="22"/>
                <w:szCs w:val="22"/>
              </w:rPr>
              <w:t>(-2.948, 0.860)</w:t>
            </w:r>
          </w:p>
        </w:tc>
        <w:tc>
          <w:tcPr>
            <w:tcW w:w="993" w:type="dxa"/>
          </w:tcPr>
          <w:p w14:paraId="064AD980" w14:textId="77777777" w:rsidR="00BC12EC" w:rsidRPr="00042ADE" w:rsidRDefault="00BC12EC" w:rsidP="00C709CC">
            <w:pPr>
              <w:pStyle w:val="Tabletitle"/>
              <w:spacing w:line="240" w:lineRule="auto"/>
              <w:jc w:val="center"/>
              <w:rPr>
                <w:sz w:val="22"/>
                <w:szCs w:val="22"/>
              </w:rPr>
            </w:pPr>
            <w:r w:rsidRPr="00042ADE">
              <w:rPr>
                <w:sz w:val="22"/>
                <w:szCs w:val="22"/>
              </w:rPr>
              <w:t>0.276</w:t>
            </w:r>
          </w:p>
        </w:tc>
      </w:tr>
      <w:tr w:rsidR="00BC12EC" w:rsidRPr="00042ADE" w14:paraId="17A7EA41" w14:textId="77777777" w:rsidTr="00D5141F">
        <w:trPr>
          <w:trHeight w:val="196"/>
        </w:trPr>
        <w:tc>
          <w:tcPr>
            <w:tcW w:w="1797" w:type="dxa"/>
          </w:tcPr>
          <w:p w14:paraId="4B1AE702" w14:textId="77777777" w:rsidR="00BC12EC" w:rsidRPr="00042ADE" w:rsidRDefault="00BC12EC" w:rsidP="00C709CC">
            <w:pPr>
              <w:pStyle w:val="Tabletitle"/>
              <w:spacing w:line="240" w:lineRule="auto"/>
              <w:rPr>
                <w:sz w:val="22"/>
                <w:szCs w:val="22"/>
              </w:rPr>
            </w:pPr>
          </w:p>
        </w:tc>
        <w:tc>
          <w:tcPr>
            <w:tcW w:w="1481" w:type="dxa"/>
          </w:tcPr>
          <w:p w14:paraId="621D219A" w14:textId="77777777" w:rsidR="00BC12EC" w:rsidRPr="00042ADE" w:rsidRDefault="00BC12EC" w:rsidP="00C709CC">
            <w:pPr>
              <w:pStyle w:val="Tabletitle"/>
              <w:spacing w:line="240" w:lineRule="auto"/>
              <w:jc w:val="center"/>
              <w:rPr>
                <w:b/>
                <w:sz w:val="22"/>
                <w:szCs w:val="22"/>
              </w:rPr>
            </w:pPr>
          </w:p>
        </w:tc>
        <w:tc>
          <w:tcPr>
            <w:tcW w:w="629" w:type="dxa"/>
          </w:tcPr>
          <w:p w14:paraId="129EE924"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7562B589" w14:textId="77777777" w:rsidR="00BC12EC" w:rsidRPr="00042ADE" w:rsidRDefault="00BC12EC" w:rsidP="00C709CC">
            <w:pPr>
              <w:pStyle w:val="Tabletitle"/>
              <w:spacing w:line="240" w:lineRule="auto"/>
              <w:jc w:val="center"/>
              <w:rPr>
                <w:sz w:val="22"/>
                <w:szCs w:val="22"/>
              </w:rPr>
            </w:pPr>
            <w:r w:rsidRPr="00042ADE">
              <w:rPr>
                <w:sz w:val="22"/>
                <w:szCs w:val="22"/>
              </w:rPr>
              <w:t>5.156</w:t>
            </w:r>
          </w:p>
        </w:tc>
        <w:tc>
          <w:tcPr>
            <w:tcW w:w="1843" w:type="dxa"/>
          </w:tcPr>
          <w:p w14:paraId="66DB3018" w14:textId="77777777" w:rsidR="00BC12EC" w:rsidRPr="00042ADE" w:rsidRDefault="00BC12EC" w:rsidP="00C709CC">
            <w:pPr>
              <w:pStyle w:val="Tabletitle"/>
              <w:spacing w:line="240" w:lineRule="auto"/>
              <w:jc w:val="center"/>
              <w:rPr>
                <w:sz w:val="22"/>
                <w:szCs w:val="22"/>
              </w:rPr>
            </w:pPr>
            <w:r w:rsidRPr="00042ADE">
              <w:rPr>
                <w:sz w:val="22"/>
                <w:szCs w:val="22"/>
              </w:rPr>
              <w:t>(-1.674, 11.985)</w:t>
            </w:r>
          </w:p>
        </w:tc>
        <w:tc>
          <w:tcPr>
            <w:tcW w:w="992" w:type="dxa"/>
          </w:tcPr>
          <w:p w14:paraId="01D0F525" w14:textId="77777777" w:rsidR="00BC12EC" w:rsidRPr="00042ADE" w:rsidRDefault="00BC12EC" w:rsidP="00C709CC">
            <w:pPr>
              <w:pStyle w:val="Tabletitle"/>
              <w:spacing w:line="240" w:lineRule="auto"/>
              <w:jc w:val="center"/>
              <w:rPr>
                <w:sz w:val="22"/>
                <w:szCs w:val="22"/>
              </w:rPr>
            </w:pPr>
            <w:r w:rsidRPr="00042ADE">
              <w:rPr>
                <w:sz w:val="22"/>
                <w:szCs w:val="22"/>
              </w:rPr>
              <w:t>0.135</w:t>
            </w:r>
          </w:p>
        </w:tc>
        <w:tc>
          <w:tcPr>
            <w:tcW w:w="992" w:type="dxa"/>
          </w:tcPr>
          <w:p w14:paraId="4859398C" w14:textId="77777777" w:rsidR="00BC12EC" w:rsidRPr="00042ADE" w:rsidRDefault="00BC12EC" w:rsidP="00C709CC">
            <w:pPr>
              <w:pStyle w:val="Tabletitle"/>
              <w:spacing w:line="240" w:lineRule="auto"/>
              <w:jc w:val="center"/>
              <w:rPr>
                <w:sz w:val="22"/>
                <w:szCs w:val="22"/>
              </w:rPr>
            </w:pPr>
            <w:r w:rsidRPr="00042ADE">
              <w:rPr>
                <w:sz w:val="22"/>
                <w:szCs w:val="22"/>
              </w:rPr>
              <w:t>-0.851</w:t>
            </w:r>
          </w:p>
        </w:tc>
        <w:tc>
          <w:tcPr>
            <w:tcW w:w="1701" w:type="dxa"/>
          </w:tcPr>
          <w:p w14:paraId="2201970A" w14:textId="77777777" w:rsidR="00BC12EC" w:rsidRPr="00042ADE" w:rsidRDefault="00BC12EC" w:rsidP="00C709CC">
            <w:pPr>
              <w:pStyle w:val="Tabletitle"/>
              <w:spacing w:line="240" w:lineRule="auto"/>
              <w:jc w:val="center"/>
              <w:rPr>
                <w:sz w:val="22"/>
                <w:szCs w:val="22"/>
              </w:rPr>
            </w:pPr>
            <w:r w:rsidRPr="00042ADE">
              <w:rPr>
                <w:sz w:val="22"/>
                <w:szCs w:val="22"/>
              </w:rPr>
              <w:t>(-2.890, 1.187)</w:t>
            </w:r>
          </w:p>
        </w:tc>
        <w:tc>
          <w:tcPr>
            <w:tcW w:w="993" w:type="dxa"/>
          </w:tcPr>
          <w:p w14:paraId="320C29AF" w14:textId="77777777" w:rsidR="00BC12EC" w:rsidRPr="00042ADE" w:rsidRDefault="00BC12EC" w:rsidP="00C709CC">
            <w:pPr>
              <w:pStyle w:val="Tabletitle"/>
              <w:spacing w:line="240" w:lineRule="auto"/>
              <w:jc w:val="center"/>
              <w:rPr>
                <w:sz w:val="22"/>
                <w:szCs w:val="22"/>
              </w:rPr>
            </w:pPr>
            <w:r w:rsidRPr="00042ADE">
              <w:rPr>
                <w:sz w:val="22"/>
                <w:szCs w:val="22"/>
              </w:rPr>
              <w:t>0.405</w:t>
            </w:r>
          </w:p>
        </w:tc>
      </w:tr>
      <w:tr w:rsidR="00BC12EC" w:rsidRPr="00042ADE" w14:paraId="555C1627" w14:textId="77777777" w:rsidTr="00D5141F">
        <w:trPr>
          <w:trHeight w:val="196"/>
        </w:trPr>
        <w:tc>
          <w:tcPr>
            <w:tcW w:w="1797" w:type="dxa"/>
          </w:tcPr>
          <w:p w14:paraId="1FD284A0" w14:textId="77777777" w:rsidR="00BC12EC" w:rsidRPr="00042ADE" w:rsidRDefault="00BC12EC" w:rsidP="00C709CC">
            <w:pPr>
              <w:pStyle w:val="Tabletitle"/>
              <w:spacing w:line="240" w:lineRule="auto"/>
              <w:rPr>
                <w:sz w:val="22"/>
                <w:szCs w:val="22"/>
              </w:rPr>
            </w:pPr>
          </w:p>
        </w:tc>
        <w:tc>
          <w:tcPr>
            <w:tcW w:w="1481" w:type="dxa"/>
          </w:tcPr>
          <w:p w14:paraId="6A36ACC3"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4E8EAF59"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2E9C27F" w14:textId="77777777" w:rsidR="00BC12EC" w:rsidRPr="00042ADE" w:rsidRDefault="00BC12EC" w:rsidP="00C709CC">
            <w:pPr>
              <w:pStyle w:val="Tabletitle"/>
              <w:spacing w:line="240" w:lineRule="auto"/>
              <w:jc w:val="center"/>
              <w:rPr>
                <w:sz w:val="22"/>
                <w:szCs w:val="22"/>
              </w:rPr>
            </w:pPr>
            <w:r w:rsidRPr="00042ADE">
              <w:rPr>
                <w:sz w:val="22"/>
                <w:szCs w:val="22"/>
              </w:rPr>
              <w:t>3.966</w:t>
            </w:r>
          </w:p>
        </w:tc>
        <w:tc>
          <w:tcPr>
            <w:tcW w:w="1843" w:type="dxa"/>
          </w:tcPr>
          <w:p w14:paraId="6CD761D1" w14:textId="77777777" w:rsidR="00BC12EC" w:rsidRPr="00042ADE" w:rsidRDefault="00BC12EC" w:rsidP="00C709CC">
            <w:pPr>
              <w:pStyle w:val="Tabletitle"/>
              <w:spacing w:line="240" w:lineRule="auto"/>
              <w:jc w:val="center"/>
              <w:rPr>
                <w:sz w:val="22"/>
                <w:szCs w:val="22"/>
              </w:rPr>
            </w:pPr>
            <w:r w:rsidRPr="00042ADE">
              <w:rPr>
                <w:sz w:val="22"/>
                <w:szCs w:val="22"/>
              </w:rPr>
              <w:t>(-6.758, 14.690)</w:t>
            </w:r>
          </w:p>
        </w:tc>
        <w:tc>
          <w:tcPr>
            <w:tcW w:w="992" w:type="dxa"/>
          </w:tcPr>
          <w:p w14:paraId="1DD08D68" w14:textId="77777777" w:rsidR="00BC12EC" w:rsidRPr="00042ADE" w:rsidRDefault="00BC12EC" w:rsidP="00C709CC">
            <w:pPr>
              <w:pStyle w:val="Tabletitle"/>
              <w:spacing w:line="240" w:lineRule="auto"/>
              <w:jc w:val="center"/>
              <w:rPr>
                <w:sz w:val="22"/>
                <w:szCs w:val="22"/>
              </w:rPr>
            </w:pPr>
            <w:r w:rsidRPr="00042ADE">
              <w:rPr>
                <w:sz w:val="22"/>
                <w:szCs w:val="22"/>
              </w:rPr>
              <w:t>0.458</w:t>
            </w:r>
          </w:p>
        </w:tc>
        <w:tc>
          <w:tcPr>
            <w:tcW w:w="992" w:type="dxa"/>
          </w:tcPr>
          <w:p w14:paraId="64CD99A2" w14:textId="77777777" w:rsidR="00BC12EC" w:rsidRPr="00042ADE" w:rsidRDefault="00BC12EC" w:rsidP="00C709CC">
            <w:pPr>
              <w:pStyle w:val="Tabletitle"/>
              <w:spacing w:line="240" w:lineRule="auto"/>
              <w:jc w:val="center"/>
              <w:rPr>
                <w:sz w:val="22"/>
                <w:szCs w:val="22"/>
              </w:rPr>
            </w:pPr>
            <w:r w:rsidRPr="00042ADE">
              <w:rPr>
                <w:sz w:val="22"/>
                <w:szCs w:val="22"/>
              </w:rPr>
              <w:t>-1.156</w:t>
            </w:r>
          </w:p>
        </w:tc>
        <w:tc>
          <w:tcPr>
            <w:tcW w:w="1701" w:type="dxa"/>
          </w:tcPr>
          <w:p w14:paraId="3E8BC74D" w14:textId="77777777" w:rsidR="00BC12EC" w:rsidRPr="00042ADE" w:rsidRDefault="00BC12EC" w:rsidP="00C709CC">
            <w:pPr>
              <w:pStyle w:val="Tabletitle"/>
              <w:spacing w:line="240" w:lineRule="auto"/>
              <w:jc w:val="center"/>
              <w:rPr>
                <w:sz w:val="22"/>
                <w:szCs w:val="22"/>
              </w:rPr>
            </w:pPr>
            <w:r w:rsidRPr="00042ADE">
              <w:rPr>
                <w:sz w:val="22"/>
                <w:szCs w:val="22"/>
              </w:rPr>
              <w:t>(-2.960, 0.648)</w:t>
            </w:r>
          </w:p>
        </w:tc>
        <w:tc>
          <w:tcPr>
            <w:tcW w:w="993" w:type="dxa"/>
          </w:tcPr>
          <w:p w14:paraId="13699A96" w14:textId="77777777" w:rsidR="00BC12EC" w:rsidRPr="00042ADE" w:rsidRDefault="00BC12EC" w:rsidP="00C709CC">
            <w:pPr>
              <w:pStyle w:val="Tabletitle"/>
              <w:spacing w:line="240" w:lineRule="auto"/>
              <w:jc w:val="center"/>
              <w:rPr>
                <w:sz w:val="22"/>
                <w:szCs w:val="22"/>
              </w:rPr>
            </w:pPr>
            <w:r w:rsidRPr="00042ADE">
              <w:rPr>
                <w:sz w:val="22"/>
                <w:szCs w:val="22"/>
              </w:rPr>
              <w:t>0.204</w:t>
            </w:r>
          </w:p>
        </w:tc>
      </w:tr>
      <w:tr w:rsidR="00BC12EC" w:rsidRPr="00042ADE" w14:paraId="05BE43C1" w14:textId="77777777" w:rsidTr="00D5141F">
        <w:trPr>
          <w:trHeight w:val="196"/>
        </w:trPr>
        <w:tc>
          <w:tcPr>
            <w:tcW w:w="1797" w:type="dxa"/>
          </w:tcPr>
          <w:p w14:paraId="48CAAFB5" w14:textId="77777777" w:rsidR="00BC12EC" w:rsidRPr="00042ADE" w:rsidRDefault="00BC12EC" w:rsidP="00C709CC">
            <w:pPr>
              <w:pStyle w:val="Tabletitle"/>
              <w:spacing w:line="240" w:lineRule="auto"/>
              <w:rPr>
                <w:sz w:val="22"/>
                <w:szCs w:val="22"/>
              </w:rPr>
            </w:pPr>
          </w:p>
        </w:tc>
        <w:tc>
          <w:tcPr>
            <w:tcW w:w="1481" w:type="dxa"/>
          </w:tcPr>
          <w:p w14:paraId="22C38EEB" w14:textId="77777777" w:rsidR="00BC12EC" w:rsidRPr="00042ADE" w:rsidRDefault="00BC12EC" w:rsidP="00C709CC">
            <w:pPr>
              <w:pStyle w:val="Tabletitle"/>
              <w:spacing w:line="240" w:lineRule="auto"/>
              <w:jc w:val="center"/>
              <w:rPr>
                <w:b/>
                <w:sz w:val="22"/>
                <w:szCs w:val="22"/>
              </w:rPr>
            </w:pPr>
          </w:p>
        </w:tc>
        <w:tc>
          <w:tcPr>
            <w:tcW w:w="629" w:type="dxa"/>
          </w:tcPr>
          <w:p w14:paraId="434E90E2"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3818FAD4" w14:textId="77777777" w:rsidR="00BC12EC" w:rsidRPr="00042ADE" w:rsidRDefault="00BC12EC" w:rsidP="00C709CC">
            <w:pPr>
              <w:pStyle w:val="Tabletitle"/>
              <w:spacing w:line="240" w:lineRule="auto"/>
              <w:jc w:val="center"/>
              <w:rPr>
                <w:sz w:val="22"/>
                <w:szCs w:val="22"/>
              </w:rPr>
            </w:pPr>
            <w:r w:rsidRPr="00042ADE">
              <w:rPr>
                <w:sz w:val="22"/>
                <w:szCs w:val="22"/>
              </w:rPr>
              <w:t>2.018</w:t>
            </w:r>
          </w:p>
        </w:tc>
        <w:tc>
          <w:tcPr>
            <w:tcW w:w="1843" w:type="dxa"/>
          </w:tcPr>
          <w:p w14:paraId="315B70DB" w14:textId="77777777" w:rsidR="00BC12EC" w:rsidRPr="00042ADE" w:rsidRDefault="00BC12EC" w:rsidP="00C709CC">
            <w:pPr>
              <w:pStyle w:val="Tabletitle"/>
              <w:spacing w:line="240" w:lineRule="auto"/>
              <w:jc w:val="center"/>
              <w:rPr>
                <w:sz w:val="22"/>
                <w:szCs w:val="22"/>
              </w:rPr>
            </w:pPr>
            <w:r w:rsidRPr="00042ADE">
              <w:rPr>
                <w:sz w:val="22"/>
                <w:szCs w:val="22"/>
              </w:rPr>
              <w:t>(-7.133, 11.168)</w:t>
            </w:r>
          </w:p>
        </w:tc>
        <w:tc>
          <w:tcPr>
            <w:tcW w:w="992" w:type="dxa"/>
          </w:tcPr>
          <w:p w14:paraId="1C05533C" w14:textId="77777777" w:rsidR="00BC12EC" w:rsidRPr="00042ADE" w:rsidRDefault="00BC12EC" w:rsidP="00C709CC">
            <w:pPr>
              <w:pStyle w:val="Tabletitle"/>
              <w:spacing w:line="240" w:lineRule="auto"/>
              <w:jc w:val="center"/>
              <w:rPr>
                <w:sz w:val="22"/>
                <w:szCs w:val="22"/>
              </w:rPr>
            </w:pPr>
            <w:r w:rsidRPr="00042ADE">
              <w:rPr>
                <w:sz w:val="22"/>
                <w:szCs w:val="22"/>
              </w:rPr>
              <w:t>0.658</w:t>
            </w:r>
          </w:p>
        </w:tc>
        <w:tc>
          <w:tcPr>
            <w:tcW w:w="992" w:type="dxa"/>
          </w:tcPr>
          <w:p w14:paraId="1356D7D3" w14:textId="77777777" w:rsidR="00BC12EC" w:rsidRPr="00042ADE" w:rsidRDefault="00BC12EC" w:rsidP="00C709CC">
            <w:pPr>
              <w:pStyle w:val="Tabletitle"/>
              <w:spacing w:line="240" w:lineRule="auto"/>
              <w:jc w:val="center"/>
              <w:rPr>
                <w:sz w:val="22"/>
                <w:szCs w:val="22"/>
              </w:rPr>
            </w:pPr>
            <w:r w:rsidRPr="00042ADE">
              <w:rPr>
                <w:sz w:val="22"/>
                <w:szCs w:val="22"/>
              </w:rPr>
              <w:t>-1.171</w:t>
            </w:r>
          </w:p>
        </w:tc>
        <w:tc>
          <w:tcPr>
            <w:tcW w:w="1701" w:type="dxa"/>
          </w:tcPr>
          <w:p w14:paraId="05A287E2" w14:textId="77777777" w:rsidR="00BC12EC" w:rsidRPr="00042ADE" w:rsidRDefault="00BC12EC" w:rsidP="00C709CC">
            <w:pPr>
              <w:pStyle w:val="Tabletitle"/>
              <w:spacing w:line="240" w:lineRule="auto"/>
              <w:jc w:val="center"/>
              <w:rPr>
                <w:sz w:val="22"/>
                <w:szCs w:val="22"/>
              </w:rPr>
            </w:pPr>
            <w:r w:rsidRPr="00042ADE">
              <w:rPr>
                <w:sz w:val="22"/>
                <w:szCs w:val="22"/>
              </w:rPr>
              <w:t>(-3.165, 0.823)</w:t>
            </w:r>
          </w:p>
        </w:tc>
        <w:tc>
          <w:tcPr>
            <w:tcW w:w="993" w:type="dxa"/>
          </w:tcPr>
          <w:p w14:paraId="47438E7E" w14:textId="77777777" w:rsidR="00BC12EC" w:rsidRPr="00042ADE" w:rsidRDefault="00BC12EC" w:rsidP="00C709CC">
            <w:pPr>
              <w:pStyle w:val="Tabletitle"/>
              <w:spacing w:line="240" w:lineRule="auto"/>
              <w:jc w:val="center"/>
              <w:rPr>
                <w:sz w:val="22"/>
                <w:szCs w:val="22"/>
              </w:rPr>
            </w:pPr>
            <w:r w:rsidRPr="00042ADE">
              <w:rPr>
                <w:sz w:val="22"/>
                <w:szCs w:val="22"/>
              </w:rPr>
              <w:t>0.243</w:t>
            </w:r>
          </w:p>
        </w:tc>
      </w:tr>
      <w:tr w:rsidR="00BC12EC" w:rsidRPr="00042ADE" w14:paraId="298DE2FD" w14:textId="77777777" w:rsidTr="00D5141F">
        <w:trPr>
          <w:trHeight w:val="196"/>
        </w:trPr>
        <w:tc>
          <w:tcPr>
            <w:tcW w:w="1797" w:type="dxa"/>
          </w:tcPr>
          <w:p w14:paraId="6F39FDA1" w14:textId="77777777" w:rsidR="00BC12EC" w:rsidRPr="00042ADE" w:rsidRDefault="00BC12EC" w:rsidP="00C709CC">
            <w:pPr>
              <w:pStyle w:val="Tabletitle"/>
              <w:spacing w:line="240" w:lineRule="auto"/>
              <w:rPr>
                <w:sz w:val="22"/>
                <w:szCs w:val="22"/>
              </w:rPr>
            </w:pPr>
          </w:p>
        </w:tc>
        <w:tc>
          <w:tcPr>
            <w:tcW w:w="1481" w:type="dxa"/>
          </w:tcPr>
          <w:p w14:paraId="1EC4045F"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60E88627"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36F779C" w14:textId="77777777" w:rsidR="00BC12EC" w:rsidRPr="00042ADE" w:rsidRDefault="00BC12EC" w:rsidP="00C709CC">
            <w:pPr>
              <w:pStyle w:val="Tabletitle"/>
              <w:spacing w:line="240" w:lineRule="auto"/>
              <w:jc w:val="center"/>
              <w:rPr>
                <w:sz w:val="22"/>
                <w:szCs w:val="22"/>
              </w:rPr>
            </w:pPr>
            <w:r w:rsidRPr="00042ADE">
              <w:rPr>
                <w:sz w:val="22"/>
                <w:szCs w:val="22"/>
              </w:rPr>
              <w:t>3.690</w:t>
            </w:r>
          </w:p>
        </w:tc>
        <w:tc>
          <w:tcPr>
            <w:tcW w:w="1843" w:type="dxa"/>
          </w:tcPr>
          <w:p w14:paraId="764C75A8" w14:textId="77777777" w:rsidR="00BC12EC" w:rsidRPr="00042ADE" w:rsidRDefault="00BC12EC" w:rsidP="00C709CC">
            <w:pPr>
              <w:pStyle w:val="Tabletitle"/>
              <w:spacing w:line="240" w:lineRule="auto"/>
              <w:jc w:val="center"/>
              <w:rPr>
                <w:sz w:val="22"/>
                <w:szCs w:val="22"/>
              </w:rPr>
            </w:pPr>
            <w:r w:rsidRPr="00042ADE">
              <w:rPr>
                <w:sz w:val="22"/>
                <w:szCs w:val="22"/>
              </w:rPr>
              <w:t>(-7.362, 14.741)</w:t>
            </w:r>
          </w:p>
        </w:tc>
        <w:tc>
          <w:tcPr>
            <w:tcW w:w="992" w:type="dxa"/>
          </w:tcPr>
          <w:p w14:paraId="6E4AB400" w14:textId="77777777" w:rsidR="00BC12EC" w:rsidRPr="00042ADE" w:rsidRDefault="00BC12EC" w:rsidP="00C709CC">
            <w:pPr>
              <w:pStyle w:val="Tabletitle"/>
              <w:spacing w:line="240" w:lineRule="auto"/>
              <w:jc w:val="center"/>
              <w:rPr>
                <w:sz w:val="22"/>
                <w:szCs w:val="22"/>
              </w:rPr>
            </w:pPr>
            <w:r w:rsidRPr="00042ADE">
              <w:rPr>
                <w:sz w:val="22"/>
                <w:szCs w:val="22"/>
              </w:rPr>
              <w:t>0.503</w:t>
            </w:r>
          </w:p>
        </w:tc>
        <w:tc>
          <w:tcPr>
            <w:tcW w:w="992" w:type="dxa"/>
          </w:tcPr>
          <w:p w14:paraId="42E85B83" w14:textId="77777777" w:rsidR="00BC12EC" w:rsidRPr="00042ADE" w:rsidRDefault="00BC12EC" w:rsidP="00C709CC">
            <w:pPr>
              <w:pStyle w:val="Tabletitle"/>
              <w:spacing w:line="240" w:lineRule="auto"/>
              <w:jc w:val="center"/>
              <w:rPr>
                <w:sz w:val="22"/>
                <w:szCs w:val="22"/>
              </w:rPr>
            </w:pPr>
            <w:r w:rsidRPr="00042ADE">
              <w:rPr>
                <w:sz w:val="22"/>
                <w:szCs w:val="22"/>
              </w:rPr>
              <w:t>-1.577</w:t>
            </w:r>
          </w:p>
        </w:tc>
        <w:tc>
          <w:tcPr>
            <w:tcW w:w="1701" w:type="dxa"/>
          </w:tcPr>
          <w:p w14:paraId="670B7FA3" w14:textId="77777777" w:rsidR="00BC12EC" w:rsidRPr="00042ADE" w:rsidRDefault="00BC12EC" w:rsidP="00C709CC">
            <w:pPr>
              <w:pStyle w:val="Tabletitle"/>
              <w:spacing w:line="240" w:lineRule="auto"/>
              <w:jc w:val="center"/>
              <w:rPr>
                <w:sz w:val="22"/>
                <w:szCs w:val="22"/>
              </w:rPr>
            </w:pPr>
            <w:r w:rsidRPr="00042ADE">
              <w:rPr>
                <w:sz w:val="22"/>
                <w:szCs w:val="22"/>
              </w:rPr>
              <w:t>(-3.395, 0.240)</w:t>
            </w:r>
          </w:p>
        </w:tc>
        <w:tc>
          <w:tcPr>
            <w:tcW w:w="993" w:type="dxa"/>
          </w:tcPr>
          <w:p w14:paraId="3F2C8242" w14:textId="77777777" w:rsidR="00BC12EC" w:rsidRPr="00042ADE" w:rsidRDefault="00BC12EC" w:rsidP="00C709CC">
            <w:pPr>
              <w:pStyle w:val="Tabletitle"/>
              <w:spacing w:line="240" w:lineRule="auto"/>
              <w:jc w:val="center"/>
              <w:rPr>
                <w:sz w:val="22"/>
                <w:szCs w:val="22"/>
              </w:rPr>
            </w:pPr>
            <w:r w:rsidRPr="00042ADE">
              <w:rPr>
                <w:sz w:val="22"/>
                <w:szCs w:val="22"/>
              </w:rPr>
              <w:t>0.087</w:t>
            </w:r>
          </w:p>
        </w:tc>
      </w:tr>
      <w:tr w:rsidR="00BC12EC" w:rsidRPr="00042ADE" w14:paraId="2A2BE9D8" w14:textId="77777777" w:rsidTr="00D5141F">
        <w:trPr>
          <w:trHeight w:val="196"/>
        </w:trPr>
        <w:tc>
          <w:tcPr>
            <w:tcW w:w="1797" w:type="dxa"/>
          </w:tcPr>
          <w:p w14:paraId="4349C28D" w14:textId="77777777" w:rsidR="00BC12EC" w:rsidRPr="00042ADE" w:rsidRDefault="00BC12EC" w:rsidP="00C709CC">
            <w:pPr>
              <w:pStyle w:val="Tabletitle"/>
              <w:spacing w:line="240" w:lineRule="auto"/>
              <w:rPr>
                <w:sz w:val="22"/>
                <w:szCs w:val="22"/>
              </w:rPr>
            </w:pPr>
          </w:p>
        </w:tc>
        <w:tc>
          <w:tcPr>
            <w:tcW w:w="1481" w:type="dxa"/>
          </w:tcPr>
          <w:p w14:paraId="7FB96F5D" w14:textId="77777777" w:rsidR="00BC12EC" w:rsidRPr="00042ADE" w:rsidRDefault="00BC12EC" w:rsidP="00C709CC">
            <w:pPr>
              <w:pStyle w:val="Tabletitle"/>
              <w:spacing w:line="240" w:lineRule="auto"/>
              <w:jc w:val="center"/>
              <w:rPr>
                <w:b/>
                <w:sz w:val="22"/>
                <w:szCs w:val="22"/>
              </w:rPr>
            </w:pPr>
          </w:p>
        </w:tc>
        <w:tc>
          <w:tcPr>
            <w:tcW w:w="629" w:type="dxa"/>
          </w:tcPr>
          <w:p w14:paraId="07F24251"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73E6D6E5" w14:textId="77777777" w:rsidR="00BC12EC" w:rsidRPr="00042ADE" w:rsidRDefault="00BC12EC" w:rsidP="00C709CC">
            <w:pPr>
              <w:pStyle w:val="Tabletitle"/>
              <w:spacing w:line="240" w:lineRule="auto"/>
              <w:jc w:val="center"/>
              <w:rPr>
                <w:sz w:val="22"/>
                <w:szCs w:val="22"/>
              </w:rPr>
            </w:pPr>
            <w:r w:rsidRPr="00042ADE">
              <w:rPr>
                <w:sz w:val="22"/>
                <w:szCs w:val="22"/>
              </w:rPr>
              <w:t>3.676</w:t>
            </w:r>
          </w:p>
        </w:tc>
        <w:tc>
          <w:tcPr>
            <w:tcW w:w="1843" w:type="dxa"/>
          </w:tcPr>
          <w:p w14:paraId="79CEF53E" w14:textId="77777777" w:rsidR="00BC12EC" w:rsidRPr="00042ADE" w:rsidRDefault="00BC12EC" w:rsidP="00C709CC">
            <w:pPr>
              <w:pStyle w:val="Tabletitle"/>
              <w:spacing w:line="240" w:lineRule="auto"/>
              <w:jc w:val="center"/>
              <w:rPr>
                <w:sz w:val="22"/>
                <w:szCs w:val="22"/>
              </w:rPr>
            </w:pPr>
            <w:r w:rsidRPr="00042ADE">
              <w:rPr>
                <w:sz w:val="22"/>
                <w:szCs w:val="22"/>
              </w:rPr>
              <w:t>(-7.393, 14.745)</w:t>
            </w:r>
          </w:p>
        </w:tc>
        <w:tc>
          <w:tcPr>
            <w:tcW w:w="992" w:type="dxa"/>
          </w:tcPr>
          <w:p w14:paraId="13A334A7" w14:textId="77777777" w:rsidR="00BC12EC" w:rsidRPr="00042ADE" w:rsidRDefault="00BC12EC" w:rsidP="00C709CC">
            <w:pPr>
              <w:pStyle w:val="Tabletitle"/>
              <w:spacing w:line="240" w:lineRule="auto"/>
              <w:jc w:val="center"/>
              <w:rPr>
                <w:sz w:val="22"/>
                <w:szCs w:val="22"/>
              </w:rPr>
            </w:pPr>
            <w:r w:rsidRPr="00042ADE">
              <w:rPr>
                <w:sz w:val="22"/>
                <w:szCs w:val="22"/>
              </w:rPr>
              <w:t>0.505</w:t>
            </w:r>
          </w:p>
        </w:tc>
        <w:tc>
          <w:tcPr>
            <w:tcW w:w="992" w:type="dxa"/>
          </w:tcPr>
          <w:p w14:paraId="77279825" w14:textId="77777777" w:rsidR="00BC12EC" w:rsidRPr="00042ADE" w:rsidRDefault="00BC12EC" w:rsidP="00C709CC">
            <w:pPr>
              <w:pStyle w:val="Tabletitle"/>
              <w:spacing w:line="240" w:lineRule="auto"/>
              <w:jc w:val="center"/>
              <w:rPr>
                <w:sz w:val="22"/>
                <w:szCs w:val="22"/>
              </w:rPr>
            </w:pPr>
            <w:r w:rsidRPr="00042ADE">
              <w:rPr>
                <w:sz w:val="22"/>
                <w:szCs w:val="22"/>
              </w:rPr>
              <w:t>-1.617</w:t>
            </w:r>
          </w:p>
        </w:tc>
        <w:tc>
          <w:tcPr>
            <w:tcW w:w="1701" w:type="dxa"/>
          </w:tcPr>
          <w:p w14:paraId="4504CD76" w14:textId="77777777" w:rsidR="00BC12EC" w:rsidRPr="00042ADE" w:rsidRDefault="00BC12EC" w:rsidP="00C709CC">
            <w:pPr>
              <w:pStyle w:val="Tabletitle"/>
              <w:spacing w:line="240" w:lineRule="auto"/>
              <w:jc w:val="center"/>
              <w:rPr>
                <w:sz w:val="22"/>
                <w:szCs w:val="22"/>
              </w:rPr>
            </w:pPr>
            <w:r w:rsidRPr="00042ADE">
              <w:rPr>
                <w:sz w:val="22"/>
                <w:szCs w:val="22"/>
              </w:rPr>
              <w:t>(-3.500, 0.266)</w:t>
            </w:r>
          </w:p>
        </w:tc>
        <w:tc>
          <w:tcPr>
            <w:tcW w:w="993" w:type="dxa"/>
          </w:tcPr>
          <w:p w14:paraId="644AF1D2" w14:textId="77777777" w:rsidR="00BC12EC" w:rsidRPr="00042ADE" w:rsidRDefault="00BC12EC" w:rsidP="00C709CC">
            <w:pPr>
              <w:pStyle w:val="Tabletitle"/>
              <w:spacing w:line="240" w:lineRule="auto"/>
              <w:jc w:val="center"/>
              <w:rPr>
                <w:sz w:val="22"/>
                <w:szCs w:val="22"/>
              </w:rPr>
            </w:pPr>
            <w:r w:rsidRPr="00042ADE">
              <w:rPr>
                <w:sz w:val="22"/>
                <w:szCs w:val="22"/>
              </w:rPr>
              <w:t>0.091</w:t>
            </w:r>
          </w:p>
        </w:tc>
      </w:tr>
      <w:tr w:rsidR="00BC12EC" w:rsidRPr="00042ADE" w14:paraId="4C55B19E" w14:textId="77777777" w:rsidTr="00D5141F">
        <w:trPr>
          <w:trHeight w:val="196"/>
        </w:trPr>
        <w:tc>
          <w:tcPr>
            <w:tcW w:w="1797" w:type="dxa"/>
          </w:tcPr>
          <w:p w14:paraId="71B6D42A" w14:textId="77777777" w:rsidR="00BC12EC" w:rsidRPr="00042ADE" w:rsidRDefault="00BC12EC" w:rsidP="00C709CC">
            <w:pPr>
              <w:pStyle w:val="Tabletitle"/>
              <w:spacing w:line="240" w:lineRule="auto"/>
              <w:rPr>
                <w:sz w:val="22"/>
                <w:szCs w:val="22"/>
              </w:rPr>
            </w:pPr>
            <w:r w:rsidRPr="00042ADE">
              <w:rPr>
                <w:b/>
                <w:sz w:val="22"/>
                <w:szCs w:val="22"/>
              </w:rPr>
              <w:t>Middle Fingertip</w:t>
            </w:r>
          </w:p>
        </w:tc>
        <w:tc>
          <w:tcPr>
            <w:tcW w:w="1481" w:type="dxa"/>
          </w:tcPr>
          <w:p w14:paraId="0DF64127"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3B2E2C3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75640D67" w14:textId="77777777" w:rsidR="00BC12EC" w:rsidRPr="00042ADE" w:rsidRDefault="00BC12EC" w:rsidP="00C709CC">
            <w:pPr>
              <w:pStyle w:val="Tabletitle"/>
              <w:spacing w:line="240" w:lineRule="auto"/>
              <w:jc w:val="center"/>
              <w:rPr>
                <w:sz w:val="22"/>
                <w:szCs w:val="22"/>
              </w:rPr>
            </w:pPr>
            <w:r w:rsidRPr="00042ADE">
              <w:rPr>
                <w:sz w:val="22"/>
                <w:szCs w:val="22"/>
              </w:rPr>
              <w:t>3.314</w:t>
            </w:r>
          </w:p>
        </w:tc>
        <w:tc>
          <w:tcPr>
            <w:tcW w:w="1843" w:type="dxa"/>
          </w:tcPr>
          <w:p w14:paraId="1A63222E" w14:textId="77777777" w:rsidR="00BC12EC" w:rsidRPr="00042ADE" w:rsidRDefault="00BC12EC" w:rsidP="00C709CC">
            <w:pPr>
              <w:pStyle w:val="Tabletitle"/>
              <w:spacing w:line="240" w:lineRule="auto"/>
              <w:jc w:val="center"/>
              <w:rPr>
                <w:sz w:val="22"/>
                <w:szCs w:val="22"/>
              </w:rPr>
            </w:pPr>
            <w:r w:rsidRPr="00042ADE">
              <w:rPr>
                <w:sz w:val="22"/>
                <w:szCs w:val="22"/>
              </w:rPr>
              <w:t>(-5.427, 12.054)</w:t>
            </w:r>
          </w:p>
        </w:tc>
        <w:tc>
          <w:tcPr>
            <w:tcW w:w="992" w:type="dxa"/>
          </w:tcPr>
          <w:p w14:paraId="6822F8A1" w14:textId="77777777" w:rsidR="00BC12EC" w:rsidRPr="00042ADE" w:rsidRDefault="00BC12EC" w:rsidP="00C709CC">
            <w:pPr>
              <w:pStyle w:val="Tabletitle"/>
              <w:spacing w:line="240" w:lineRule="auto"/>
              <w:jc w:val="center"/>
              <w:rPr>
                <w:sz w:val="22"/>
                <w:szCs w:val="22"/>
              </w:rPr>
            </w:pPr>
            <w:r w:rsidRPr="00042ADE">
              <w:rPr>
                <w:sz w:val="22"/>
                <w:szCs w:val="22"/>
              </w:rPr>
              <w:t>0.447</w:t>
            </w:r>
          </w:p>
        </w:tc>
        <w:tc>
          <w:tcPr>
            <w:tcW w:w="992" w:type="dxa"/>
          </w:tcPr>
          <w:p w14:paraId="20A921FD" w14:textId="77777777" w:rsidR="00BC12EC" w:rsidRPr="00042ADE" w:rsidRDefault="00BC12EC" w:rsidP="00C709CC">
            <w:pPr>
              <w:pStyle w:val="Tabletitle"/>
              <w:spacing w:line="240" w:lineRule="auto"/>
              <w:jc w:val="center"/>
              <w:rPr>
                <w:sz w:val="22"/>
                <w:szCs w:val="22"/>
              </w:rPr>
            </w:pPr>
            <w:r w:rsidRPr="00042ADE">
              <w:rPr>
                <w:sz w:val="22"/>
                <w:szCs w:val="22"/>
              </w:rPr>
              <w:t>-1.418</w:t>
            </w:r>
          </w:p>
        </w:tc>
        <w:tc>
          <w:tcPr>
            <w:tcW w:w="1701" w:type="dxa"/>
          </w:tcPr>
          <w:p w14:paraId="1389B729" w14:textId="77777777" w:rsidR="00BC12EC" w:rsidRPr="00042ADE" w:rsidRDefault="00BC12EC" w:rsidP="00C709CC">
            <w:pPr>
              <w:pStyle w:val="Tabletitle"/>
              <w:spacing w:line="240" w:lineRule="auto"/>
              <w:jc w:val="center"/>
              <w:rPr>
                <w:sz w:val="22"/>
                <w:szCs w:val="22"/>
              </w:rPr>
            </w:pPr>
            <w:r w:rsidRPr="00042ADE">
              <w:rPr>
                <w:sz w:val="22"/>
                <w:szCs w:val="22"/>
              </w:rPr>
              <w:t>(-3.272, 0.435)</w:t>
            </w:r>
          </w:p>
        </w:tc>
        <w:tc>
          <w:tcPr>
            <w:tcW w:w="993" w:type="dxa"/>
          </w:tcPr>
          <w:p w14:paraId="254467FA" w14:textId="77777777" w:rsidR="00BC12EC" w:rsidRPr="00042ADE" w:rsidRDefault="00BC12EC" w:rsidP="00C709CC">
            <w:pPr>
              <w:pStyle w:val="Tabletitle"/>
              <w:spacing w:line="240" w:lineRule="auto"/>
              <w:jc w:val="center"/>
              <w:rPr>
                <w:sz w:val="22"/>
                <w:szCs w:val="22"/>
              </w:rPr>
            </w:pPr>
            <w:r w:rsidRPr="00042ADE">
              <w:rPr>
                <w:sz w:val="22"/>
                <w:szCs w:val="22"/>
              </w:rPr>
              <w:t>0.130</w:t>
            </w:r>
          </w:p>
        </w:tc>
      </w:tr>
      <w:tr w:rsidR="00BC12EC" w:rsidRPr="00042ADE" w14:paraId="43661754" w14:textId="77777777" w:rsidTr="00D5141F">
        <w:trPr>
          <w:trHeight w:val="196"/>
        </w:trPr>
        <w:tc>
          <w:tcPr>
            <w:tcW w:w="1797" w:type="dxa"/>
          </w:tcPr>
          <w:p w14:paraId="0E8BE566" w14:textId="77777777" w:rsidR="00BC12EC" w:rsidRPr="00042ADE" w:rsidRDefault="00BC12EC" w:rsidP="00C709CC">
            <w:pPr>
              <w:pStyle w:val="Tabletitle"/>
              <w:spacing w:line="240" w:lineRule="auto"/>
              <w:rPr>
                <w:sz w:val="22"/>
                <w:szCs w:val="22"/>
              </w:rPr>
            </w:pPr>
          </w:p>
        </w:tc>
        <w:tc>
          <w:tcPr>
            <w:tcW w:w="1481" w:type="dxa"/>
          </w:tcPr>
          <w:p w14:paraId="27EC3C38" w14:textId="77777777" w:rsidR="00BC12EC" w:rsidRPr="00042ADE" w:rsidRDefault="00BC12EC" w:rsidP="00C709CC">
            <w:pPr>
              <w:pStyle w:val="Tabletitle"/>
              <w:spacing w:line="240" w:lineRule="auto"/>
              <w:jc w:val="center"/>
              <w:rPr>
                <w:b/>
                <w:sz w:val="22"/>
                <w:szCs w:val="22"/>
              </w:rPr>
            </w:pPr>
          </w:p>
        </w:tc>
        <w:tc>
          <w:tcPr>
            <w:tcW w:w="629" w:type="dxa"/>
          </w:tcPr>
          <w:p w14:paraId="2CCEF2BB"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1A42C73A" w14:textId="77777777" w:rsidR="00BC12EC" w:rsidRPr="00042ADE" w:rsidRDefault="00BC12EC" w:rsidP="00C709CC">
            <w:pPr>
              <w:pStyle w:val="Tabletitle"/>
              <w:spacing w:line="240" w:lineRule="auto"/>
              <w:jc w:val="center"/>
              <w:rPr>
                <w:sz w:val="22"/>
                <w:szCs w:val="22"/>
              </w:rPr>
            </w:pPr>
            <w:r w:rsidRPr="00042ADE">
              <w:rPr>
                <w:sz w:val="22"/>
                <w:szCs w:val="22"/>
              </w:rPr>
              <w:t>1.533</w:t>
            </w:r>
          </w:p>
        </w:tc>
        <w:tc>
          <w:tcPr>
            <w:tcW w:w="1843" w:type="dxa"/>
          </w:tcPr>
          <w:p w14:paraId="0EE1C700" w14:textId="77777777" w:rsidR="00BC12EC" w:rsidRPr="00042ADE" w:rsidRDefault="00BC12EC" w:rsidP="00C709CC">
            <w:pPr>
              <w:pStyle w:val="Tabletitle"/>
              <w:spacing w:line="240" w:lineRule="auto"/>
              <w:jc w:val="center"/>
              <w:rPr>
                <w:sz w:val="22"/>
                <w:szCs w:val="22"/>
              </w:rPr>
            </w:pPr>
            <w:r w:rsidRPr="00042ADE">
              <w:rPr>
                <w:sz w:val="22"/>
                <w:szCs w:val="22"/>
              </w:rPr>
              <w:t>(-7.991, 11.056)</w:t>
            </w:r>
          </w:p>
        </w:tc>
        <w:tc>
          <w:tcPr>
            <w:tcW w:w="992" w:type="dxa"/>
          </w:tcPr>
          <w:p w14:paraId="069C170E" w14:textId="77777777" w:rsidR="00BC12EC" w:rsidRPr="00042ADE" w:rsidRDefault="00BC12EC" w:rsidP="00C709CC">
            <w:pPr>
              <w:pStyle w:val="Tabletitle"/>
              <w:spacing w:line="240" w:lineRule="auto"/>
              <w:jc w:val="center"/>
              <w:rPr>
                <w:sz w:val="22"/>
                <w:szCs w:val="22"/>
              </w:rPr>
            </w:pPr>
            <w:r w:rsidRPr="00042ADE">
              <w:rPr>
                <w:sz w:val="22"/>
                <w:szCs w:val="22"/>
              </w:rPr>
              <w:t>0.746</w:t>
            </w:r>
          </w:p>
        </w:tc>
        <w:tc>
          <w:tcPr>
            <w:tcW w:w="992" w:type="dxa"/>
          </w:tcPr>
          <w:p w14:paraId="2D2D3593" w14:textId="77777777" w:rsidR="00BC12EC" w:rsidRPr="00042ADE" w:rsidRDefault="00BC12EC" w:rsidP="00C709CC">
            <w:pPr>
              <w:pStyle w:val="Tabletitle"/>
              <w:spacing w:line="240" w:lineRule="auto"/>
              <w:jc w:val="center"/>
              <w:rPr>
                <w:sz w:val="22"/>
                <w:szCs w:val="22"/>
              </w:rPr>
            </w:pPr>
            <w:r w:rsidRPr="00042ADE">
              <w:rPr>
                <w:sz w:val="22"/>
                <w:szCs w:val="22"/>
              </w:rPr>
              <w:t>-1.653</w:t>
            </w:r>
          </w:p>
        </w:tc>
        <w:tc>
          <w:tcPr>
            <w:tcW w:w="1701" w:type="dxa"/>
          </w:tcPr>
          <w:p w14:paraId="3A6D18CD" w14:textId="77777777" w:rsidR="00BC12EC" w:rsidRPr="00042ADE" w:rsidRDefault="00BC12EC" w:rsidP="00C709CC">
            <w:pPr>
              <w:pStyle w:val="Tabletitle"/>
              <w:spacing w:line="240" w:lineRule="auto"/>
              <w:jc w:val="center"/>
              <w:rPr>
                <w:sz w:val="22"/>
                <w:szCs w:val="22"/>
              </w:rPr>
            </w:pPr>
            <w:r w:rsidRPr="00042ADE">
              <w:rPr>
                <w:sz w:val="22"/>
                <w:szCs w:val="22"/>
              </w:rPr>
              <w:t>(-3.550, 0.245)</w:t>
            </w:r>
          </w:p>
        </w:tc>
        <w:tc>
          <w:tcPr>
            <w:tcW w:w="993" w:type="dxa"/>
          </w:tcPr>
          <w:p w14:paraId="065D467F" w14:textId="77777777" w:rsidR="00BC12EC" w:rsidRPr="00042ADE" w:rsidRDefault="00BC12EC" w:rsidP="00C709CC">
            <w:pPr>
              <w:pStyle w:val="Tabletitle"/>
              <w:spacing w:line="240" w:lineRule="auto"/>
              <w:jc w:val="center"/>
              <w:rPr>
                <w:sz w:val="22"/>
                <w:szCs w:val="22"/>
              </w:rPr>
            </w:pPr>
            <w:r w:rsidRPr="00042ADE">
              <w:rPr>
                <w:sz w:val="22"/>
                <w:szCs w:val="22"/>
              </w:rPr>
              <w:t>0.086</w:t>
            </w:r>
          </w:p>
        </w:tc>
      </w:tr>
      <w:tr w:rsidR="00BC12EC" w:rsidRPr="00042ADE" w14:paraId="5D50710B" w14:textId="77777777" w:rsidTr="00D5141F">
        <w:trPr>
          <w:trHeight w:val="196"/>
        </w:trPr>
        <w:tc>
          <w:tcPr>
            <w:tcW w:w="1797" w:type="dxa"/>
          </w:tcPr>
          <w:p w14:paraId="3E99DD43" w14:textId="77777777" w:rsidR="00BC12EC" w:rsidRPr="00042ADE" w:rsidRDefault="00BC12EC" w:rsidP="00C709CC">
            <w:pPr>
              <w:pStyle w:val="Tabletitle"/>
              <w:spacing w:line="240" w:lineRule="auto"/>
              <w:rPr>
                <w:sz w:val="22"/>
                <w:szCs w:val="22"/>
              </w:rPr>
            </w:pPr>
          </w:p>
        </w:tc>
        <w:tc>
          <w:tcPr>
            <w:tcW w:w="1481" w:type="dxa"/>
          </w:tcPr>
          <w:p w14:paraId="2FCA34D3"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7B594230"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A4D2CD7" w14:textId="77777777" w:rsidR="00BC12EC" w:rsidRPr="00042ADE" w:rsidRDefault="00BC12EC" w:rsidP="00C709CC">
            <w:pPr>
              <w:pStyle w:val="Tabletitle"/>
              <w:spacing w:line="240" w:lineRule="auto"/>
              <w:jc w:val="center"/>
              <w:rPr>
                <w:sz w:val="22"/>
                <w:szCs w:val="22"/>
              </w:rPr>
            </w:pPr>
            <w:r w:rsidRPr="00042ADE">
              <w:rPr>
                <w:sz w:val="22"/>
                <w:szCs w:val="22"/>
              </w:rPr>
              <w:t>3.390</w:t>
            </w:r>
          </w:p>
        </w:tc>
        <w:tc>
          <w:tcPr>
            <w:tcW w:w="1843" w:type="dxa"/>
          </w:tcPr>
          <w:p w14:paraId="6DBE0241" w14:textId="77777777" w:rsidR="00BC12EC" w:rsidRPr="00042ADE" w:rsidRDefault="00BC12EC" w:rsidP="00C709CC">
            <w:pPr>
              <w:pStyle w:val="Tabletitle"/>
              <w:spacing w:line="240" w:lineRule="auto"/>
              <w:jc w:val="center"/>
              <w:rPr>
                <w:sz w:val="22"/>
                <w:szCs w:val="22"/>
              </w:rPr>
            </w:pPr>
            <w:r w:rsidRPr="00042ADE">
              <w:rPr>
                <w:sz w:val="22"/>
                <w:szCs w:val="22"/>
              </w:rPr>
              <w:t>(-7.686, 14.466)</w:t>
            </w:r>
          </w:p>
        </w:tc>
        <w:tc>
          <w:tcPr>
            <w:tcW w:w="992" w:type="dxa"/>
          </w:tcPr>
          <w:p w14:paraId="2D6962C3" w14:textId="77777777" w:rsidR="00BC12EC" w:rsidRPr="00042ADE" w:rsidRDefault="00BC12EC" w:rsidP="00C709CC">
            <w:pPr>
              <w:pStyle w:val="Tabletitle"/>
              <w:spacing w:line="240" w:lineRule="auto"/>
              <w:jc w:val="center"/>
              <w:rPr>
                <w:sz w:val="22"/>
                <w:szCs w:val="22"/>
              </w:rPr>
            </w:pPr>
            <w:r w:rsidRPr="00042ADE">
              <w:rPr>
                <w:sz w:val="22"/>
                <w:szCs w:val="22"/>
              </w:rPr>
              <w:t>0.539</w:t>
            </w:r>
          </w:p>
        </w:tc>
        <w:tc>
          <w:tcPr>
            <w:tcW w:w="992" w:type="dxa"/>
          </w:tcPr>
          <w:p w14:paraId="3EFEA317" w14:textId="77777777" w:rsidR="00BC12EC" w:rsidRPr="00042ADE" w:rsidRDefault="00BC12EC" w:rsidP="00C709CC">
            <w:pPr>
              <w:pStyle w:val="Tabletitle"/>
              <w:spacing w:line="240" w:lineRule="auto"/>
              <w:jc w:val="center"/>
              <w:rPr>
                <w:sz w:val="22"/>
                <w:szCs w:val="22"/>
              </w:rPr>
            </w:pPr>
            <w:r w:rsidRPr="00042ADE">
              <w:rPr>
                <w:sz w:val="22"/>
                <w:szCs w:val="22"/>
              </w:rPr>
              <w:t>-1.535</w:t>
            </w:r>
          </w:p>
        </w:tc>
        <w:tc>
          <w:tcPr>
            <w:tcW w:w="1701" w:type="dxa"/>
          </w:tcPr>
          <w:p w14:paraId="49C37170" w14:textId="77777777" w:rsidR="00BC12EC" w:rsidRPr="00042ADE" w:rsidRDefault="00BC12EC" w:rsidP="00C709CC">
            <w:pPr>
              <w:pStyle w:val="Tabletitle"/>
              <w:spacing w:line="240" w:lineRule="auto"/>
              <w:jc w:val="center"/>
              <w:rPr>
                <w:sz w:val="22"/>
                <w:szCs w:val="22"/>
              </w:rPr>
            </w:pPr>
            <w:r w:rsidRPr="00042ADE">
              <w:rPr>
                <w:sz w:val="22"/>
                <w:szCs w:val="22"/>
              </w:rPr>
              <w:t>(-3.368, 0.297)</w:t>
            </w:r>
          </w:p>
        </w:tc>
        <w:tc>
          <w:tcPr>
            <w:tcW w:w="993" w:type="dxa"/>
          </w:tcPr>
          <w:p w14:paraId="69E3A57C" w14:textId="77777777" w:rsidR="00BC12EC" w:rsidRPr="00042ADE" w:rsidRDefault="00BC12EC" w:rsidP="00C709CC">
            <w:pPr>
              <w:pStyle w:val="Tabletitle"/>
              <w:spacing w:line="240" w:lineRule="auto"/>
              <w:jc w:val="center"/>
              <w:rPr>
                <w:sz w:val="22"/>
                <w:szCs w:val="22"/>
              </w:rPr>
            </w:pPr>
            <w:r w:rsidRPr="00042ADE">
              <w:rPr>
                <w:sz w:val="22"/>
                <w:szCs w:val="22"/>
              </w:rPr>
              <w:t>0.099</w:t>
            </w:r>
          </w:p>
        </w:tc>
      </w:tr>
      <w:tr w:rsidR="00BC12EC" w:rsidRPr="00042ADE" w14:paraId="36BB7A16" w14:textId="77777777" w:rsidTr="00D5141F">
        <w:trPr>
          <w:trHeight w:val="196"/>
        </w:trPr>
        <w:tc>
          <w:tcPr>
            <w:tcW w:w="1797" w:type="dxa"/>
            <w:tcBorders>
              <w:bottom w:val="single" w:sz="4" w:space="0" w:color="auto"/>
            </w:tcBorders>
          </w:tcPr>
          <w:p w14:paraId="720D9B85"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0F142612"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1305319F"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Borders>
              <w:bottom w:val="single" w:sz="4" w:space="0" w:color="auto"/>
            </w:tcBorders>
          </w:tcPr>
          <w:p w14:paraId="494D5343" w14:textId="77777777" w:rsidR="00BC12EC" w:rsidRPr="00042ADE" w:rsidRDefault="00BC12EC" w:rsidP="00C709CC">
            <w:pPr>
              <w:pStyle w:val="Tabletitle"/>
              <w:spacing w:line="240" w:lineRule="auto"/>
              <w:jc w:val="center"/>
              <w:rPr>
                <w:sz w:val="22"/>
                <w:szCs w:val="22"/>
              </w:rPr>
            </w:pPr>
            <w:r w:rsidRPr="00042ADE">
              <w:rPr>
                <w:sz w:val="22"/>
                <w:szCs w:val="22"/>
              </w:rPr>
              <w:t>4.154</w:t>
            </w:r>
          </w:p>
        </w:tc>
        <w:tc>
          <w:tcPr>
            <w:tcW w:w="1843" w:type="dxa"/>
            <w:tcBorders>
              <w:bottom w:val="single" w:sz="4" w:space="0" w:color="auto"/>
            </w:tcBorders>
          </w:tcPr>
          <w:p w14:paraId="36801B84" w14:textId="77777777" w:rsidR="00BC12EC" w:rsidRPr="00042ADE" w:rsidRDefault="00BC12EC" w:rsidP="00C709CC">
            <w:pPr>
              <w:pStyle w:val="Tabletitle"/>
              <w:spacing w:line="240" w:lineRule="auto"/>
              <w:jc w:val="center"/>
              <w:rPr>
                <w:sz w:val="22"/>
                <w:szCs w:val="22"/>
              </w:rPr>
            </w:pPr>
            <w:r w:rsidRPr="00042ADE">
              <w:rPr>
                <w:sz w:val="22"/>
                <w:szCs w:val="22"/>
              </w:rPr>
              <w:t>(-7.144, 15.453)</w:t>
            </w:r>
          </w:p>
        </w:tc>
        <w:tc>
          <w:tcPr>
            <w:tcW w:w="992" w:type="dxa"/>
            <w:tcBorders>
              <w:bottom w:val="single" w:sz="4" w:space="0" w:color="auto"/>
            </w:tcBorders>
          </w:tcPr>
          <w:p w14:paraId="6BAC5930" w14:textId="77777777" w:rsidR="00BC12EC" w:rsidRPr="00042ADE" w:rsidRDefault="00BC12EC" w:rsidP="00C709CC">
            <w:pPr>
              <w:pStyle w:val="Tabletitle"/>
              <w:spacing w:line="240" w:lineRule="auto"/>
              <w:jc w:val="center"/>
              <w:rPr>
                <w:sz w:val="22"/>
                <w:szCs w:val="22"/>
              </w:rPr>
            </w:pPr>
            <w:r w:rsidRPr="00042ADE">
              <w:rPr>
                <w:sz w:val="22"/>
                <w:szCs w:val="22"/>
              </w:rPr>
              <w:t>0.461</w:t>
            </w:r>
          </w:p>
        </w:tc>
        <w:tc>
          <w:tcPr>
            <w:tcW w:w="992" w:type="dxa"/>
            <w:tcBorders>
              <w:bottom w:val="single" w:sz="4" w:space="0" w:color="auto"/>
            </w:tcBorders>
          </w:tcPr>
          <w:p w14:paraId="4DE67628" w14:textId="77777777" w:rsidR="00BC12EC" w:rsidRPr="00042ADE" w:rsidRDefault="00BC12EC" w:rsidP="00C709CC">
            <w:pPr>
              <w:pStyle w:val="Tabletitle"/>
              <w:spacing w:line="240" w:lineRule="auto"/>
              <w:jc w:val="center"/>
              <w:rPr>
                <w:sz w:val="22"/>
                <w:szCs w:val="22"/>
              </w:rPr>
            </w:pPr>
            <w:r w:rsidRPr="00042ADE">
              <w:rPr>
                <w:sz w:val="22"/>
                <w:szCs w:val="22"/>
              </w:rPr>
              <w:t>-1.654</w:t>
            </w:r>
          </w:p>
        </w:tc>
        <w:tc>
          <w:tcPr>
            <w:tcW w:w="1701" w:type="dxa"/>
            <w:tcBorders>
              <w:bottom w:val="single" w:sz="4" w:space="0" w:color="auto"/>
            </w:tcBorders>
          </w:tcPr>
          <w:p w14:paraId="1D4FAFC7" w14:textId="77777777" w:rsidR="00BC12EC" w:rsidRPr="00042ADE" w:rsidRDefault="00BC12EC" w:rsidP="00C709CC">
            <w:pPr>
              <w:pStyle w:val="Tabletitle"/>
              <w:spacing w:line="240" w:lineRule="auto"/>
              <w:jc w:val="center"/>
              <w:rPr>
                <w:sz w:val="22"/>
                <w:szCs w:val="22"/>
              </w:rPr>
            </w:pPr>
            <w:r w:rsidRPr="00042ADE">
              <w:rPr>
                <w:sz w:val="22"/>
                <w:szCs w:val="22"/>
              </w:rPr>
              <w:t>(-3.551, 0.244)</w:t>
            </w:r>
          </w:p>
        </w:tc>
        <w:tc>
          <w:tcPr>
            <w:tcW w:w="993" w:type="dxa"/>
            <w:tcBorders>
              <w:bottom w:val="single" w:sz="4" w:space="0" w:color="auto"/>
            </w:tcBorders>
          </w:tcPr>
          <w:p w14:paraId="15173791" w14:textId="77777777" w:rsidR="00BC12EC" w:rsidRPr="00042ADE" w:rsidRDefault="00BC12EC" w:rsidP="00C709CC">
            <w:pPr>
              <w:pStyle w:val="Tabletitle"/>
              <w:spacing w:line="240" w:lineRule="auto"/>
              <w:jc w:val="center"/>
              <w:rPr>
                <w:sz w:val="22"/>
                <w:szCs w:val="22"/>
              </w:rPr>
            </w:pPr>
            <w:r w:rsidRPr="00042ADE">
              <w:rPr>
                <w:sz w:val="22"/>
                <w:szCs w:val="22"/>
              </w:rPr>
              <w:t>0.086</w:t>
            </w:r>
          </w:p>
        </w:tc>
      </w:tr>
    </w:tbl>
    <w:p w14:paraId="5147719D" w14:textId="77777777" w:rsidR="00BC12EC" w:rsidRPr="00042ADE" w:rsidRDefault="00BC12EC" w:rsidP="00BC12EC">
      <w:pPr>
        <w:spacing w:line="360" w:lineRule="auto"/>
        <w:jc w:val="both"/>
        <w:rPr>
          <w:rFonts w:ascii="Times New Roman" w:hAnsi="Times New Roman"/>
          <w:sz w:val="24"/>
          <w:szCs w:val="24"/>
          <w:lang w:val="en-GB"/>
        </w:rPr>
      </w:pPr>
    </w:p>
    <w:p w14:paraId="3CDE62C9" w14:textId="77777777" w:rsidR="00BC12EC" w:rsidRPr="00042ADE" w:rsidRDefault="00BC12EC" w:rsidP="00BC12EC">
      <w:pPr>
        <w:rPr>
          <w:rFonts w:ascii="Times New Roman" w:hAnsi="Times New Roman"/>
          <w:sz w:val="24"/>
          <w:szCs w:val="24"/>
          <w:lang w:val="en-GB"/>
        </w:rPr>
      </w:pPr>
      <w:r w:rsidRPr="00042ADE">
        <w:rPr>
          <w:rFonts w:ascii="Times New Roman" w:hAnsi="Times New Roman"/>
          <w:sz w:val="24"/>
          <w:szCs w:val="24"/>
          <w:lang w:val="en-GB"/>
        </w:rPr>
        <w:br w:type="page"/>
      </w:r>
    </w:p>
    <w:p w14:paraId="3A808F30" w14:textId="77777777" w:rsidR="00BC12EC" w:rsidRPr="00042ADE" w:rsidRDefault="00BC12EC" w:rsidP="00BC12EC">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lastRenderedPageBreak/>
        <w:t>(Continued) Table 2</w:t>
      </w:r>
      <w:r w:rsidRPr="00042ADE">
        <w:rPr>
          <w:rFonts w:ascii="Times New Roman" w:hAnsi="Times New Roman"/>
          <w:sz w:val="24"/>
          <w:szCs w:val="24"/>
          <w:lang w:val="en-US"/>
        </w:rPr>
        <w:t xml:space="preserve">. </w:t>
      </w:r>
      <w:r w:rsidR="001450CD" w:rsidRPr="00042ADE">
        <w:rPr>
          <w:rFonts w:ascii="Times New Roman" w:hAnsi="Times New Roman"/>
          <w:sz w:val="24"/>
          <w:szCs w:val="24"/>
          <w:lang w:val="en-US"/>
        </w:rPr>
        <w:t xml:space="preserve">Associations between nitric oxide (NOx) levels and temperature of dorsal site of both hands </w:t>
      </w:r>
      <w:r w:rsidR="001450CD" w:rsidRPr="00042ADE">
        <w:rPr>
          <w:rFonts w:ascii="Times New Roman" w:hAnsi="Times New Roman"/>
          <w:sz w:val="24"/>
          <w:szCs w:val="24"/>
          <w:lang w:val="en-GB"/>
        </w:rPr>
        <w:t>among cases (women with FMS) and controls (healthy women).</w:t>
      </w:r>
    </w:p>
    <w:tbl>
      <w:tblPr>
        <w:tblStyle w:val="Tablaconcuadrcula"/>
        <w:tblW w:w="11340" w:type="dxa"/>
        <w:tblInd w:w="-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1481"/>
        <w:gridCol w:w="629"/>
        <w:gridCol w:w="912"/>
        <w:gridCol w:w="1843"/>
        <w:gridCol w:w="992"/>
        <w:gridCol w:w="992"/>
        <w:gridCol w:w="1701"/>
        <w:gridCol w:w="993"/>
      </w:tblGrid>
      <w:tr w:rsidR="00BC12EC" w:rsidRPr="00042ADE" w14:paraId="44259C0F" w14:textId="77777777" w:rsidTr="006255F0">
        <w:trPr>
          <w:trHeight w:val="516"/>
        </w:trPr>
        <w:tc>
          <w:tcPr>
            <w:tcW w:w="1797" w:type="dxa"/>
            <w:tcBorders>
              <w:top w:val="single" w:sz="4" w:space="0" w:color="auto"/>
            </w:tcBorders>
          </w:tcPr>
          <w:p w14:paraId="7101F9EE"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73DE02F6" w14:textId="77777777" w:rsidR="00BC12EC" w:rsidRPr="00042ADE" w:rsidRDefault="00BC12EC" w:rsidP="00C709CC">
            <w:pPr>
              <w:pStyle w:val="Tabletitle"/>
              <w:spacing w:line="240" w:lineRule="auto"/>
              <w:rPr>
                <w:b/>
                <w:sz w:val="22"/>
                <w:szCs w:val="22"/>
              </w:rPr>
            </w:pPr>
          </w:p>
        </w:tc>
        <w:tc>
          <w:tcPr>
            <w:tcW w:w="629" w:type="dxa"/>
            <w:tcBorders>
              <w:top w:val="single" w:sz="4" w:space="0" w:color="auto"/>
            </w:tcBorders>
          </w:tcPr>
          <w:p w14:paraId="27249FF7" w14:textId="77777777" w:rsidR="00BC12EC" w:rsidRPr="00042ADE" w:rsidRDefault="00BC12EC" w:rsidP="00C709CC">
            <w:pPr>
              <w:pStyle w:val="Tabletitle"/>
              <w:spacing w:line="240" w:lineRule="auto"/>
              <w:rPr>
                <w:b/>
                <w:sz w:val="22"/>
                <w:szCs w:val="22"/>
              </w:rPr>
            </w:pPr>
          </w:p>
        </w:tc>
        <w:tc>
          <w:tcPr>
            <w:tcW w:w="2755" w:type="dxa"/>
            <w:gridSpan w:val="2"/>
            <w:tcBorders>
              <w:top w:val="single" w:sz="4" w:space="0" w:color="auto"/>
              <w:bottom w:val="single" w:sz="4" w:space="0" w:color="auto"/>
            </w:tcBorders>
            <w:hideMark/>
          </w:tcPr>
          <w:p w14:paraId="43197F4D" w14:textId="77777777" w:rsidR="00BC12EC" w:rsidRPr="00042ADE" w:rsidRDefault="00BC12EC" w:rsidP="00C709CC">
            <w:pPr>
              <w:pStyle w:val="Tabletitle"/>
              <w:spacing w:line="240" w:lineRule="auto"/>
              <w:rPr>
                <w:b/>
                <w:sz w:val="22"/>
                <w:szCs w:val="22"/>
              </w:rPr>
            </w:pPr>
          </w:p>
        </w:tc>
        <w:tc>
          <w:tcPr>
            <w:tcW w:w="1984" w:type="dxa"/>
            <w:gridSpan w:val="2"/>
            <w:tcBorders>
              <w:top w:val="single" w:sz="4" w:space="0" w:color="auto"/>
              <w:bottom w:val="single" w:sz="4" w:space="0" w:color="auto"/>
            </w:tcBorders>
          </w:tcPr>
          <w:p w14:paraId="44358C22" w14:textId="77777777" w:rsidR="00BC12EC" w:rsidRPr="00042ADE" w:rsidRDefault="00BC12EC" w:rsidP="00C709CC">
            <w:pPr>
              <w:pStyle w:val="Tabletitle"/>
              <w:spacing w:line="240" w:lineRule="auto"/>
              <w:jc w:val="center"/>
              <w:rPr>
                <w:b/>
                <w:sz w:val="22"/>
                <w:szCs w:val="22"/>
              </w:rPr>
            </w:pPr>
            <w:r w:rsidRPr="00042ADE">
              <w:rPr>
                <w:b/>
                <w:sz w:val="22"/>
                <w:szCs w:val="22"/>
              </w:rPr>
              <w:t>NOx Levels</w:t>
            </w:r>
          </w:p>
        </w:tc>
        <w:tc>
          <w:tcPr>
            <w:tcW w:w="1701" w:type="dxa"/>
            <w:tcBorders>
              <w:top w:val="single" w:sz="4" w:space="0" w:color="auto"/>
              <w:bottom w:val="single" w:sz="4" w:space="0" w:color="auto"/>
            </w:tcBorders>
          </w:tcPr>
          <w:p w14:paraId="554DC20D" w14:textId="77777777" w:rsidR="00BC12EC" w:rsidRPr="00042ADE" w:rsidRDefault="00BC12EC" w:rsidP="00C709CC">
            <w:pPr>
              <w:pStyle w:val="Tabletitle"/>
              <w:spacing w:line="240" w:lineRule="auto"/>
              <w:rPr>
                <w:b/>
                <w:sz w:val="22"/>
                <w:szCs w:val="22"/>
              </w:rPr>
            </w:pPr>
          </w:p>
        </w:tc>
        <w:tc>
          <w:tcPr>
            <w:tcW w:w="993" w:type="dxa"/>
            <w:tcBorders>
              <w:top w:val="single" w:sz="4" w:space="0" w:color="auto"/>
              <w:bottom w:val="single" w:sz="4" w:space="0" w:color="auto"/>
            </w:tcBorders>
          </w:tcPr>
          <w:p w14:paraId="231A546D" w14:textId="77777777" w:rsidR="00BC12EC" w:rsidRPr="00042ADE" w:rsidRDefault="00BC12EC" w:rsidP="00C709CC">
            <w:pPr>
              <w:pStyle w:val="Tabletitle"/>
              <w:spacing w:line="240" w:lineRule="auto"/>
              <w:rPr>
                <w:b/>
                <w:sz w:val="22"/>
                <w:szCs w:val="22"/>
              </w:rPr>
            </w:pPr>
          </w:p>
        </w:tc>
      </w:tr>
      <w:tr w:rsidR="00BC12EC" w:rsidRPr="00042ADE" w14:paraId="246D3718" w14:textId="77777777" w:rsidTr="006255F0">
        <w:trPr>
          <w:trHeight w:val="236"/>
        </w:trPr>
        <w:tc>
          <w:tcPr>
            <w:tcW w:w="1797" w:type="dxa"/>
          </w:tcPr>
          <w:p w14:paraId="71E0C9B5" w14:textId="77777777" w:rsidR="00BC12EC" w:rsidRPr="00042ADE" w:rsidRDefault="00BC12EC" w:rsidP="00C709CC">
            <w:pPr>
              <w:pStyle w:val="Tabletitle"/>
              <w:spacing w:line="240" w:lineRule="auto"/>
              <w:rPr>
                <w:sz w:val="22"/>
                <w:szCs w:val="22"/>
              </w:rPr>
            </w:pPr>
          </w:p>
        </w:tc>
        <w:tc>
          <w:tcPr>
            <w:tcW w:w="1481" w:type="dxa"/>
          </w:tcPr>
          <w:p w14:paraId="57A711EC" w14:textId="77777777" w:rsidR="00BC12EC" w:rsidRPr="00042ADE" w:rsidRDefault="00BC12EC" w:rsidP="00C709CC">
            <w:pPr>
              <w:pStyle w:val="Tabletitle"/>
              <w:spacing w:line="240" w:lineRule="auto"/>
              <w:jc w:val="center"/>
              <w:rPr>
                <w:b/>
                <w:sz w:val="22"/>
                <w:szCs w:val="22"/>
              </w:rPr>
            </w:pPr>
          </w:p>
        </w:tc>
        <w:tc>
          <w:tcPr>
            <w:tcW w:w="629" w:type="dxa"/>
          </w:tcPr>
          <w:p w14:paraId="3F677D9A"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tcPr>
          <w:p w14:paraId="004A41E2" w14:textId="77777777" w:rsidR="00BC12EC" w:rsidRPr="00042ADE" w:rsidRDefault="00BC12EC" w:rsidP="00C709CC">
            <w:pPr>
              <w:pStyle w:val="Tabletitle"/>
              <w:spacing w:line="240" w:lineRule="auto"/>
              <w:jc w:val="center"/>
              <w:rPr>
                <w:b/>
                <w:sz w:val="22"/>
                <w:szCs w:val="22"/>
              </w:rPr>
            </w:pPr>
          </w:p>
        </w:tc>
        <w:tc>
          <w:tcPr>
            <w:tcW w:w="2835" w:type="dxa"/>
            <w:gridSpan w:val="2"/>
            <w:tcBorders>
              <w:top w:val="single" w:sz="4" w:space="0" w:color="auto"/>
              <w:bottom w:val="single" w:sz="4" w:space="0" w:color="auto"/>
            </w:tcBorders>
          </w:tcPr>
          <w:p w14:paraId="3BCE32C6" w14:textId="77777777" w:rsidR="00BC12EC" w:rsidRPr="00042ADE" w:rsidRDefault="00BC12EC" w:rsidP="00C709CC">
            <w:pPr>
              <w:pStyle w:val="Tabletitle"/>
              <w:spacing w:line="240" w:lineRule="auto"/>
              <w:jc w:val="center"/>
              <w:rPr>
                <w:b/>
                <w:i/>
                <w:sz w:val="22"/>
                <w:szCs w:val="22"/>
              </w:rPr>
            </w:pPr>
            <w:r w:rsidRPr="00042ADE">
              <w:rPr>
                <w:b/>
                <w:sz w:val="22"/>
                <w:szCs w:val="22"/>
              </w:rPr>
              <w:t>FMS Women (n=42)</w:t>
            </w:r>
          </w:p>
        </w:tc>
        <w:tc>
          <w:tcPr>
            <w:tcW w:w="992" w:type="dxa"/>
            <w:tcBorders>
              <w:top w:val="single" w:sz="4" w:space="0" w:color="auto"/>
              <w:bottom w:val="single" w:sz="4" w:space="0" w:color="auto"/>
            </w:tcBorders>
          </w:tcPr>
          <w:p w14:paraId="707EAE32" w14:textId="77777777" w:rsidR="00BC12EC" w:rsidRPr="00042ADE" w:rsidRDefault="00BC12EC" w:rsidP="00C709CC">
            <w:pPr>
              <w:pStyle w:val="Tabletitle"/>
              <w:spacing w:line="240" w:lineRule="auto"/>
              <w:jc w:val="center"/>
              <w:rPr>
                <w:b/>
                <w:sz w:val="22"/>
                <w:szCs w:val="22"/>
              </w:rPr>
            </w:pPr>
          </w:p>
        </w:tc>
        <w:tc>
          <w:tcPr>
            <w:tcW w:w="2694" w:type="dxa"/>
            <w:gridSpan w:val="2"/>
            <w:tcBorders>
              <w:top w:val="single" w:sz="4" w:space="0" w:color="auto"/>
              <w:bottom w:val="single" w:sz="4" w:space="0" w:color="auto"/>
            </w:tcBorders>
          </w:tcPr>
          <w:p w14:paraId="46ED9B57" w14:textId="77777777" w:rsidR="00BC12EC" w:rsidRPr="00042ADE" w:rsidRDefault="00BC12EC" w:rsidP="00C709CC">
            <w:pPr>
              <w:pStyle w:val="Tabletitle"/>
              <w:spacing w:line="240" w:lineRule="auto"/>
              <w:jc w:val="center"/>
              <w:rPr>
                <w:b/>
                <w:i/>
                <w:sz w:val="22"/>
                <w:szCs w:val="22"/>
              </w:rPr>
            </w:pPr>
            <w:r w:rsidRPr="00042ADE">
              <w:rPr>
                <w:b/>
                <w:sz w:val="22"/>
                <w:szCs w:val="22"/>
              </w:rPr>
              <w:t>Healthy Women (n=52)</w:t>
            </w:r>
          </w:p>
        </w:tc>
      </w:tr>
      <w:tr w:rsidR="00BC12EC" w:rsidRPr="00042ADE" w14:paraId="646EBFF9" w14:textId="77777777" w:rsidTr="006255F0">
        <w:trPr>
          <w:trHeight w:val="236"/>
        </w:trPr>
        <w:tc>
          <w:tcPr>
            <w:tcW w:w="1797" w:type="dxa"/>
            <w:tcBorders>
              <w:bottom w:val="single" w:sz="4" w:space="0" w:color="auto"/>
            </w:tcBorders>
          </w:tcPr>
          <w:p w14:paraId="0CE74912"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1FEAF79B"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1429B467"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hideMark/>
          </w:tcPr>
          <w:p w14:paraId="1EFA84A6"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43" w:type="dxa"/>
            <w:tcBorders>
              <w:top w:val="single" w:sz="4" w:space="0" w:color="auto"/>
              <w:bottom w:val="single" w:sz="4" w:space="0" w:color="auto"/>
            </w:tcBorders>
            <w:hideMark/>
          </w:tcPr>
          <w:p w14:paraId="0BBF94BF"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2" w:type="dxa"/>
            <w:tcBorders>
              <w:top w:val="single" w:sz="4" w:space="0" w:color="auto"/>
              <w:bottom w:val="single" w:sz="4" w:space="0" w:color="auto"/>
            </w:tcBorders>
            <w:hideMark/>
          </w:tcPr>
          <w:p w14:paraId="4FBA1EF4"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c>
          <w:tcPr>
            <w:tcW w:w="992" w:type="dxa"/>
            <w:tcBorders>
              <w:top w:val="single" w:sz="4" w:space="0" w:color="auto"/>
              <w:bottom w:val="single" w:sz="4" w:space="0" w:color="auto"/>
            </w:tcBorders>
          </w:tcPr>
          <w:p w14:paraId="32425FFE"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701" w:type="dxa"/>
            <w:tcBorders>
              <w:top w:val="single" w:sz="4" w:space="0" w:color="auto"/>
              <w:bottom w:val="single" w:sz="4" w:space="0" w:color="auto"/>
            </w:tcBorders>
          </w:tcPr>
          <w:p w14:paraId="37695596"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3" w:type="dxa"/>
            <w:tcBorders>
              <w:top w:val="single" w:sz="4" w:space="0" w:color="auto"/>
              <w:bottom w:val="single" w:sz="4" w:space="0" w:color="auto"/>
            </w:tcBorders>
          </w:tcPr>
          <w:p w14:paraId="5F052BD0"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r>
      <w:tr w:rsidR="00BC12EC" w:rsidRPr="00042ADE" w14:paraId="2C0A7058" w14:textId="77777777" w:rsidTr="006255F0">
        <w:trPr>
          <w:trHeight w:val="196"/>
        </w:trPr>
        <w:tc>
          <w:tcPr>
            <w:tcW w:w="1797" w:type="dxa"/>
            <w:tcBorders>
              <w:top w:val="single" w:sz="4" w:space="0" w:color="auto"/>
              <w:bottom w:val="single" w:sz="4" w:space="0" w:color="auto"/>
            </w:tcBorders>
          </w:tcPr>
          <w:p w14:paraId="07C7A580" w14:textId="77777777" w:rsidR="00BC12EC" w:rsidRPr="00042ADE" w:rsidRDefault="00BC12EC" w:rsidP="00C709CC">
            <w:pPr>
              <w:pStyle w:val="Tabletitle"/>
              <w:spacing w:line="240" w:lineRule="auto"/>
              <w:rPr>
                <w:b/>
                <w:sz w:val="22"/>
                <w:szCs w:val="22"/>
              </w:rPr>
            </w:pPr>
            <w:r w:rsidRPr="00042ADE">
              <w:rPr>
                <w:b/>
                <w:sz w:val="22"/>
                <w:szCs w:val="22"/>
              </w:rPr>
              <w:t>Dorsal site of the hand</w:t>
            </w:r>
          </w:p>
        </w:tc>
        <w:tc>
          <w:tcPr>
            <w:tcW w:w="1481" w:type="dxa"/>
            <w:tcBorders>
              <w:top w:val="single" w:sz="4" w:space="0" w:color="auto"/>
              <w:bottom w:val="single" w:sz="4" w:space="0" w:color="auto"/>
            </w:tcBorders>
          </w:tcPr>
          <w:p w14:paraId="1124E483" w14:textId="77777777" w:rsidR="00BC12EC" w:rsidRPr="00042ADE" w:rsidRDefault="00BC12EC" w:rsidP="00C709CC">
            <w:pPr>
              <w:pStyle w:val="Tabletitle"/>
              <w:spacing w:line="240" w:lineRule="auto"/>
              <w:jc w:val="center"/>
              <w:rPr>
                <w:sz w:val="22"/>
                <w:szCs w:val="22"/>
              </w:rPr>
            </w:pPr>
          </w:p>
        </w:tc>
        <w:tc>
          <w:tcPr>
            <w:tcW w:w="629" w:type="dxa"/>
            <w:tcBorders>
              <w:top w:val="single" w:sz="4" w:space="0" w:color="auto"/>
              <w:bottom w:val="single" w:sz="4" w:space="0" w:color="auto"/>
            </w:tcBorders>
          </w:tcPr>
          <w:p w14:paraId="4F5F343B" w14:textId="77777777" w:rsidR="00BC12EC" w:rsidRPr="00042ADE" w:rsidRDefault="00BC12EC" w:rsidP="00C709CC">
            <w:pPr>
              <w:pStyle w:val="Tabletitle"/>
              <w:spacing w:line="240" w:lineRule="auto"/>
              <w:jc w:val="center"/>
              <w:rPr>
                <w:sz w:val="22"/>
                <w:szCs w:val="22"/>
              </w:rPr>
            </w:pPr>
          </w:p>
        </w:tc>
        <w:tc>
          <w:tcPr>
            <w:tcW w:w="912" w:type="dxa"/>
            <w:tcBorders>
              <w:top w:val="single" w:sz="4" w:space="0" w:color="auto"/>
              <w:bottom w:val="single" w:sz="4" w:space="0" w:color="auto"/>
            </w:tcBorders>
          </w:tcPr>
          <w:p w14:paraId="12638F95" w14:textId="77777777" w:rsidR="00BC12EC" w:rsidRPr="00042ADE" w:rsidRDefault="00BC12EC" w:rsidP="00C709CC">
            <w:pPr>
              <w:pStyle w:val="Tabletitle"/>
              <w:spacing w:line="240" w:lineRule="auto"/>
              <w:jc w:val="center"/>
              <w:rPr>
                <w:sz w:val="22"/>
                <w:szCs w:val="22"/>
              </w:rPr>
            </w:pPr>
          </w:p>
        </w:tc>
        <w:tc>
          <w:tcPr>
            <w:tcW w:w="1843" w:type="dxa"/>
            <w:tcBorders>
              <w:top w:val="single" w:sz="4" w:space="0" w:color="auto"/>
              <w:bottom w:val="single" w:sz="4" w:space="0" w:color="auto"/>
            </w:tcBorders>
          </w:tcPr>
          <w:p w14:paraId="1087F9EF"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bottom w:val="single" w:sz="4" w:space="0" w:color="auto"/>
            </w:tcBorders>
          </w:tcPr>
          <w:p w14:paraId="4B8BFF25"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bottom w:val="single" w:sz="4" w:space="0" w:color="auto"/>
            </w:tcBorders>
          </w:tcPr>
          <w:p w14:paraId="54C8068E" w14:textId="77777777" w:rsidR="00BC12EC" w:rsidRPr="00042ADE" w:rsidRDefault="00BC12EC" w:rsidP="00C709CC">
            <w:pPr>
              <w:pStyle w:val="Tabletitle"/>
              <w:spacing w:line="240" w:lineRule="auto"/>
              <w:jc w:val="center"/>
              <w:rPr>
                <w:sz w:val="22"/>
                <w:szCs w:val="22"/>
              </w:rPr>
            </w:pPr>
          </w:p>
        </w:tc>
        <w:tc>
          <w:tcPr>
            <w:tcW w:w="1701" w:type="dxa"/>
            <w:tcBorders>
              <w:top w:val="single" w:sz="4" w:space="0" w:color="auto"/>
              <w:bottom w:val="single" w:sz="4" w:space="0" w:color="auto"/>
            </w:tcBorders>
          </w:tcPr>
          <w:p w14:paraId="18B066CE"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bottom w:val="single" w:sz="4" w:space="0" w:color="auto"/>
            </w:tcBorders>
          </w:tcPr>
          <w:p w14:paraId="4264B1EC" w14:textId="77777777" w:rsidR="00BC12EC" w:rsidRPr="00042ADE" w:rsidRDefault="00BC12EC" w:rsidP="00C709CC">
            <w:pPr>
              <w:pStyle w:val="Tabletitle"/>
              <w:spacing w:line="240" w:lineRule="auto"/>
              <w:jc w:val="center"/>
              <w:rPr>
                <w:sz w:val="22"/>
                <w:szCs w:val="22"/>
              </w:rPr>
            </w:pPr>
          </w:p>
        </w:tc>
      </w:tr>
      <w:tr w:rsidR="00BC12EC" w:rsidRPr="00042ADE" w14:paraId="6037A4AC" w14:textId="77777777" w:rsidTr="006255F0">
        <w:trPr>
          <w:trHeight w:val="196"/>
        </w:trPr>
        <w:tc>
          <w:tcPr>
            <w:tcW w:w="1797" w:type="dxa"/>
            <w:tcBorders>
              <w:top w:val="single" w:sz="4" w:space="0" w:color="auto"/>
            </w:tcBorders>
          </w:tcPr>
          <w:p w14:paraId="2784AFFE"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28607CD1"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Borders>
              <w:top w:val="single" w:sz="4" w:space="0" w:color="auto"/>
            </w:tcBorders>
          </w:tcPr>
          <w:p w14:paraId="18A113BA"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Borders>
              <w:top w:val="single" w:sz="4" w:space="0" w:color="auto"/>
            </w:tcBorders>
          </w:tcPr>
          <w:p w14:paraId="767E8A14" w14:textId="77777777" w:rsidR="00BC12EC" w:rsidRPr="00042ADE" w:rsidRDefault="00BC12EC" w:rsidP="00C709CC">
            <w:pPr>
              <w:pStyle w:val="Tabletitle"/>
              <w:spacing w:line="240" w:lineRule="auto"/>
              <w:jc w:val="center"/>
              <w:rPr>
                <w:sz w:val="22"/>
                <w:szCs w:val="22"/>
              </w:rPr>
            </w:pPr>
            <w:r w:rsidRPr="00042ADE">
              <w:rPr>
                <w:sz w:val="22"/>
                <w:szCs w:val="22"/>
              </w:rPr>
              <w:t>2.912</w:t>
            </w:r>
          </w:p>
        </w:tc>
        <w:tc>
          <w:tcPr>
            <w:tcW w:w="1843" w:type="dxa"/>
            <w:tcBorders>
              <w:top w:val="single" w:sz="4" w:space="0" w:color="auto"/>
            </w:tcBorders>
          </w:tcPr>
          <w:p w14:paraId="6F84145A" w14:textId="77777777" w:rsidR="00BC12EC" w:rsidRPr="00042ADE" w:rsidRDefault="00BC12EC" w:rsidP="00C709CC">
            <w:pPr>
              <w:pStyle w:val="Tabletitle"/>
              <w:spacing w:line="240" w:lineRule="auto"/>
              <w:jc w:val="center"/>
              <w:rPr>
                <w:sz w:val="22"/>
                <w:szCs w:val="22"/>
              </w:rPr>
            </w:pPr>
            <w:r w:rsidRPr="00042ADE">
              <w:rPr>
                <w:sz w:val="22"/>
                <w:szCs w:val="22"/>
              </w:rPr>
              <w:t>(-8.256, 14.080)</w:t>
            </w:r>
          </w:p>
        </w:tc>
        <w:tc>
          <w:tcPr>
            <w:tcW w:w="992" w:type="dxa"/>
            <w:tcBorders>
              <w:top w:val="single" w:sz="4" w:space="0" w:color="auto"/>
            </w:tcBorders>
          </w:tcPr>
          <w:p w14:paraId="390DC0E6" w14:textId="77777777" w:rsidR="00BC12EC" w:rsidRPr="00042ADE" w:rsidRDefault="00BC12EC" w:rsidP="00C709CC">
            <w:pPr>
              <w:pStyle w:val="Tabletitle"/>
              <w:spacing w:line="240" w:lineRule="auto"/>
              <w:jc w:val="center"/>
              <w:rPr>
                <w:sz w:val="22"/>
                <w:szCs w:val="22"/>
              </w:rPr>
            </w:pPr>
            <w:r w:rsidRPr="00042ADE">
              <w:rPr>
                <w:sz w:val="22"/>
                <w:szCs w:val="22"/>
              </w:rPr>
              <w:t>0.600</w:t>
            </w:r>
          </w:p>
        </w:tc>
        <w:tc>
          <w:tcPr>
            <w:tcW w:w="992" w:type="dxa"/>
            <w:tcBorders>
              <w:top w:val="single" w:sz="4" w:space="0" w:color="auto"/>
            </w:tcBorders>
          </w:tcPr>
          <w:p w14:paraId="5FAE094D" w14:textId="77777777" w:rsidR="00BC12EC" w:rsidRPr="00042ADE" w:rsidRDefault="00BC12EC" w:rsidP="00C709CC">
            <w:pPr>
              <w:pStyle w:val="Tabletitle"/>
              <w:spacing w:line="240" w:lineRule="auto"/>
              <w:jc w:val="center"/>
              <w:rPr>
                <w:sz w:val="22"/>
                <w:szCs w:val="22"/>
              </w:rPr>
            </w:pPr>
            <w:r w:rsidRPr="00042ADE">
              <w:rPr>
                <w:sz w:val="22"/>
                <w:szCs w:val="22"/>
              </w:rPr>
              <w:t>-0.775</w:t>
            </w:r>
          </w:p>
        </w:tc>
        <w:tc>
          <w:tcPr>
            <w:tcW w:w="1701" w:type="dxa"/>
            <w:tcBorders>
              <w:top w:val="single" w:sz="4" w:space="0" w:color="auto"/>
            </w:tcBorders>
          </w:tcPr>
          <w:p w14:paraId="32A7AF55" w14:textId="77777777" w:rsidR="00BC12EC" w:rsidRPr="00042ADE" w:rsidRDefault="00BC12EC" w:rsidP="00C709CC">
            <w:pPr>
              <w:pStyle w:val="Tabletitle"/>
              <w:spacing w:line="240" w:lineRule="auto"/>
              <w:jc w:val="center"/>
              <w:rPr>
                <w:sz w:val="22"/>
                <w:szCs w:val="22"/>
              </w:rPr>
            </w:pPr>
            <w:r w:rsidRPr="00042ADE">
              <w:rPr>
                <w:sz w:val="22"/>
                <w:szCs w:val="22"/>
              </w:rPr>
              <w:t>(-2.572, 1.021)</w:t>
            </w:r>
          </w:p>
        </w:tc>
        <w:tc>
          <w:tcPr>
            <w:tcW w:w="993" w:type="dxa"/>
            <w:tcBorders>
              <w:top w:val="single" w:sz="4" w:space="0" w:color="auto"/>
            </w:tcBorders>
          </w:tcPr>
          <w:p w14:paraId="65FE19FB" w14:textId="77777777" w:rsidR="00BC12EC" w:rsidRPr="00042ADE" w:rsidRDefault="00BC12EC" w:rsidP="00C709CC">
            <w:pPr>
              <w:pStyle w:val="Tabletitle"/>
              <w:spacing w:line="240" w:lineRule="auto"/>
              <w:jc w:val="center"/>
              <w:rPr>
                <w:sz w:val="22"/>
                <w:szCs w:val="22"/>
              </w:rPr>
            </w:pPr>
            <w:r w:rsidRPr="00042ADE">
              <w:rPr>
                <w:sz w:val="22"/>
                <w:szCs w:val="22"/>
              </w:rPr>
              <w:t>0.390</w:t>
            </w:r>
          </w:p>
        </w:tc>
      </w:tr>
      <w:tr w:rsidR="00BC12EC" w:rsidRPr="00042ADE" w14:paraId="627B6EB9" w14:textId="77777777" w:rsidTr="006255F0">
        <w:trPr>
          <w:trHeight w:val="196"/>
        </w:trPr>
        <w:tc>
          <w:tcPr>
            <w:tcW w:w="1797" w:type="dxa"/>
          </w:tcPr>
          <w:p w14:paraId="51B5494D" w14:textId="77777777" w:rsidR="00BC12EC" w:rsidRPr="00042ADE" w:rsidRDefault="00BC12EC" w:rsidP="00C709CC">
            <w:pPr>
              <w:pStyle w:val="Tabletitle"/>
              <w:spacing w:line="240" w:lineRule="auto"/>
              <w:rPr>
                <w:sz w:val="22"/>
                <w:szCs w:val="22"/>
              </w:rPr>
            </w:pPr>
          </w:p>
        </w:tc>
        <w:tc>
          <w:tcPr>
            <w:tcW w:w="1481" w:type="dxa"/>
          </w:tcPr>
          <w:p w14:paraId="32CA019D" w14:textId="77777777" w:rsidR="00BC12EC" w:rsidRPr="00042ADE" w:rsidRDefault="00BC12EC" w:rsidP="00C709CC">
            <w:pPr>
              <w:pStyle w:val="Tabletitle"/>
              <w:spacing w:line="240" w:lineRule="auto"/>
              <w:jc w:val="center"/>
              <w:rPr>
                <w:b/>
                <w:sz w:val="22"/>
                <w:szCs w:val="22"/>
              </w:rPr>
            </w:pPr>
          </w:p>
        </w:tc>
        <w:tc>
          <w:tcPr>
            <w:tcW w:w="629" w:type="dxa"/>
          </w:tcPr>
          <w:p w14:paraId="0AACBA6E"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1F78D200" w14:textId="77777777" w:rsidR="00BC12EC" w:rsidRPr="00042ADE" w:rsidRDefault="00BC12EC" w:rsidP="00C709CC">
            <w:pPr>
              <w:pStyle w:val="Tabletitle"/>
              <w:spacing w:line="240" w:lineRule="auto"/>
              <w:jc w:val="center"/>
              <w:rPr>
                <w:sz w:val="22"/>
                <w:szCs w:val="22"/>
              </w:rPr>
            </w:pPr>
            <w:r w:rsidRPr="00042ADE">
              <w:rPr>
                <w:sz w:val="22"/>
                <w:szCs w:val="22"/>
              </w:rPr>
              <w:t>2.855</w:t>
            </w:r>
          </w:p>
        </w:tc>
        <w:tc>
          <w:tcPr>
            <w:tcW w:w="1843" w:type="dxa"/>
          </w:tcPr>
          <w:p w14:paraId="791CFAC6" w14:textId="77777777" w:rsidR="00BC12EC" w:rsidRPr="00042ADE" w:rsidRDefault="00BC12EC" w:rsidP="00C709CC">
            <w:pPr>
              <w:pStyle w:val="Tabletitle"/>
              <w:spacing w:line="240" w:lineRule="auto"/>
              <w:jc w:val="center"/>
              <w:rPr>
                <w:sz w:val="22"/>
                <w:szCs w:val="22"/>
              </w:rPr>
            </w:pPr>
            <w:r w:rsidRPr="00042ADE">
              <w:rPr>
                <w:sz w:val="22"/>
                <w:szCs w:val="22"/>
              </w:rPr>
              <w:t>(-7.320, 13.030)</w:t>
            </w:r>
          </w:p>
        </w:tc>
        <w:tc>
          <w:tcPr>
            <w:tcW w:w="992" w:type="dxa"/>
          </w:tcPr>
          <w:p w14:paraId="67CD87A5" w14:textId="77777777" w:rsidR="00BC12EC" w:rsidRPr="00042ADE" w:rsidRDefault="00BC12EC" w:rsidP="00C709CC">
            <w:pPr>
              <w:pStyle w:val="Tabletitle"/>
              <w:spacing w:line="240" w:lineRule="auto"/>
              <w:jc w:val="center"/>
              <w:rPr>
                <w:sz w:val="22"/>
                <w:szCs w:val="22"/>
              </w:rPr>
            </w:pPr>
            <w:r w:rsidRPr="00042ADE">
              <w:rPr>
                <w:sz w:val="22"/>
                <w:szCs w:val="22"/>
              </w:rPr>
              <w:t>0.573</w:t>
            </w:r>
          </w:p>
        </w:tc>
        <w:tc>
          <w:tcPr>
            <w:tcW w:w="992" w:type="dxa"/>
          </w:tcPr>
          <w:p w14:paraId="52D9BFC0" w14:textId="77777777" w:rsidR="00BC12EC" w:rsidRPr="00042ADE" w:rsidRDefault="00BC12EC" w:rsidP="00C709CC">
            <w:pPr>
              <w:pStyle w:val="Tabletitle"/>
              <w:spacing w:line="240" w:lineRule="auto"/>
              <w:jc w:val="center"/>
              <w:rPr>
                <w:sz w:val="22"/>
                <w:szCs w:val="22"/>
              </w:rPr>
            </w:pPr>
            <w:r w:rsidRPr="00042ADE">
              <w:rPr>
                <w:sz w:val="22"/>
                <w:szCs w:val="22"/>
              </w:rPr>
              <w:t>-1.268</w:t>
            </w:r>
          </w:p>
        </w:tc>
        <w:tc>
          <w:tcPr>
            <w:tcW w:w="1701" w:type="dxa"/>
          </w:tcPr>
          <w:p w14:paraId="069DF76E" w14:textId="77777777" w:rsidR="00BC12EC" w:rsidRPr="00042ADE" w:rsidRDefault="00BC12EC" w:rsidP="00C709CC">
            <w:pPr>
              <w:pStyle w:val="Tabletitle"/>
              <w:spacing w:line="240" w:lineRule="auto"/>
              <w:jc w:val="center"/>
              <w:rPr>
                <w:sz w:val="22"/>
                <w:szCs w:val="22"/>
              </w:rPr>
            </w:pPr>
            <w:r w:rsidRPr="00042ADE">
              <w:rPr>
                <w:sz w:val="22"/>
                <w:szCs w:val="22"/>
              </w:rPr>
              <w:t>(-3.179, 0.644)</w:t>
            </w:r>
          </w:p>
        </w:tc>
        <w:tc>
          <w:tcPr>
            <w:tcW w:w="993" w:type="dxa"/>
          </w:tcPr>
          <w:p w14:paraId="7529DFCB" w14:textId="77777777" w:rsidR="00BC12EC" w:rsidRPr="00042ADE" w:rsidRDefault="00BC12EC" w:rsidP="00C709CC">
            <w:pPr>
              <w:pStyle w:val="Tabletitle"/>
              <w:spacing w:line="240" w:lineRule="auto"/>
              <w:jc w:val="center"/>
              <w:rPr>
                <w:sz w:val="22"/>
                <w:szCs w:val="22"/>
              </w:rPr>
            </w:pPr>
            <w:r w:rsidRPr="00042ADE">
              <w:rPr>
                <w:sz w:val="22"/>
                <w:szCs w:val="22"/>
              </w:rPr>
              <w:t>0.189</w:t>
            </w:r>
          </w:p>
        </w:tc>
      </w:tr>
      <w:tr w:rsidR="00BC12EC" w:rsidRPr="00042ADE" w14:paraId="002174C9" w14:textId="77777777" w:rsidTr="006255F0">
        <w:trPr>
          <w:trHeight w:val="196"/>
        </w:trPr>
        <w:tc>
          <w:tcPr>
            <w:tcW w:w="1797" w:type="dxa"/>
          </w:tcPr>
          <w:p w14:paraId="34539257" w14:textId="77777777" w:rsidR="00BC12EC" w:rsidRPr="00042ADE" w:rsidRDefault="00BC12EC" w:rsidP="00C709CC">
            <w:pPr>
              <w:pStyle w:val="Tabletitle"/>
              <w:spacing w:line="240" w:lineRule="auto"/>
              <w:rPr>
                <w:sz w:val="22"/>
                <w:szCs w:val="22"/>
              </w:rPr>
            </w:pPr>
            <w:r w:rsidRPr="00042ADE">
              <w:rPr>
                <w:b/>
                <w:sz w:val="22"/>
                <w:szCs w:val="22"/>
              </w:rPr>
              <w:t>Ring Fingertip</w:t>
            </w:r>
          </w:p>
        </w:tc>
        <w:tc>
          <w:tcPr>
            <w:tcW w:w="1481" w:type="dxa"/>
          </w:tcPr>
          <w:p w14:paraId="0521D300"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7DA84DBC"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3CBB21FA" w14:textId="77777777" w:rsidR="00BC12EC" w:rsidRPr="00042ADE" w:rsidRDefault="00BC12EC" w:rsidP="00C709CC">
            <w:pPr>
              <w:pStyle w:val="Tabletitle"/>
              <w:spacing w:line="240" w:lineRule="auto"/>
              <w:jc w:val="center"/>
              <w:rPr>
                <w:sz w:val="22"/>
                <w:szCs w:val="22"/>
              </w:rPr>
            </w:pPr>
            <w:r w:rsidRPr="00042ADE">
              <w:rPr>
                <w:sz w:val="22"/>
                <w:szCs w:val="22"/>
              </w:rPr>
              <w:t>-2.268</w:t>
            </w:r>
          </w:p>
        </w:tc>
        <w:tc>
          <w:tcPr>
            <w:tcW w:w="1843" w:type="dxa"/>
          </w:tcPr>
          <w:p w14:paraId="7213573F" w14:textId="77777777" w:rsidR="00BC12EC" w:rsidRPr="00042ADE" w:rsidRDefault="00BC12EC" w:rsidP="00C709CC">
            <w:pPr>
              <w:pStyle w:val="Tabletitle"/>
              <w:spacing w:line="240" w:lineRule="auto"/>
              <w:jc w:val="center"/>
              <w:rPr>
                <w:sz w:val="22"/>
                <w:szCs w:val="22"/>
              </w:rPr>
            </w:pPr>
            <w:r w:rsidRPr="00042ADE">
              <w:rPr>
                <w:sz w:val="22"/>
                <w:szCs w:val="22"/>
              </w:rPr>
              <w:t>(-11.418, 6882)</w:t>
            </w:r>
          </w:p>
        </w:tc>
        <w:tc>
          <w:tcPr>
            <w:tcW w:w="992" w:type="dxa"/>
          </w:tcPr>
          <w:p w14:paraId="6B070D83" w14:textId="77777777" w:rsidR="00BC12EC" w:rsidRPr="00042ADE" w:rsidRDefault="00BC12EC" w:rsidP="00C709CC">
            <w:pPr>
              <w:pStyle w:val="Tabletitle"/>
              <w:spacing w:line="240" w:lineRule="auto"/>
              <w:jc w:val="center"/>
              <w:rPr>
                <w:sz w:val="22"/>
                <w:szCs w:val="22"/>
              </w:rPr>
            </w:pPr>
            <w:r w:rsidRPr="00042ADE">
              <w:rPr>
                <w:sz w:val="22"/>
                <w:szCs w:val="22"/>
              </w:rPr>
              <w:t>0.618</w:t>
            </w:r>
          </w:p>
        </w:tc>
        <w:tc>
          <w:tcPr>
            <w:tcW w:w="992" w:type="dxa"/>
          </w:tcPr>
          <w:p w14:paraId="089E3DB9" w14:textId="77777777" w:rsidR="00BC12EC" w:rsidRPr="00042ADE" w:rsidRDefault="00BC12EC" w:rsidP="00C709CC">
            <w:pPr>
              <w:pStyle w:val="Tabletitle"/>
              <w:spacing w:line="240" w:lineRule="auto"/>
              <w:jc w:val="center"/>
              <w:rPr>
                <w:sz w:val="22"/>
                <w:szCs w:val="22"/>
              </w:rPr>
            </w:pPr>
            <w:r w:rsidRPr="00042ADE">
              <w:rPr>
                <w:sz w:val="22"/>
                <w:szCs w:val="22"/>
              </w:rPr>
              <w:t>-0.529</w:t>
            </w:r>
          </w:p>
        </w:tc>
        <w:tc>
          <w:tcPr>
            <w:tcW w:w="1701" w:type="dxa"/>
          </w:tcPr>
          <w:p w14:paraId="39B2A1AC" w14:textId="77777777" w:rsidR="00BC12EC" w:rsidRPr="00042ADE" w:rsidRDefault="00BC12EC" w:rsidP="00C709CC">
            <w:pPr>
              <w:pStyle w:val="Tabletitle"/>
              <w:spacing w:line="240" w:lineRule="auto"/>
              <w:jc w:val="center"/>
              <w:rPr>
                <w:sz w:val="22"/>
                <w:szCs w:val="22"/>
              </w:rPr>
            </w:pPr>
            <w:r w:rsidRPr="00042ADE">
              <w:rPr>
                <w:sz w:val="22"/>
                <w:szCs w:val="22"/>
              </w:rPr>
              <w:t>(-2.413, 1.355)</w:t>
            </w:r>
          </w:p>
        </w:tc>
        <w:tc>
          <w:tcPr>
            <w:tcW w:w="993" w:type="dxa"/>
          </w:tcPr>
          <w:p w14:paraId="14F1178F" w14:textId="77777777" w:rsidR="00BC12EC" w:rsidRPr="00042ADE" w:rsidRDefault="00BC12EC" w:rsidP="00C709CC">
            <w:pPr>
              <w:pStyle w:val="Tabletitle"/>
              <w:spacing w:line="240" w:lineRule="auto"/>
              <w:jc w:val="center"/>
              <w:rPr>
                <w:sz w:val="22"/>
                <w:szCs w:val="22"/>
              </w:rPr>
            </w:pPr>
            <w:r w:rsidRPr="00042ADE">
              <w:rPr>
                <w:sz w:val="22"/>
                <w:szCs w:val="22"/>
              </w:rPr>
              <w:t>0.575</w:t>
            </w:r>
          </w:p>
        </w:tc>
      </w:tr>
      <w:tr w:rsidR="00BC12EC" w:rsidRPr="00042ADE" w14:paraId="2C81E506" w14:textId="77777777" w:rsidTr="006255F0">
        <w:trPr>
          <w:trHeight w:val="196"/>
        </w:trPr>
        <w:tc>
          <w:tcPr>
            <w:tcW w:w="1797" w:type="dxa"/>
          </w:tcPr>
          <w:p w14:paraId="1E8A0077" w14:textId="77777777" w:rsidR="00BC12EC" w:rsidRPr="00042ADE" w:rsidRDefault="00BC12EC" w:rsidP="00C709CC">
            <w:pPr>
              <w:pStyle w:val="Tabletitle"/>
              <w:spacing w:line="240" w:lineRule="auto"/>
              <w:rPr>
                <w:sz w:val="22"/>
                <w:szCs w:val="22"/>
              </w:rPr>
            </w:pPr>
          </w:p>
        </w:tc>
        <w:tc>
          <w:tcPr>
            <w:tcW w:w="1481" w:type="dxa"/>
          </w:tcPr>
          <w:p w14:paraId="2F40869C" w14:textId="77777777" w:rsidR="00BC12EC" w:rsidRPr="00042ADE" w:rsidRDefault="00BC12EC" w:rsidP="00C709CC">
            <w:pPr>
              <w:pStyle w:val="Tabletitle"/>
              <w:spacing w:line="240" w:lineRule="auto"/>
              <w:jc w:val="center"/>
              <w:rPr>
                <w:b/>
                <w:sz w:val="22"/>
                <w:szCs w:val="22"/>
              </w:rPr>
            </w:pPr>
          </w:p>
        </w:tc>
        <w:tc>
          <w:tcPr>
            <w:tcW w:w="629" w:type="dxa"/>
          </w:tcPr>
          <w:p w14:paraId="5978EB6F"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0EECD639" w14:textId="77777777" w:rsidR="00BC12EC" w:rsidRPr="00042ADE" w:rsidRDefault="00BC12EC" w:rsidP="00C709CC">
            <w:pPr>
              <w:pStyle w:val="Tabletitle"/>
              <w:spacing w:line="240" w:lineRule="auto"/>
              <w:jc w:val="center"/>
              <w:rPr>
                <w:sz w:val="22"/>
                <w:szCs w:val="22"/>
              </w:rPr>
            </w:pPr>
            <w:r w:rsidRPr="00042ADE">
              <w:rPr>
                <w:sz w:val="22"/>
                <w:szCs w:val="22"/>
              </w:rPr>
              <w:t>-4.608</w:t>
            </w:r>
          </w:p>
        </w:tc>
        <w:tc>
          <w:tcPr>
            <w:tcW w:w="1843" w:type="dxa"/>
          </w:tcPr>
          <w:p w14:paraId="2EE2F477" w14:textId="77777777" w:rsidR="00BC12EC" w:rsidRPr="00042ADE" w:rsidRDefault="00BC12EC" w:rsidP="00C709CC">
            <w:pPr>
              <w:pStyle w:val="Tabletitle"/>
              <w:spacing w:line="240" w:lineRule="auto"/>
              <w:jc w:val="center"/>
              <w:rPr>
                <w:sz w:val="22"/>
                <w:szCs w:val="22"/>
              </w:rPr>
            </w:pPr>
            <w:r w:rsidRPr="00042ADE">
              <w:rPr>
                <w:sz w:val="22"/>
                <w:szCs w:val="22"/>
              </w:rPr>
              <w:t>(-10.990, 1.775)</w:t>
            </w:r>
          </w:p>
        </w:tc>
        <w:tc>
          <w:tcPr>
            <w:tcW w:w="992" w:type="dxa"/>
          </w:tcPr>
          <w:p w14:paraId="53C95611" w14:textId="77777777" w:rsidR="00BC12EC" w:rsidRPr="00042ADE" w:rsidRDefault="00BC12EC" w:rsidP="00C709CC">
            <w:pPr>
              <w:pStyle w:val="Tabletitle"/>
              <w:spacing w:line="240" w:lineRule="auto"/>
              <w:jc w:val="center"/>
              <w:rPr>
                <w:sz w:val="22"/>
                <w:szCs w:val="22"/>
              </w:rPr>
            </w:pPr>
            <w:r w:rsidRPr="00042ADE">
              <w:rPr>
                <w:sz w:val="22"/>
                <w:szCs w:val="22"/>
              </w:rPr>
              <w:t>0.152</w:t>
            </w:r>
          </w:p>
        </w:tc>
        <w:tc>
          <w:tcPr>
            <w:tcW w:w="992" w:type="dxa"/>
          </w:tcPr>
          <w:p w14:paraId="6DF7A609" w14:textId="77777777" w:rsidR="00BC12EC" w:rsidRPr="00042ADE" w:rsidRDefault="00BC12EC" w:rsidP="00C709CC">
            <w:pPr>
              <w:pStyle w:val="Tabletitle"/>
              <w:spacing w:line="240" w:lineRule="auto"/>
              <w:jc w:val="center"/>
              <w:rPr>
                <w:sz w:val="22"/>
                <w:szCs w:val="22"/>
              </w:rPr>
            </w:pPr>
            <w:r w:rsidRPr="00042ADE">
              <w:rPr>
                <w:sz w:val="22"/>
                <w:szCs w:val="22"/>
              </w:rPr>
              <w:t>-1.154</w:t>
            </w:r>
          </w:p>
        </w:tc>
        <w:tc>
          <w:tcPr>
            <w:tcW w:w="1701" w:type="dxa"/>
          </w:tcPr>
          <w:p w14:paraId="50A99BA2" w14:textId="77777777" w:rsidR="00BC12EC" w:rsidRPr="00042ADE" w:rsidRDefault="00BC12EC" w:rsidP="00C709CC">
            <w:pPr>
              <w:pStyle w:val="Tabletitle"/>
              <w:spacing w:line="240" w:lineRule="auto"/>
              <w:jc w:val="center"/>
              <w:rPr>
                <w:sz w:val="22"/>
                <w:szCs w:val="22"/>
              </w:rPr>
            </w:pPr>
            <w:r w:rsidRPr="00042ADE">
              <w:rPr>
                <w:sz w:val="22"/>
                <w:szCs w:val="22"/>
              </w:rPr>
              <w:t>(-3.082, 0.773)</w:t>
            </w:r>
          </w:p>
        </w:tc>
        <w:tc>
          <w:tcPr>
            <w:tcW w:w="993" w:type="dxa"/>
          </w:tcPr>
          <w:p w14:paraId="15C47324" w14:textId="77777777" w:rsidR="00BC12EC" w:rsidRPr="00042ADE" w:rsidRDefault="00BC12EC" w:rsidP="00C709CC">
            <w:pPr>
              <w:pStyle w:val="Tabletitle"/>
              <w:spacing w:line="240" w:lineRule="auto"/>
              <w:jc w:val="center"/>
              <w:rPr>
                <w:sz w:val="22"/>
                <w:szCs w:val="22"/>
              </w:rPr>
            </w:pPr>
            <w:r w:rsidRPr="00042ADE">
              <w:rPr>
                <w:sz w:val="22"/>
                <w:szCs w:val="22"/>
              </w:rPr>
              <w:t>0.234</w:t>
            </w:r>
          </w:p>
        </w:tc>
      </w:tr>
      <w:tr w:rsidR="00BC12EC" w:rsidRPr="00042ADE" w14:paraId="3F569CE2" w14:textId="77777777" w:rsidTr="006255F0">
        <w:trPr>
          <w:trHeight w:val="196"/>
        </w:trPr>
        <w:tc>
          <w:tcPr>
            <w:tcW w:w="1797" w:type="dxa"/>
          </w:tcPr>
          <w:p w14:paraId="0E3BF2D2" w14:textId="77777777" w:rsidR="00BC12EC" w:rsidRPr="00042ADE" w:rsidRDefault="00BC12EC" w:rsidP="00C709CC">
            <w:pPr>
              <w:pStyle w:val="Tabletitle"/>
              <w:spacing w:line="240" w:lineRule="auto"/>
              <w:rPr>
                <w:sz w:val="22"/>
                <w:szCs w:val="22"/>
              </w:rPr>
            </w:pPr>
          </w:p>
        </w:tc>
        <w:tc>
          <w:tcPr>
            <w:tcW w:w="1481" w:type="dxa"/>
          </w:tcPr>
          <w:p w14:paraId="2CDF1B63"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062A682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3EB5D91" w14:textId="77777777" w:rsidR="00BC12EC" w:rsidRPr="00042ADE" w:rsidRDefault="00BC12EC" w:rsidP="00C709CC">
            <w:pPr>
              <w:pStyle w:val="Tabletitle"/>
              <w:spacing w:line="240" w:lineRule="auto"/>
              <w:jc w:val="center"/>
              <w:rPr>
                <w:sz w:val="22"/>
                <w:szCs w:val="22"/>
              </w:rPr>
            </w:pPr>
            <w:r w:rsidRPr="00042ADE">
              <w:rPr>
                <w:sz w:val="22"/>
                <w:szCs w:val="22"/>
              </w:rPr>
              <w:t>1.431</w:t>
            </w:r>
          </w:p>
        </w:tc>
        <w:tc>
          <w:tcPr>
            <w:tcW w:w="1843" w:type="dxa"/>
          </w:tcPr>
          <w:p w14:paraId="177147A3" w14:textId="77777777" w:rsidR="00BC12EC" w:rsidRPr="00042ADE" w:rsidRDefault="00BC12EC" w:rsidP="00C709CC">
            <w:pPr>
              <w:pStyle w:val="Tabletitle"/>
              <w:spacing w:line="240" w:lineRule="auto"/>
              <w:jc w:val="center"/>
              <w:rPr>
                <w:sz w:val="22"/>
                <w:szCs w:val="22"/>
              </w:rPr>
            </w:pPr>
            <w:r w:rsidRPr="00042ADE">
              <w:rPr>
                <w:sz w:val="22"/>
                <w:szCs w:val="22"/>
              </w:rPr>
              <w:t>(-10.952, 13.813)</w:t>
            </w:r>
          </w:p>
        </w:tc>
        <w:tc>
          <w:tcPr>
            <w:tcW w:w="992" w:type="dxa"/>
          </w:tcPr>
          <w:p w14:paraId="6FD60863" w14:textId="77777777" w:rsidR="00BC12EC" w:rsidRPr="00042ADE" w:rsidRDefault="00BC12EC" w:rsidP="00C709CC">
            <w:pPr>
              <w:pStyle w:val="Tabletitle"/>
              <w:spacing w:line="240" w:lineRule="auto"/>
              <w:jc w:val="center"/>
              <w:rPr>
                <w:sz w:val="22"/>
                <w:szCs w:val="22"/>
              </w:rPr>
            </w:pPr>
            <w:r w:rsidRPr="00042ADE">
              <w:rPr>
                <w:sz w:val="22"/>
                <w:szCs w:val="22"/>
              </w:rPr>
              <w:t>0.816</w:t>
            </w:r>
          </w:p>
        </w:tc>
        <w:tc>
          <w:tcPr>
            <w:tcW w:w="992" w:type="dxa"/>
          </w:tcPr>
          <w:p w14:paraId="010CA572" w14:textId="77777777" w:rsidR="00BC12EC" w:rsidRPr="00042ADE" w:rsidRDefault="00BC12EC" w:rsidP="00C709CC">
            <w:pPr>
              <w:pStyle w:val="Tabletitle"/>
              <w:spacing w:line="240" w:lineRule="auto"/>
              <w:jc w:val="center"/>
              <w:rPr>
                <w:sz w:val="22"/>
                <w:szCs w:val="22"/>
              </w:rPr>
            </w:pPr>
            <w:r w:rsidRPr="00042ADE">
              <w:rPr>
                <w:sz w:val="22"/>
                <w:szCs w:val="22"/>
              </w:rPr>
              <w:t>-0.724</w:t>
            </w:r>
          </w:p>
        </w:tc>
        <w:tc>
          <w:tcPr>
            <w:tcW w:w="1701" w:type="dxa"/>
          </w:tcPr>
          <w:p w14:paraId="5D33B40B" w14:textId="77777777" w:rsidR="00BC12EC" w:rsidRPr="00042ADE" w:rsidRDefault="00BC12EC" w:rsidP="00C709CC">
            <w:pPr>
              <w:pStyle w:val="Tabletitle"/>
              <w:spacing w:line="240" w:lineRule="auto"/>
              <w:jc w:val="center"/>
              <w:rPr>
                <w:sz w:val="22"/>
                <w:szCs w:val="22"/>
              </w:rPr>
            </w:pPr>
            <w:r w:rsidRPr="00042ADE">
              <w:rPr>
                <w:sz w:val="22"/>
                <w:szCs w:val="22"/>
              </w:rPr>
              <w:t>(-2.570, 1.122)</w:t>
            </w:r>
          </w:p>
        </w:tc>
        <w:tc>
          <w:tcPr>
            <w:tcW w:w="993" w:type="dxa"/>
          </w:tcPr>
          <w:p w14:paraId="238EFB97" w14:textId="77777777" w:rsidR="00BC12EC" w:rsidRPr="00042ADE" w:rsidRDefault="00BC12EC" w:rsidP="00C709CC">
            <w:pPr>
              <w:pStyle w:val="Tabletitle"/>
              <w:spacing w:line="240" w:lineRule="auto"/>
              <w:jc w:val="center"/>
              <w:rPr>
                <w:sz w:val="22"/>
                <w:szCs w:val="22"/>
              </w:rPr>
            </w:pPr>
            <w:r w:rsidRPr="00042ADE">
              <w:rPr>
                <w:sz w:val="22"/>
                <w:szCs w:val="22"/>
              </w:rPr>
              <w:t>0.434</w:t>
            </w:r>
          </w:p>
        </w:tc>
      </w:tr>
      <w:tr w:rsidR="00BC12EC" w:rsidRPr="00042ADE" w14:paraId="7BDA80CB" w14:textId="77777777" w:rsidTr="006255F0">
        <w:trPr>
          <w:trHeight w:val="196"/>
        </w:trPr>
        <w:tc>
          <w:tcPr>
            <w:tcW w:w="1797" w:type="dxa"/>
          </w:tcPr>
          <w:p w14:paraId="78CD5973" w14:textId="77777777" w:rsidR="00BC12EC" w:rsidRPr="00042ADE" w:rsidRDefault="00BC12EC" w:rsidP="00C709CC">
            <w:pPr>
              <w:pStyle w:val="Tabletitle"/>
              <w:spacing w:line="240" w:lineRule="auto"/>
              <w:rPr>
                <w:sz w:val="22"/>
                <w:szCs w:val="22"/>
              </w:rPr>
            </w:pPr>
          </w:p>
        </w:tc>
        <w:tc>
          <w:tcPr>
            <w:tcW w:w="1481" w:type="dxa"/>
          </w:tcPr>
          <w:p w14:paraId="78ED7853" w14:textId="77777777" w:rsidR="00BC12EC" w:rsidRPr="00042ADE" w:rsidRDefault="00BC12EC" w:rsidP="00C709CC">
            <w:pPr>
              <w:pStyle w:val="Tabletitle"/>
              <w:spacing w:line="240" w:lineRule="auto"/>
              <w:jc w:val="center"/>
              <w:rPr>
                <w:b/>
                <w:sz w:val="22"/>
                <w:szCs w:val="22"/>
              </w:rPr>
            </w:pPr>
          </w:p>
        </w:tc>
        <w:tc>
          <w:tcPr>
            <w:tcW w:w="629" w:type="dxa"/>
          </w:tcPr>
          <w:p w14:paraId="492E098E"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06315ABD" w14:textId="77777777" w:rsidR="00BC12EC" w:rsidRPr="00042ADE" w:rsidRDefault="00BC12EC" w:rsidP="00C709CC">
            <w:pPr>
              <w:pStyle w:val="Tabletitle"/>
              <w:spacing w:line="240" w:lineRule="auto"/>
              <w:jc w:val="center"/>
              <w:rPr>
                <w:sz w:val="22"/>
                <w:szCs w:val="22"/>
              </w:rPr>
            </w:pPr>
            <w:r w:rsidRPr="00042ADE">
              <w:rPr>
                <w:sz w:val="22"/>
                <w:szCs w:val="22"/>
              </w:rPr>
              <w:t>0.102</w:t>
            </w:r>
          </w:p>
        </w:tc>
        <w:tc>
          <w:tcPr>
            <w:tcW w:w="1843" w:type="dxa"/>
          </w:tcPr>
          <w:p w14:paraId="2E72C972" w14:textId="77777777" w:rsidR="00BC12EC" w:rsidRPr="00042ADE" w:rsidRDefault="00BC12EC" w:rsidP="00C709CC">
            <w:pPr>
              <w:pStyle w:val="Tabletitle"/>
              <w:spacing w:line="240" w:lineRule="auto"/>
              <w:jc w:val="center"/>
              <w:rPr>
                <w:sz w:val="22"/>
                <w:szCs w:val="22"/>
              </w:rPr>
            </w:pPr>
            <w:r w:rsidRPr="00042ADE">
              <w:rPr>
                <w:sz w:val="22"/>
                <w:szCs w:val="22"/>
              </w:rPr>
              <w:t>(-11.926, 12.129)</w:t>
            </w:r>
          </w:p>
        </w:tc>
        <w:tc>
          <w:tcPr>
            <w:tcW w:w="992" w:type="dxa"/>
          </w:tcPr>
          <w:p w14:paraId="04A6EA84" w14:textId="77777777" w:rsidR="00BC12EC" w:rsidRPr="00042ADE" w:rsidRDefault="00BC12EC" w:rsidP="00C709CC">
            <w:pPr>
              <w:pStyle w:val="Tabletitle"/>
              <w:spacing w:line="240" w:lineRule="auto"/>
              <w:jc w:val="center"/>
              <w:rPr>
                <w:sz w:val="22"/>
                <w:szCs w:val="22"/>
              </w:rPr>
            </w:pPr>
            <w:r w:rsidRPr="00042ADE">
              <w:rPr>
                <w:sz w:val="22"/>
                <w:szCs w:val="22"/>
              </w:rPr>
              <w:t>0.986</w:t>
            </w:r>
          </w:p>
        </w:tc>
        <w:tc>
          <w:tcPr>
            <w:tcW w:w="992" w:type="dxa"/>
          </w:tcPr>
          <w:p w14:paraId="127F841A" w14:textId="77777777" w:rsidR="00BC12EC" w:rsidRPr="00042ADE" w:rsidRDefault="00BC12EC" w:rsidP="00C709CC">
            <w:pPr>
              <w:pStyle w:val="Tabletitle"/>
              <w:spacing w:line="240" w:lineRule="auto"/>
              <w:jc w:val="center"/>
              <w:rPr>
                <w:sz w:val="22"/>
                <w:szCs w:val="22"/>
              </w:rPr>
            </w:pPr>
            <w:r w:rsidRPr="00042ADE">
              <w:rPr>
                <w:sz w:val="22"/>
                <w:szCs w:val="22"/>
              </w:rPr>
              <w:t>-1.277</w:t>
            </w:r>
          </w:p>
        </w:tc>
        <w:tc>
          <w:tcPr>
            <w:tcW w:w="1701" w:type="dxa"/>
          </w:tcPr>
          <w:p w14:paraId="40FB8B1F" w14:textId="77777777" w:rsidR="00BC12EC" w:rsidRPr="00042ADE" w:rsidRDefault="00BC12EC" w:rsidP="00C709CC">
            <w:pPr>
              <w:pStyle w:val="Tabletitle"/>
              <w:spacing w:line="240" w:lineRule="auto"/>
              <w:jc w:val="center"/>
              <w:rPr>
                <w:sz w:val="22"/>
                <w:szCs w:val="22"/>
              </w:rPr>
            </w:pPr>
            <w:r w:rsidRPr="00042ADE">
              <w:rPr>
                <w:sz w:val="22"/>
                <w:szCs w:val="22"/>
              </w:rPr>
              <w:t>(-3.212, 0.658)</w:t>
            </w:r>
          </w:p>
        </w:tc>
        <w:tc>
          <w:tcPr>
            <w:tcW w:w="993" w:type="dxa"/>
          </w:tcPr>
          <w:p w14:paraId="0D150E83" w14:textId="77777777" w:rsidR="00BC12EC" w:rsidRPr="00042ADE" w:rsidRDefault="00BC12EC" w:rsidP="00C709CC">
            <w:pPr>
              <w:pStyle w:val="Tabletitle"/>
              <w:spacing w:line="240" w:lineRule="auto"/>
              <w:jc w:val="center"/>
              <w:rPr>
                <w:sz w:val="22"/>
                <w:szCs w:val="22"/>
              </w:rPr>
            </w:pPr>
            <w:r w:rsidRPr="00042ADE">
              <w:rPr>
                <w:sz w:val="22"/>
                <w:szCs w:val="22"/>
              </w:rPr>
              <w:t>0.191</w:t>
            </w:r>
          </w:p>
        </w:tc>
      </w:tr>
      <w:tr w:rsidR="00BC12EC" w:rsidRPr="00042ADE" w14:paraId="1446ABE7" w14:textId="77777777" w:rsidTr="006255F0">
        <w:trPr>
          <w:trHeight w:val="196"/>
        </w:trPr>
        <w:tc>
          <w:tcPr>
            <w:tcW w:w="1797" w:type="dxa"/>
          </w:tcPr>
          <w:p w14:paraId="088BD759" w14:textId="77777777" w:rsidR="00BC12EC" w:rsidRPr="00042ADE" w:rsidRDefault="00BC12EC" w:rsidP="00C709CC">
            <w:pPr>
              <w:pStyle w:val="Tabletitle"/>
              <w:spacing w:line="240" w:lineRule="auto"/>
              <w:rPr>
                <w:sz w:val="22"/>
                <w:szCs w:val="22"/>
              </w:rPr>
            </w:pPr>
          </w:p>
        </w:tc>
        <w:tc>
          <w:tcPr>
            <w:tcW w:w="1481" w:type="dxa"/>
          </w:tcPr>
          <w:p w14:paraId="77D11E83"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2C8C75BC"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38D87BD" w14:textId="77777777" w:rsidR="00BC12EC" w:rsidRPr="00042ADE" w:rsidRDefault="00BC12EC" w:rsidP="00C709CC">
            <w:pPr>
              <w:pStyle w:val="Tabletitle"/>
              <w:spacing w:line="240" w:lineRule="auto"/>
              <w:jc w:val="center"/>
              <w:rPr>
                <w:sz w:val="22"/>
                <w:szCs w:val="22"/>
              </w:rPr>
            </w:pPr>
            <w:r w:rsidRPr="00042ADE">
              <w:rPr>
                <w:sz w:val="22"/>
                <w:szCs w:val="22"/>
              </w:rPr>
              <w:t>3.002</w:t>
            </w:r>
          </w:p>
        </w:tc>
        <w:tc>
          <w:tcPr>
            <w:tcW w:w="1843" w:type="dxa"/>
          </w:tcPr>
          <w:p w14:paraId="079D1A5B" w14:textId="77777777" w:rsidR="00BC12EC" w:rsidRPr="00042ADE" w:rsidRDefault="00BC12EC" w:rsidP="00C709CC">
            <w:pPr>
              <w:pStyle w:val="Tabletitle"/>
              <w:spacing w:line="240" w:lineRule="auto"/>
              <w:jc w:val="center"/>
              <w:rPr>
                <w:sz w:val="22"/>
                <w:szCs w:val="22"/>
              </w:rPr>
            </w:pPr>
            <w:r w:rsidRPr="00042ADE">
              <w:rPr>
                <w:sz w:val="22"/>
                <w:szCs w:val="22"/>
              </w:rPr>
              <w:t>(-6.970, 12.974)</w:t>
            </w:r>
          </w:p>
        </w:tc>
        <w:tc>
          <w:tcPr>
            <w:tcW w:w="992" w:type="dxa"/>
          </w:tcPr>
          <w:p w14:paraId="3108CD7B" w14:textId="77777777" w:rsidR="00BC12EC" w:rsidRPr="00042ADE" w:rsidRDefault="00BC12EC" w:rsidP="00C709CC">
            <w:pPr>
              <w:pStyle w:val="Tabletitle"/>
              <w:spacing w:line="240" w:lineRule="auto"/>
              <w:jc w:val="center"/>
              <w:rPr>
                <w:sz w:val="22"/>
                <w:szCs w:val="22"/>
              </w:rPr>
            </w:pPr>
            <w:r w:rsidRPr="00042ADE">
              <w:rPr>
                <w:sz w:val="22"/>
                <w:szCs w:val="22"/>
              </w:rPr>
              <w:t>0.546</w:t>
            </w:r>
          </w:p>
        </w:tc>
        <w:tc>
          <w:tcPr>
            <w:tcW w:w="992" w:type="dxa"/>
          </w:tcPr>
          <w:p w14:paraId="39BFB8E8" w14:textId="77777777" w:rsidR="00BC12EC" w:rsidRPr="00042ADE" w:rsidRDefault="00BC12EC" w:rsidP="00C709CC">
            <w:pPr>
              <w:pStyle w:val="Tabletitle"/>
              <w:spacing w:line="240" w:lineRule="auto"/>
              <w:jc w:val="center"/>
              <w:rPr>
                <w:sz w:val="22"/>
                <w:szCs w:val="22"/>
              </w:rPr>
            </w:pPr>
            <w:r w:rsidRPr="00042ADE">
              <w:rPr>
                <w:sz w:val="22"/>
                <w:szCs w:val="22"/>
              </w:rPr>
              <w:t>-0.348</w:t>
            </w:r>
          </w:p>
        </w:tc>
        <w:tc>
          <w:tcPr>
            <w:tcW w:w="1701" w:type="dxa"/>
          </w:tcPr>
          <w:p w14:paraId="0B25723A" w14:textId="77777777" w:rsidR="00BC12EC" w:rsidRPr="00042ADE" w:rsidRDefault="00BC12EC" w:rsidP="00C709CC">
            <w:pPr>
              <w:pStyle w:val="Tabletitle"/>
              <w:spacing w:line="240" w:lineRule="auto"/>
              <w:jc w:val="center"/>
              <w:rPr>
                <w:sz w:val="22"/>
                <w:szCs w:val="22"/>
              </w:rPr>
            </w:pPr>
            <w:r w:rsidRPr="00042ADE">
              <w:rPr>
                <w:sz w:val="22"/>
                <w:szCs w:val="22"/>
              </w:rPr>
              <w:t>(-2.176, 1.481)</w:t>
            </w:r>
          </w:p>
        </w:tc>
        <w:tc>
          <w:tcPr>
            <w:tcW w:w="993" w:type="dxa"/>
          </w:tcPr>
          <w:p w14:paraId="369BDBA9" w14:textId="77777777" w:rsidR="00BC12EC" w:rsidRPr="00042ADE" w:rsidRDefault="00BC12EC" w:rsidP="00C709CC">
            <w:pPr>
              <w:pStyle w:val="Tabletitle"/>
              <w:spacing w:line="240" w:lineRule="auto"/>
              <w:jc w:val="center"/>
              <w:rPr>
                <w:sz w:val="22"/>
                <w:szCs w:val="22"/>
              </w:rPr>
            </w:pPr>
            <w:r w:rsidRPr="00042ADE">
              <w:rPr>
                <w:sz w:val="22"/>
                <w:szCs w:val="22"/>
              </w:rPr>
              <w:t>0.704</w:t>
            </w:r>
          </w:p>
        </w:tc>
      </w:tr>
      <w:tr w:rsidR="00BC12EC" w:rsidRPr="00042ADE" w14:paraId="518FBEEC" w14:textId="77777777" w:rsidTr="006255F0">
        <w:trPr>
          <w:trHeight w:val="196"/>
        </w:trPr>
        <w:tc>
          <w:tcPr>
            <w:tcW w:w="1797" w:type="dxa"/>
          </w:tcPr>
          <w:p w14:paraId="763D77A9" w14:textId="77777777" w:rsidR="00BC12EC" w:rsidRPr="00042ADE" w:rsidRDefault="00BC12EC" w:rsidP="00C709CC">
            <w:pPr>
              <w:pStyle w:val="Tabletitle"/>
              <w:spacing w:line="240" w:lineRule="auto"/>
              <w:rPr>
                <w:sz w:val="22"/>
                <w:szCs w:val="22"/>
              </w:rPr>
            </w:pPr>
          </w:p>
        </w:tc>
        <w:tc>
          <w:tcPr>
            <w:tcW w:w="1481" w:type="dxa"/>
          </w:tcPr>
          <w:p w14:paraId="2F2477D2" w14:textId="77777777" w:rsidR="00BC12EC" w:rsidRPr="00042ADE" w:rsidRDefault="00BC12EC" w:rsidP="00C709CC">
            <w:pPr>
              <w:pStyle w:val="Tabletitle"/>
              <w:spacing w:line="240" w:lineRule="auto"/>
              <w:jc w:val="center"/>
              <w:rPr>
                <w:b/>
                <w:sz w:val="22"/>
                <w:szCs w:val="22"/>
              </w:rPr>
            </w:pPr>
          </w:p>
        </w:tc>
        <w:tc>
          <w:tcPr>
            <w:tcW w:w="629" w:type="dxa"/>
          </w:tcPr>
          <w:p w14:paraId="25157CA5"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45B991D" w14:textId="77777777" w:rsidR="00BC12EC" w:rsidRPr="00042ADE" w:rsidRDefault="00BC12EC" w:rsidP="00C709CC">
            <w:pPr>
              <w:pStyle w:val="Tabletitle"/>
              <w:spacing w:line="240" w:lineRule="auto"/>
              <w:jc w:val="center"/>
              <w:rPr>
                <w:sz w:val="22"/>
                <w:szCs w:val="22"/>
              </w:rPr>
            </w:pPr>
            <w:r w:rsidRPr="00042ADE">
              <w:rPr>
                <w:sz w:val="22"/>
                <w:szCs w:val="22"/>
              </w:rPr>
              <w:t>1.046</w:t>
            </w:r>
          </w:p>
        </w:tc>
        <w:tc>
          <w:tcPr>
            <w:tcW w:w="1843" w:type="dxa"/>
          </w:tcPr>
          <w:p w14:paraId="090DB8D7" w14:textId="77777777" w:rsidR="00BC12EC" w:rsidRPr="00042ADE" w:rsidRDefault="00BC12EC" w:rsidP="00C709CC">
            <w:pPr>
              <w:pStyle w:val="Tabletitle"/>
              <w:spacing w:line="240" w:lineRule="auto"/>
              <w:jc w:val="center"/>
              <w:rPr>
                <w:sz w:val="22"/>
                <w:szCs w:val="22"/>
              </w:rPr>
            </w:pPr>
            <w:r w:rsidRPr="00042ADE">
              <w:rPr>
                <w:sz w:val="22"/>
                <w:szCs w:val="22"/>
              </w:rPr>
              <w:t>(-8.133, 10.225)</w:t>
            </w:r>
          </w:p>
        </w:tc>
        <w:tc>
          <w:tcPr>
            <w:tcW w:w="992" w:type="dxa"/>
          </w:tcPr>
          <w:p w14:paraId="6E78D8A2" w14:textId="77777777" w:rsidR="00BC12EC" w:rsidRPr="00042ADE" w:rsidRDefault="00BC12EC" w:rsidP="00C709CC">
            <w:pPr>
              <w:pStyle w:val="Tabletitle"/>
              <w:spacing w:line="240" w:lineRule="auto"/>
              <w:jc w:val="center"/>
              <w:rPr>
                <w:sz w:val="22"/>
                <w:szCs w:val="22"/>
              </w:rPr>
            </w:pPr>
            <w:r w:rsidRPr="00042ADE">
              <w:rPr>
                <w:sz w:val="22"/>
                <w:szCs w:val="22"/>
              </w:rPr>
              <w:t>0.819</w:t>
            </w:r>
          </w:p>
        </w:tc>
        <w:tc>
          <w:tcPr>
            <w:tcW w:w="992" w:type="dxa"/>
          </w:tcPr>
          <w:p w14:paraId="2D1BB876" w14:textId="77777777" w:rsidR="00BC12EC" w:rsidRPr="00042ADE" w:rsidRDefault="00BC12EC" w:rsidP="00C709CC">
            <w:pPr>
              <w:pStyle w:val="Tabletitle"/>
              <w:spacing w:line="240" w:lineRule="auto"/>
              <w:jc w:val="center"/>
              <w:rPr>
                <w:sz w:val="22"/>
                <w:szCs w:val="22"/>
              </w:rPr>
            </w:pPr>
            <w:r w:rsidRPr="00042ADE">
              <w:rPr>
                <w:sz w:val="22"/>
                <w:szCs w:val="22"/>
              </w:rPr>
              <w:t>-1.181</w:t>
            </w:r>
          </w:p>
        </w:tc>
        <w:tc>
          <w:tcPr>
            <w:tcW w:w="1701" w:type="dxa"/>
          </w:tcPr>
          <w:p w14:paraId="1B805937" w14:textId="77777777" w:rsidR="00BC12EC" w:rsidRPr="00042ADE" w:rsidRDefault="00BC12EC" w:rsidP="00C709CC">
            <w:pPr>
              <w:pStyle w:val="Tabletitle"/>
              <w:spacing w:line="240" w:lineRule="auto"/>
              <w:jc w:val="center"/>
              <w:rPr>
                <w:sz w:val="22"/>
                <w:szCs w:val="22"/>
              </w:rPr>
            </w:pPr>
            <w:r w:rsidRPr="00042ADE">
              <w:rPr>
                <w:sz w:val="22"/>
                <w:szCs w:val="22"/>
              </w:rPr>
              <w:t>(-3.111, 0.749)</w:t>
            </w:r>
          </w:p>
        </w:tc>
        <w:tc>
          <w:tcPr>
            <w:tcW w:w="993" w:type="dxa"/>
          </w:tcPr>
          <w:p w14:paraId="25EB5E5C" w14:textId="77777777" w:rsidR="00BC12EC" w:rsidRPr="00042ADE" w:rsidRDefault="00BC12EC" w:rsidP="00C709CC">
            <w:pPr>
              <w:pStyle w:val="Tabletitle"/>
              <w:spacing w:line="240" w:lineRule="auto"/>
              <w:jc w:val="center"/>
              <w:rPr>
                <w:sz w:val="22"/>
                <w:szCs w:val="22"/>
              </w:rPr>
            </w:pPr>
            <w:r w:rsidRPr="00042ADE">
              <w:rPr>
                <w:sz w:val="22"/>
                <w:szCs w:val="22"/>
              </w:rPr>
              <w:t>0.224</w:t>
            </w:r>
          </w:p>
        </w:tc>
      </w:tr>
      <w:tr w:rsidR="00BC12EC" w:rsidRPr="00042ADE" w14:paraId="02A3BBC1" w14:textId="77777777" w:rsidTr="006255F0">
        <w:trPr>
          <w:trHeight w:val="196"/>
        </w:trPr>
        <w:tc>
          <w:tcPr>
            <w:tcW w:w="1797" w:type="dxa"/>
          </w:tcPr>
          <w:p w14:paraId="129C32DD" w14:textId="77777777" w:rsidR="00BC12EC" w:rsidRPr="00042ADE" w:rsidRDefault="00BC12EC" w:rsidP="00C709CC">
            <w:pPr>
              <w:pStyle w:val="Tabletitle"/>
              <w:spacing w:line="240" w:lineRule="auto"/>
              <w:rPr>
                <w:sz w:val="22"/>
                <w:szCs w:val="22"/>
              </w:rPr>
            </w:pPr>
            <w:r w:rsidRPr="00042ADE">
              <w:rPr>
                <w:b/>
                <w:sz w:val="22"/>
                <w:szCs w:val="22"/>
              </w:rPr>
              <w:t>Pinkie Fingertip</w:t>
            </w:r>
          </w:p>
        </w:tc>
        <w:tc>
          <w:tcPr>
            <w:tcW w:w="1481" w:type="dxa"/>
          </w:tcPr>
          <w:p w14:paraId="0D57F492"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024E45E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0FDD7A7B" w14:textId="77777777" w:rsidR="00BC12EC" w:rsidRPr="00042ADE" w:rsidRDefault="00BC12EC" w:rsidP="00C709CC">
            <w:pPr>
              <w:pStyle w:val="Tabletitle"/>
              <w:spacing w:line="240" w:lineRule="auto"/>
              <w:jc w:val="center"/>
              <w:rPr>
                <w:sz w:val="22"/>
                <w:szCs w:val="22"/>
              </w:rPr>
            </w:pPr>
            <w:r w:rsidRPr="00042ADE">
              <w:rPr>
                <w:sz w:val="22"/>
                <w:szCs w:val="22"/>
              </w:rPr>
              <w:t>4.444</w:t>
            </w:r>
          </w:p>
        </w:tc>
        <w:tc>
          <w:tcPr>
            <w:tcW w:w="1843" w:type="dxa"/>
          </w:tcPr>
          <w:p w14:paraId="3EB06AF2" w14:textId="77777777" w:rsidR="00BC12EC" w:rsidRPr="00042ADE" w:rsidRDefault="00BC12EC" w:rsidP="00C709CC">
            <w:pPr>
              <w:pStyle w:val="Tabletitle"/>
              <w:spacing w:line="240" w:lineRule="auto"/>
              <w:jc w:val="center"/>
              <w:rPr>
                <w:sz w:val="22"/>
                <w:szCs w:val="22"/>
              </w:rPr>
            </w:pPr>
            <w:r w:rsidRPr="00042ADE">
              <w:rPr>
                <w:sz w:val="22"/>
                <w:szCs w:val="22"/>
              </w:rPr>
              <w:t>(-1.927, 10.815)</w:t>
            </w:r>
          </w:p>
        </w:tc>
        <w:tc>
          <w:tcPr>
            <w:tcW w:w="992" w:type="dxa"/>
          </w:tcPr>
          <w:p w14:paraId="1103A17B" w14:textId="77777777" w:rsidR="00BC12EC" w:rsidRPr="00042ADE" w:rsidRDefault="00BC12EC" w:rsidP="00C709CC">
            <w:pPr>
              <w:pStyle w:val="Tabletitle"/>
              <w:spacing w:line="240" w:lineRule="auto"/>
              <w:jc w:val="center"/>
              <w:rPr>
                <w:sz w:val="22"/>
                <w:szCs w:val="22"/>
              </w:rPr>
            </w:pPr>
            <w:r w:rsidRPr="00042ADE">
              <w:rPr>
                <w:sz w:val="22"/>
                <w:szCs w:val="22"/>
              </w:rPr>
              <w:t>0.166</w:t>
            </w:r>
          </w:p>
        </w:tc>
        <w:tc>
          <w:tcPr>
            <w:tcW w:w="992" w:type="dxa"/>
          </w:tcPr>
          <w:p w14:paraId="53569DCF" w14:textId="77777777" w:rsidR="00BC12EC" w:rsidRPr="00042ADE" w:rsidRDefault="00BC12EC" w:rsidP="00C709CC">
            <w:pPr>
              <w:pStyle w:val="Tabletitle"/>
              <w:spacing w:line="240" w:lineRule="auto"/>
              <w:jc w:val="center"/>
              <w:rPr>
                <w:sz w:val="22"/>
                <w:szCs w:val="22"/>
              </w:rPr>
            </w:pPr>
            <w:r w:rsidRPr="00042ADE">
              <w:rPr>
                <w:sz w:val="22"/>
                <w:szCs w:val="22"/>
              </w:rPr>
              <w:t>-0.134</w:t>
            </w:r>
          </w:p>
        </w:tc>
        <w:tc>
          <w:tcPr>
            <w:tcW w:w="1701" w:type="dxa"/>
          </w:tcPr>
          <w:p w14:paraId="3CF0FBE5" w14:textId="77777777" w:rsidR="00BC12EC" w:rsidRPr="00042ADE" w:rsidRDefault="00BC12EC" w:rsidP="00C709CC">
            <w:pPr>
              <w:pStyle w:val="Tabletitle"/>
              <w:spacing w:line="240" w:lineRule="auto"/>
              <w:jc w:val="center"/>
              <w:rPr>
                <w:sz w:val="22"/>
                <w:szCs w:val="22"/>
              </w:rPr>
            </w:pPr>
            <w:r w:rsidRPr="00042ADE">
              <w:rPr>
                <w:sz w:val="22"/>
                <w:szCs w:val="22"/>
              </w:rPr>
              <w:t>(-2.026, 1.758)</w:t>
            </w:r>
          </w:p>
        </w:tc>
        <w:tc>
          <w:tcPr>
            <w:tcW w:w="993" w:type="dxa"/>
          </w:tcPr>
          <w:p w14:paraId="03FC570A" w14:textId="77777777" w:rsidR="00BC12EC" w:rsidRPr="00042ADE" w:rsidRDefault="00BC12EC" w:rsidP="00C709CC">
            <w:pPr>
              <w:pStyle w:val="Tabletitle"/>
              <w:spacing w:line="240" w:lineRule="auto"/>
              <w:jc w:val="center"/>
              <w:rPr>
                <w:sz w:val="22"/>
                <w:szCs w:val="22"/>
              </w:rPr>
            </w:pPr>
            <w:r w:rsidRPr="00042ADE">
              <w:rPr>
                <w:sz w:val="22"/>
                <w:szCs w:val="22"/>
              </w:rPr>
              <w:t>0.887</w:t>
            </w:r>
          </w:p>
        </w:tc>
      </w:tr>
      <w:tr w:rsidR="00BC12EC" w:rsidRPr="00042ADE" w14:paraId="52BF9935" w14:textId="77777777" w:rsidTr="006255F0">
        <w:trPr>
          <w:trHeight w:val="196"/>
        </w:trPr>
        <w:tc>
          <w:tcPr>
            <w:tcW w:w="1797" w:type="dxa"/>
          </w:tcPr>
          <w:p w14:paraId="5E669987" w14:textId="77777777" w:rsidR="00BC12EC" w:rsidRPr="00042ADE" w:rsidRDefault="00BC12EC" w:rsidP="00C709CC">
            <w:pPr>
              <w:pStyle w:val="Tabletitle"/>
              <w:spacing w:line="240" w:lineRule="auto"/>
              <w:rPr>
                <w:sz w:val="22"/>
                <w:szCs w:val="22"/>
              </w:rPr>
            </w:pPr>
          </w:p>
        </w:tc>
        <w:tc>
          <w:tcPr>
            <w:tcW w:w="1481" w:type="dxa"/>
          </w:tcPr>
          <w:p w14:paraId="211CB5A6" w14:textId="77777777" w:rsidR="00BC12EC" w:rsidRPr="00042ADE" w:rsidRDefault="00BC12EC" w:rsidP="00C709CC">
            <w:pPr>
              <w:pStyle w:val="Tabletitle"/>
              <w:spacing w:line="240" w:lineRule="auto"/>
              <w:jc w:val="center"/>
              <w:rPr>
                <w:b/>
                <w:sz w:val="22"/>
                <w:szCs w:val="22"/>
              </w:rPr>
            </w:pPr>
          </w:p>
        </w:tc>
        <w:tc>
          <w:tcPr>
            <w:tcW w:w="629" w:type="dxa"/>
          </w:tcPr>
          <w:p w14:paraId="65717778"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D013273" w14:textId="77777777" w:rsidR="00BC12EC" w:rsidRPr="00042ADE" w:rsidRDefault="00BC12EC" w:rsidP="00C709CC">
            <w:pPr>
              <w:pStyle w:val="Tabletitle"/>
              <w:spacing w:line="240" w:lineRule="auto"/>
              <w:jc w:val="center"/>
              <w:rPr>
                <w:sz w:val="22"/>
                <w:szCs w:val="22"/>
              </w:rPr>
            </w:pPr>
            <w:r w:rsidRPr="00042ADE">
              <w:rPr>
                <w:sz w:val="22"/>
                <w:szCs w:val="22"/>
              </w:rPr>
              <w:t>-0.380</w:t>
            </w:r>
          </w:p>
        </w:tc>
        <w:tc>
          <w:tcPr>
            <w:tcW w:w="1843" w:type="dxa"/>
          </w:tcPr>
          <w:p w14:paraId="41F94948" w14:textId="77777777" w:rsidR="00BC12EC" w:rsidRPr="00042ADE" w:rsidRDefault="00BC12EC" w:rsidP="00C709CC">
            <w:pPr>
              <w:pStyle w:val="Tabletitle"/>
              <w:spacing w:line="240" w:lineRule="auto"/>
              <w:jc w:val="center"/>
              <w:rPr>
                <w:sz w:val="22"/>
                <w:szCs w:val="22"/>
              </w:rPr>
            </w:pPr>
            <w:r w:rsidRPr="00042ADE">
              <w:rPr>
                <w:sz w:val="22"/>
                <w:szCs w:val="22"/>
              </w:rPr>
              <w:t>(-4.702, 3.942)</w:t>
            </w:r>
          </w:p>
        </w:tc>
        <w:tc>
          <w:tcPr>
            <w:tcW w:w="992" w:type="dxa"/>
          </w:tcPr>
          <w:p w14:paraId="137D3164" w14:textId="77777777" w:rsidR="00BC12EC" w:rsidRPr="00042ADE" w:rsidRDefault="00BC12EC" w:rsidP="00C709CC">
            <w:pPr>
              <w:pStyle w:val="Tabletitle"/>
              <w:spacing w:line="240" w:lineRule="auto"/>
              <w:jc w:val="center"/>
              <w:rPr>
                <w:sz w:val="22"/>
                <w:szCs w:val="22"/>
              </w:rPr>
            </w:pPr>
            <w:r w:rsidRPr="00042ADE">
              <w:rPr>
                <w:sz w:val="22"/>
                <w:szCs w:val="22"/>
              </w:rPr>
              <w:t>0.860</w:t>
            </w:r>
          </w:p>
        </w:tc>
        <w:tc>
          <w:tcPr>
            <w:tcW w:w="992" w:type="dxa"/>
          </w:tcPr>
          <w:p w14:paraId="44DC81D3" w14:textId="77777777" w:rsidR="00BC12EC" w:rsidRPr="00042ADE" w:rsidRDefault="00BC12EC" w:rsidP="00C709CC">
            <w:pPr>
              <w:pStyle w:val="Tabletitle"/>
              <w:spacing w:line="240" w:lineRule="auto"/>
              <w:jc w:val="center"/>
              <w:rPr>
                <w:sz w:val="22"/>
                <w:szCs w:val="22"/>
              </w:rPr>
            </w:pPr>
            <w:r w:rsidRPr="00042ADE">
              <w:rPr>
                <w:sz w:val="22"/>
                <w:szCs w:val="22"/>
              </w:rPr>
              <w:t>-0.930</w:t>
            </w:r>
          </w:p>
        </w:tc>
        <w:tc>
          <w:tcPr>
            <w:tcW w:w="1701" w:type="dxa"/>
          </w:tcPr>
          <w:p w14:paraId="5A6D53D7" w14:textId="77777777" w:rsidR="00BC12EC" w:rsidRPr="00042ADE" w:rsidRDefault="00BC12EC" w:rsidP="00C709CC">
            <w:pPr>
              <w:pStyle w:val="Tabletitle"/>
              <w:spacing w:line="240" w:lineRule="auto"/>
              <w:jc w:val="center"/>
              <w:rPr>
                <w:sz w:val="22"/>
                <w:szCs w:val="22"/>
              </w:rPr>
            </w:pPr>
            <w:r w:rsidRPr="00042ADE">
              <w:rPr>
                <w:sz w:val="22"/>
                <w:szCs w:val="22"/>
              </w:rPr>
              <w:t>(-3.251, 1.390)</w:t>
            </w:r>
          </w:p>
        </w:tc>
        <w:tc>
          <w:tcPr>
            <w:tcW w:w="993" w:type="dxa"/>
          </w:tcPr>
          <w:p w14:paraId="2F36574B" w14:textId="77777777" w:rsidR="00BC12EC" w:rsidRPr="00042ADE" w:rsidRDefault="00BC12EC" w:rsidP="00C709CC">
            <w:pPr>
              <w:pStyle w:val="Tabletitle"/>
              <w:spacing w:line="240" w:lineRule="auto"/>
              <w:jc w:val="center"/>
              <w:rPr>
                <w:sz w:val="22"/>
                <w:szCs w:val="22"/>
              </w:rPr>
            </w:pPr>
            <w:r w:rsidRPr="00042ADE">
              <w:rPr>
                <w:sz w:val="22"/>
                <w:szCs w:val="22"/>
              </w:rPr>
              <w:t>0.424</w:t>
            </w:r>
          </w:p>
        </w:tc>
      </w:tr>
      <w:tr w:rsidR="00BC12EC" w:rsidRPr="00042ADE" w14:paraId="555983EA" w14:textId="77777777" w:rsidTr="006255F0">
        <w:trPr>
          <w:trHeight w:val="196"/>
        </w:trPr>
        <w:tc>
          <w:tcPr>
            <w:tcW w:w="1797" w:type="dxa"/>
          </w:tcPr>
          <w:p w14:paraId="1B65729A" w14:textId="77777777" w:rsidR="00BC12EC" w:rsidRPr="00042ADE" w:rsidRDefault="00BC12EC" w:rsidP="00C709CC">
            <w:pPr>
              <w:pStyle w:val="Tabletitle"/>
              <w:spacing w:line="240" w:lineRule="auto"/>
              <w:rPr>
                <w:sz w:val="22"/>
                <w:szCs w:val="22"/>
              </w:rPr>
            </w:pPr>
          </w:p>
        </w:tc>
        <w:tc>
          <w:tcPr>
            <w:tcW w:w="1481" w:type="dxa"/>
          </w:tcPr>
          <w:p w14:paraId="1DEA4A73"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4036E2B6"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14A43E28" w14:textId="77777777" w:rsidR="00BC12EC" w:rsidRPr="00042ADE" w:rsidRDefault="00BC12EC" w:rsidP="00C709CC">
            <w:pPr>
              <w:pStyle w:val="Tabletitle"/>
              <w:spacing w:line="240" w:lineRule="auto"/>
              <w:jc w:val="center"/>
              <w:rPr>
                <w:sz w:val="22"/>
                <w:szCs w:val="22"/>
              </w:rPr>
            </w:pPr>
            <w:r w:rsidRPr="00042ADE">
              <w:rPr>
                <w:sz w:val="22"/>
                <w:szCs w:val="22"/>
              </w:rPr>
              <w:t>3.318</w:t>
            </w:r>
          </w:p>
        </w:tc>
        <w:tc>
          <w:tcPr>
            <w:tcW w:w="1843" w:type="dxa"/>
          </w:tcPr>
          <w:p w14:paraId="7BF1366E" w14:textId="77777777" w:rsidR="00BC12EC" w:rsidRPr="00042ADE" w:rsidRDefault="00BC12EC" w:rsidP="00C709CC">
            <w:pPr>
              <w:pStyle w:val="Tabletitle"/>
              <w:spacing w:line="240" w:lineRule="auto"/>
              <w:jc w:val="center"/>
              <w:rPr>
                <w:sz w:val="22"/>
                <w:szCs w:val="22"/>
              </w:rPr>
            </w:pPr>
            <w:r w:rsidRPr="00042ADE">
              <w:rPr>
                <w:sz w:val="22"/>
                <w:szCs w:val="22"/>
              </w:rPr>
              <w:t>(-6.904, 13.541)</w:t>
            </w:r>
          </w:p>
        </w:tc>
        <w:tc>
          <w:tcPr>
            <w:tcW w:w="992" w:type="dxa"/>
          </w:tcPr>
          <w:p w14:paraId="6FC2191D" w14:textId="77777777" w:rsidR="00BC12EC" w:rsidRPr="00042ADE" w:rsidRDefault="00BC12EC" w:rsidP="00C709CC">
            <w:pPr>
              <w:pStyle w:val="Tabletitle"/>
              <w:spacing w:line="240" w:lineRule="auto"/>
              <w:jc w:val="center"/>
              <w:rPr>
                <w:sz w:val="22"/>
                <w:szCs w:val="22"/>
              </w:rPr>
            </w:pPr>
            <w:r w:rsidRPr="00042ADE">
              <w:rPr>
                <w:sz w:val="22"/>
                <w:szCs w:val="22"/>
              </w:rPr>
              <w:t>0.515</w:t>
            </w:r>
          </w:p>
        </w:tc>
        <w:tc>
          <w:tcPr>
            <w:tcW w:w="992" w:type="dxa"/>
          </w:tcPr>
          <w:p w14:paraId="044A50D2" w14:textId="77777777" w:rsidR="00BC12EC" w:rsidRPr="00042ADE" w:rsidRDefault="00BC12EC" w:rsidP="00C709CC">
            <w:pPr>
              <w:pStyle w:val="Tabletitle"/>
              <w:spacing w:line="240" w:lineRule="auto"/>
              <w:jc w:val="center"/>
              <w:rPr>
                <w:sz w:val="22"/>
                <w:szCs w:val="22"/>
              </w:rPr>
            </w:pPr>
            <w:r w:rsidRPr="00042ADE">
              <w:rPr>
                <w:sz w:val="22"/>
                <w:szCs w:val="22"/>
              </w:rPr>
              <w:t>-0.318</w:t>
            </w:r>
          </w:p>
        </w:tc>
        <w:tc>
          <w:tcPr>
            <w:tcW w:w="1701" w:type="dxa"/>
          </w:tcPr>
          <w:p w14:paraId="320B2F54" w14:textId="77777777" w:rsidR="00BC12EC" w:rsidRPr="00042ADE" w:rsidRDefault="00BC12EC" w:rsidP="00C709CC">
            <w:pPr>
              <w:pStyle w:val="Tabletitle"/>
              <w:spacing w:line="240" w:lineRule="auto"/>
              <w:jc w:val="center"/>
              <w:rPr>
                <w:sz w:val="22"/>
                <w:szCs w:val="22"/>
              </w:rPr>
            </w:pPr>
            <w:r w:rsidRPr="00042ADE">
              <w:rPr>
                <w:sz w:val="22"/>
                <w:szCs w:val="22"/>
              </w:rPr>
              <w:t>(-2.168, 1.532)</w:t>
            </w:r>
          </w:p>
        </w:tc>
        <w:tc>
          <w:tcPr>
            <w:tcW w:w="993" w:type="dxa"/>
          </w:tcPr>
          <w:p w14:paraId="72237557" w14:textId="77777777" w:rsidR="00BC12EC" w:rsidRPr="00042ADE" w:rsidRDefault="00BC12EC" w:rsidP="00C709CC">
            <w:pPr>
              <w:pStyle w:val="Tabletitle"/>
              <w:spacing w:line="240" w:lineRule="auto"/>
              <w:jc w:val="center"/>
              <w:rPr>
                <w:sz w:val="22"/>
                <w:szCs w:val="22"/>
              </w:rPr>
            </w:pPr>
            <w:r w:rsidRPr="00042ADE">
              <w:rPr>
                <w:sz w:val="22"/>
                <w:szCs w:val="22"/>
              </w:rPr>
              <w:t>0.731</w:t>
            </w:r>
          </w:p>
        </w:tc>
      </w:tr>
      <w:tr w:rsidR="00BC12EC" w:rsidRPr="00042ADE" w14:paraId="498446CE" w14:textId="77777777" w:rsidTr="006255F0">
        <w:trPr>
          <w:trHeight w:val="196"/>
        </w:trPr>
        <w:tc>
          <w:tcPr>
            <w:tcW w:w="1797" w:type="dxa"/>
          </w:tcPr>
          <w:p w14:paraId="662684D8" w14:textId="77777777" w:rsidR="00BC12EC" w:rsidRPr="00042ADE" w:rsidRDefault="00BC12EC" w:rsidP="00C709CC">
            <w:pPr>
              <w:pStyle w:val="Tabletitle"/>
              <w:spacing w:line="240" w:lineRule="auto"/>
              <w:rPr>
                <w:sz w:val="22"/>
                <w:szCs w:val="22"/>
              </w:rPr>
            </w:pPr>
          </w:p>
        </w:tc>
        <w:tc>
          <w:tcPr>
            <w:tcW w:w="1481" w:type="dxa"/>
          </w:tcPr>
          <w:p w14:paraId="6EC32E54" w14:textId="77777777" w:rsidR="00BC12EC" w:rsidRPr="00042ADE" w:rsidRDefault="00BC12EC" w:rsidP="00C709CC">
            <w:pPr>
              <w:pStyle w:val="Tabletitle"/>
              <w:spacing w:line="240" w:lineRule="auto"/>
              <w:jc w:val="center"/>
              <w:rPr>
                <w:b/>
                <w:sz w:val="22"/>
                <w:szCs w:val="22"/>
              </w:rPr>
            </w:pPr>
          </w:p>
        </w:tc>
        <w:tc>
          <w:tcPr>
            <w:tcW w:w="629" w:type="dxa"/>
          </w:tcPr>
          <w:p w14:paraId="50D540E1"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2026D507" w14:textId="77777777" w:rsidR="00BC12EC" w:rsidRPr="00042ADE" w:rsidRDefault="00BC12EC" w:rsidP="00C709CC">
            <w:pPr>
              <w:pStyle w:val="Tabletitle"/>
              <w:spacing w:line="240" w:lineRule="auto"/>
              <w:jc w:val="center"/>
              <w:rPr>
                <w:sz w:val="22"/>
                <w:szCs w:val="22"/>
              </w:rPr>
            </w:pPr>
            <w:r w:rsidRPr="00042ADE">
              <w:rPr>
                <w:sz w:val="22"/>
                <w:szCs w:val="22"/>
              </w:rPr>
              <w:t>-0.081</w:t>
            </w:r>
          </w:p>
        </w:tc>
        <w:tc>
          <w:tcPr>
            <w:tcW w:w="1843" w:type="dxa"/>
          </w:tcPr>
          <w:p w14:paraId="0CC7267E" w14:textId="77777777" w:rsidR="00BC12EC" w:rsidRPr="00042ADE" w:rsidRDefault="00BC12EC" w:rsidP="00C709CC">
            <w:pPr>
              <w:pStyle w:val="Tabletitle"/>
              <w:spacing w:line="240" w:lineRule="auto"/>
              <w:jc w:val="center"/>
              <w:rPr>
                <w:sz w:val="22"/>
                <w:szCs w:val="22"/>
              </w:rPr>
            </w:pPr>
            <w:r w:rsidRPr="00042ADE">
              <w:rPr>
                <w:sz w:val="22"/>
                <w:szCs w:val="22"/>
              </w:rPr>
              <w:t>(-9.090, 8.928)</w:t>
            </w:r>
          </w:p>
        </w:tc>
        <w:tc>
          <w:tcPr>
            <w:tcW w:w="992" w:type="dxa"/>
          </w:tcPr>
          <w:p w14:paraId="4F1C650C" w14:textId="77777777" w:rsidR="00BC12EC" w:rsidRPr="00042ADE" w:rsidRDefault="00BC12EC" w:rsidP="00C709CC">
            <w:pPr>
              <w:pStyle w:val="Tabletitle"/>
              <w:spacing w:line="240" w:lineRule="auto"/>
              <w:jc w:val="center"/>
              <w:rPr>
                <w:sz w:val="22"/>
                <w:szCs w:val="22"/>
              </w:rPr>
            </w:pPr>
            <w:r w:rsidRPr="00042ADE">
              <w:rPr>
                <w:sz w:val="22"/>
                <w:szCs w:val="22"/>
              </w:rPr>
              <w:t>0.986</w:t>
            </w:r>
          </w:p>
        </w:tc>
        <w:tc>
          <w:tcPr>
            <w:tcW w:w="992" w:type="dxa"/>
          </w:tcPr>
          <w:p w14:paraId="0F5D5CD2" w14:textId="77777777" w:rsidR="00BC12EC" w:rsidRPr="00042ADE" w:rsidRDefault="00BC12EC" w:rsidP="00C709CC">
            <w:pPr>
              <w:pStyle w:val="Tabletitle"/>
              <w:spacing w:line="240" w:lineRule="auto"/>
              <w:jc w:val="center"/>
              <w:rPr>
                <w:sz w:val="22"/>
                <w:szCs w:val="22"/>
              </w:rPr>
            </w:pPr>
            <w:r w:rsidRPr="00042ADE">
              <w:rPr>
                <w:sz w:val="22"/>
                <w:szCs w:val="22"/>
              </w:rPr>
              <w:t>-1.107</w:t>
            </w:r>
          </w:p>
        </w:tc>
        <w:tc>
          <w:tcPr>
            <w:tcW w:w="1701" w:type="dxa"/>
          </w:tcPr>
          <w:p w14:paraId="0BBEA781" w14:textId="77777777" w:rsidR="00BC12EC" w:rsidRPr="00042ADE" w:rsidRDefault="00BC12EC" w:rsidP="00C709CC">
            <w:pPr>
              <w:pStyle w:val="Tabletitle"/>
              <w:spacing w:line="240" w:lineRule="auto"/>
              <w:jc w:val="center"/>
              <w:rPr>
                <w:sz w:val="22"/>
                <w:szCs w:val="22"/>
              </w:rPr>
            </w:pPr>
            <w:r w:rsidRPr="00042ADE">
              <w:rPr>
                <w:sz w:val="22"/>
                <w:szCs w:val="22"/>
              </w:rPr>
              <w:t>(-3.073, 0.860)</w:t>
            </w:r>
          </w:p>
        </w:tc>
        <w:tc>
          <w:tcPr>
            <w:tcW w:w="993" w:type="dxa"/>
          </w:tcPr>
          <w:p w14:paraId="2C2CB0B8" w14:textId="77777777" w:rsidR="00BC12EC" w:rsidRPr="00042ADE" w:rsidRDefault="00BC12EC" w:rsidP="00C709CC">
            <w:pPr>
              <w:pStyle w:val="Tabletitle"/>
              <w:spacing w:line="240" w:lineRule="auto"/>
              <w:jc w:val="center"/>
              <w:rPr>
                <w:sz w:val="22"/>
                <w:szCs w:val="22"/>
              </w:rPr>
            </w:pPr>
            <w:r w:rsidRPr="00042ADE">
              <w:rPr>
                <w:sz w:val="22"/>
                <w:szCs w:val="22"/>
              </w:rPr>
              <w:t>0.263</w:t>
            </w:r>
          </w:p>
        </w:tc>
      </w:tr>
      <w:tr w:rsidR="00BC12EC" w:rsidRPr="00042ADE" w14:paraId="5D4D9E35" w14:textId="77777777" w:rsidTr="006255F0">
        <w:trPr>
          <w:trHeight w:val="196"/>
        </w:trPr>
        <w:tc>
          <w:tcPr>
            <w:tcW w:w="1797" w:type="dxa"/>
          </w:tcPr>
          <w:p w14:paraId="729D1D02" w14:textId="77777777" w:rsidR="00BC12EC" w:rsidRPr="00042ADE" w:rsidRDefault="00BC12EC" w:rsidP="00C709CC">
            <w:pPr>
              <w:pStyle w:val="Tabletitle"/>
              <w:spacing w:line="240" w:lineRule="auto"/>
              <w:rPr>
                <w:sz w:val="22"/>
                <w:szCs w:val="22"/>
              </w:rPr>
            </w:pPr>
          </w:p>
        </w:tc>
        <w:tc>
          <w:tcPr>
            <w:tcW w:w="1481" w:type="dxa"/>
          </w:tcPr>
          <w:p w14:paraId="106EBD35"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035D47E4"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C9B9AB2" w14:textId="77777777" w:rsidR="00BC12EC" w:rsidRPr="00042ADE" w:rsidRDefault="00BC12EC" w:rsidP="00C709CC">
            <w:pPr>
              <w:pStyle w:val="Tabletitle"/>
              <w:spacing w:line="240" w:lineRule="auto"/>
              <w:jc w:val="center"/>
              <w:rPr>
                <w:sz w:val="22"/>
                <w:szCs w:val="22"/>
              </w:rPr>
            </w:pPr>
            <w:r w:rsidRPr="00042ADE">
              <w:rPr>
                <w:sz w:val="22"/>
                <w:szCs w:val="22"/>
              </w:rPr>
              <w:t>3.295</w:t>
            </w:r>
          </w:p>
        </w:tc>
        <w:tc>
          <w:tcPr>
            <w:tcW w:w="1843" w:type="dxa"/>
          </w:tcPr>
          <w:p w14:paraId="688A6039" w14:textId="77777777" w:rsidR="00BC12EC" w:rsidRPr="00042ADE" w:rsidRDefault="00BC12EC" w:rsidP="00C709CC">
            <w:pPr>
              <w:pStyle w:val="Tabletitle"/>
              <w:spacing w:line="240" w:lineRule="auto"/>
              <w:jc w:val="center"/>
              <w:rPr>
                <w:sz w:val="22"/>
                <w:szCs w:val="22"/>
              </w:rPr>
            </w:pPr>
            <w:r w:rsidRPr="00042ADE">
              <w:rPr>
                <w:sz w:val="22"/>
                <w:szCs w:val="22"/>
              </w:rPr>
              <w:t>(-6.200, 12.791)</w:t>
            </w:r>
          </w:p>
        </w:tc>
        <w:tc>
          <w:tcPr>
            <w:tcW w:w="992" w:type="dxa"/>
          </w:tcPr>
          <w:p w14:paraId="1F9A6870" w14:textId="77777777" w:rsidR="00BC12EC" w:rsidRPr="00042ADE" w:rsidRDefault="00BC12EC" w:rsidP="00C709CC">
            <w:pPr>
              <w:pStyle w:val="Tabletitle"/>
              <w:spacing w:line="240" w:lineRule="auto"/>
              <w:jc w:val="center"/>
              <w:rPr>
                <w:sz w:val="22"/>
                <w:szCs w:val="22"/>
              </w:rPr>
            </w:pPr>
            <w:r w:rsidRPr="00042ADE">
              <w:rPr>
                <w:sz w:val="22"/>
                <w:szCs w:val="22"/>
              </w:rPr>
              <w:t>0.486</w:t>
            </w:r>
          </w:p>
        </w:tc>
        <w:tc>
          <w:tcPr>
            <w:tcW w:w="992" w:type="dxa"/>
          </w:tcPr>
          <w:p w14:paraId="01A56297" w14:textId="77777777" w:rsidR="00BC12EC" w:rsidRPr="00042ADE" w:rsidRDefault="00BC12EC" w:rsidP="00C709CC">
            <w:pPr>
              <w:pStyle w:val="Tabletitle"/>
              <w:spacing w:line="240" w:lineRule="auto"/>
              <w:jc w:val="center"/>
              <w:rPr>
                <w:sz w:val="22"/>
                <w:szCs w:val="22"/>
              </w:rPr>
            </w:pPr>
            <w:r w:rsidRPr="00042ADE">
              <w:rPr>
                <w:sz w:val="22"/>
                <w:szCs w:val="22"/>
              </w:rPr>
              <w:t>-3.301</w:t>
            </w:r>
          </w:p>
        </w:tc>
        <w:tc>
          <w:tcPr>
            <w:tcW w:w="1701" w:type="dxa"/>
          </w:tcPr>
          <w:p w14:paraId="40C3DC6C" w14:textId="77777777" w:rsidR="00BC12EC" w:rsidRPr="00042ADE" w:rsidRDefault="00BC12EC" w:rsidP="00C709CC">
            <w:pPr>
              <w:pStyle w:val="Tabletitle"/>
              <w:spacing w:line="240" w:lineRule="auto"/>
              <w:jc w:val="center"/>
              <w:rPr>
                <w:sz w:val="22"/>
                <w:szCs w:val="22"/>
              </w:rPr>
            </w:pPr>
            <w:r w:rsidRPr="00042ADE">
              <w:rPr>
                <w:sz w:val="22"/>
                <w:szCs w:val="22"/>
              </w:rPr>
              <w:t>(-7.185, 0.583)</w:t>
            </w:r>
          </w:p>
        </w:tc>
        <w:tc>
          <w:tcPr>
            <w:tcW w:w="993" w:type="dxa"/>
          </w:tcPr>
          <w:p w14:paraId="34EC0376" w14:textId="77777777" w:rsidR="00BC12EC" w:rsidRPr="00042ADE" w:rsidRDefault="00BC12EC" w:rsidP="00C709CC">
            <w:pPr>
              <w:pStyle w:val="Tabletitle"/>
              <w:spacing w:line="240" w:lineRule="auto"/>
              <w:jc w:val="center"/>
              <w:rPr>
                <w:sz w:val="22"/>
                <w:szCs w:val="22"/>
              </w:rPr>
            </w:pPr>
            <w:r w:rsidRPr="00042ADE">
              <w:rPr>
                <w:sz w:val="22"/>
                <w:szCs w:val="22"/>
              </w:rPr>
              <w:t>0.094</w:t>
            </w:r>
          </w:p>
        </w:tc>
      </w:tr>
      <w:tr w:rsidR="00BC12EC" w:rsidRPr="00042ADE" w14:paraId="768A86D2" w14:textId="77777777" w:rsidTr="006255F0">
        <w:trPr>
          <w:trHeight w:val="196"/>
        </w:trPr>
        <w:tc>
          <w:tcPr>
            <w:tcW w:w="1797" w:type="dxa"/>
          </w:tcPr>
          <w:p w14:paraId="05BB3704" w14:textId="77777777" w:rsidR="00BC12EC" w:rsidRPr="00042ADE" w:rsidRDefault="00BC12EC" w:rsidP="00C709CC">
            <w:pPr>
              <w:pStyle w:val="Tabletitle"/>
              <w:spacing w:line="240" w:lineRule="auto"/>
              <w:rPr>
                <w:sz w:val="22"/>
                <w:szCs w:val="22"/>
              </w:rPr>
            </w:pPr>
          </w:p>
        </w:tc>
        <w:tc>
          <w:tcPr>
            <w:tcW w:w="1481" w:type="dxa"/>
          </w:tcPr>
          <w:p w14:paraId="7A3A4D2C" w14:textId="77777777" w:rsidR="00BC12EC" w:rsidRPr="00042ADE" w:rsidRDefault="00BC12EC" w:rsidP="00C709CC">
            <w:pPr>
              <w:pStyle w:val="Tabletitle"/>
              <w:spacing w:line="240" w:lineRule="auto"/>
              <w:jc w:val="center"/>
              <w:rPr>
                <w:b/>
                <w:sz w:val="22"/>
                <w:szCs w:val="22"/>
              </w:rPr>
            </w:pPr>
          </w:p>
        </w:tc>
        <w:tc>
          <w:tcPr>
            <w:tcW w:w="629" w:type="dxa"/>
          </w:tcPr>
          <w:p w14:paraId="29AF7E15"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C84B116" w14:textId="77777777" w:rsidR="00BC12EC" w:rsidRPr="00042ADE" w:rsidRDefault="00BC12EC" w:rsidP="00C709CC">
            <w:pPr>
              <w:pStyle w:val="Tabletitle"/>
              <w:spacing w:line="240" w:lineRule="auto"/>
              <w:jc w:val="center"/>
              <w:rPr>
                <w:sz w:val="22"/>
                <w:szCs w:val="22"/>
              </w:rPr>
            </w:pPr>
            <w:r w:rsidRPr="00042ADE">
              <w:rPr>
                <w:sz w:val="22"/>
                <w:szCs w:val="22"/>
              </w:rPr>
              <w:t>3.559</w:t>
            </w:r>
          </w:p>
        </w:tc>
        <w:tc>
          <w:tcPr>
            <w:tcW w:w="1843" w:type="dxa"/>
          </w:tcPr>
          <w:p w14:paraId="198A8172" w14:textId="77777777" w:rsidR="00BC12EC" w:rsidRPr="00042ADE" w:rsidRDefault="00BC12EC" w:rsidP="00C709CC">
            <w:pPr>
              <w:pStyle w:val="Tabletitle"/>
              <w:spacing w:line="240" w:lineRule="auto"/>
              <w:jc w:val="center"/>
              <w:rPr>
                <w:sz w:val="22"/>
                <w:szCs w:val="22"/>
              </w:rPr>
            </w:pPr>
            <w:r w:rsidRPr="00042ADE">
              <w:rPr>
                <w:sz w:val="22"/>
                <w:szCs w:val="22"/>
              </w:rPr>
              <w:t>(-5.381, 12.500)</w:t>
            </w:r>
          </w:p>
        </w:tc>
        <w:tc>
          <w:tcPr>
            <w:tcW w:w="992" w:type="dxa"/>
          </w:tcPr>
          <w:p w14:paraId="7194ADD4" w14:textId="77777777" w:rsidR="00BC12EC" w:rsidRPr="00042ADE" w:rsidRDefault="00BC12EC" w:rsidP="00C709CC">
            <w:pPr>
              <w:pStyle w:val="Tabletitle"/>
              <w:spacing w:line="240" w:lineRule="auto"/>
              <w:jc w:val="center"/>
              <w:rPr>
                <w:sz w:val="22"/>
                <w:szCs w:val="22"/>
              </w:rPr>
            </w:pPr>
            <w:r w:rsidRPr="00042ADE">
              <w:rPr>
                <w:sz w:val="22"/>
                <w:szCs w:val="22"/>
              </w:rPr>
              <w:t>0.425</w:t>
            </w:r>
          </w:p>
        </w:tc>
        <w:tc>
          <w:tcPr>
            <w:tcW w:w="992" w:type="dxa"/>
          </w:tcPr>
          <w:p w14:paraId="6FDD9FCA" w14:textId="77777777" w:rsidR="00BC12EC" w:rsidRPr="00042ADE" w:rsidRDefault="00BC12EC" w:rsidP="00C709CC">
            <w:pPr>
              <w:pStyle w:val="Tabletitle"/>
              <w:spacing w:line="240" w:lineRule="auto"/>
              <w:jc w:val="center"/>
              <w:rPr>
                <w:sz w:val="22"/>
                <w:szCs w:val="22"/>
              </w:rPr>
            </w:pPr>
            <w:r w:rsidRPr="00042ADE">
              <w:rPr>
                <w:sz w:val="22"/>
                <w:szCs w:val="22"/>
              </w:rPr>
              <w:t>-2.386</w:t>
            </w:r>
          </w:p>
        </w:tc>
        <w:tc>
          <w:tcPr>
            <w:tcW w:w="1701" w:type="dxa"/>
          </w:tcPr>
          <w:p w14:paraId="2447F94D" w14:textId="77777777" w:rsidR="00BC12EC" w:rsidRPr="00042ADE" w:rsidRDefault="00BC12EC" w:rsidP="00C709CC">
            <w:pPr>
              <w:pStyle w:val="Tabletitle"/>
              <w:spacing w:line="240" w:lineRule="auto"/>
              <w:jc w:val="center"/>
              <w:rPr>
                <w:sz w:val="22"/>
                <w:szCs w:val="22"/>
              </w:rPr>
            </w:pPr>
            <w:r w:rsidRPr="00042ADE">
              <w:rPr>
                <w:sz w:val="22"/>
                <w:szCs w:val="22"/>
              </w:rPr>
              <w:t>(-6.744, 1.972)</w:t>
            </w:r>
          </w:p>
        </w:tc>
        <w:tc>
          <w:tcPr>
            <w:tcW w:w="993" w:type="dxa"/>
          </w:tcPr>
          <w:p w14:paraId="7833CE9E" w14:textId="77777777" w:rsidR="00BC12EC" w:rsidRPr="00042ADE" w:rsidRDefault="00BC12EC" w:rsidP="00C709CC">
            <w:pPr>
              <w:pStyle w:val="Tabletitle"/>
              <w:spacing w:line="240" w:lineRule="auto"/>
              <w:jc w:val="center"/>
              <w:rPr>
                <w:sz w:val="22"/>
                <w:szCs w:val="22"/>
              </w:rPr>
            </w:pPr>
            <w:r w:rsidRPr="00042ADE">
              <w:rPr>
                <w:sz w:val="22"/>
                <w:szCs w:val="22"/>
              </w:rPr>
              <w:t>0.276</w:t>
            </w:r>
          </w:p>
        </w:tc>
      </w:tr>
      <w:tr w:rsidR="00BC12EC" w:rsidRPr="00042ADE" w14:paraId="6DE927FE" w14:textId="77777777" w:rsidTr="006255F0">
        <w:trPr>
          <w:trHeight w:val="196"/>
        </w:trPr>
        <w:tc>
          <w:tcPr>
            <w:tcW w:w="1797" w:type="dxa"/>
          </w:tcPr>
          <w:p w14:paraId="3B631735" w14:textId="77777777" w:rsidR="00BC12EC" w:rsidRPr="00042ADE" w:rsidRDefault="00BC12EC" w:rsidP="00C709CC">
            <w:pPr>
              <w:pStyle w:val="Tabletitle"/>
              <w:spacing w:line="240" w:lineRule="auto"/>
              <w:rPr>
                <w:sz w:val="22"/>
                <w:szCs w:val="22"/>
              </w:rPr>
            </w:pPr>
            <w:r w:rsidRPr="00042ADE">
              <w:rPr>
                <w:b/>
                <w:sz w:val="22"/>
                <w:szCs w:val="22"/>
              </w:rPr>
              <w:t>Dorsal Centre</w:t>
            </w:r>
          </w:p>
        </w:tc>
        <w:tc>
          <w:tcPr>
            <w:tcW w:w="1481" w:type="dxa"/>
          </w:tcPr>
          <w:p w14:paraId="637E1BE7"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780149FA"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47FEC96" w14:textId="77777777" w:rsidR="00BC12EC" w:rsidRPr="00042ADE" w:rsidRDefault="00BC12EC" w:rsidP="00C709CC">
            <w:pPr>
              <w:pStyle w:val="Tabletitle"/>
              <w:spacing w:line="240" w:lineRule="auto"/>
              <w:jc w:val="center"/>
              <w:rPr>
                <w:sz w:val="22"/>
                <w:szCs w:val="22"/>
              </w:rPr>
            </w:pPr>
            <w:r w:rsidRPr="00042ADE">
              <w:rPr>
                <w:sz w:val="22"/>
                <w:szCs w:val="22"/>
              </w:rPr>
              <w:t>1.334</w:t>
            </w:r>
          </w:p>
        </w:tc>
        <w:tc>
          <w:tcPr>
            <w:tcW w:w="1843" w:type="dxa"/>
          </w:tcPr>
          <w:p w14:paraId="1AA41E92" w14:textId="77777777" w:rsidR="00BC12EC" w:rsidRPr="00042ADE" w:rsidRDefault="00BC12EC" w:rsidP="00C709CC">
            <w:pPr>
              <w:pStyle w:val="Tabletitle"/>
              <w:spacing w:line="240" w:lineRule="auto"/>
              <w:jc w:val="center"/>
              <w:rPr>
                <w:sz w:val="22"/>
                <w:szCs w:val="22"/>
              </w:rPr>
            </w:pPr>
            <w:r w:rsidRPr="00042ADE">
              <w:rPr>
                <w:sz w:val="22"/>
                <w:szCs w:val="22"/>
              </w:rPr>
              <w:t>(-5.942, 8.611)</w:t>
            </w:r>
          </w:p>
        </w:tc>
        <w:tc>
          <w:tcPr>
            <w:tcW w:w="992" w:type="dxa"/>
          </w:tcPr>
          <w:p w14:paraId="253585FB" w14:textId="77777777" w:rsidR="00BC12EC" w:rsidRPr="00042ADE" w:rsidRDefault="00BC12EC" w:rsidP="00C709CC">
            <w:pPr>
              <w:pStyle w:val="Tabletitle"/>
              <w:spacing w:line="240" w:lineRule="auto"/>
              <w:jc w:val="center"/>
              <w:rPr>
                <w:sz w:val="22"/>
                <w:szCs w:val="22"/>
              </w:rPr>
            </w:pPr>
            <w:r w:rsidRPr="00042ADE">
              <w:rPr>
                <w:sz w:val="22"/>
                <w:szCs w:val="22"/>
              </w:rPr>
              <w:t>0.712</w:t>
            </w:r>
          </w:p>
        </w:tc>
        <w:tc>
          <w:tcPr>
            <w:tcW w:w="992" w:type="dxa"/>
          </w:tcPr>
          <w:p w14:paraId="1161B7D7" w14:textId="77777777" w:rsidR="00BC12EC" w:rsidRPr="00042ADE" w:rsidRDefault="00BC12EC" w:rsidP="00C709CC">
            <w:pPr>
              <w:pStyle w:val="Tabletitle"/>
              <w:spacing w:line="240" w:lineRule="auto"/>
              <w:jc w:val="center"/>
              <w:rPr>
                <w:sz w:val="22"/>
                <w:szCs w:val="22"/>
              </w:rPr>
            </w:pPr>
            <w:r w:rsidRPr="00042ADE">
              <w:rPr>
                <w:sz w:val="22"/>
                <w:szCs w:val="22"/>
              </w:rPr>
              <w:t>-3.501</w:t>
            </w:r>
          </w:p>
        </w:tc>
        <w:tc>
          <w:tcPr>
            <w:tcW w:w="1701" w:type="dxa"/>
          </w:tcPr>
          <w:p w14:paraId="6CD67BC9" w14:textId="77777777" w:rsidR="00BC12EC" w:rsidRPr="00042ADE" w:rsidRDefault="00BC12EC" w:rsidP="00C709CC">
            <w:pPr>
              <w:pStyle w:val="Tabletitle"/>
              <w:spacing w:line="240" w:lineRule="auto"/>
              <w:jc w:val="center"/>
              <w:rPr>
                <w:sz w:val="22"/>
                <w:szCs w:val="22"/>
              </w:rPr>
            </w:pPr>
            <w:r w:rsidRPr="00042ADE">
              <w:rPr>
                <w:sz w:val="22"/>
                <w:szCs w:val="22"/>
              </w:rPr>
              <w:t>(-6.805, -0.198)</w:t>
            </w:r>
          </w:p>
        </w:tc>
        <w:tc>
          <w:tcPr>
            <w:tcW w:w="993" w:type="dxa"/>
          </w:tcPr>
          <w:p w14:paraId="7B57AF33" w14:textId="77777777" w:rsidR="00BC12EC" w:rsidRPr="00042ADE" w:rsidRDefault="00BC12EC" w:rsidP="00C709CC">
            <w:pPr>
              <w:pStyle w:val="Tabletitle"/>
              <w:spacing w:line="240" w:lineRule="auto"/>
              <w:jc w:val="center"/>
              <w:rPr>
                <w:sz w:val="22"/>
                <w:szCs w:val="22"/>
              </w:rPr>
            </w:pPr>
            <w:r w:rsidRPr="00042ADE">
              <w:rPr>
                <w:sz w:val="22"/>
                <w:szCs w:val="22"/>
              </w:rPr>
              <w:t>0.038</w:t>
            </w:r>
            <w:r w:rsidRPr="00042ADE">
              <w:rPr>
                <w:sz w:val="22"/>
                <w:szCs w:val="22"/>
                <w:vertAlign w:val="superscript"/>
              </w:rPr>
              <w:t>*</w:t>
            </w:r>
          </w:p>
        </w:tc>
      </w:tr>
      <w:tr w:rsidR="00BC12EC" w:rsidRPr="00042ADE" w14:paraId="29535685" w14:textId="77777777" w:rsidTr="006255F0">
        <w:trPr>
          <w:trHeight w:val="196"/>
        </w:trPr>
        <w:tc>
          <w:tcPr>
            <w:tcW w:w="1797" w:type="dxa"/>
          </w:tcPr>
          <w:p w14:paraId="24B02DD7" w14:textId="77777777" w:rsidR="00BC12EC" w:rsidRPr="00042ADE" w:rsidRDefault="00BC12EC" w:rsidP="00C709CC">
            <w:pPr>
              <w:pStyle w:val="Tabletitle"/>
              <w:spacing w:line="240" w:lineRule="auto"/>
              <w:rPr>
                <w:sz w:val="22"/>
                <w:szCs w:val="22"/>
              </w:rPr>
            </w:pPr>
          </w:p>
        </w:tc>
        <w:tc>
          <w:tcPr>
            <w:tcW w:w="1481" w:type="dxa"/>
          </w:tcPr>
          <w:p w14:paraId="15DB609B" w14:textId="77777777" w:rsidR="00BC12EC" w:rsidRPr="00042ADE" w:rsidRDefault="00BC12EC" w:rsidP="00C709CC">
            <w:pPr>
              <w:pStyle w:val="Tabletitle"/>
              <w:spacing w:line="240" w:lineRule="auto"/>
              <w:jc w:val="center"/>
              <w:rPr>
                <w:b/>
                <w:sz w:val="22"/>
                <w:szCs w:val="22"/>
              </w:rPr>
            </w:pPr>
          </w:p>
        </w:tc>
        <w:tc>
          <w:tcPr>
            <w:tcW w:w="629" w:type="dxa"/>
          </w:tcPr>
          <w:p w14:paraId="1C15E96F"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0FA919F9" w14:textId="77777777" w:rsidR="00BC12EC" w:rsidRPr="00042ADE" w:rsidRDefault="00BC12EC" w:rsidP="00C709CC">
            <w:pPr>
              <w:pStyle w:val="Tabletitle"/>
              <w:spacing w:line="240" w:lineRule="auto"/>
              <w:jc w:val="center"/>
              <w:rPr>
                <w:sz w:val="22"/>
                <w:szCs w:val="22"/>
              </w:rPr>
            </w:pPr>
            <w:r w:rsidRPr="00042ADE">
              <w:rPr>
                <w:sz w:val="22"/>
                <w:szCs w:val="22"/>
              </w:rPr>
              <w:t>1.875</w:t>
            </w:r>
          </w:p>
        </w:tc>
        <w:tc>
          <w:tcPr>
            <w:tcW w:w="1843" w:type="dxa"/>
          </w:tcPr>
          <w:p w14:paraId="65562658" w14:textId="77777777" w:rsidR="00BC12EC" w:rsidRPr="00042ADE" w:rsidRDefault="00BC12EC" w:rsidP="00C709CC">
            <w:pPr>
              <w:pStyle w:val="Tabletitle"/>
              <w:spacing w:line="240" w:lineRule="auto"/>
              <w:jc w:val="center"/>
              <w:rPr>
                <w:sz w:val="22"/>
                <w:szCs w:val="22"/>
              </w:rPr>
            </w:pPr>
            <w:r w:rsidRPr="00042ADE">
              <w:rPr>
                <w:sz w:val="22"/>
                <w:szCs w:val="22"/>
              </w:rPr>
              <w:t>(-5.507, 9.257)</w:t>
            </w:r>
          </w:p>
        </w:tc>
        <w:tc>
          <w:tcPr>
            <w:tcW w:w="992" w:type="dxa"/>
          </w:tcPr>
          <w:p w14:paraId="3509E359" w14:textId="77777777" w:rsidR="00BC12EC" w:rsidRPr="00042ADE" w:rsidRDefault="00BC12EC" w:rsidP="00C709CC">
            <w:pPr>
              <w:pStyle w:val="Tabletitle"/>
              <w:spacing w:line="240" w:lineRule="auto"/>
              <w:jc w:val="center"/>
              <w:rPr>
                <w:sz w:val="22"/>
                <w:szCs w:val="22"/>
              </w:rPr>
            </w:pPr>
            <w:r w:rsidRPr="00042ADE">
              <w:rPr>
                <w:sz w:val="22"/>
                <w:szCs w:val="22"/>
              </w:rPr>
              <w:t>0.610</w:t>
            </w:r>
          </w:p>
        </w:tc>
        <w:tc>
          <w:tcPr>
            <w:tcW w:w="992" w:type="dxa"/>
          </w:tcPr>
          <w:p w14:paraId="57639DF4" w14:textId="77777777" w:rsidR="00BC12EC" w:rsidRPr="00042ADE" w:rsidRDefault="00BC12EC" w:rsidP="00C709CC">
            <w:pPr>
              <w:pStyle w:val="Tabletitle"/>
              <w:spacing w:line="240" w:lineRule="auto"/>
              <w:jc w:val="center"/>
              <w:rPr>
                <w:sz w:val="22"/>
                <w:szCs w:val="22"/>
              </w:rPr>
            </w:pPr>
            <w:r w:rsidRPr="00042ADE">
              <w:rPr>
                <w:sz w:val="22"/>
                <w:szCs w:val="22"/>
              </w:rPr>
              <w:t>-2.881</w:t>
            </w:r>
          </w:p>
        </w:tc>
        <w:tc>
          <w:tcPr>
            <w:tcW w:w="1701" w:type="dxa"/>
          </w:tcPr>
          <w:p w14:paraId="23AF8491" w14:textId="77777777" w:rsidR="00BC12EC" w:rsidRPr="00042ADE" w:rsidRDefault="00BC12EC" w:rsidP="00C709CC">
            <w:pPr>
              <w:pStyle w:val="Tabletitle"/>
              <w:spacing w:line="240" w:lineRule="auto"/>
              <w:jc w:val="center"/>
              <w:rPr>
                <w:sz w:val="22"/>
                <w:szCs w:val="22"/>
              </w:rPr>
            </w:pPr>
            <w:r w:rsidRPr="00042ADE">
              <w:rPr>
                <w:sz w:val="22"/>
                <w:szCs w:val="22"/>
              </w:rPr>
              <w:t>(-6.561, 0.799)</w:t>
            </w:r>
          </w:p>
        </w:tc>
        <w:tc>
          <w:tcPr>
            <w:tcW w:w="993" w:type="dxa"/>
          </w:tcPr>
          <w:p w14:paraId="1F7D69DF" w14:textId="77777777" w:rsidR="00BC12EC" w:rsidRPr="00042ADE" w:rsidRDefault="00BC12EC" w:rsidP="00C709CC">
            <w:pPr>
              <w:pStyle w:val="Tabletitle"/>
              <w:spacing w:line="240" w:lineRule="auto"/>
              <w:jc w:val="center"/>
              <w:rPr>
                <w:sz w:val="22"/>
                <w:szCs w:val="22"/>
              </w:rPr>
            </w:pPr>
            <w:r w:rsidRPr="00042ADE">
              <w:rPr>
                <w:sz w:val="22"/>
                <w:szCs w:val="22"/>
              </w:rPr>
              <w:t>0.122</w:t>
            </w:r>
          </w:p>
        </w:tc>
      </w:tr>
      <w:tr w:rsidR="00BC12EC" w:rsidRPr="00042ADE" w14:paraId="398E9FA7" w14:textId="77777777" w:rsidTr="006255F0">
        <w:trPr>
          <w:trHeight w:val="196"/>
        </w:trPr>
        <w:tc>
          <w:tcPr>
            <w:tcW w:w="1797" w:type="dxa"/>
          </w:tcPr>
          <w:p w14:paraId="7D2B033B" w14:textId="77777777" w:rsidR="00BC12EC" w:rsidRPr="00042ADE" w:rsidRDefault="00BC12EC" w:rsidP="00C709CC">
            <w:pPr>
              <w:pStyle w:val="Tabletitle"/>
              <w:spacing w:line="240" w:lineRule="auto"/>
              <w:rPr>
                <w:sz w:val="22"/>
                <w:szCs w:val="22"/>
              </w:rPr>
            </w:pPr>
          </w:p>
        </w:tc>
        <w:tc>
          <w:tcPr>
            <w:tcW w:w="1481" w:type="dxa"/>
          </w:tcPr>
          <w:p w14:paraId="7627E33E"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7345C89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72E426B" w14:textId="77777777" w:rsidR="00BC12EC" w:rsidRPr="00042ADE" w:rsidRDefault="00BC12EC" w:rsidP="00C709CC">
            <w:pPr>
              <w:pStyle w:val="Tabletitle"/>
              <w:spacing w:line="240" w:lineRule="auto"/>
              <w:jc w:val="center"/>
              <w:rPr>
                <w:sz w:val="22"/>
                <w:szCs w:val="22"/>
              </w:rPr>
            </w:pPr>
            <w:r w:rsidRPr="00042ADE">
              <w:rPr>
                <w:sz w:val="22"/>
                <w:szCs w:val="22"/>
              </w:rPr>
              <w:t>1.350</w:t>
            </w:r>
          </w:p>
        </w:tc>
        <w:tc>
          <w:tcPr>
            <w:tcW w:w="1843" w:type="dxa"/>
          </w:tcPr>
          <w:p w14:paraId="24B6E7CD" w14:textId="77777777" w:rsidR="00BC12EC" w:rsidRPr="00042ADE" w:rsidRDefault="00BC12EC" w:rsidP="00C709CC">
            <w:pPr>
              <w:pStyle w:val="Tabletitle"/>
              <w:spacing w:line="240" w:lineRule="auto"/>
              <w:jc w:val="center"/>
              <w:rPr>
                <w:sz w:val="22"/>
                <w:szCs w:val="22"/>
              </w:rPr>
            </w:pPr>
            <w:r w:rsidRPr="00042ADE">
              <w:rPr>
                <w:sz w:val="22"/>
                <w:szCs w:val="22"/>
              </w:rPr>
              <w:t>(-6.876, 9.577)</w:t>
            </w:r>
          </w:p>
        </w:tc>
        <w:tc>
          <w:tcPr>
            <w:tcW w:w="992" w:type="dxa"/>
          </w:tcPr>
          <w:p w14:paraId="17E770A7" w14:textId="77777777" w:rsidR="00BC12EC" w:rsidRPr="00042ADE" w:rsidRDefault="00BC12EC" w:rsidP="00C709CC">
            <w:pPr>
              <w:pStyle w:val="Tabletitle"/>
              <w:spacing w:line="240" w:lineRule="auto"/>
              <w:jc w:val="center"/>
              <w:rPr>
                <w:sz w:val="22"/>
                <w:szCs w:val="22"/>
              </w:rPr>
            </w:pPr>
            <w:r w:rsidRPr="00042ADE">
              <w:rPr>
                <w:sz w:val="22"/>
                <w:szCs w:val="22"/>
              </w:rPr>
              <w:t>0.741</w:t>
            </w:r>
          </w:p>
        </w:tc>
        <w:tc>
          <w:tcPr>
            <w:tcW w:w="992" w:type="dxa"/>
          </w:tcPr>
          <w:p w14:paraId="24D96D98" w14:textId="77777777" w:rsidR="00BC12EC" w:rsidRPr="00042ADE" w:rsidRDefault="00BC12EC" w:rsidP="00C709CC">
            <w:pPr>
              <w:pStyle w:val="Tabletitle"/>
              <w:spacing w:line="240" w:lineRule="auto"/>
              <w:jc w:val="center"/>
              <w:rPr>
                <w:sz w:val="22"/>
                <w:szCs w:val="22"/>
              </w:rPr>
            </w:pPr>
            <w:r w:rsidRPr="00042ADE">
              <w:rPr>
                <w:sz w:val="22"/>
                <w:szCs w:val="22"/>
              </w:rPr>
              <w:t>-3.405</w:t>
            </w:r>
          </w:p>
        </w:tc>
        <w:tc>
          <w:tcPr>
            <w:tcW w:w="1701" w:type="dxa"/>
          </w:tcPr>
          <w:p w14:paraId="444E192A" w14:textId="77777777" w:rsidR="00BC12EC" w:rsidRPr="00042ADE" w:rsidRDefault="00BC12EC" w:rsidP="00C709CC">
            <w:pPr>
              <w:pStyle w:val="Tabletitle"/>
              <w:spacing w:line="240" w:lineRule="auto"/>
              <w:jc w:val="center"/>
              <w:rPr>
                <w:sz w:val="22"/>
                <w:szCs w:val="22"/>
              </w:rPr>
            </w:pPr>
            <w:r w:rsidRPr="00042ADE">
              <w:rPr>
                <w:sz w:val="22"/>
                <w:szCs w:val="22"/>
              </w:rPr>
              <w:t>(-7.028, 0.219)</w:t>
            </w:r>
          </w:p>
        </w:tc>
        <w:tc>
          <w:tcPr>
            <w:tcW w:w="993" w:type="dxa"/>
          </w:tcPr>
          <w:p w14:paraId="03283BE6" w14:textId="77777777" w:rsidR="00BC12EC" w:rsidRPr="00042ADE" w:rsidRDefault="00BC12EC" w:rsidP="00C709CC">
            <w:pPr>
              <w:pStyle w:val="Tabletitle"/>
              <w:spacing w:line="240" w:lineRule="auto"/>
              <w:jc w:val="center"/>
              <w:rPr>
                <w:sz w:val="22"/>
                <w:szCs w:val="22"/>
              </w:rPr>
            </w:pPr>
            <w:r w:rsidRPr="00042ADE">
              <w:rPr>
                <w:sz w:val="22"/>
                <w:szCs w:val="22"/>
              </w:rPr>
              <w:t>0.065</w:t>
            </w:r>
          </w:p>
        </w:tc>
      </w:tr>
      <w:tr w:rsidR="00BC12EC" w:rsidRPr="00042ADE" w14:paraId="3488B783" w14:textId="77777777" w:rsidTr="006255F0">
        <w:trPr>
          <w:trHeight w:val="196"/>
        </w:trPr>
        <w:tc>
          <w:tcPr>
            <w:tcW w:w="1797" w:type="dxa"/>
            <w:tcBorders>
              <w:bottom w:val="single" w:sz="4" w:space="0" w:color="auto"/>
            </w:tcBorders>
          </w:tcPr>
          <w:p w14:paraId="2F8F8CE2"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311C81F6"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2DB2754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Borders>
              <w:bottom w:val="single" w:sz="4" w:space="0" w:color="auto"/>
            </w:tcBorders>
          </w:tcPr>
          <w:p w14:paraId="32495C57" w14:textId="77777777" w:rsidR="00BC12EC" w:rsidRPr="00042ADE" w:rsidRDefault="00BC12EC" w:rsidP="00C709CC">
            <w:pPr>
              <w:pStyle w:val="Tabletitle"/>
              <w:spacing w:line="240" w:lineRule="auto"/>
              <w:jc w:val="center"/>
              <w:rPr>
                <w:sz w:val="22"/>
                <w:szCs w:val="22"/>
              </w:rPr>
            </w:pPr>
            <w:r w:rsidRPr="00042ADE">
              <w:rPr>
                <w:sz w:val="22"/>
                <w:szCs w:val="22"/>
              </w:rPr>
              <w:t>2.645</w:t>
            </w:r>
          </w:p>
        </w:tc>
        <w:tc>
          <w:tcPr>
            <w:tcW w:w="1843" w:type="dxa"/>
            <w:tcBorders>
              <w:bottom w:val="single" w:sz="4" w:space="0" w:color="auto"/>
            </w:tcBorders>
          </w:tcPr>
          <w:p w14:paraId="436836A5" w14:textId="77777777" w:rsidR="00BC12EC" w:rsidRPr="00042ADE" w:rsidRDefault="00BC12EC" w:rsidP="00C709CC">
            <w:pPr>
              <w:pStyle w:val="Tabletitle"/>
              <w:spacing w:line="240" w:lineRule="auto"/>
              <w:jc w:val="center"/>
              <w:rPr>
                <w:sz w:val="22"/>
                <w:szCs w:val="22"/>
              </w:rPr>
            </w:pPr>
            <w:r w:rsidRPr="00042ADE">
              <w:rPr>
                <w:sz w:val="22"/>
                <w:szCs w:val="22"/>
              </w:rPr>
              <w:t>(-5.327, 10.618)</w:t>
            </w:r>
          </w:p>
        </w:tc>
        <w:tc>
          <w:tcPr>
            <w:tcW w:w="992" w:type="dxa"/>
            <w:tcBorders>
              <w:bottom w:val="single" w:sz="4" w:space="0" w:color="auto"/>
            </w:tcBorders>
          </w:tcPr>
          <w:p w14:paraId="100524E5" w14:textId="77777777" w:rsidR="00BC12EC" w:rsidRPr="00042ADE" w:rsidRDefault="00BC12EC" w:rsidP="00C709CC">
            <w:pPr>
              <w:pStyle w:val="Tabletitle"/>
              <w:spacing w:line="240" w:lineRule="auto"/>
              <w:jc w:val="center"/>
              <w:rPr>
                <w:sz w:val="22"/>
                <w:szCs w:val="22"/>
              </w:rPr>
            </w:pPr>
            <w:r w:rsidRPr="00042ADE">
              <w:rPr>
                <w:sz w:val="22"/>
                <w:szCs w:val="22"/>
              </w:rPr>
              <w:t>0.506</w:t>
            </w:r>
          </w:p>
        </w:tc>
        <w:tc>
          <w:tcPr>
            <w:tcW w:w="992" w:type="dxa"/>
            <w:tcBorders>
              <w:bottom w:val="single" w:sz="4" w:space="0" w:color="auto"/>
            </w:tcBorders>
          </w:tcPr>
          <w:p w14:paraId="30652D93" w14:textId="77777777" w:rsidR="00BC12EC" w:rsidRPr="00042ADE" w:rsidRDefault="00BC12EC" w:rsidP="00C709CC">
            <w:pPr>
              <w:pStyle w:val="Tabletitle"/>
              <w:spacing w:line="240" w:lineRule="auto"/>
              <w:jc w:val="center"/>
              <w:rPr>
                <w:sz w:val="22"/>
                <w:szCs w:val="22"/>
              </w:rPr>
            </w:pPr>
            <w:r w:rsidRPr="00042ADE">
              <w:rPr>
                <w:sz w:val="22"/>
                <w:szCs w:val="22"/>
              </w:rPr>
              <w:t>-2.898</w:t>
            </w:r>
          </w:p>
        </w:tc>
        <w:tc>
          <w:tcPr>
            <w:tcW w:w="1701" w:type="dxa"/>
            <w:tcBorders>
              <w:bottom w:val="single" w:sz="4" w:space="0" w:color="auto"/>
            </w:tcBorders>
          </w:tcPr>
          <w:p w14:paraId="349225B6" w14:textId="77777777" w:rsidR="00BC12EC" w:rsidRPr="00042ADE" w:rsidRDefault="00BC12EC" w:rsidP="00C709CC">
            <w:pPr>
              <w:pStyle w:val="Tabletitle"/>
              <w:spacing w:line="240" w:lineRule="auto"/>
              <w:jc w:val="center"/>
              <w:rPr>
                <w:sz w:val="22"/>
                <w:szCs w:val="22"/>
              </w:rPr>
            </w:pPr>
            <w:r w:rsidRPr="00042ADE">
              <w:rPr>
                <w:sz w:val="22"/>
                <w:szCs w:val="22"/>
              </w:rPr>
              <w:t>(-7.031, 1.235)</w:t>
            </w:r>
          </w:p>
        </w:tc>
        <w:tc>
          <w:tcPr>
            <w:tcW w:w="993" w:type="dxa"/>
            <w:tcBorders>
              <w:bottom w:val="single" w:sz="4" w:space="0" w:color="auto"/>
            </w:tcBorders>
          </w:tcPr>
          <w:p w14:paraId="65BD91A1" w14:textId="77777777" w:rsidR="00BC12EC" w:rsidRPr="00042ADE" w:rsidRDefault="00BC12EC" w:rsidP="00C709CC">
            <w:pPr>
              <w:pStyle w:val="Tabletitle"/>
              <w:spacing w:line="240" w:lineRule="auto"/>
              <w:jc w:val="center"/>
              <w:rPr>
                <w:sz w:val="22"/>
                <w:szCs w:val="22"/>
              </w:rPr>
            </w:pPr>
            <w:r w:rsidRPr="00042ADE">
              <w:rPr>
                <w:sz w:val="22"/>
                <w:szCs w:val="22"/>
              </w:rPr>
              <w:t>0.165</w:t>
            </w:r>
          </w:p>
        </w:tc>
      </w:tr>
    </w:tbl>
    <w:p w14:paraId="7BF4F740" w14:textId="77777777" w:rsidR="00BC12EC" w:rsidRPr="00042ADE" w:rsidRDefault="00BC12EC" w:rsidP="00BC12EC">
      <w:pPr>
        <w:spacing w:line="360" w:lineRule="auto"/>
        <w:jc w:val="both"/>
        <w:rPr>
          <w:rFonts w:ascii="Times New Roman" w:hAnsi="Times New Roman"/>
          <w:sz w:val="24"/>
          <w:szCs w:val="24"/>
          <w:lang w:val="en-GB"/>
        </w:rPr>
      </w:pPr>
    </w:p>
    <w:p w14:paraId="7FBE4A35" w14:textId="77777777" w:rsidR="00BC12EC" w:rsidRPr="00042ADE" w:rsidRDefault="00BC12EC" w:rsidP="00BC12EC">
      <w:pPr>
        <w:rPr>
          <w:rFonts w:ascii="Times New Roman" w:hAnsi="Times New Roman"/>
          <w:sz w:val="24"/>
          <w:szCs w:val="24"/>
          <w:lang w:val="en-GB"/>
        </w:rPr>
      </w:pPr>
      <w:r w:rsidRPr="00042ADE">
        <w:rPr>
          <w:rFonts w:ascii="Times New Roman" w:hAnsi="Times New Roman"/>
          <w:sz w:val="24"/>
          <w:szCs w:val="24"/>
          <w:lang w:val="en-GB"/>
        </w:rPr>
        <w:br w:type="page"/>
      </w:r>
    </w:p>
    <w:p w14:paraId="4231CC1D" w14:textId="77777777" w:rsidR="00BC12EC" w:rsidRPr="00042ADE" w:rsidRDefault="00BC12EC" w:rsidP="00BC12EC">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lastRenderedPageBreak/>
        <w:t>(Continued) Table 2</w:t>
      </w:r>
      <w:r w:rsidRPr="00042ADE">
        <w:rPr>
          <w:rFonts w:ascii="Times New Roman" w:hAnsi="Times New Roman"/>
          <w:sz w:val="24"/>
          <w:szCs w:val="24"/>
          <w:lang w:val="en-US"/>
        </w:rPr>
        <w:t xml:space="preserve">. </w:t>
      </w:r>
      <w:r w:rsidR="001450CD" w:rsidRPr="00042ADE">
        <w:rPr>
          <w:rFonts w:ascii="Times New Roman" w:hAnsi="Times New Roman"/>
          <w:sz w:val="24"/>
          <w:szCs w:val="24"/>
          <w:lang w:val="en-US"/>
        </w:rPr>
        <w:t xml:space="preserve">Associations between nitric oxide (NOx) levels and temperature of dorsal site of both hands </w:t>
      </w:r>
      <w:r w:rsidR="001450CD" w:rsidRPr="00042ADE">
        <w:rPr>
          <w:rFonts w:ascii="Times New Roman" w:hAnsi="Times New Roman"/>
          <w:sz w:val="24"/>
          <w:szCs w:val="24"/>
          <w:lang w:val="en-GB"/>
        </w:rPr>
        <w:t>among cases (women with FMS) and controls (healthy women).</w:t>
      </w:r>
    </w:p>
    <w:tbl>
      <w:tblPr>
        <w:tblStyle w:val="Tablaconcuadrcula"/>
        <w:tblW w:w="11199" w:type="dxa"/>
        <w:tblInd w:w="-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481"/>
        <w:gridCol w:w="629"/>
        <w:gridCol w:w="912"/>
        <w:gridCol w:w="1843"/>
        <w:gridCol w:w="992"/>
        <w:gridCol w:w="992"/>
        <w:gridCol w:w="1701"/>
        <w:gridCol w:w="993"/>
      </w:tblGrid>
      <w:tr w:rsidR="00BC12EC" w:rsidRPr="00042ADE" w14:paraId="49EB150E" w14:textId="77777777" w:rsidTr="00ED52BF">
        <w:trPr>
          <w:trHeight w:val="516"/>
        </w:trPr>
        <w:tc>
          <w:tcPr>
            <w:tcW w:w="1656" w:type="dxa"/>
            <w:tcBorders>
              <w:top w:val="single" w:sz="4" w:space="0" w:color="auto"/>
            </w:tcBorders>
          </w:tcPr>
          <w:p w14:paraId="0B704DEE"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6E6A4B52" w14:textId="77777777" w:rsidR="00BC12EC" w:rsidRPr="00042ADE" w:rsidRDefault="00BC12EC" w:rsidP="00C709CC">
            <w:pPr>
              <w:pStyle w:val="Tabletitle"/>
              <w:spacing w:line="240" w:lineRule="auto"/>
              <w:rPr>
                <w:b/>
                <w:sz w:val="22"/>
                <w:szCs w:val="22"/>
              </w:rPr>
            </w:pPr>
          </w:p>
        </w:tc>
        <w:tc>
          <w:tcPr>
            <w:tcW w:w="629" w:type="dxa"/>
            <w:tcBorders>
              <w:top w:val="single" w:sz="4" w:space="0" w:color="auto"/>
            </w:tcBorders>
          </w:tcPr>
          <w:p w14:paraId="7ED87AE7" w14:textId="77777777" w:rsidR="00BC12EC" w:rsidRPr="00042ADE" w:rsidRDefault="00BC12EC" w:rsidP="00C709CC">
            <w:pPr>
              <w:pStyle w:val="Tabletitle"/>
              <w:spacing w:line="240" w:lineRule="auto"/>
              <w:rPr>
                <w:b/>
                <w:sz w:val="22"/>
                <w:szCs w:val="22"/>
              </w:rPr>
            </w:pPr>
          </w:p>
        </w:tc>
        <w:tc>
          <w:tcPr>
            <w:tcW w:w="2755" w:type="dxa"/>
            <w:gridSpan w:val="2"/>
            <w:tcBorders>
              <w:top w:val="single" w:sz="4" w:space="0" w:color="auto"/>
              <w:bottom w:val="single" w:sz="4" w:space="0" w:color="auto"/>
            </w:tcBorders>
            <w:hideMark/>
          </w:tcPr>
          <w:p w14:paraId="51EFE255" w14:textId="77777777" w:rsidR="00BC12EC" w:rsidRPr="00042ADE" w:rsidRDefault="00BC12EC" w:rsidP="00C709CC">
            <w:pPr>
              <w:pStyle w:val="Tabletitle"/>
              <w:spacing w:line="240" w:lineRule="auto"/>
              <w:rPr>
                <w:b/>
                <w:sz w:val="22"/>
                <w:szCs w:val="22"/>
              </w:rPr>
            </w:pPr>
          </w:p>
        </w:tc>
        <w:tc>
          <w:tcPr>
            <w:tcW w:w="1984" w:type="dxa"/>
            <w:gridSpan w:val="2"/>
            <w:tcBorders>
              <w:top w:val="single" w:sz="4" w:space="0" w:color="auto"/>
              <w:bottom w:val="single" w:sz="4" w:space="0" w:color="auto"/>
            </w:tcBorders>
          </w:tcPr>
          <w:p w14:paraId="7ACABECD" w14:textId="77777777" w:rsidR="00BC12EC" w:rsidRPr="00042ADE" w:rsidRDefault="00BC12EC" w:rsidP="00C709CC">
            <w:pPr>
              <w:pStyle w:val="Tabletitle"/>
              <w:spacing w:line="240" w:lineRule="auto"/>
              <w:jc w:val="center"/>
              <w:rPr>
                <w:b/>
                <w:sz w:val="22"/>
                <w:szCs w:val="22"/>
              </w:rPr>
            </w:pPr>
            <w:r w:rsidRPr="00042ADE">
              <w:rPr>
                <w:b/>
                <w:sz w:val="22"/>
                <w:szCs w:val="22"/>
              </w:rPr>
              <w:t>NOx Levels</w:t>
            </w:r>
          </w:p>
        </w:tc>
        <w:tc>
          <w:tcPr>
            <w:tcW w:w="1701" w:type="dxa"/>
            <w:tcBorders>
              <w:top w:val="single" w:sz="4" w:space="0" w:color="auto"/>
              <w:bottom w:val="single" w:sz="4" w:space="0" w:color="auto"/>
            </w:tcBorders>
          </w:tcPr>
          <w:p w14:paraId="4F06BC34" w14:textId="77777777" w:rsidR="00BC12EC" w:rsidRPr="00042ADE" w:rsidRDefault="00BC12EC" w:rsidP="00C709CC">
            <w:pPr>
              <w:pStyle w:val="Tabletitle"/>
              <w:spacing w:line="240" w:lineRule="auto"/>
              <w:rPr>
                <w:b/>
                <w:sz w:val="22"/>
                <w:szCs w:val="22"/>
              </w:rPr>
            </w:pPr>
          </w:p>
        </w:tc>
        <w:tc>
          <w:tcPr>
            <w:tcW w:w="993" w:type="dxa"/>
            <w:tcBorders>
              <w:top w:val="single" w:sz="4" w:space="0" w:color="auto"/>
              <w:bottom w:val="single" w:sz="4" w:space="0" w:color="auto"/>
            </w:tcBorders>
          </w:tcPr>
          <w:p w14:paraId="506EE8F0" w14:textId="77777777" w:rsidR="00BC12EC" w:rsidRPr="00042ADE" w:rsidRDefault="00BC12EC" w:rsidP="00C709CC">
            <w:pPr>
              <w:pStyle w:val="Tabletitle"/>
              <w:spacing w:line="240" w:lineRule="auto"/>
              <w:rPr>
                <w:b/>
                <w:sz w:val="22"/>
                <w:szCs w:val="22"/>
              </w:rPr>
            </w:pPr>
          </w:p>
        </w:tc>
      </w:tr>
      <w:tr w:rsidR="00BC12EC" w:rsidRPr="00042ADE" w14:paraId="2C6481D8" w14:textId="77777777" w:rsidTr="00ED52BF">
        <w:trPr>
          <w:trHeight w:val="236"/>
        </w:trPr>
        <w:tc>
          <w:tcPr>
            <w:tcW w:w="1656" w:type="dxa"/>
          </w:tcPr>
          <w:p w14:paraId="5A939A11" w14:textId="77777777" w:rsidR="00BC12EC" w:rsidRPr="00042ADE" w:rsidRDefault="00BC12EC" w:rsidP="00C709CC">
            <w:pPr>
              <w:pStyle w:val="Tabletitle"/>
              <w:spacing w:line="240" w:lineRule="auto"/>
              <w:rPr>
                <w:sz w:val="22"/>
                <w:szCs w:val="22"/>
              </w:rPr>
            </w:pPr>
          </w:p>
        </w:tc>
        <w:tc>
          <w:tcPr>
            <w:tcW w:w="1481" w:type="dxa"/>
          </w:tcPr>
          <w:p w14:paraId="6B8A722A" w14:textId="77777777" w:rsidR="00BC12EC" w:rsidRPr="00042ADE" w:rsidRDefault="00BC12EC" w:rsidP="00C709CC">
            <w:pPr>
              <w:pStyle w:val="Tabletitle"/>
              <w:spacing w:line="240" w:lineRule="auto"/>
              <w:jc w:val="center"/>
              <w:rPr>
                <w:b/>
                <w:sz w:val="22"/>
                <w:szCs w:val="22"/>
              </w:rPr>
            </w:pPr>
          </w:p>
        </w:tc>
        <w:tc>
          <w:tcPr>
            <w:tcW w:w="629" w:type="dxa"/>
          </w:tcPr>
          <w:p w14:paraId="394A95FE"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tcPr>
          <w:p w14:paraId="7D68F7ED" w14:textId="77777777" w:rsidR="00BC12EC" w:rsidRPr="00042ADE" w:rsidRDefault="00BC12EC" w:rsidP="00C709CC">
            <w:pPr>
              <w:pStyle w:val="Tabletitle"/>
              <w:spacing w:line="240" w:lineRule="auto"/>
              <w:jc w:val="center"/>
              <w:rPr>
                <w:b/>
                <w:sz w:val="22"/>
                <w:szCs w:val="22"/>
              </w:rPr>
            </w:pPr>
          </w:p>
        </w:tc>
        <w:tc>
          <w:tcPr>
            <w:tcW w:w="2835" w:type="dxa"/>
            <w:gridSpan w:val="2"/>
            <w:tcBorders>
              <w:top w:val="single" w:sz="4" w:space="0" w:color="auto"/>
              <w:bottom w:val="single" w:sz="4" w:space="0" w:color="auto"/>
            </w:tcBorders>
          </w:tcPr>
          <w:p w14:paraId="3EFC4A51" w14:textId="77777777" w:rsidR="00BC12EC" w:rsidRPr="00042ADE" w:rsidRDefault="00BC12EC" w:rsidP="00C709CC">
            <w:pPr>
              <w:pStyle w:val="Tabletitle"/>
              <w:spacing w:line="240" w:lineRule="auto"/>
              <w:jc w:val="center"/>
              <w:rPr>
                <w:b/>
                <w:i/>
                <w:sz w:val="22"/>
                <w:szCs w:val="22"/>
              </w:rPr>
            </w:pPr>
            <w:r w:rsidRPr="00042ADE">
              <w:rPr>
                <w:b/>
                <w:sz w:val="22"/>
                <w:szCs w:val="22"/>
              </w:rPr>
              <w:t>FMS Women (n=42)</w:t>
            </w:r>
          </w:p>
        </w:tc>
        <w:tc>
          <w:tcPr>
            <w:tcW w:w="992" w:type="dxa"/>
            <w:tcBorders>
              <w:top w:val="single" w:sz="4" w:space="0" w:color="auto"/>
              <w:bottom w:val="single" w:sz="4" w:space="0" w:color="auto"/>
            </w:tcBorders>
          </w:tcPr>
          <w:p w14:paraId="6FBBCBC8" w14:textId="77777777" w:rsidR="00BC12EC" w:rsidRPr="00042ADE" w:rsidRDefault="00BC12EC" w:rsidP="00C709CC">
            <w:pPr>
              <w:pStyle w:val="Tabletitle"/>
              <w:spacing w:line="240" w:lineRule="auto"/>
              <w:jc w:val="center"/>
              <w:rPr>
                <w:b/>
                <w:sz w:val="22"/>
                <w:szCs w:val="22"/>
              </w:rPr>
            </w:pPr>
          </w:p>
        </w:tc>
        <w:tc>
          <w:tcPr>
            <w:tcW w:w="2694" w:type="dxa"/>
            <w:gridSpan w:val="2"/>
            <w:tcBorders>
              <w:top w:val="single" w:sz="4" w:space="0" w:color="auto"/>
              <w:bottom w:val="single" w:sz="4" w:space="0" w:color="auto"/>
            </w:tcBorders>
          </w:tcPr>
          <w:p w14:paraId="1285A701" w14:textId="77777777" w:rsidR="00BC12EC" w:rsidRPr="00042ADE" w:rsidRDefault="00BC12EC" w:rsidP="00C709CC">
            <w:pPr>
              <w:pStyle w:val="Tabletitle"/>
              <w:spacing w:line="240" w:lineRule="auto"/>
              <w:jc w:val="center"/>
              <w:rPr>
                <w:b/>
                <w:i/>
                <w:sz w:val="22"/>
                <w:szCs w:val="22"/>
              </w:rPr>
            </w:pPr>
            <w:r w:rsidRPr="00042ADE">
              <w:rPr>
                <w:b/>
                <w:sz w:val="22"/>
                <w:szCs w:val="22"/>
              </w:rPr>
              <w:t>Healthy Women (n=52)</w:t>
            </w:r>
          </w:p>
        </w:tc>
      </w:tr>
      <w:tr w:rsidR="00BC12EC" w:rsidRPr="00042ADE" w14:paraId="79D9A282" w14:textId="77777777" w:rsidTr="00ED52BF">
        <w:trPr>
          <w:trHeight w:val="236"/>
        </w:trPr>
        <w:tc>
          <w:tcPr>
            <w:tcW w:w="1656" w:type="dxa"/>
            <w:tcBorders>
              <w:bottom w:val="single" w:sz="4" w:space="0" w:color="auto"/>
            </w:tcBorders>
          </w:tcPr>
          <w:p w14:paraId="26D602F4"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7B3C090D"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493443B0"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hideMark/>
          </w:tcPr>
          <w:p w14:paraId="75159C76"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43" w:type="dxa"/>
            <w:tcBorders>
              <w:top w:val="single" w:sz="4" w:space="0" w:color="auto"/>
              <w:bottom w:val="single" w:sz="4" w:space="0" w:color="auto"/>
            </w:tcBorders>
            <w:hideMark/>
          </w:tcPr>
          <w:p w14:paraId="59205FCA"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2" w:type="dxa"/>
            <w:tcBorders>
              <w:top w:val="single" w:sz="4" w:space="0" w:color="auto"/>
              <w:bottom w:val="single" w:sz="4" w:space="0" w:color="auto"/>
            </w:tcBorders>
            <w:hideMark/>
          </w:tcPr>
          <w:p w14:paraId="4A07AB37"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c>
          <w:tcPr>
            <w:tcW w:w="992" w:type="dxa"/>
            <w:tcBorders>
              <w:top w:val="single" w:sz="4" w:space="0" w:color="auto"/>
              <w:bottom w:val="single" w:sz="4" w:space="0" w:color="auto"/>
            </w:tcBorders>
          </w:tcPr>
          <w:p w14:paraId="234026DD"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701" w:type="dxa"/>
            <w:tcBorders>
              <w:top w:val="single" w:sz="4" w:space="0" w:color="auto"/>
              <w:bottom w:val="single" w:sz="4" w:space="0" w:color="auto"/>
            </w:tcBorders>
          </w:tcPr>
          <w:p w14:paraId="6F1FA381"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3" w:type="dxa"/>
            <w:tcBorders>
              <w:top w:val="single" w:sz="4" w:space="0" w:color="auto"/>
              <w:bottom w:val="single" w:sz="4" w:space="0" w:color="auto"/>
            </w:tcBorders>
          </w:tcPr>
          <w:p w14:paraId="2BD0870C"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r>
      <w:tr w:rsidR="00BC12EC" w:rsidRPr="00042ADE" w14:paraId="43BBC4F8" w14:textId="77777777" w:rsidTr="00ED52BF">
        <w:trPr>
          <w:trHeight w:val="196"/>
        </w:trPr>
        <w:tc>
          <w:tcPr>
            <w:tcW w:w="1656" w:type="dxa"/>
            <w:tcBorders>
              <w:top w:val="single" w:sz="4" w:space="0" w:color="auto"/>
            </w:tcBorders>
          </w:tcPr>
          <w:p w14:paraId="2D3C5C8C" w14:textId="77777777" w:rsidR="00BC12EC" w:rsidRPr="00042ADE" w:rsidRDefault="00BC12EC" w:rsidP="00C709CC">
            <w:pPr>
              <w:pStyle w:val="Tabletitle"/>
              <w:spacing w:line="240" w:lineRule="auto"/>
              <w:rPr>
                <w:b/>
                <w:sz w:val="22"/>
                <w:szCs w:val="22"/>
              </w:rPr>
            </w:pPr>
            <w:r w:rsidRPr="00042ADE">
              <w:rPr>
                <w:b/>
                <w:sz w:val="22"/>
                <w:szCs w:val="22"/>
              </w:rPr>
              <w:t>Palm site of the hand</w:t>
            </w:r>
          </w:p>
        </w:tc>
        <w:tc>
          <w:tcPr>
            <w:tcW w:w="1481" w:type="dxa"/>
            <w:tcBorders>
              <w:top w:val="single" w:sz="4" w:space="0" w:color="auto"/>
            </w:tcBorders>
          </w:tcPr>
          <w:p w14:paraId="7FB7427E" w14:textId="77777777" w:rsidR="00BC12EC" w:rsidRPr="00042ADE" w:rsidRDefault="00BC12EC" w:rsidP="00C709CC">
            <w:pPr>
              <w:pStyle w:val="Tabletitle"/>
              <w:spacing w:line="240" w:lineRule="auto"/>
              <w:jc w:val="center"/>
              <w:rPr>
                <w:sz w:val="22"/>
                <w:szCs w:val="22"/>
              </w:rPr>
            </w:pPr>
          </w:p>
        </w:tc>
        <w:tc>
          <w:tcPr>
            <w:tcW w:w="629" w:type="dxa"/>
            <w:tcBorders>
              <w:top w:val="single" w:sz="4" w:space="0" w:color="auto"/>
            </w:tcBorders>
          </w:tcPr>
          <w:p w14:paraId="347EE199" w14:textId="77777777" w:rsidR="00BC12EC" w:rsidRPr="00042ADE" w:rsidRDefault="00BC12EC" w:rsidP="00C709CC">
            <w:pPr>
              <w:pStyle w:val="Tabletitle"/>
              <w:spacing w:line="240" w:lineRule="auto"/>
              <w:jc w:val="center"/>
              <w:rPr>
                <w:sz w:val="22"/>
                <w:szCs w:val="22"/>
              </w:rPr>
            </w:pPr>
          </w:p>
        </w:tc>
        <w:tc>
          <w:tcPr>
            <w:tcW w:w="912" w:type="dxa"/>
            <w:tcBorders>
              <w:top w:val="single" w:sz="4" w:space="0" w:color="auto"/>
            </w:tcBorders>
          </w:tcPr>
          <w:p w14:paraId="02A16DF2" w14:textId="77777777" w:rsidR="00BC12EC" w:rsidRPr="00042ADE" w:rsidRDefault="00BC12EC" w:rsidP="00C709CC">
            <w:pPr>
              <w:pStyle w:val="Tabletitle"/>
              <w:spacing w:line="240" w:lineRule="auto"/>
              <w:jc w:val="center"/>
              <w:rPr>
                <w:sz w:val="22"/>
                <w:szCs w:val="22"/>
              </w:rPr>
            </w:pPr>
          </w:p>
        </w:tc>
        <w:tc>
          <w:tcPr>
            <w:tcW w:w="1843" w:type="dxa"/>
            <w:tcBorders>
              <w:top w:val="single" w:sz="4" w:space="0" w:color="auto"/>
            </w:tcBorders>
          </w:tcPr>
          <w:p w14:paraId="06039BB5"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tcBorders>
          </w:tcPr>
          <w:p w14:paraId="53792A79"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tcBorders>
          </w:tcPr>
          <w:p w14:paraId="6A5F4BDF" w14:textId="77777777" w:rsidR="00BC12EC" w:rsidRPr="00042ADE" w:rsidRDefault="00BC12EC" w:rsidP="00C709CC">
            <w:pPr>
              <w:pStyle w:val="Tabletitle"/>
              <w:spacing w:line="240" w:lineRule="auto"/>
              <w:jc w:val="center"/>
              <w:rPr>
                <w:sz w:val="22"/>
                <w:szCs w:val="22"/>
              </w:rPr>
            </w:pPr>
          </w:p>
        </w:tc>
        <w:tc>
          <w:tcPr>
            <w:tcW w:w="1701" w:type="dxa"/>
            <w:tcBorders>
              <w:top w:val="single" w:sz="4" w:space="0" w:color="auto"/>
            </w:tcBorders>
          </w:tcPr>
          <w:p w14:paraId="64EE9874"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tcBorders>
          </w:tcPr>
          <w:p w14:paraId="305B904E" w14:textId="77777777" w:rsidR="00BC12EC" w:rsidRPr="00042ADE" w:rsidRDefault="00BC12EC" w:rsidP="00C709CC">
            <w:pPr>
              <w:pStyle w:val="Tabletitle"/>
              <w:spacing w:line="240" w:lineRule="auto"/>
              <w:jc w:val="center"/>
              <w:rPr>
                <w:sz w:val="22"/>
                <w:szCs w:val="22"/>
              </w:rPr>
            </w:pPr>
          </w:p>
        </w:tc>
      </w:tr>
      <w:tr w:rsidR="00BC12EC" w:rsidRPr="00042ADE" w14:paraId="2C5EADA5" w14:textId="77777777" w:rsidTr="00ED52BF">
        <w:trPr>
          <w:trHeight w:val="196"/>
        </w:trPr>
        <w:tc>
          <w:tcPr>
            <w:tcW w:w="1656" w:type="dxa"/>
          </w:tcPr>
          <w:p w14:paraId="1580469F" w14:textId="77777777" w:rsidR="00BC12EC" w:rsidRPr="00042ADE" w:rsidRDefault="00BC12EC" w:rsidP="00C709CC">
            <w:pPr>
              <w:pStyle w:val="Tabletitle"/>
              <w:spacing w:line="240" w:lineRule="auto"/>
              <w:rPr>
                <w:sz w:val="22"/>
                <w:szCs w:val="22"/>
              </w:rPr>
            </w:pPr>
          </w:p>
        </w:tc>
        <w:tc>
          <w:tcPr>
            <w:tcW w:w="1481" w:type="dxa"/>
          </w:tcPr>
          <w:p w14:paraId="75220425"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3505FD19"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41CB7316" w14:textId="77777777" w:rsidR="00BC12EC" w:rsidRPr="00042ADE" w:rsidRDefault="00BC12EC" w:rsidP="00C709CC">
            <w:pPr>
              <w:pStyle w:val="Tabletitle"/>
              <w:spacing w:line="240" w:lineRule="auto"/>
              <w:jc w:val="center"/>
              <w:rPr>
                <w:sz w:val="22"/>
                <w:szCs w:val="22"/>
              </w:rPr>
            </w:pPr>
            <w:r w:rsidRPr="00042ADE">
              <w:rPr>
                <w:sz w:val="22"/>
                <w:szCs w:val="22"/>
              </w:rPr>
              <w:t>3.004</w:t>
            </w:r>
          </w:p>
        </w:tc>
        <w:tc>
          <w:tcPr>
            <w:tcW w:w="1843" w:type="dxa"/>
          </w:tcPr>
          <w:p w14:paraId="350AE604" w14:textId="77777777" w:rsidR="00BC12EC" w:rsidRPr="00042ADE" w:rsidRDefault="00BC12EC" w:rsidP="00C709CC">
            <w:pPr>
              <w:pStyle w:val="Tabletitle"/>
              <w:spacing w:line="240" w:lineRule="auto"/>
              <w:jc w:val="center"/>
              <w:rPr>
                <w:sz w:val="22"/>
                <w:szCs w:val="22"/>
              </w:rPr>
            </w:pPr>
            <w:r w:rsidRPr="00042ADE">
              <w:rPr>
                <w:sz w:val="22"/>
                <w:szCs w:val="22"/>
              </w:rPr>
              <w:t>(-3.876, 9.883)</w:t>
            </w:r>
          </w:p>
        </w:tc>
        <w:tc>
          <w:tcPr>
            <w:tcW w:w="992" w:type="dxa"/>
          </w:tcPr>
          <w:p w14:paraId="7E26E4D1" w14:textId="77777777" w:rsidR="00BC12EC" w:rsidRPr="00042ADE" w:rsidRDefault="00BC12EC" w:rsidP="00C709CC">
            <w:pPr>
              <w:pStyle w:val="Tabletitle"/>
              <w:spacing w:line="240" w:lineRule="auto"/>
              <w:jc w:val="center"/>
              <w:rPr>
                <w:sz w:val="22"/>
                <w:szCs w:val="22"/>
              </w:rPr>
            </w:pPr>
            <w:r w:rsidRPr="00042ADE">
              <w:rPr>
                <w:sz w:val="22"/>
                <w:szCs w:val="22"/>
              </w:rPr>
              <w:t>0.382</w:t>
            </w:r>
          </w:p>
        </w:tc>
        <w:tc>
          <w:tcPr>
            <w:tcW w:w="992" w:type="dxa"/>
          </w:tcPr>
          <w:p w14:paraId="35251D10" w14:textId="77777777" w:rsidR="00BC12EC" w:rsidRPr="00042ADE" w:rsidRDefault="00BC12EC" w:rsidP="00C709CC">
            <w:pPr>
              <w:pStyle w:val="Tabletitle"/>
              <w:spacing w:line="240" w:lineRule="auto"/>
              <w:jc w:val="center"/>
              <w:rPr>
                <w:sz w:val="22"/>
                <w:szCs w:val="22"/>
              </w:rPr>
            </w:pPr>
            <w:r w:rsidRPr="00042ADE">
              <w:rPr>
                <w:sz w:val="22"/>
                <w:szCs w:val="22"/>
              </w:rPr>
              <w:t>-0.941</w:t>
            </w:r>
          </w:p>
        </w:tc>
        <w:tc>
          <w:tcPr>
            <w:tcW w:w="1701" w:type="dxa"/>
          </w:tcPr>
          <w:p w14:paraId="6BD8C175" w14:textId="77777777" w:rsidR="00BC12EC" w:rsidRPr="00042ADE" w:rsidRDefault="00BC12EC" w:rsidP="00C709CC">
            <w:pPr>
              <w:pStyle w:val="Tabletitle"/>
              <w:spacing w:line="240" w:lineRule="auto"/>
              <w:jc w:val="center"/>
              <w:rPr>
                <w:sz w:val="22"/>
                <w:szCs w:val="22"/>
              </w:rPr>
            </w:pPr>
            <w:r w:rsidRPr="00042ADE">
              <w:rPr>
                <w:sz w:val="22"/>
                <w:szCs w:val="22"/>
              </w:rPr>
              <w:t>(-3.007, 1.124)</w:t>
            </w:r>
          </w:p>
        </w:tc>
        <w:tc>
          <w:tcPr>
            <w:tcW w:w="993" w:type="dxa"/>
          </w:tcPr>
          <w:p w14:paraId="75828CC1" w14:textId="77777777" w:rsidR="00BC12EC" w:rsidRPr="00042ADE" w:rsidRDefault="00BC12EC" w:rsidP="00C709CC">
            <w:pPr>
              <w:pStyle w:val="Tabletitle"/>
              <w:spacing w:line="240" w:lineRule="auto"/>
              <w:jc w:val="center"/>
              <w:rPr>
                <w:sz w:val="22"/>
                <w:szCs w:val="22"/>
              </w:rPr>
            </w:pPr>
            <w:r w:rsidRPr="00042ADE">
              <w:rPr>
                <w:sz w:val="22"/>
                <w:szCs w:val="22"/>
              </w:rPr>
              <w:t>0.364</w:t>
            </w:r>
          </w:p>
        </w:tc>
      </w:tr>
      <w:tr w:rsidR="00BC12EC" w:rsidRPr="00042ADE" w14:paraId="7F345D58" w14:textId="77777777" w:rsidTr="00ED52BF">
        <w:trPr>
          <w:trHeight w:val="196"/>
        </w:trPr>
        <w:tc>
          <w:tcPr>
            <w:tcW w:w="1656" w:type="dxa"/>
          </w:tcPr>
          <w:p w14:paraId="47384B36" w14:textId="77777777" w:rsidR="00BC12EC" w:rsidRPr="00042ADE" w:rsidRDefault="00BC12EC" w:rsidP="00C709CC">
            <w:pPr>
              <w:pStyle w:val="Tabletitle"/>
              <w:spacing w:line="240" w:lineRule="auto"/>
              <w:rPr>
                <w:sz w:val="22"/>
                <w:szCs w:val="22"/>
              </w:rPr>
            </w:pPr>
          </w:p>
        </w:tc>
        <w:tc>
          <w:tcPr>
            <w:tcW w:w="1481" w:type="dxa"/>
          </w:tcPr>
          <w:p w14:paraId="55AA4044" w14:textId="77777777" w:rsidR="00BC12EC" w:rsidRPr="00042ADE" w:rsidRDefault="00BC12EC" w:rsidP="00C709CC">
            <w:pPr>
              <w:pStyle w:val="Tabletitle"/>
              <w:spacing w:line="240" w:lineRule="auto"/>
              <w:jc w:val="center"/>
              <w:rPr>
                <w:b/>
                <w:sz w:val="22"/>
                <w:szCs w:val="22"/>
              </w:rPr>
            </w:pPr>
          </w:p>
        </w:tc>
        <w:tc>
          <w:tcPr>
            <w:tcW w:w="629" w:type="dxa"/>
          </w:tcPr>
          <w:p w14:paraId="7F704EE2"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128F40AC" w14:textId="77777777" w:rsidR="00BC12EC" w:rsidRPr="00042ADE" w:rsidRDefault="00BC12EC" w:rsidP="00C709CC">
            <w:pPr>
              <w:pStyle w:val="Tabletitle"/>
              <w:spacing w:line="240" w:lineRule="auto"/>
              <w:jc w:val="center"/>
              <w:rPr>
                <w:sz w:val="22"/>
                <w:szCs w:val="22"/>
              </w:rPr>
            </w:pPr>
            <w:r w:rsidRPr="00042ADE">
              <w:rPr>
                <w:sz w:val="22"/>
                <w:szCs w:val="22"/>
              </w:rPr>
              <w:t>0.541</w:t>
            </w:r>
          </w:p>
        </w:tc>
        <w:tc>
          <w:tcPr>
            <w:tcW w:w="1843" w:type="dxa"/>
          </w:tcPr>
          <w:p w14:paraId="1CB0B0AC" w14:textId="77777777" w:rsidR="00BC12EC" w:rsidRPr="00042ADE" w:rsidRDefault="00BC12EC" w:rsidP="00C709CC">
            <w:pPr>
              <w:pStyle w:val="Tabletitle"/>
              <w:spacing w:line="240" w:lineRule="auto"/>
              <w:jc w:val="center"/>
              <w:rPr>
                <w:sz w:val="22"/>
                <w:szCs w:val="22"/>
              </w:rPr>
            </w:pPr>
            <w:r w:rsidRPr="00042ADE">
              <w:rPr>
                <w:sz w:val="22"/>
                <w:szCs w:val="22"/>
              </w:rPr>
              <w:t>(-6.986, 8.067)</w:t>
            </w:r>
          </w:p>
        </w:tc>
        <w:tc>
          <w:tcPr>
            <w:tcW w:w="992" w:type="dxa"/>
          </w:tcPr>
          <w:p w14:paraId="41767413" w14:textId="77777777" w:rsidR="00BC12EC" w:rsidRPr="00042ADE" w:rsidRDefault="00BC12EC" w:rsidP="00C709CC">
            <w:pPr>
              <w:pStyle w:val="Tabletitle"/>
              <w:spacing w:line="240" w:lineRule="auto"/>
              <w:jc w:val="center"/>
              <w:rPr>
                <w:sz w:val="22"/>
                <w:szCs w:val="22"/>
              </w:rPr>
            </w:pPr>
            <w:r w:rsidRPr="00042ADE">
              <w:rPr>
                <w:sz w:val="22"/>
                <w:szCs w:val="22"/>
              </w:rPr>
              <w:t>0.885</w:t>
            </w:r>
          </w:p>
        </w:tc>
        <w:tc>
          <w:tcPr>
            <w:tcW w:w="992" w:type="dxa"/>
          </w:tcPr>
          <w:p w14:paraId="784FE294" w14:textId="77777777" w:rsidR="00BC12EC" w:rsidRPr="00042ADE" w:rsidRDefault="00BC12EC" w:rsidP="00C709CC">
            <w:pPr>
              <w:pStyle w:val="Tabletitle"/>
              <w:spacing w:line="240" w:lineRule="auto"/>
              <w:jc w:val="center"/>
              <w:rPr>
                <w:sz w:val="22"/>
                <w:szCs w:val="22"/>
              </w:rPr>
            </w:pPr>
            <w:r w:rsidRPr="00042ADE">
              <w:rPr>
                <w:sz w:val="22"/>
                <w:szCs w:val="22"/>
              </w:rPr>
              <w:t>-1.198</w:t>
            </w:r>
          </w:p>
        </w:tc>
        <w:tc>
          <w:tcPr>
            <w:tcW w:w="1701" w:type="dxa"/>
          </w:tcPr>
          <w:p w14:paraId="2BB43443" w14:textId="77777777" w:rsidR="00BC12EC" w:rsidRPr="00042ADE" w:rsidRDefault="00BC12EC" w:rsidP="00C709CC">
            <w:pPr>
              <w:pStyle w:val="Tabletitle"/>
              <w:spacing w:line="240" w:lineRule="auto"/>
              <w:jc w:val="center"/>
              <w:rPr>
                <w:sz w:val="22"/>
                <w:szCs w:val="22"/>
              </w:rPr>
            </w:pPr>
            <w:r w:rsidRPr="00042ADE">
              <w:rPr>
                <w:sz w:val="22"/>
                <w:szCs w:val="22"/>
              </w:rPr>
              <w:t>(-3.386, 0.990)</w:t>
            </w:r>
          </w:p>
        </w:tc>
        <w:tc>
          <w:tcPr>
            <w:tcW w:w="993" w:type="dxa"/>
          </w:tcPr>
          <w:p w14:paraId="3B45C8C7" w14:textId="77777777" w:rsidR="00BC12EC" w:rsidRPr="00042ADE" w:rsidRDefault="00BC12EC" w:rsidP="00C709CC">
            <w:pPr>
              <w:pStyle w:val="Tabletitle"/>
              <w:spacing w:line="240" w:lineRule="auto"/>
              <w:jc w:val="center"/>
              <w:rPr>
                <w:sz w:val="22"/>
                <w:szCs w:val="22"/>
              </w:rPr>
            </w:pPr>
            <w:r w:rsidRPr="00042ADE">
              <w:rPr>
                <w:sz w:val="22"/>
                <w:szCs w:val="22"/>
              </w:rPr>
              <w:t>0.276</w:t>
            </w:r>
          </w:p>
        </w:tc>
      </w:tr>
      <w:tr w:rsidR="00BC12EC" w:rsidRPr="00042ADE" w14:paraId="652EBC55" w14:textId="77777777" w:rsidTr="00ED52BF">
        <w:trPr>
          <w:trHeight w:val="196"/>
        </w:trPr>
        <w:tc>
          <w:tcPr>
            <w:tcW w:w="1656" w:type="dxa"/>
          </w:tcPr>
          <w:p w14:paraId="16EDFE1F" w14:textId="77777777" w:rsidR="00BC12EC" w:rsidRPr="00042ADE" w:rsidRDefault="00BC12EC" w:rsidP="00C709CC">
            <w:pPr>
              <w:pStyle w:val="Tabletitle"/>
              <w:spacing w:line="240" w:lineRule="auto"/>
              <w:rPr>
                <w:sz w:val="22"/>
                <w:szCs w:val="22"/>
              </w:rPr>
            </w:pPr>
            <w:r w:rsidRPr="00042ADE">
              <w:rPr>
                <w:b/>
                <w:sz w:val="22"/>
                <w:szCs w:val="22"/>
              </w:rPr>
              <w:t>Thumb Fingertip</w:t>
            </w:r>
          </w:p>
        </w:tc>
        <w:tc>
          <w:tcPr>
            <w:tcW w:w="1481" w:type="dxa"/>
          </w:tcPr>
          <w:p w14:paraId="433A9632"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39A0D913"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AB490BB" w14:textId="77777777" w:rsidR="00BC12EC" w:rsidRPr="00042ADE" w:rsidRDefault="00BC12EC" w:rsidP="00C709CC">
            <w:pPr>
              <w:pStyle w:val="Tabletitle"/>
              <w:spacing w:line="240" w:lineRule="auto"/>
              <w:jc w:val="center"/>
              <w:rPr>
                <w:sz w:val="22"/>
                <w:szCs w:val="22"/>
              </w:rPr>
            </w:pPr>
            <w:r w:rsidRPr="00042ADE">
              <w:rPr>
                <w:sz w:val="22"/>
                <w:szCs w:val="22"/>
              </w:rPr>
              <w:t>-2.727</w:t>
            </w:r>
          </w:p>
        </w:tc>
        <w:tc>
          <w:tcPr>
            <w:tcW w:w="1843" w:type="dxa"/>
          </w:tcPr>
          <w:p w14:paraId="2C21462D" w14:textId="77777777" w:rsidR="00BC12EC" w:rsidRPr="00042ADE" w:rsidRDefault="00BC12EC" w:rsidP="00C709CC">
            <w:pPr>
              <w:pStyle w:val="Tabletitle"/>
              <w:spacing w:line="240" w:lineRule="auto"/>
              <w:jc w:val="center"/>
              <w:rPr>
                <w:sz w:val="22"/>
                <w:szCs w:val="22"/>
              </w:rPr>
            </w:pPr>
            <w:r w:rsidRPr="00042ADE">
              <w:rPr>
                <w:sz w:val="22"/>
                <w:szCs w:val="22"/>
              </w:rPr>
              <w:t>(-8.409, 2.955)</w:t>
            </w:r>
          </w:p>
        </w:tc>
        <w:tc>
          <w:tcPr>
            <w:tcW w:w="992" w:type="dxa"/>
          </w:tcPr>
          <w:p w14:paraId="138E09F0" w14:textId="77777777" w:rsidR="00BC12EC" w:rsidRPr="00042ADE" w:rsidRDefault="00BC12EC" w:rsidP="00C709CC">
            <w:pPr>
              <w:pStyle w:val="Tabletitle"/>
              <w:spacing w:line="240" w:lineRule="auto"/>
              <w:jc w:val="center"/>
              <w:rPr>
                <w:sz w:val="22"/>
                <w:szCs w:val="22"/>
              </w:rPr>
            </w:pPr>
            <w:r w:rsidRPr="00042ADE">
              <w:rPr>
                <w:sz w:val="22"/>
                <w:szCs w:val="22"/>
              </w:rPr>
              <w:t>0.337</w:t>
            </w:r>
          </w:p>
        </w:tc>
        <w:tc>
          <w:tcPr>
            <w:tcW w:w="992" w:type="dxa"/>
          </w:tcPr>
          <w:p w14:paraId="4B1FEAA5" w14:textId="77777777" w:rsidR="00BC12EC" w:rsidRPr="00042ADE" w:rsidRDefault="00BC12EC" w:rsidP="00C709CC">
            <w:pPr>
              <w:pStyle w:val="Tabletitle"/>
              <w:spacing w:line="240" w:lineRule="auto"/>
              <w:jc w:val="center"/>
              <w:rPr>
                <w:sz w:val="22"/>
                <w:szCs w:val="22"/>
              </w:rPr>
            </w:pPr>
            <w:r w:rsidRPr="00042ADE">
              <w:rPr>
                <w:sz w:val="22"/>
                <w:szCs w:val="22"/>
              </w:rPr>
              <w:t>-0.849</w:t>
            </w:r>
          </w:p>
        </w:tc>
        <w:tc>
          <w:tcPr>
            <w:tcW w:w="1701" w:type="dxa"/>
          </w:tcPr>
          <w:p w14:paraId="22798719" w14:textId="77777777" w:rsidR="00BC12EC" w:rsidRPr="00042ADE" w:rsidRDefault="00BC12EC" w:rsidP="00C709CC">
            <w:pPr>
              <w:pStyle w:val="Tabletitle"/>
              <w:spacing w:line="240" w:lineRule="auto"/>
              <w:jc w:val="center"/>
              <w:rPr>
                <w:sz w:val="22"/>
                <w:szCs w:val="22"/>
              </w:rPr>
            </w:pPr>
            <w:r w:rsidRPr="00042ADE">
              <w:rPr>
                <w:sz w:val="22"/>
                <w:szCs w:val="22"/>
              </w:rPr>
              <w:t>(-3.036, 1.338)</w:t>
            </w:r>
          </w:p>
        </w:tc>
        <w:tc>
          <w:tcPr>
            <w:tcW w:w="993" w:type="dxa"/>
          </w:tcPr>
          <w:p w14:paraId="2B4084AD" w14:textId="77777777" w:rsidR="00BC12EC" w:rsidRPr="00042ADE" w:rsidRDefault="00BC12EC" w:rsidP="00C709CC">
            <w:pPr>
              <w:pStyle w:val="Tabletitle"/>
              <w:spacing w:line="240" w:lineRule="auto"/>
              <w:jc w:val="center"/>
              <w:rPr>
                <w:sz w:val="22"/>
                <w:szCs w:val="22"/>
              </w:rPr>
            </w:pPr>
            <w:r w:rsidRPr="00042ADE">
              <w:rPr>
                <w:sz w:val="22"/>
                <w:szCs w:val="22"/>
              </w:rPr>
              <w:t>0.439</w:t>
            </w:r>
          </w:p>
        </w:tc>
      </w:tr>
      <w:tr w:rsidR="00BC12EC" w:rsidRPr="00042ADE" w14:paraId="35161378" w14:textId="77777777" w:rsidTr="00ED52BF">
        <w:trPr>
          <w:trHeight w:val="196"/>
        </w:trPr>
        <w:tc>
          <w:tcPr>
            <w:tcW w:w="1656" w:type="dxa"/>
          </w:tcPr>
          <w:p w14:paraId="4CFC00C4" w14:textId="77777777" w:rsidR="00BC12EC" w:rsidRPr="00042ADE" w:rsidRDefault="00BC12EC" w:rsidP="00C709CC">
            <w:pPr>
              <w:pStyle w:val="Tabletitle"/>
              <w:spacing w:line="240" w:lineRule="auto"/>
              <w:rPr>
                <w:sz w:val="22"/>
                <w:szCs w:val="22"/>
              </w:rPr>
            </w:pPr>
          </w:p>
        </w:tc>
        <w:tc>
          <w:tcPr>
            <w:tcW w:w="1481" w:type="dxa"/>
          </w:tcPr>
          <w:p w14:paraId="7AB62AA7" w14:textId="77777777" w:rsidR="00BC12EC" w:rsidRPr="00042ADE" w:rsidRDefault="00BC12EC" w:rsidP="00C709CC">
            <w:pPr>
              <w:pStyle w:val="Tabletitle"/>
              <w:spacing w:line="240" w:lineRule="auto"/>
              <w:jc w:val="center"/>
              <w:rPr>
                <w:b/>
                <w:sz w:val="22"/>
                <w:szCs w:val="22"/>
              </w:rPr>
            </w:pPr>
          </w:p>
        </w:tc>
        <w:tc>
          <w:tcPr>
            <w:tcW w:w="629" w:type="dxa"/>
          </w:tcPr>
          <w:p w14:paraId="398F4580"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86A0AA7" w14:textId="77777777" w:rsidR="00BC12EC" w:rsidRPr="00042ADE" w:rsidRDefault="00BC12EC" w:rsidP="00C709CC">
            <w:pPr>
              <w:pStyle w:val="Tabletitle"/>
              <w:spacing w:line="240" w:lineRule="auto"/>
              <w:jc w:val="center"/>
              <w:rPr>
                <w:sz w:val="22"/>
                <w:szCs w:val="22"/>
              </w:rPr>
            </w:pPr>
            <w:r w:rsidRPr="00042ADE">
              <w:rPr>
                <w:sz w:val="22"/>
                <w:szCs w:val="22"/>
              </w:rPr>
              <w:t>-0.385</w:t>
            </w:r>
          </w:p>
        </w:tc>
        <w:tc>
          <w:tcPr>
            <w:tcW w:w="1843" w:type="dxa"/>
          </w:tcPr>
          <w:p w14:paraId="272789A1" w14:textId="77777777" w:rsidR="00BC12EC" w:rsidRPr="00042ADE" w:rsidRDefault="00BC12EC" w:rsidP="00C709CC">
            <w:pPr>
              <w:pStyle w:val="Tabletitle"/>
              <w:spacing w:line="240" w:lineRule="auto"/>
              <w:jc w:val="center"/>
              <w:rPr>
                <w:sz w:val="22"/>
                <w:szCs w:val="22"/>
              </w:rPr>
            </w:pPr>
            <w:r w:rsidRPr="00042ADE">
              <w:rPr>
                <w:sz w:val="22"/>
                <w:szCs w:val="22"/>
              </w:rPr>
              <w:t>(-5.782, 5.011)</w:t>
            </w:r>
          </w:p>
        </w:tc>
        <w:tc>
          <w:tcPr>
            <w:tcW w:w="992" w:type="dxa"/>
          </w:tcPr>
          <w:p w14:paraId="32D79A9D" w14:textId="77777777" w:rsidR="00BC12EC" w:rsidRPr="00042ADE" w:rsidRDefault="00BC12EC" w:rsidP="00C709CC">
            <w:pPr>
              <w:pStyle w:val="Tabletitle"/>
              <w:spacing w:line="240" w:lineRule="auto"/>
              <w:jc w:val="center"/>
              <w:rPr>
                <w:sz w:val="22"/>
                <w:szCs w:val="22"/>
              </w:rPr>
            </w:pPr>
            <w:r w:rsidRPr="00042ADE">
              <w:rPr>
                <w:sz w:val="22"/>
                <w:szCs w:val="22"/>
              </w:rPr>
              <w:t>0.886</w:t>
            </w:r>
          </w:p>
        </w:tc>
        <w:tc>
          <w:tcPr>
            <w:tcW w:w="992" w:type="dxa"/>
          </w:tcPr>
          <w:p w14:paraId="14534A8F" w14:textId="77777777" w:rsidR="00BC12EC" w:rsidRPr="00042ADE" w:rsidRDefault="00BC12EC" w:rsidP="00C709CC">
            <w:pPr>
              <w:pStyle w:val="Tabletitle"/>
              <w:spacing w:line="240" w:lineRule="auto"/>
              <w:jc w:val="center"/>
              <w:rPr>
                <w:sz w:val="22"/>
                <w:szCs w:val="22"/>
              </w:rPr>
            </w:pPr>
            <w:r w:rsidRPr="00042ADE">
              <w:rPr>
                <w:sz w:val="22"/>
                <w:szCs w:val="22"/>
              </w:rPr>
              <w:t>-1.250</w:t>
            </w:r>
          </w:p>
        </w:tc>
        <w:tc>
          <w:tcPr>
            <w:tcW w:w="1701" w:type="dxa"/>
          </w:tcPr>
          <w:p w14:paraId="5A601B67" w14:textId="77777777" w:rsidR="00BC12EC" w:rsidRPr="00042ADE" w:rsidRDefault="00BC12EC" w:rsidP="00C709CC">
            <w:pPr>
              <w:pStyle w:val="Tabletitle"/>
              <w:spacing w:line="240" w:lineRule="auto"/>
              <w:jc w:val="center"/>
              <w:rPr>
                <w:sz w:val="22"/>
                <w:szCs w:val="22"/>
              </w:rPr>
            </w:pPr>
            <w:r w:rsidRPr="00042ADE">
              <w:rPr>
                <w:sz w:val="22"/>
                <w:szCs w:val="22"/>
              </w:rPr>
              <w:t>(-3.681, 1.182)</w:t>
            </w:r>
          </w:p>
        </w:tc>
        <w:tc>
          <w:tcPr>
            <w:tcW w:w="993" w:type="dxa"/>
          </w:tcPr>
          <w:p w14:paraId="340814E3" w14:textId="77777777" w:rsidR="00BC12EC" w:rsidRPr="00042ADE" w:rsidRDefault="00BC12EC" w:rsidP="00C709CC">
            <w:pPr>
              <w:pStyle w:val="Tabletitle"/>
              <w:spacing w:line="240" w:lineRule="auto"/>
              <w:jc w:val="center"/>
              <w:rPr>
                <w:sz w:val="22"/>
                <w:szCs w:val="22"/>
              </w:rPr>
            </w:pPr>
            <w:r w:rsidRPr="00042ADE">
              <w:rPr>
                <w:sz w:val="22"/>
                <w:szCs w:val="22"/>
              </w:rPr>
              <w:t>0.307</w:t>
            </w:r>
          </w:p>
        </w:tc>
      </w:tr>
      <w:tr w:rsidR="00BC12EC" w:rsidRPr="00042ADE" w14:paraId="73E08F9C" w14:textId="77777777" w:rsidTr="00ED52BF">
        <w:trPr>
          <w:trHeight w:val="196"/>
        </w:trPr>
        <w:tc>
          <w:tcPr>
            <w:tcW w:w="1656" w:type="dxa"/>
          </w:tcPr>
          <w:p w14:paraId="2AF5B59E" w14:textId="77777777" w:rsidR="00BC12EC" w:rsidRPr="00042ADE" w:rsidRDefault="00BC12EC" w:rsidP="00C709CC">
            <w:pPr>
              <w:pStyle w:val="Tabletitle"/>
              <w:spacing w:line="240" w:lineRule="auto"/>
              <w:rPr>
                <w:sz w:val="22"/>
                <w:szCs w:val="22"/>
              </w:rPr>
            </w:pPr>
          </w:p>
        </w:tc>
        <w:tc>
          <w:tcPr>
            <w:tcW w:w="1481" w:type="dxa"/>
          </w:tcPr>
          <w:p w14:paraId="2F452BC4"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0BACCEFB"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7F8D1F50" w14:textId="77777777" w:rsidR="00BC12EC" w:rsidRPr="00042ADE" w:rsidRDefault="00BC12EC" w:rsidP="00C709CC">
            <w:pPr>
              <w:pStyle w:val="Tabletitle"/>
              <w:spacing w:line="240" w:lineRule="auto"/>
              <w:jc w:val="center"/>
              <w:rPr>
                <w:sz w:val="22"/>
                <w:szCs w:val="22"/>
              </w:rPr>
            </w:pPr>
            <w:r w:rsidRPr="00042ADE">
              <w:rPr>
                <w:sz w:val="22"/>
                <w:szCs w:val="22"/>
              </w:rPr>
              <w:t>1.477</w:t>
            </w:r>
          </w:p>
        </w:tc>
        <w:tc>
          <w:tcPr>
            <w:tcW w:w="1843" w:type="dxa"/>
          </w:tcPr>
          <w:p w14:paraId="63F73FBD" w14:textId="77777777" w:rsidR="00BC12EC" w:rsidRPr="00042ADE" w:rsidRDefault="00BC12EC" w:rsidP="00C709CC">
            <w:pPr>
              <w:pStyle w:val="Tabletitle"/>
              <w:spacing w:line="240" w:lineRule="auto"/>
              <w:jc w:val="center"/>
              <w:rPr>
                <w:sz w:val="22"/>
                <w:szCs w:val="22"/>
              </w:rPr>
            </w:pPr>
            <w:r w:rsidRPr="00042ADE">
              <w:rPr>
                <w:sz w:val="22"/>
                <w:szCs w:val="22"/>
              </w:rPr>
              <w:t>(-5.288, 8.242)</w:t>
            </w:r>
          </w:p>
        </w:tc>
        <w:tc>
          <w:tcPr>
            <w:tcW w:w="992" w:type="dxa"/>
          </w:tcPr>
          <w:p w14:paraId="1F552348" w14:textId="77777777" w:rsidR="00BC12EC" w:rsidRPr="00042ADE" w:rsidRDefault="00BC12EC" w:rsidP="00C709CC">
            <w:pPr>
              <w:pStyle w:val="Tabletitle"/>
              <w:spacing w:line="240" w:lineRule="auto"/>
              <w:jc w:val="center"/>
              <w:rPr>
                <w:sz w:val="22"/>
                <w:szCs w:val="22"/>
              </w:rPr>
            </w:pPr>
            <w:r w:rsidRPr="00042ADE">
              <w:rPr>
                <w:sz w:val="22"/>
                <w:szCs w:val="22"/>
              </w:rPr>
              <w:t>0.661</w:t>
            </w:r>
          </w:p>
        </w:tc>
        <w:tc>
          <w:tcPr>
            <w:tcW w:w="992" w:type="dxa"/>
          </w:tcPr>
          <w:p w14:paraId="20375108" w14:textId="77777777" w:rsidR="00BC12EC" w:rsidRPr="00042ADE" w:rsidRDefault="00BC12EC" w:rsidP="00C709CC">
            <w:pPr>
              <w:pStyle w:val="Tabletitle"/>
              <w:spacing w:line="240" w:lineRule="auto"/>
              <w:jc w:val="center"/>
              <w:rPr>
                <w:sz w:val="22"/>
                <w:szCs w:val="22"/>
              </w:rPr>
            </w:pPr>
            <w:r w:rsidRPr="00042ADE">
              <w:rPr>
                <w:sz w:val="22"/>
                <w:szCs w:val="22"/>
              </w:rPr>
              <w:t>-0.836</w:t>
            </w:r>
          </w:p>
        </w:tc>
        <w:tc>
          <w:tcPr>
            <w:tcW w:w="1701" w:type="dxa"/>
          </w:tcPr>
          <w:p w14:paraId="052C6B83" w14:textId="77777777" w:rsidR="00BC12EC" w:rsidRPr="00042ADE" w:rsidRDefault="00BC12EC" w:rsidP="00C709CC">
            <w:pPr>
              <w:pStyle w:val="Tabletitle"/>
              <w:spacing w:line="240" w:lineRule="auto"/>
              <w:jc w:val="center"/>
              <w:rPr>
                <w:sz w:val="22"/>
                <w:szCs w:val="22"/>
              </w:rPr>
            </w:pPr>
            <w:r w:rsidRPr="00042ADE">
              <w:rPr>
                <w:sz w:val="22"/>
                <w:szCs w:val="22"/>
              </w:rPr>
              <w:t>(-2.955, 1.283)</w:t>
            </w:r>
          </w:p>
        </w:tc>
        <w:tc>
          <w:tcPr>
            <w:tcW w:w="993" w:type="dxa"/>
          </w:tcPr>
          <w:p w14:paraId="14253EA2" w14:textId="77777777" w:rsidR="00BC12EC" w:rsidRPr="00042ADE" w:rsidRDefault="00BC12EC" w:rsidP="00C709CC">
            <w:pPr>
              <w:pStyle w:val="Tabletitle"/>
              <w:spacing w:line="240" w:lineRule="auto"/>
              <w:jc w:val="center"/>
              <w:rPr>
                <w:sz w:val="22"/>
                <w:szCs w:val="22"/>
              </w:rPr>
            </w:pPr>
            <w:r w:rsidRPr="00042ADE">
              <w:rPr>
                <w:sz w:val="22"/>
                <w:szCs w:val="22"/>
              </w:rPr>
              <w:t>0.431</w:t>
            </w:r>
          </w:p>
        </w:tc>
      </w:tr>
      <w:tr w:rsidR="00BC12EC" w:rsidRPr="00042ADE" w14:paraId="290C6224" w14:textId="77777777" w:rsidTr="00ED52BF">
        <w:trPr>
          <w:trHeight w:val="196"/>
        </w:trPr>
        <w:tc>
          <w:tcPr>
            <w:tcW w:w="1656" w:type="dxa"/>
          </w:tcPr>
          <w:p w14:paraId="08F24DCF" w14:textId="77777777" w:rsidR="00BC12EC" w:rsidRPr="00042ADE" w:rsidRDefault="00BC12EC" w:rsidP="00C709CC">
            <w:pPr>
              <w:pStyle w:val="Tabletitle"/>
              <w:spacing w:line="240" w:lineRule="auto"/>
              <w:rPr>
                <w:sz w:val="22"/>
                <w:szCs w:val="22"/>
              </w:rPr>
            </w:pPr>
          </w:p>
        </w:tc>
        <w:tc>
          <w:tcPr>
            <w:tcW w:w="1481" w:type="dxa"/>
          </w:tcPr>
          <w:p w14:paraId="529FB4AC" w14:textId="77777777" w:rsidR="00BC12EC" w:rsidRPr="00042ADE" w:rsidRDefault="00BC12EC" w:rsidP="00C709CC">
            <w:pPr>
              <w:pStyle w:val="Tabletitle"/>
              <w:spacing w:line="240" w:lineRule="auto"/>
              <w:jc w:val="center"/>
              <w:rPr>
                <w:b/>
                <w:sz w:val="22"/>
                <w:szCs w:val="22"/>
              </w:rPr>
            </w:pPr>
          </w:p>
        </w:tc>
        <w:tc>
          <w:tcPr>
            <w:tcW w:w="629" w:type="dxa"/>
          </w:tcPr>
          <w:p w14:paraId="53E30658"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7775255" w14:textId="77777777" w:rsidR="00BC12EC" w:rsidRPr="00042ADE" w:rsidRDefault="00BC12EC" w:rsidP="00C709CC">
            <w:pPr>
              <w:pStyle w:val="Tabletitle"/>
              <w:spacing w:line="240" w:lineRule="auto"/>
              <w:jc w:val="center"/>
              <w:rPr>
                <w:sz w:val="22"/>
                <w:szCs w:val="22"/>
              </w:rPr>
            </w:pPr>
            <w:r w:rsidRPr="00042ADE">
              <w:rPr>
                <w:sz w:val="22"/>
                <w:szCs w:val="22"/>
              </w:rPr>
              <w:t>-0.053</w:t>
            </w:r>
          </w:p>
        </w:tc>
        <w:tc>
          <w:tcPr>
            <w:tcW w:w="1843" w:type="dxa"/>
          </w:tcPr>
          <w:p w14:paraId="479E6417" w14:textId="77777777" w:rsidR="00BC12EC" w:rsidRPr="00042ADE" w:rsidRDefault="00BC12EC" w:rsidP="00C709CC">
            <w:pPr>
              <w:pStyle w:val="Tabletitle"/>
              <w:spacing w:line="240" w:lineRule="auto"/>
              <w:jc w:val="center"/>
              <w:rPr>
                <w:sz w:val="22"/>
                <w:szCs w:val="22"/>
              </w:rPr>
            </w:pPr>
            <w:r w:rsidRPr="00042ADE">
              <w:rPr>
                <w:sz w:val="22"/>
                <w:szCs w:val="22"/>
              </w:rPr>
              <w:t>(-7.365, 7.259)</w:t>
            </w:r>
          </w:p>
        </w:tc>
        <w:tc>
          <w:tcPr>
            <w:tcW w:w="992" w:type="dxa"/>
          </w:tcPr>
          <w:p w14:paraId="22729EB3" w14:textId="77777777" w:rsidR="00BC12EC" w:rsidRPr="00042ADE" w:rsidRDefault="00BC12EC" w:rsidP="00C709CC">
            <w:pPr>
              <w:pStyle w:val="Tabletitle"/>
              <w:spacing w:line="240" w:lineRule="auto"/>
              <w:jc w:val="center"/>
              <w:rPr>
                <w:sz w:val="22"/>
                <w:szCs w:val="22"/>
              </w:rPr>
            </w:pPr>
            <w:r w:rsidRPr="00042ADE">
              <w:rPr>
                <w:sz w:val="22"/>
                <w:szCs w:val="22"/>
              </w:rPr>
              <w:t>0.988</w:t>
            </w:r>
          </w:p>
        </w:tc>
        <w:tc>
          <w:tcPr>
            <w:tcW w:w="992" w:type="dxa"/>
          </w:tcPr>
          <w:p w14:paraId="223EF26D" w14:textId="77777777" w:rsidR="00BC12EC" w:rsidRPr="00042ADE" w:rsidRDefault="00BC12EC" w:rsidP="00C709CC">
            <w:pPr>
              <w:pStyle w:val="Tabletitle"/>
              <w:spacing w:line="240" w:lineRule="auto"/>
              <w:jc w:val="center"/>
              <w:rPr>
                <w:sz w:val="22"/>
                <w:szCs w:val="22"/>
              </w:rPr>
            </w:pPr>
            <w:r w:rsidRPr="00042ADE">
              <w:rPr>
                <w:sz w:val="22"/>
                <w:szCs w:val="22"/>
              </w:rPr>
              <w:t>-1.261</w:t>
            </w:r>
          </w:p>
        </w:tc>
        <w:tc>
          <w:tcPr>
            <w:tcW w:w="1701" w:type="dxa"/>
          </w:tcPr>
          <w:p w14:paraId="63E6F851" w14:textId="77777777" w:rsidR="00BC12EC" w:rsidRPr="00042ADE" w:rsidRDefault="00BC12EC" w:rsidP="00C709CC">
            <w:pPr>
              <w:pStyle w:val="Tabletitle"/>
              <w:spacing w:line="240" w:lineRule="auto"/>
              <w:jc w:val="center"/>
              <w:rPr>
                <w:sz w:val="22"/>
                <w:szCs w:val="22"/>
              </w:rPr>
            </w:pPr>
            <w:r w:rsidRPr="00042ADE">
              <w:rPr>
                <w:sz w:val="22"/>
                <w:szCs w:val="22"/>
              </w:rPr>
              <w:t>(-3.512, 0.991)</w:t>
            </w:r>
          </w:p>
        </w:tc>
        <w:tc>
          <w:tcPr>
            <w:tcW w:w="993" w:type="dxa"/>
          </w:tcPr>
          <w:p w14:paraId="2ED12886" w14:textId="77777777" w:rsidR="00BC12EC" w:rsidRPr="00042ADE" w:rsidRDefault="00BC12EC" w:rsidP="00C709CC">
            <w:pPr>
              <w:pStyle w:val="Tabletitle"/>
              <w:spacing w:line="240" w:lineRule="auto"/>
              <w:jc w:val="center"/>
              <w:rPr>
                <w:sz w:val="22"/>
                <w:szCs w:val="22"/>
              </w:rPr>
            </w:pPr>
            <w:r w:rsidRPr="00042ADE">
              <w:rPr>
                <w:sz w:val="22"/>
                <w:szCs w:val="22"/>
              </w:rPr>
              <w:t>0.266</w:t>
            </w:r>
          </w:p>
        </w:tc>
      </w:tr>
      <w:tr w:rsidR="00BC12EC" w:rsidRPr="00042ADE" w14:paraId="55F5E4EB" w14:textId="77777777" w:rsidTr="00ED52BF">
        <w:trPr>
          <w:trHeight w:val="196"/>
        </w:trPr>
        <w:tc>
          <w:tcPr>
            <w:tcW w:w="1656" w:type="dxa"/>
          </w:tcPr>
          <w:p w14:paraId="5B1DC12A" w14:textId="77777777" w:rsidR="00BC12EC" w:rsidRPr="00042ADE" w:rsidRDefault="00BC12EC" w:rsidP="00C709CC">
            <w:pPr>
              <w:pStyle w:val="Tabletitle"/>
              <w:spacing w:line="240" w:lineRule="auto"/>
              <w:rPr>
                <w:sz w:val="22"/>
                <w:szCs w:val="22"/>
              </w:rPr>
            </w:pPr>
          </w:p>
        </w:tc>
        <w:tc>
          <w:tcPr>
            <w:tcW w:w="1481" w:type="dxa"/>
          </w:tcPr>
          <w:p w14:paraId="1F884A0B"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4A8D3D0C"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76BBFEA" w14:textId="77777777" w:rsidR="00BC12EC" w:rsidRPr="00042ADE" w:rsidRDefault="00BC12EC" w:rsidP="00C709CC">
            <w:pPr>
              <w:pStyle w:val="Tabletitle"/>
              <w:spacing w:line="240" w:lineRule="auto"/>
              <w:jc w:val="center"/>
              <w:rPr>
                <w:sz w:val="22"/>
                <w:szCs w:val="22"/>
              </w:rPr>
            </w:pPr>
            <w:r w:rsidRPr="00042ADE">
              <w:rPr>
                <w:sz w:val="22"/>
                <w:szCs w:val="22"/>
              </w:rPr>
              <w:t>3.599</w:t>
            </w:r>
          </w:p>
        </w:tc>
        <w:tc>
          <w:tcPr>
            <w:tcW w:w="1843" w:type="dxa"/>
          </w:tcPr>
          <w:p w14:paraId="6BAE4394" w14:textId="77777777" w:rsidR="00BC12EC" w:rsidRPr="00042ADE" w:rsidRDefault="00BC12EC" w:rsidP="00C709CC">
            <w:pPr>
              <w:pStyle w:val="Tabletitle"/>
              <w:spacing w:line="240" w:lineRule="auto"/>
              <w:jc w:val="center"/>
              <w:rPr>
                <w:sz w:val="22"/>
                <w:szCs w:val="22"/>
              </w:rPr>
            </w:pPr>
            <w:r w:rsidRPr="00042ADE">
              <w:rPr>
                <w:sz w:val="22"/>
                <w:szCs w:val="22"/>
              </w:rPr>
              <w:t>(-3.178, 10.375)</w:t>
            </w:r>
          </w:p>
        </w:tc>
        <w:tc>
          <w:tcPr>
            <w:tcW w:w="992" w:type="dxa"/>
          </w:tcPr>
          <w:p w14:paraId="17638139" w14:textId="77777777" w:rsidR="00BC12EC" w:rsidRPr="00042ADE" w:rsidRDefault="00BC12EC" w:rsidP="00C709CC">
            <w:pPr>
              <w:pStyle w:val="Tabletitle"/>
              <w:spacing w:line="240" w:lineRule="auto"/>
              <w:jc w:val="center"/>
              <w:rPr>
                <w:sz w:val="22"/>
                <w:szCs w:val="22"/>
              </w:rPr>
            </w:pPr>
            <w:r w:rsidRPr="00042ADE">
              <w:rPr>
                <w:sz w:val="22"/>
                <w:szCs w:val="22"/>
              </w:rPr>
              <w:t>0.289</w:t>
            </w:r>
          </w:p>
        </w:tc>
        <w:tc>
          <w:tcPr>
            <w:tcW w:w="992" w:type="dxa"/>
          </w:tcPr>
          <w:p w14:paraId="5F61364E" w14:textId="77777777" w:rsidR="00BC12EC" w:rsidRPr="00042ADE" w:rsidRDefault="00BC12EC" w:rsidP="00C709CC">
            <w:pPr>
              <w:pStyle w:val="Tabletitle"/>
              <w:spacing w:line="240" w:lineRule="auto"/>
              <w:jc w:val="center"/>
              <w:rPr>
                <w:sz w:val="22"/>
                <w:szCs w:val="22"/>
              </w:rPr>
            </w:pPr>
            <w:r w:rsidRPr="00042ADE">
              <w:rPr>
                <w:sz w:val="22"/>
                <w:szCs w:val="22"/>
              </w:rPr>
              <w:t>-1.276</w:t>
            </w:r>
          </w:p>
        </w:tc>
        <w:tc>
          <w:tcPr>
            <w:tcW w:w="1701" w:type="dxa"/>
          </w:tcPr>
          <w:p w14:paraId="2F6D3CEE" w14:textId="77777777" w:rsidR="00BC12EC" w:rsidRPr="00042ADE" w:rsidRDefault="00BC12EC" w:rsidP="00C709CC">
            <w:pPr>
              <w:pStyle w:val="Tabletitle"/>
              <w:spacing w:line="240" w:lineRule="auto"/>
              <w:jc w:val="center"/>
              <w:rPr>
                <w:sz w:val="22"/>
                <w:szCs w:val="22"/>
              </w:rPr>
            </w:pPr>
            <w:r w:rsidRPr="00042ADE">
              <w:rPr>
                <w:sz w:val="22"/>
                <w:szCs w:val="22"/>
              </w:rPr>
              <w:t>(-3.088, 0.537)</w:t>
            </w:r>
          </w:p>
        </w:tc>
        <w:tc>
          <w:tcPr>
            <w:tcW w:w="993" w:type="dxa"/>
          </w:tcPr>
          <w:p w14:paraId="0CC75433" w14:textId="77777777" w:rsidR="00BC12EC" w:rsidRPr="00042ADE" w:rsidRDefault="00BC12EC" w:rsidP="00C709CC">
            <w:pPr>
              <w:pStyle w:val="Tabletitle"/>
              <w:spacing w:line="240" w:lineRule="auto"/>
              <w:jc w:val="center"/>
              <w:rPr>
                <w:sz w:val="22"/>
                <w:szCs w:val="22"/>
              </w:rPr>
            </w:pPr>
            <w:r w:rsidRPr="00042ADE">
              <w:rPr>
                <w:sz w:val="22"/>
                <w:szCs w:val="22"/>
              </w:rPr>
              <w:t>0.163</w:t>
            </w:r>
          </w:p>
        </w:tc>
      </w:tr>
      <w:tr w:rsidR="00BC12EC" w:rsidRPr="00042ADE" w14:paraId="0832E1A4" w14:textId="77777777" w:rsidTr="00ED52BF">
        <w:trPr>
          <w:trHeight w:val="196"/>
        </w:trPr>
        <w:tc>
          <w:tcPr>
            <w:tcW w:w="1656" w:type="dxa"/>
          </w:tcPr>
          <w:p w14:paraId="555BF4A5" w14:textId="77777777" w:rsidR="00BC12EC" w:rsidRPr="00042ADE" w:rsidRDefault="00BC12EC" w:rsidP="00C709CC">
            <w:pPr>
              <w:pStyle w:val="Tabletitle"/>
              <w:spacing w:line="240" w:lineRule="auto"/>
              <w:rPr>
                <w:sz w:val="22"/>
                <w:szCs w:val="22"/>
              </w:rPr>
            </w:pPr>
          </w:p>
        </w:tc>
        <w:tc>
          <w:tcPr>
            <w:tcW w:w="1481" w:type="dxa"/>
          </w:tcPr>
          <w:p w14:paraId="43C53FA6" w14:textId="77777777" w:rsidR="00BC12EC" w:rsidRPr="00042ADE" w:rsidRDefault="00BC12EC" w:rsidP="00C709CC">
            <w:pPr>
              <w:pStyle w:val="Tabletitle"/>
              <w:spacing w:line="240" w:lineRule="auto"/>
              <w:jc w:val="center"/>
              <w:rPr>
                <w:b/>
                <w:sz w:val="22"/>
                <w:szCs w:val="22"/>
              </w:rPr>
            </w:pPr>
          </w:p>
        </w:tc>
        <w:tc>
          <w:tcPr>
            <w:tcW w:w="629" w:type="dxa"/>
          </w:tcPr>
          <w:p w14:paraId="012797C1"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66F56F6C" w14:textId="77777777" w:rsidR="00BC12EC" w:rsidRPr="00042ADE" w:rsidRDefault="00BC12EC" w:rsidP="00C709CC">
            <w:pPr>
              <w:pStyle w:val="Tabletitle"/>
              <w:spacing w:line="240" w:lineRule="auto"/>
              <w:jc w:val="center"/>
              <w:rPr>
                <w:sz w:val="22"/>
                <w:szCs w:val="22"/>
              </w:rPr>
            </w:pPr>
            <w:r w:rsidRPr="00042ADE">
              <w:rPr>
                <w:sz w:val="22"/>
                <w:szCs w:val="22"/>
              </w:rPr>
              <w:t>0.453</w:t>
            </w:r>
          </w:p>
        </w:tc>
        <w:tc>
          <w:tcPr>
            <w:tcW w:w="1843" w:type="dxa"/>
          </w:tcPr>
          <w:p w14:paraId="70C077CC" w14:textId="77777777" w:rsidR="00BC12EC" w:rsidRPr="00042ADE" w:rsidRDefault="00BC12EC" w:rsidP="00C709CC">
            <w:pPr>
              <w:pStyle w:val="Tabletitle"/>
              <w:spacing w:line="240" w:lineRule="auto"/>
              <w:jc w:val="center"/>
              <w:rPr>
                <w:sz w:val="22"/>
                <w:szCs w:val="22"/>
              </w:rPr>
            </w:pPr>
            <w:r w:rsidRPr="00042ADE">
              <w:rPr>
                <w:sz w:val="22"/>
                <w:szCs w:val="22"/>
              </w:rPr>
              <w:t>(-5.772, 6.678)</w:t>
            </w:r>
          </w:p>
        </w:tc>
        <w:tc>
          <w:tcPr>
            <w:tcW w:w="992" w:type="dxa"/>
          </w:tcPr>
          <w:p w14:paraId="22C0B231" w14:textId="77777777" w:rsidR="00BC12EC" w:rsidRPr="00042ADE" w:rsidRDefault="00BC12EC" w:rsidP="00C709CC">
            <w:pPr>
              <w:pStyle w:val="Tabletitle"/>
              <w:spacing w:line="240" w:lineRule="auto"/>
              <w:jc w:val="center"/>
              <w:rPr>
                <w:sz w:val="22"/>
                <w:szCs w:val="22"/>
              </w:rPr>
            </w:pPr>
            <w:r w:rsidRPr="00042ADE">
              <w:rPr>
                <w:sz w:val="22"/>
                <w:szCs w:val="22"/>
              </w:rPr>
              <w:t>0.884</w:t>
            </w:r>
          </w:p>
        </w:tc>
        <w:tc>
          <w:tcPr>
            <w:tcW w:w="992" w:type="dxa"/>
          </w:tcPr>
          <w:p w14:paraId="5580B6A0" w14:textId="77777777" w:rsidR="00BC12EC" w:rsidRPr="00042ADE" w:rsidRDefault="00BC12EC" w:rsidP="00C709CC">
            <w:pPr>
              <w:pStyle w:val="Tabletitle"/>
              <w:spacing w:line="240" w:lineRule="auto"/>
              <w:jc w:val="center"/>
              <w:rPr>
                <w:sz w:val="22"/>
                <w:szCs w:val="22"/>
              </w:rPr>
            </w:pPr>
            <w:r w:rsidRPr="00042ADE">
              <w:rPr>
                <w:sz w:val="22"/>
                <w:szCs w:val="22"/>
              </w:rPr>
              <w:t>-1.046</w:t>
            </w:r>
          </w:p>
        </w:tc>
        <w:tc>
          <w:tcPr>
            <w:tcW w:w="1701" w:type="dxa"/>
          </w:tcPr>
          <w:p w14:paraId="45EAF423" w14:textId="77777777" w:rsidR="00BC12EC" w:rsidRPr="00042ADE" w:rsidRDefault="00BC12EC" w:rsidP="00C709CC">
            <w:pPr>
              <w:pStyle w:val="Tabletitle"/>
              <w:spacing w:line="240" w:lineRule="auto"/>
              <w:jc w:val="center"/>
              <w:rPr>
                <w:sz w:val="22"/>
                <w:szCs w:val="22"/>
              </w:rPr>
            </w:pPr>
            <w:r w:rsidRPr="00042ADE">
              <w:rPr>
                <w:sz w:val="22"/>
                <w:szCs w:val="22"/>
              </w:rPr>
              <w:t>(-2.997, 0.905)</w:t>
            </w:r>
          </w:p>
        </w:tc>
        <w:tc>
          <w:tcPr>
            <w:tcW w:w="993" w:type="dxa"/>
          </w:tcPr>
          <w:p w14:paraId="61A4BEA6" w14:textId="77777777" w:rsidR="00BC12EC" w:rsidRPr="00042ADE" w:rsidRDefault="00BC12EC" w:rsidP="00C709CC">
            <w:pPr>
              <w:pStyle w:val="Tabletitle"/>
              <w:spacing w:line="240" w:lineRule="auto"/>
              <w:jc w:val="center"/>
              <w:rPr>
                <w:sz w:val="22"/>
                <w:szCs w:val="22"/>
              </w:rPr>
            </w:pPr>
            <w:r w:rsidRPr="00042ADE">
              <w:rPr>
                <w:sz w:val="22"/>
                <w:szCs w:val="22"/>
              </w:rPr>
              <w:t>0.286</w:t>
            </w:r>
          </w:p>
        </w:tc>
      </w:tr>
      <w:tr w:rsidR="00BC12EC" w:rsidRPr="00042ADE" w14:paraId="30E6BCF9" w14:textId="77777777" w:rsidTr="00ED52BF">
        <w:trPr>
          <w:trHeight w:val="196"/>
        </w:trPr>
        <w:tc>
          <w:tcPr>
            <w:tcW w:w="1656" w:type="dxa"/>
          </w:tcPr>
          <w:p w14:paraId="2307034F" w14:textId="77777777" w:rsidR="00BC12EC" w:rsidRPr="00042ADE" w:rsidRDefault="00BC12EC" w:rsidP="00C709CC">
            <w:pPr>
              <w:pStyle w:val="Tabletitle"/>
              <w:spacing w:line="240" w:lineRule="auto"/>
              <w:rPr>
                <w:sz w:val="22"/>
                <w:szCs w:val="22"/>
              </w:rPr>
            </w:pPr>
            <w:r w:rsidRPr="00042ADE">
              <w:rPr>
                <w:b/>
                <w:sz w:val="22"/>
                <w:szCs w:val="22"/>
              </w:rPr>
              <w:t>Index Fingertip</w:t>
            </w:r>
          </w:p>
        </w:tc>
        <w:tc>
          <w:tcPr>
            <w:tcW w:w="1481" w:type="dxa"/>
          </w:tcPr>
          <w:p w14:paraId="5F16A00D"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0206EEF7"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F0A1DD8" w14:textId="77777777" w:rsidR="00BC12EC" w:rsidRPr="00042ADE" w:rsidRDefault="00BC12EC" w:rsidP="00C709CC">
            <w:pPr>
              <w:pStyle w:val="Tabletitle"/>
              <w:spacing w:line="240" w:lineRule="auto"/>
              <w:jc w:val="center"/>
              <w:rPr>
                <w:sz w:val="22"/>
                <w:szCs w:val="22"/>
              </w:rPr>
            </w:pPr>
            <w:r w:rsidRPr="00042ADE">
              <w:rPr>
                <w:sz w:val="22"/>
                <w:szCs w:val="22"/>
              </w:rPr>
              <w:t>2.171</w:t>
            </w:r>
          </w:p>
        </w:tc>
        <w:tc>
          <w:tcPr>
            <w:tcW w:w="1843" w:type="dxa"/>
          </w:tcPr>
          <w:p w14:paraId="2227D671" w14:textId="77777777" w:rsidR="00BC12EC" w:rsidRPr="00042ADE" w:rsidRDefault="00BC12EC" w:rsidP="00C709CC">
            <w:pPr>
              <w:pStyle w:val="Tabletitle"/>
              <w:spacing w:line="240" w:lineRule="auto"/>
              <w:jc w:val="center"/>
              <w:rPr>
                <w:sz w:val="22"/>
                <w:szCs w:val="22"/>
              </w:rPr>
            </w:pPr>
            <w:r w:rsidRPr="00042ADE">
              <w:rPr>
                <w:sz w:val="22"/>
                <w:szCs w:val="22"/>
              </w:rPr>
              <w:t>(-3.889, 8.231)</w:t>
            </w:r>
          </w:p>
        </w:tc>
        <w:tc>
          <w:tcPr>
            <w:tcW w:w="992" w:type="dxa"/>
          </w:tcPr>
          <w:p w14:paraId="6D5A77E7" w14:textId="77777777" w:rsidR="00BC12EC" w:rsidRPr="00042ADE" w:rsidRDefault="00BC12EC" w:rsidP="00C709CC">
            <w:pPr>
              <w:pStyle w:val="Tabletitle"/>
              <w:spacing w:line="240" w:lineRule="auto"/>
              <w:jc w:val="center"/>
              <w:rPr>
                <w:sz w:val="22"/>
                <w:szCs w:val="22"/>
              </w:rPr>
            </w:pPr>
            <w:r w:rsidRPr="00042ADE">
              <w:rPr>
                <w:sz w:val="22"/>
                <w:szCs w:val="22"/>
              </w:rPr>
              <w:t>0.473</w:t>
            </w:r>
          </w:p>
        </w:tc>
        <w:tc>
          <w:tcPr>
            <w:tcW w:w="992" w:type="dxa"/>
          </w:tcPr>
          <w:p w14:paraId="42B6C45E" w14:textId="77777777" w:rsidR="00BC12EC" w:rsidRPr="00042ADE" w:rsidRDefault="00BC12EC" w:rsidP="00C709CC">
            <w:pPr>
              <w:pStyle w:val="Tabletitle"/>
              <w:spacing w:line="240" w:lineRule="auto"/>
              <w:jc w:val="center"/>
              <w:rPr>
                <w:sz w:val="22"/>
                <w:szCs w:val="22"/>
              </w:rPr>
            </w:pPr>
            <w:r w:rsidRPr="00042ADE">
              <w:rPr>
                <w:sz w:val="22"/>
                <w:szCs w:val="22"/>
              </w:rPr>
              <w:t>-1.244</w:t>
            </w:r>
          </w:p>
        </w:tc>
        <w:tc>
          <w:tcPr>
            <w:tcW w:w="1701" w:type="dxa"/>
          </w:tcPr>
          <w:p w14:paraId="78980FE7" w14:textId="77777777" w:rsidR="00BC12EC" w:rsidRPr="00042ADE" w:rsidRDefault="00BC12EC" w:rsidP="00C709CC">
            <w:pPr>
              <w:pStyle w:val="Tabletitle"/>
              <w:spacing w:line="240" w:lineRule="auto"/>
              <w:jc w:val="center"/>
              <w:rPr>
                <w:sz w:val="22"/>
                <w:szCs w:val="22"/>
              </w:rPr>
            </w:pPr>
            <w:r w:rsidRPr="00042ADE">
              <w:rPr>
                <w:sz w:val="22"/>
                <w:szCs w:val="22"/>
              </w:rPr>
              <w:t>(-3.073, 0.586)</w:t>
            </w:r>
          </w:p>
        </w:tc>
        <w:tc>
          <w:tcPr>
            <w:tcW w:w="993" w:type="dxa"/>
          </w:tcPr>
          <w:p w14:paraId="7CA7153D" w14:textId="77777777" w:rsidR="00BC12EC" w:rsidRPr="00042ADE" w:rsidRDefault="00BC12EC" w:rsidP="00C709CC">
            <w:pPr>
              <w:pStyle w:val="Tabletitle"/>
              <w:spacing w:line="240" w:lineRule="auto"/>
              <w:jc w:val="center"/>
              <w:rPr>
                <w:sz w:val="22"/>
                <w:szCs w:val="22"/>
              </w:rPr>
            </w:pPr>
            <w:r w:rsidRPr="00042ADE">
              <w:rPr>
                <w:sz w:val="22"/>
                <w:szCs w:val="22"/>
              </w:rPr>
              <w:t>0.178</w:t>
            </w:r>
          </w:p>
        </w:tc>
      </w:tr>
      <w:tr w:rsidR="00BC12EC" w:rsidRPr="00042ADE" w14:paraId="77DFF4DA" w14:textId="77777777" w:rsidTr="00ED52BF">
        <w:trPr>
          <w:trHeight w:val="196"/>
        </w:trPr>
        <w:tc>
          <w:tcPr>
            <w:tcW w:w="1656" w:type="dxa"/>
          </w:tcPr>
          <w:p w14:paraId="1EEC6105" w14:textId="77777777" w:rsidR="00BC12EC" w:rsidRPr="00042ADE" w:rsidRDefault="00BC12EC" w:rsidP="00C709CC">
            <w:pPr>
              <w:pStyle w:val="Tabletitle"/>
              <w:spacing w:line="240" w:lineRule="auto"/>
              <w:rPr>
                <w:sz w:val="22"/>
                <w:szCs w:val="22"/>
              </w:rPr>
            </w:pPr>
          </w:p>
        </w:tc>
        <w:tc>
          <w:tcPr>
            <w:tcW w:w="1481" w:type="dxa"/>
          </w:tcPr>
          <w:p w14:paraId="6D52B802" w14:textId="77777777" w:rsidR="00BC12EC" w:rsidRPr="00042ADE" w:rsidRDefault="00BC12EC" w:rsidP="00C709CC">
            <w:pPr>
              <w:pStyle w:val="Tabletitle"/>
              <w:spacing w:line="240" w:lineRule="auto"/>
              <w:jc w:val="center"/>
              <w:rPr>
                <w:b/>
                <w:sz w:val="22"/>
                <w:szCs w:val="22"/>
              </w:rPr>
            </w:pPr>
          </w:p>
        </w:tc>
        <w:tc>
          <w:tcPr>
            <w:tcW w:w="629" w:type="dxa"/>
          </w:tcPr>
          <w:p w14:paraId="196A119A"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1531F194" w14:textId="77777777" w:rsidR="00BC12EC" w:rsidRPr="00042ADE" w:rsidRDefault="00BC12EC" w:rsidP="00C709CC">
            <w:pPr>
              <w:pStyle w:val="Tabletitle"/>
              <w:spacing w:line="240" w:lineRule="auto"/>
              <w:jc w:val="center"/>
              <w:rPr>
                <w:sz w:val="22"/>
                <w:szCs w:val="22"/>
              </w:rPr>
            </w:pPr>
            <w:r w:rsidRPr="00042ADE">
              <w:rPr>
                <w:sz w:val="22"/>
                <w:szCs w:val="22"/>
              </w:rPr>
              <w:t>-4.070</w:t>
            </w:r>
          </w:p>
        </w:tc>
        <w:tc>
          <w:tcPr>
            <w:tcW w:w="1843" w:type="dxa"/>
          </w:tcPr>
          <w:p w14:paraId="380D69D2" w14:textId="77777777" w:rsidR="00BC12EC" w:rsidRPr="00042ADE" w:rsidRDefault="00BC12EC" w:rsidP="00C709CC">
            <w:pPr>
              <w:pStyle w:val="Tabletitle"/>
              <w:spacing w:line="240" w:lineRule="auto"/>
              <w:jc w:val="center"/>
              <w:rPr>
                <w:sz w:val="22"/>
                <w:szCs w:val="22"/>
              </w:rPr>
            </w:pPr>
            <w:r w:rsidRPr="00042ADE">
              <w:rPr>
                <w:sz w:val="22"/>
                <w:szCs w:val="22"/>
              </w:rPr>
              <w:t>(-10.036, 1.896)</w:t>
            </w:r>
          </w:p>
        </w:tc>
        <w:tc>
          <w:tcPr>
            <w:tcW w:w="992" w:type="dxa"/>
          </w:tcPr>
          <w:p w14:paraId="75A179D3" w14:textId="77777777" w:rsidR="00BC12EC" w:rsidRPr="00042ADE" w:rsidRDefault="00BC12EC" w:rsidP="00C709CC">
            <w:pPr>
              <w:pStyle w:val="Tabletitle"/>
              <w:spacing w:line="240" w:lineRule="auto"/>
              <w:jc w:val="center"/>
              <w:rPr>
                <w:sz w:val="22"/>
                <w:szCs w:val="22"/>
              </w:rPr>
            </w:pPr>
            <w:r w:rsidRPr="00042ADE">
              <w:rPr>
                <w:sz w:val="22"/>
                <w:szCs w:val="22"/>
              </w:rPr>
              <w:t>0.175</w:t>
            </w:r>
          </w:p>
        </w:tc>
        <w:tc>
          <w:tcPr>
            <w:tcW w:w="992" w:type="dxa"/>
          </w:tcPr>
          <w:p w14:paraId="4ECB7A01" w14:textId="77777777" w:rsidR="00BC12EC" w:rsidRPr="00042ADE" w:rsidRDefault="00BC12EC" w:rsidP="00C709CC">
            <w:pPr>
              <w:pStyle w:val="Tabletitle"/>
              <w:spacing w:line="240" w:lineRule="auto"/>
              <w:jc w:val="center"/>
              <w:rPr>
                <w:sz w:val="22"/>
                <w:szCs w:val="22"/>
              </w:rPr>
            </w:pPr>
            <w:r w:rsidRPr="00042ADE">
              <w:rPr>
                <w:sz w:val="22"/>
                <w:szCs w:val="22"/>
              </w:rPr>
              <w:t>-0.794</w:t>
            </w:r>
          </w:p>
        </w:tc>
        <w:tc>
          <w:tcPr>
            <w:tcW w:w="1701" w:type="dxa"/>
          </w:tcPr>
          <w:p w14:paraId="6F1456FF" w14:textId="77777777" w:rsidR="00BC12EC" w:rsidRPr="00042ADE" w:rsidRDefault="00BC12EC" w:rsidP="00C709CC">
            <w:pPr>
              <w:pStyle w:val="Tabletitle"/>
              <w:spacing w:line="240" w:lineRule="auto"/>
              <w:jc w:val="center"/>
              <w:rPr>
                <w:sz w:val="22"/>
                <w:szCs w:val="22"/>
              </w:rPr>
            </w:pPr>
            <w:r w:rsidRPr="00042ADE">
              <w:rPr>
                <w:sz w:val="22"/>
                <w:szCs w:val="22"/>
              </w:rPr>
              <w:t>(-2.814, 1.226)</w:t>
            </w:r>
          </w:p>
        </w:tc>
        <w:tc>
          <w:tcPr>
            <w:tcW w:w="993" w:type="dxa"/>
          </w:tcPr>
          <w:p w14:paraId="7A5A5E48" w14:textId="77777777" w:rsidR="00BC12EC" w:rsidRPr="00042ADE" w:rsidRDefault="00BC12EC" w:rsidP="00C709CC">
            <w:pPr>
              <w:pStyle w:val="Tabletitle"/>
              <w:spacing w:line="240" w:lineRule="auto"/>
              <w:jc w:val="center"/>
              <w:rPr>
                <w:sz w:val="22"/>
                <w:szCs w:val="22"/>
              </w:rPr>
            </w:pPr>
            <w:r w:rsidRPr="00042ADE">
              <w:rPr>
                <w:sz w:val="22"/>
                <w:szCs w:val="22"/>
              </w:rPr>
              <w:t>0.433</w:t>
            </w:r>
          </w:p>
        </w:tc>
      </w:tr>
      <w:tr w:rsidR="00BC12EC" w:rsidRPr="00042ADE" w14:paraId="7F85C336" w14:textId="77777777" w:rsidTr="00ED52BF">
        <w:trPr>
          <w:trHeight w:val="196"/>
        </w:trPr>
        <w:tc>
          <w:tcPr>
            <w:tcW w:w="1656" w:type="dxa"/>
          </w:tcPr>
          <w:p w14:paraId="65C14368" w14:textId="77777777" w:rsidR="00BC12EC" w:rsidRPr="00042ADE" w:rsidRDefault="00BC12EC" w:rsidP="00C709CC">
            <w:pPr>
              <w:pStyle w:val="Tabletitle"/>
              <w:spacing w:line="240" w:lineRule="auto"/>
              <w:rPr>
                <w:sz w:val="22"/>
                <w:szCs w:val="22"/>
              </w:rPr>
            </w:pPr>
          </w:p>
        </w:tc>
        <w:tc>
          <w:tcPr>
            <w:tcW w:w="1481" w:type="dxa"/>
          </w:tcPr>
          <w:p w14:paraId="4243E27E"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4154E353"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70A1C20A" w14:textId="77777777" w:rsidR="00BC12EC" w:rsidRPr="00042ADE" w:rsidRDefault="00BC12EC" w:rsidP="00C709CC">
            <w:pPr>
              <w:pStyle w:val="Tabletitle"/>
              <w:spacing w:line="240" w:lineRule="auto"/>
              <w:jc w:val="center"/>
              <w:rPr>
                <w:sz w:val="22"/>
                <w:szCs w:val="22"/>
              </w:rPr>
            </w:pPr>
            <w:r w:rsidRPr="00042ADE">
              <w:rPr>
                <w:sz w:val="22"/>
                <w:szCs w:val="22"/>
              </w:rPr>
              <w:t>2.629</w:t>
            </w:r>
          </w:p>
        </w:tc>
        <w:tc>
          <w:tcPr>
            <w:tcW w:w="1843" w:type="dxa"/>
          </w:tcPr>
          <w:p w14:paraId="089DE023" w14:textId="77777777" w:rsidR="00BC12EC" w:rsidRPr="00042ADE" w:rsidRDefault="00BC12EC" w:rsidP="00C709CC">
            <w:pPr>
              <w:pStyle w:val="Tabletitle"/>
              <w:spacing w:line="240" w:lineRule="auto"/>
              <w:jc w:val="center"/>
              <w:rPr>
                <w:sz w:val="22"/>
                <w:szCs w:val="22"/>
              </w:rPr>
            </w:pPr>
            <w:r w:rsidRPr="00042ADE">
              <w:rPr>
                <w:sz w:val="22"/>
                <w:szCs w:val="22"/>
              </w:rPr>
              <w:t>(-4.069, 9.327)</w:t>
            </w:r>
          </w:p>
        </w:tc>
        <w:tc>
          <w:tcPr>
            <w:tcW w:w="992" w:type="dxa"/>
          </w:tcPr>
          <w:p w14:paraId="2BAC64C6" w14:textId="77777777" w:rsidR="00BC12EC" w:rsidRPr="00042ADE" w:rsidRDefault="00BC12EC" w:rsidP="00C709CC">
            <w:pPr>
              <w:pStyle w:val="Tabletitle"/>
              <w:spacing w:line="240" w:lineRule="auto"/>
              <w:jc w:val="center"/>
              <w:rPr>
                <w:sz w:val="22"/>
                <w:szCs w:val="22"/>
              </w:rPr>
            </w:pPr>
            <w:r w:rsidRPr="00042ADE">
              <w:rPr>
                <w:sz w:val="22"/>
                <w:szCs w:val="22"/>
              </w:rPr>
              <w:t>0.432</w:t>
            </w:r>
          </w:p>
        </w:tc>
        <w:tc>
          <w:tcPr>
            <w:tcW w:w="992" w:type="dxa"/>
          </w:tcPr>
          <w:p w14:paraId="0FA2D367" w14:textId="77777777" w:rsidR="00BC12EC" w:rsidRPr="00042ADE" w:rsidRDefault="00BC12EC" w:rsidP="00C709CC">
            <w:pPr>
              <w:pStyle w:val="Tabletitle"/>
              <w:spacing w:line="240" w:lineRule="auto"/>
              <w:jc w:val="center"/>
              <w:rPr>
                <w:sz w:val="22"/>
                <w:szCs w:val="22"/>
              </w:rPr>
            </w:pPr>
            <w:r w:rsidRPr="00042ADE">
              <w:rPr>
                <w:sz w:val="22"/>
                <w:szCs w:val="22"/>
              </w:rPr>
              <w:t>-1.248</w:t>
            </w:r>
          </w:p>
        </w:tc>
        <w:tc>
          <w:tcPr>
            <w:tcW w:w="1701" w:type="dxa"/>
          </w:tcPr>
          <w:p w14:paraId="7494D73A" w14:textId="77777777" w:rsidR="00BC12EC" w:rsidRPr="00042ADE" w:rsidRDefault="00BC12EC" w:rsidP="00C709CC">
            <w:pPr>
              <w:pStyle w:val="Tabletitle"/>
              <w:spacing w:line="240" w:lineRule="auto"/>
              <w:jc w:val="center"/>
              <w:rPr>
                <w:sz w:val="22"/>
                <w:szCs w:val="22"/>
              </w:rPr>
            </w:pPr>
            <w:r w:rsidRPr="00042ADE">
              <w:rPr>
                <w:sz w:val="22"/>
                <w:szCs w:val="22"/>
              </w:rPr>
              <w:t>(-3.077, 0.581)</w:t>
            </w:r>
          </w:p>
        </w:tc>
        <w:tc>
          <w:tcPr>
            <w:tcW w:w="993" w:type="dxa"/>
          </w:tcPr>
          <w:p w14:paraId="0D11D0D9" w14:textId="77777777" w:rsidR="00BC12EC" w:rsidRPr="00042ADE" w:rsidRDefault="00BC12EC" w:rsidP="00C709CC">
            <w:pPr>
              <w:pStyle w:val="Tabletitle"/>
              <w:spacing w:line="240" w:lineRule="auto"/>
              <w:jc w:val="center"/>
              <w:rPr>
                <w:sz w:val="22"/>
                <w:szCs w:val="22"/>
              </w:rPr>
            </w:pPr>
            <w:r w:rsidRPr="00042ADE">
              <w:rPr>
                <w:sz w:val="22"/>
                <w:szCs w:val="22"/>
              </w:rPr>
              <w:t>0.176</w:t>
            </w:r>
          </w:p>
        </w:tc>
      </w:tr>
      <w:tr w:rsidR="00BC12EC" w:rsidRPr="00042ADE" w14:paraId="4CCD17BA" w14:textId="77777777" w:rsidTr="00ED52BF">
        <w:trPr>
          <w:trHeight w:val="196"/>
        </w:trPr>
        <w:tc>
          <w:tcPr>
            <w:tcW w:w="1656" w:type="dxa"/>
          </w:tcPr>
          <w:p w14:paraId="499ED92A" w14:textId="77777777" w:rsidR="00BC12EC" w:rsidRPr="00042ADE" w:rsidRDefault="00BC12EC" w:rsidP="00C709CC">
            <w:pPr>
              <w:pStyle w:val="Tabletitle"/>
              <w:spacing w:line="240" w:lineRule="auto"/>
              <w:rPr>
                <w:sz w:val="22"/>
                <w:szCs w:val="22"/>
              </w:rPr>
            </w:pPr>
          </w:p>
        </w:tc>
        <w:tc>
          <w:tcPr>
            <w:tcW w:w="1481" w:type="dxa"/>
          </w:tcPr>
          <w:p w14:paraId="6DFE057C" w14:textId="77777777" w:rsidR="00BC12EC" w:rsidRPr="00042ADE" w:rsidRDefault="00BC12EC" w:rsidP="00C709CC">
            <w:pPr>
              <w:pStyle w:val="Tabletitle"/>
              <w:spacing w:line="240" w:lineRule="auto"/>
              <w:jc w:val="center"/>
              <w:rPr>
                <w:b/>
                <w:sz w:val="22"/>
                <w:szCs w:val="22"/>
              </w:rPr>
            </w:pPr>
          </w:p>
        </w:tc>
        <w:tc>
          <w:tcPr>
            <w:tcW w:w="629" w:type="dxa"/>
          </w:tcPr>
          <w:p w14:paraId="45254F19"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3583F09" w14:textId="77777777" w:rsidR="00BC12EC" w:rsidRPr="00042ADE" w:rsidRDefault="00BC12EC" w:rsidP="00C709CC">
            <w:pPr>
              <w:pStyle w:val="Tabletitle"/>
              <w:spacing w:line="240" w:lineRule="auto"/>
              <w:jc w:val="center"/>
              <w:rPr>
                <w:sz w:val="22"/>
                <w:szCs w:val="22"/>
              </w:rPr>
            </w:pPr>
            <w:r w:rsidRPr="00042ADE">
              <w:rPr>
                <w:sz w:val="22"/>
                <w:szCs w:val="22"/>
              </w:rPr>
              <w:t>-0.501</w:t>
            </w:r>
          </w:p>
        </w:tc>
        <w:tc>
          <w:tcPr>
            <w:tcW w:w="1843" w:type="dxa"/>
          </w:tcPr>
          <w:p w14:paraId="2B7704A7" w14:textId="77777777" w:rsidR="00BC12EC" w:rsidRPr="00042ADE" w:rsidRDefault="00BC12EC" w:rsidP="00C709CC">
            <w:pPr>
              <w:pStyle w:val="Tabletitle"/>
              <w:spacing w:line="240" w:lineRule="auto"/>
              <w:jc w:val="center"/>
              <w:rPr>
                <w:sz w:val="22"/>
                <w:szCs w:val="22"/>
              </w:rPr>
            </w:pPr>
            <w:r w:rsidRPr="00042ADE">
              <w:rPr>
                <w:sz w:val="22"/>
                <w:szCs w:val="22"/>
              </w:rPr>
              <w:t>(-6.577, 5.576)</w:t>
            </w:r>
          </w:p>
        </w:tc>
        <w:tc>
          <w:tcPr>
            <w:tcW w:w="992" w:type="dxa"/>
          </w:tcPr>
          <w:p w14:paraId="0FFA3FFB" w14:textId="77777777" w:rsidR="00BC12EC" w:rsidRPr="00042ADE" w:rsidRDefault="00BC12EC" w:rsidP="00C709CC">
            <w:pPr>
              <w:pStyle w:val="Tabletitle"/>
              <w:spacing w:line="240" w:lineRule="auto"/>
              <w:jc w:val="center"/>
              <w:rPr>
                <w:sz w:val="22"/>
                <w:szCs w:val="22"/>
              </w:rPr>
            </w:pPr>
            <w:r w:rsidRPr="00042ADE">
              <w:rPr>
                <w:sz w:val="22"/>
                <w:szCs w:val="22"/>
              </w:rPr>
              <w:t>0.868</w:t>
            </w:r>
          </w:p>
        </w:tc>
        <w:tc>
          <w:tcPr>
            <w:tcW w:w="992" w:type="dxa"/>
          </w:tcPr>
          <w:p w14:paraId="0E753456" w14:textId="77777777" w:rsidR="00BC12EC" w:rsidRPr="00042ADE" w:rsidRDefault="00BC12EC" w:rsidP="00C709CC">
            <w:pPr>
              <w:pStyle w:val="Tabletitle"/>
              <w:spacing w:line="240" w:lineRule="auto"/>
              <w:jc w:val="center"/>
              <w:rPr>
                <w:sz w:val="22"/>
                <w:szCs w:val="22"/>
              </w:rPr>
            </w:pPr>
            <w:r w:rsidRPr="00042ADE">
              <w:rPr>
                <w:sz w:val="22"/>
                <w:szCs w:val="22"/>
              </w:rPr>
              <w:t>-0.958</w:t>
            </w:r>
          </w:p>
        </w:tc>
        <w:tc>
          <w:tcPr>
            <w:tcW w:w="1701" w:type="dxa"/>
          </w:tcPr>
          <w:p w14:paraId="41658AE7" w14:textId="77777777" w:rsidR="00BC12EC" w:rsidRPr="00042ADE" w:rsidRDefault="00BC12EC" w:rsidP="00C709CC">
            <w:pPr>
              <w:pStyle w:val="Tabletitle"/>
              <w:spacing w:line="240" w:lineRule="auto"/>
              <w:jc w:val="center"/>
              <w:rPr>
                <w:sz w:val="22"/>
                <w:szCs w:val="22"/>
              </w:rPr>
            </w:pPr>
            <w:r w:rsidRPr="00042ADE">
              <w:rPr>
                <w:sz w:val="22"/>
                <w:szCs w:val="22"/>
              </w:rPr>
              <w:t>(-2.928, 1.011)</w:t>
            </w:r>
          </w:p>
        </w:tc>
        <w:tc>
          <w:tcPr>
            <w:tcW w:w="993" w:type="dxa"/>
          </w:tcPr>
          <w:p w14:paraId="6F8E9A94" w14:textId="77777777" w:rsidR="00BC12EC" w:rsidRPr="00042ADE" w:rsidRDefault="00BC12EC" w:rsidP="00C709CC">
            <w:pPr>
              <w:pStyle w:val="Tabletitle"/>
              <w:spacing w:line="240" w:lineRule="auto"/>
              <w:jc w:val="center"/>
              <w:rPr>
                <w:sz w:val="22"/>
                <w:szCs w:val="22"/>
              </w:rPr>
            </w:pPr>
            <w:r w:rsidRPr="00042ADE">
              <w:rPr>
                <w:sz w:val="22"/>
                <w:szCs w:val="22"/>
              </w:rPr>
              <w:t>0.333</w:t>
            </w:r>
          </w:p>
        </w:tc>
      </w:tr>
      <w:tr w:rsidR="00BC12EC" w:rsidRPr="00042ADE" w14:paraId="0F6FC740" w14:textId="77777777" w:rsidTr="00ED52BF">
        <w:trPr>
          <w:trHeight w:val="196"/>
        </w:trPr>
        <w:tc>
          <w:tcPr>
            <w:tcW w:w="1656" w:type="dxa"/>
          </w:tcPr>
          <w:p w14:paraId="73140D10" w14:textId="77777777" w:rsidR="00BC12EC" w:rsidRPr="00042ADE" w:rsidRDefault="00BC12EC" w:rsidP="00C709CC">
            <w:pPr>
              <w:pStyle w:val="Tabletitle"/>
              <w:spacing w:line="240" w:lineRule="auto"/>
              <w:rPr>
                <w:sz w:val="22"/>
                <w:szCs w:val="22"/>
              </w:rPr>
            </w:pPr>
          </w:p>
        </w:tc>
        <w:tc>
          <w:tcPr>
            <w:tcW w:w="1481" w:type="dxa"/>
          </w:tcPr>
          <w:p w14:paraId="63461E7D"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140C8F09"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40D7F5C8" w14:textId="77777777" w:rsidR="00BC12EC" w:rsidRPr="00042ADE" w:rsidRDefault="00BC12EC" w:rsidP="00C709CC">
            <w:pPr>
              <w:pStyle w:val="Tabletitle"/>
              <w:spacing w:line="240" w:lineRule="auto"/>
              <w:jc w:val="center"/>
              <w:rPr>
                <w:sz w:val="22"/>
                <w:szCs w:val="22"/>
              </w:rPr>
            </w:pPr>
            <w:r w:rsidRPr="00042ADE">
              <w:rPr>
                <w:sz w:val="22"/>
                <w:szCs w:val="22"/>
              </w:rPr>
              <w:t>2.027</w:t>
            </w:r>
          </w:p>
        </w:tc>
        <w:tc>
          <w:tcPr>
            <w:tcW w:w="1843" w:type="dxa"/>
          </w:tcPr>
          <w:p w14:paraId="37FCC542" w14:textId="77777777" w:rsidR="00BC12EC" w:rsidRPr="00042ADE" w:rsidRDefault="00BC12EC" w:rsidP="00C709CC">
            <w:pPr>
              <w:pStyle w:val="Tabletitle"/>
              <w:spacing w:line="240" w:lineRule="auto"/>
              <w:jc w:val="center"/>
              <w:rPr>
                <w:sz w:val="22"/>
                <w:szCs w:val="22"/>
              </w:rPr>
            </w:pPr>
            <w:r w:rsidRPr="00042ADE">
              <w:rPr>
                <w:sz w:val="22"/>
                <w:szCs w:val="22"/>
              </w:rPr>
              <w:t>(-5.221, 9.274)</w:t>
            </w:r>
          </w:p>
        </w:tc>
        <w:tc>
          <w:tcPr>
            <w:tcW w:w="992" w:type="dxa"/>
          </w:tcPr>
          <w:p w14:paraId="77285961" w14:textId="77777777" w:rsidR="00BC12EC" w:rsidRPr="00042ADE" w:rsidRDefault="00BC12EC" w:rsidP="00C709CC">
            <w:pPr>
              <w:pStyle w:val="Tabletitle"/>
              <w:spacing w:line="240" w:lineRule="auto"/>
              <w:jc w:val="center"/>
              <w:rPr>
                <w:sz w:val="22"/>
                <w:szCs w:val="22"/>
              </w:rPr>
            </w:pPr>
            <w:r w:rsidRPr="00042ADE">
              <w:rPr>
                <w:sz w:val="22"/>
                <w:szCs w:val="22"/>
              </w:rPr>
              <w:t>0.574</w:t>
            </w:r>
          </w:p>
        </w:tc>
        <w:tc>
          <w:tcPr>
            <w:tcW w:w="992" w:type="dxa"/>
          </w:tcPr>
          <w:p w14:paraId="61F9C75C" w14:textId="77777777" w:rsidR="00BC12EC" w:rsidRPr="00042ADE" w:rsidRDefault="00BC12EC" w:rsidP="00C709CC">
            <w:pPr>
              <w:pStyle w:val="Tabletitle"/>
              <w:spacing w:line="240" w:lineRule="auto"/>
              <w:jc w:val="center"/>
              <w:rPr>
                <w:sz w:val="22"/>
                <w:szCs w:val="22"/>
              </w:rPr>
            </w:pPr>
            <w:r w:rsidRPr="00042ADE">
              <w:rPr>
                <w:sz w:val="22"/>
                <w:szCs w:val="22"/>
              </w:rPr>
              <w:t>-1.698</w:t>
            </w:r>
          </w:p>
        </w:tc>
        <w:tc>
          <w:tcPr>
            <w:tcW w:w="1701" w:type="dxa"/>
          </w:tcPr>
          <w:p w14:paraId="46620EA1" w14:textId="77777777" w:rsidR="00BC12EC" w:rsidRPr="00042ADE" w:rsidRDefault="00BC12EC" w:rsidP="00C709CC">
            <w:pPr>
              <w:pStyle w:val="Tabletitle"/>
              <w:spacing w:line="240" w:lineRule="auto"/>
              <w:jc w:val="center"/>
              <w:rPr>
                <w:sz w:val="22"/>
                <w:szCs w:val="22"/>
              </w:rPr>
            </w:pPr>
            <w:r w:rsidRPr="00042ADE">
              <w:rPr>
                <w:sz w:val="22"/>
                <w:szCs w:val="22"/>
              </w:rPr>
              <w:t>(-3.606, 0.210)</w:t>
            </w:r>
          </w:p>
        </w:tc>
        <w:tc>
          <w:tcPr>
            <w:tcW w:w="993" w:type="dxa"/>
          </w:tcPr>
          <w:p w14:paraId="3AD81A25" w14:textId="77777777" w:rsidR="00BC12EC" w:rsidRPr="00042ADE" w:rsidRDefault="00BC12EC" w:rsidP="00C709CC">
            <w:pPr>
              <w:pStyle w:val="Tabletitle"/>
              <w:spacing w:line="240" w:lineRule="auto"/>
              <w:jc w:val="center"/>
              <w:rPr>
                <w:sz w:val="22"/>
                <w:szCs w:val="22"/>
              </w:rPr>
            </w:pPr>
            <w:r w:rsidRPr="00042ADE">
              <w:rPr>
                <w:sz w:val="22"/>
                <w:szCs w:val="22"/>
              </w:rPr>
              <w:t>0.080</w:t>
            </w:r>
          </w:p>
        </w:tc>
      </w:tr>
      <w:tr w:rsidR="00BC12EC" w:rsidRPr="00042ADE" w14:paraId="60AF880D" w14:textId="77777777" w:rsidTr="00ED52BF">
        <w:trPr>
          <w:trHeight w:val="196"/>
        </w:trPr>
        <w:tc>
          <w:tcPr>
            <w:tcW w:w="1656" w:type="dxa"/>
          </w:tcPr>
          <w:p w14:paraId="4E3B9281" w14:textId="77777777" w:rsidR="00BC12EC" w:rsidRPr="00042ADE" w:rsidRDefault="00BC12EC" w:rsidP="00C709CC">
            <w:pPr>
              <w:pStyle w:val="Tabletitle"/>
              <w:spacing w:line="240" w:lineRule="auto"/>
              <w:rPr>
                <w:sz w:val="22"/>
                <w:szCs w:val="22"/>
              </w:rPr>
            </w:pPr>
          </w:p>
        </w:tc>
        <w:tc>
          <w:tcPr>
            <w:tcW w:w="1481" w:type="dxa"/>
          </w:tcPr>
          <w:p w14:paraId="5E7037CD" w14:textId="77777777" w:rsidR="00BC12EC" w:rsidRPr="00042ADE" w:rsidRDefault="00BC12EC" w:rsidP="00C709CC">
            <w:pPr>
              <w:pStyle w:val="Tabletitle"/>
              <w:spacing w:line="240" w:lineRule="auto"/>
              <w:jc w:val="center"/>
              <w:rPr>
                <w:b/>
                <w:sz w:val="22"/>
                <w:szCs w:val="22"/>
              </w:rPr>
            </w:pPr>
          </w:p>
        </w:tc>
        <w:tc>
          <w:tcPr>
            <w:tcW w:w="629" w:type="dxa"/>
          </w:tcPr>
          <w:p w14:paraId="1219A49E"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7CCCFF83" w14:textId="77777777" w:rsidR="00BC12EC" w:rsidRPr="00042ADE" w:rsidRDefault="00BC12EC" w:rsidP="00C709CC">
            <w:pPr>
              <w:pStyle w:val="Tabletitle"/>
              <w:spacing w:line="240" w:lineRule="auto"/>
              <w:jc w:val="center"/>
              <w:rPr>
                <w:sz w:val="22"/>
                <w:szCs w:val="22"/>
              </w:rPr>
            </w:pPr>
            <w:r w:rsidRPr="00042ADE">
              <w:rPr>
                <w:sz w:val="22"/>
                <w:szCs w:val="22"/>
              </w:rPr>
              <w:t>2.288</w:t>
            </w:r>
          </w:p>
        </w:tc>
        <w:tc>
          <w:tcPr>
            <w:tcW w:w="1843" w:type="dxa"/>
          </w:tcPr>
          <w:p w14:paraId="5F7334AE" w14:textId="77777777" w:rsidR="00BC12EC" w:rsidRPr="00042ADE" w:rsidRDefault="00BC12EC" w:rsidP="00C709CC">
            <w:pPr>
              <w:pStyle w:val="Tabletitle"/>
              <w:spacing w:line="240" w:lineRule="auto"/>
              <w:jc w:val="center"/>
              <w:rPr>
                <w:sz w:val="22"/>
                <w:szCs w:val="22"/>
              </w:rPr>
            </w:pPr>
            <w:r w:rsidRPr="00042ADE">
              <w:rPr>
                <w:sz w:val="22"/>
                <w:szCs w:val="22"/>
              </w:rPr>
              <w:t>(-4.459, 9.034)</w:t>
            </w:r>
          </w:p>
        </w:tc>
        <w:tc>
          <w:tcPr>
            <w:tcW w:w="992" w:type="dxa"/>
          </w:tcPr>
          <w:p w14:paraId="61B8ED39" w14:textId="77777777" w:rsidR="00BC12EC" w:rsidRPr="00042ADE" w:rsidRDefault="00BC12EC" w:rsidP="00C709CC">
            <w:pPr>
              <w:pStyle w:val="Tabletitle"/>
              <w:spacing w:line="240" w:lineRule="auto"/>
              <w:jc w:val="center"/>
              <w:rPr>
                <w:sz w:val="22"/>
                <w:szCs w:val="22"/>
              </w:rPr>
            </w:pPr>
            <w:r w:rsidRPr="00042ADE">
              <w:rPr>
                <w:sz w:val="22"/>
                <w:szCs w:val="22"/>
              </w:rPr>
              <w:t>0.496</w:t>
            </w:r>
          </w:p>
        </w:tc>
        <w:tc>
          <w:tcPr>
            <w:tcW w:w="992" w:type="dxa"/>
          </w:tcPr>
          <w:p w14:paraId="0E7180C5" w14:textId="77777777" w:rsidR="00BC12EC" w:rsidRPr="00042ADE" w:rsidRDefault="00BC12EC" w:rsidP="00C709CC">
            <w:pPr>
              <w:pStyle w:val="Tabletitle"/>
              <w:spacing w:line="240" w:lineRule="auto"/>
              <w:jc w:val="center"/>
              <w:rPr>
                <w:sz w:val="22"/>
                <w:szCs w:val="22"/>
              </w:rPr>
            </w:pPr>
            <w:r w:rsidRPr="00042ADE">
              <w:rPr>
                <w:sz w:val="22"/>
                <w:szCs w:val="22"/>
              </w:rPr>
              <w:t>-1.378</w:t>
            </w:r>
          </w:p>
        </w:tc>
        <w:tc>
          <w:tcPr>
            <w:tcW w:w="1701" w:type="dxa"/>
          </w:tcPr>
          <w:p w14:paraId="3365CFF9" w14:textId="77777777" w:rsidR="00BC12EC" w:rsidRPr="00042ADE" w:rsidRDefault="00BC12EC" w:rsidP="00C709CC">
            <w:pPr>
              <w:pStyle w:val="Tabletitle"/>
              <w:spacing w:line="240" w:lineRule="auto"/>
              <w:jc w:val="center"/>
              <w:rPr>
                <w:sz w:val="22"/>
                <w:szCs w:val="22"/>
              </w:rPr>
            </w:pPr>
            <w:r w:rsidRPr="00042ADE">
              <w:rPr>
                <w:sz w:val="22"/>
                <w:szCs w:val="22"/>
              </w:rPr>
              <w:t>(-3.303, 0.546)</w:t>
            </w:r>
          </w:p>
        </w:tc>
        <w:tc>
          <w:tcPr>
            <w:tcW w:w="993" w:type="dxa"/>
          </w:tcPr>
          <w:p w14:paraId="63E84518" w14:textId="77777777" w:rsidR="00BC12EC" w:rsidRPr="00042ADE" w:rsidRDefault="00BC12EC" w:rsidP="00C709CC">
            <w:pPr>
              <w:pStyle w:val="Tabletitle"/>
              <w:spacing w:line="240" w:lineRule="auto"/>
              <w:jc w:val="center"/>
              <w:rPr>
                <w:sz w:val="22"/>
                <w:szCs w:val="22"/>
              </w:rPr>
            </w:pPr>
            <w:r w:rsidRPr="00042ADE">
              <w:rPr>
                <w:sz w:val="22"/>
                <w:szCs w:val="22"/>
              </w:rPr>
              <w:t>0.156</w:t>
            </w:r>
          </w:p>
        </w:tc>
      </w:tr>
      <w:tr w:rsidR="00BC12EC" w:rsidRPr="00042ADE" w14:paraId="27BE2A10" w14:textId="77777777" w:rsidTr="00ED52BF">
        <w:trPr>
          <w:trHeight w:val="196"/>
        </w:trPr>
        <w:tc>
          <w:tcPr>
            <w:tcW w:w="1656" w:type="dxa"/>
          </w:tcPr>
          <w:p w14:paraId="49034EDC" w14:textId="77777777" w:rsidR="00BC12EC" w:rsidRPr="00042ADE" w:rsidRDefault="00BC12EC" w:rsidP="00C709CC">
            <w:pPr>
              <w:pStyle w:val="Tabletitle"/>
              <w:spacing w:line="240" w:lineRule="auto"/>
              <w:rPr>
                <w:sz w:val="22"/>
                <w:szCs w:val="22"/>
              </w:rPr>
            </w:pPr>
            <w:r w:rsidRPr="00042ADE">
              <w:rPr>
                <w:b/>
                <w:sz w:val="22"/>
                <w:szCs w:val="22"/>
              </w:rPr>
              <w:t>Middle Fingertip</w:t>
            </w:r>
          </w:p>
        </w:tc>
        <w:tc>
          <w:tcPr>
            <w:tcW w:w="1481" w:type="dxa"/>
          </w:tcPr>
          <w:p w14:paraId="1EF53C98"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4122518F"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C9FB995" w14:textId="77777777" w:rsidR="00BC12EC" w:rsidRPr="00042ADE" w:rsidRDefault="00BC12EC" w:rsidP="00C709CC">
            <w:pPr>
              <w:pStyle w:val="Tabletitle"/>
              <w:spacing w:line="240" w:lineRule="auto"/>
              <w:jc w:val="center"/>
              <w:rPr>
                <w:sz w:val="22"/>
                <w:szCs w:val="22"/>
              </w:rPr>
            </w:pPr>
            <w:r w:rsidRPr="00042ADE">
              <w:rPr>
                <w:sz w:val="22"/>
                <w:szCs w:val="22"/>
              </w:rPr>
              <w:t>0.231</w:t>
            </w:r>
          </w:p>
        </w:tc>
        <w:tc>
          <w:tcPr>
            <w:tcW w:w="1843" w:type="dxa"/>
          </w:tcPr>
          <w:p w14:paraId="769F72C6" w14:textId="77777777" w:rsidR="00BC12EC" w:rsidRPr="00042ADE" w:rsidRDefault="00BC12EC" w:rsidP="00C709CC">
            <w:pPr>
              <w:pStyle w:val="Tabletitle"/>
              <w:spacing w:line="240" w:lineRule="auto"/>
              <w:jc w:val="center"/>
              <w:rPr>
                <w:sz w:val="22"/>
                <w:szCs w:val="22"/>
              </w:rPr>
            </w:pPr>
            <w:r w:rsidRPr="00042ADE">
              <w:rPr>
                <w:sz w:val="22"/>
                <w:szCs w:val="22"/>
              </w:rPr>
              <w:t>(-6.455, 6.917)</w:t>
            </w:r>
          </w:p>
        </w:tc>
        <w:tc>
          <w:tcPr>
            <w:tcW w:w="992" w:type="dxa"/>
          </w:tcPr>
          <w:p w14:paraId="5E031A7A" w14:textId="77777777" w:rsidR="00BC12EC" w:rsidRPr="00042ADE" w:rsidRDefault="00BC12EC" w:rsidP="00C709CC">
            <w:pPr>
              <w:pStyle w:val="Tabletitle"/>
              <w:spacing w:line="240" w:lineRule="auto"/>
              <w:jc w:val="center"/>
              <w:rPr>
                <w:sz w:val="22"/>
                <w:szCs w:val="22"/>
              </w:rPr>
            </w:pPr>
            <w:r w:rsidRPr="00042ADE">
              <w:rPr>
                <w:sz w:val="22"/>
                <w:szCs w:val="22"/>
              </w:rPr>
              <w:t>0.945</w:t>
            </w:r>
          </w:p>
        </w:tc>
        <w:tc>
          <w:tcPr>
            <w:tcW w:w="992" w:type="dxa"/>
          </w:tcPr>
          <w:p w14:paraId="381BA099" w14:textId="77777777" w:rsidR="00BC12EC" w:rsidRPr="00042ADE" w:rsidRDefault="00BC12EC" w:rsidP="00C709CC">
            <w:pPr>
              <w:pStyle w:val="Tabletitle"/>
              <w:spacing w:line="240" w:lineRule="auto"/>
              <w:jc w:val="center"/>
              <w:rPr>
                <w:sz w:val="22"/>
                <w:szCs w:val="22"/>
              </w:rPr>
            </w:pPr>
            <w:r w:rsidRPr="00042ADE">
              <w:rPr>
                <w:sz w:val="22"/>
                <w:szCs w:val="22"/>
              </w:rPr>
              <w:t>-1.541</w:t>
            </w:r>
          </w:p>
        </w:tc>
        <w:tc>
          <w:tcPr>
            <w:tcW w:w="1701" w:type="dxa"/>
          </w:tcPr>
          <w:p w14:paraId="16ECE51A" w14:textId="77777777" w:rsidR="00BC12EC" w:rsidRPr="00042ADE" w:rsidRDefault="00BC12EC" w:rsidP="00C709CC">
            <w:pPr>
              <w:pStyle w:val="Tabletitle"/>
              <w:spacing w:line="240" w:lineRule="auto"/>
              <w:jc w:val="center"/>
              <w:rPr>
                <w:sz w:val="22"/>
                <w:szCs w:val="22"/>
              </w:rPr>
            </w:pPr>
            <w:r w:rsidRPr="00042ADE">
              <w:rPr>
                <w:sz w:val="22"/>
                <w:szCs w:val="22"/>
              </w:rPr>
              <w:t>(-3.494, 0.412)</w:t>
            </w:r>
          </w:p>
        </w:tc>
        <w:tc>
          <w:tcPr>
            <w:tcW w:w="993" w:type="dxa"/>
          </w:tcPr>
          <w:p w14:paraId="191DCFEB" w14:textId="77777777" w:rsidR="00BC12EC" w:rsidRPr="00042ADE" w:rsidRDefault="00BC12EC" w:rsidP="00C709CC">
            <w:pPr>
              <w:pStyle w:val="Tabletitle"/>
              <w:spacing w:line="240" w:lineRule="auto"/>
              <w:jc w:val="center"/>
              <w:rPr>
                <w:sz w:val="22"/>
                <w:szCs w:val="22"/>
              </w:rPr>
            </w:pPr>
            <w:r w:rsidRPr="00042ADE">
              <w:rPr>
                <w:sz w:val="22"/>
                <w:szCs w:val="22"/>
              </w:rPr>
              <w:t>0.119</w:t>
            </w:r>
          </w:p>
        </w:tc>
      </w:tr>
      <w:tr w:rsidR="00BC12EC" w:rsidRPr="00042ADE" w14:paraId="6D7C2FD7" w14:textId="77777777" w:rsidTr="00ED52BF">
        <w:trPr>
          <w:trHeight w:val="196"/>
        </w:trPr>
        <w:tc>
          <w:tcPr>
            <w:tcW w:w="1656" w:type="dxa"/>
          </w:tcPr>
          <w:p w14:paraId="45606A6C" w14:textId="77777777" w:rsidR="00BC12EC" w:rsidRPr="00042ADE" w:rsidRDefault="00BC12EC" w:rsidP="00C709CC">
            <w:pPr>
              <w:pStyle w:val="Tabletitle"/>
              <w:spacing w:line="240" w:lineRule="auto"/>
              <w:rPr>
                <w:sz w:val="22"/>
                <w:szCs w:val="22"/>
              </w:rPr>
            </w:pPr>
          </w:p>
        </w:tc>
        <w:tc>
          <w:tcPr>
            <w:tcW w:w="1481" w:type="dxa"/>
          </w:tcPr>
          <w:p w14:paraId="1EDF9D6F" w14:textId="77777777" w:rsidR="00BC12EC" w:rsidRPr="00042ADE" w:rsidRDefault="00BC12EC" w:rsidP="00C709CC">
            <w:pPr>
              <w:pStyle w:val="Tabletitle"/>
              <w:spacing w:line="240" w:lineRule="auto"/>
              <w:jc w:val="center"/>
              <w:rPr>
                <w:b/>
                <w:sz w:val="22"/>
                <w:szCs w:val="22"/>
              </w:rPr>
            </w:pPr>
          </w:p>
        </w:tc>
        <w:tc>
          <w:tcPr>
            <w:tcW w:w="629" w:type="dxa"/>
          </w:tcPr>
          <w:p w14:paraId="03A769E5"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48961D01" w14:textId="77777777" w:rsidR="00BC12EC" w:rsidRPr="00042ADE" w:rsidRDefault="00BC12EC" w:rsidP="00C709CC">
            <w:pPr>
              <w:pStyle w:val="Tabletitle"/>
              <w:spacing w:line="240" w:lineRule="auto"/>
              <w:jc w:val="center"/>
              <w:rPr>
                <w:sz w:val="22"/>
                <w:szCs w:val="22"/>
              </w:rPr>
            </w:pPr>
            <w:r w:rsidRPr="00042ADE">
              <w:rPr>
                <w:sz w:val="22"/>
                <w:szCs w:val="22"/>
              </w:rPr>
              <w:t>1.415</w:t>
            </w:r>
          </w:p>
        </w:tc>
        <w:tc>
          <w:tcPr>
            <w:tcW w:w="1843" w:type="dxa"/>
          </w:tcPr>
          <w:p w14:paraId="41E38CA6" w14:textId="77777777" w:rsidR="00BC12EC" w:rsidRPr="00042ADE" w:rsidRDefault="00BC12EC" w:rsidP="00C709CC">
            <w:pPr>
              <w:pStyle w:val="Tabletitle"/>
              <w:spacing w:line="240" w:lineRule="auto"/>
              <w:jc w:val="center"/>
              <w:rPr>
                <w:sz w:val="22"/>
                <w:szCs w:val="22"/>
              </w:rPr>
            </w:pPr>
            <w:r w:rsidRPr="00042ADE">
              <w:rPr>
                <w:sz w:val="22"/>
                <w:szCs w:val="22"/>
              </w:rPr>
              <w:t>(-4.549, 7.379)</w:t>
            </w:r>
          </w:p>
        </w:tc>
        <w:tc>
          <w:tcPr>
            <w:tcW w:w="992" w:type="dxa"/>
          </w:tcPr>
          <w:p w14:paraId="51979B9D" w14:textId="77777777" w:rsidR="00BC12EC" w:rsidRPr="00042ADE" w:rsidRDefault="00BC12EC" w:rsidP="00C709CC">
            <w:pPr>
              <w:pStyle w:val="Tabletitle"/>
              <w:spacing w:line="240" w:lineRule="auto"/>
              <w:jc w:val="center"/>
              <w:rPr>
                <w:sz w:val="22"/>
                <w:szCs w:val="22"/>
              </w:rPr>
            </w:pPr>
            <w:r w:rsidRPr="00042ADE">
              <w:rPr>
                <w:sz w:val="22"/>
                <w:szCs w:val="22"/>
              </w:rPr>
              <w:t>0.634</w:t>
            </w:r>
          </w:p>
        </w:tc>
        <w:tc>
          <w:tcPr>
            <w:tcW w:w="992" w:type="dxa"/>
          </w:tcPr>
          <w:p w14:paraId="4039B1AC" w14:textId="77777777" w:rsidR="00BC12EC" w:rsidRPr="00042ADE" w:rsidRDefault="00BC12EC" w:rsidP="00C709CC">
            <w:pPr>
              <w:pStyle w:val="Tabletitle"/>
              <w:spacing w:line="240" w:lineRule="auto"/>
              <w:jc w:val="center"/>
              <w:rPr>
                <w:sz w:val="22"/>
                <w:szCs w:val="22"/>
              </w:rPr>
            </w:pPr>
            <w:r w:rsidRPr="00042ADE">
              <w:rPr>
                <w:sz w:val="22"/>
                <w:szCs w:val="22"/>
              </w:rPr>
              <w:t>-1.255</w:t>
            </w:r>
          </w:p>
        </w:tc>
        <w:tc>
          <w:tcPr>
            <w:tcW w:w="1701" w:type="dxa"/>
          </w:tcPr>
          <w:p w14:paraId="0061F2F2" w14:textId="77777777" w:rsidR="00BC12EC" w:rsidRPr="00042ADE" w:rsidRDefault="00BC12EC" w:rsidP="00C709CC">
            <w:pPr>
              <w:pStyle w:val="Tabletitle"/>
              <w:spacing w:line="240" w:lineRule="auto"/>
              <w:jc w:val="center"/>
              <w:rPr>
                <w:sz w:val="22"/>
                <w:szCs w:val="22"/>
              </w:rPr>
            </w:pPr>
            <w:r w:rsidRPr="00042ADE">
              <w:rPr>
                <w:sz w:val="22"/>
                <w:szCs w:val="22"/>
              </w:rPr>
              <w:t>(-3.178, 0.667)</w:t>
            </w:r>
          </w:p>
        </w:tc>
        <w:tc>
          <w:tcPr>
            <w:tcW w:w="993" w:type="dxa"/>
          </w:tcPr>
          <w:p w14:paraId="48B1F120" w14:textId="77777777" w:rsidR="00BC12EC" w:rsidRPr="00042ADE" w:rsidRDefault="00BC12EC" w:rsidP="00C709CC">
            <w:pPr>
              <w:pStyle w:val="Tabletitle"/>
              <w:spacing w:line="240" w:lineRule="auto"/>
              <w:jc w:val="center"/>
              <w:rPr>
                <w:sz w:val="22"/>
                <w:szCs w:val="22"/>
              </w:rPr>
            </w:pPr>
            <w:r w:rsidRPr="00042ADE">
              <w:rPr>
                <w:sz w:val="22"/>
                <w:szCs w:val="22"/>
              </w:rPr>
              <w:t>0.195</w:t>
            </w:r>
          </w:p>
        </w:tc>
      </w:tr>
      <w:tr w:rsidR="00BC12EC" w:rsidRPr="00042ADE" w14:paraId="19BA4B7E" w14:textId="77777777" w:rsidTr="00ED52BF">
        <w:trPr>
          <w:trHeight w:val="196"/>
        </w:trPr>
        <w:tc>
          <w:tcPr>
            <w:tcW w:w="1656" w:type="dxa"/>
          </w:tcPr>
          <w:p w14:paraId="504443D0" w14:textId="77777777" w:rsidR="00BC12EC" w:rsidRPr="00042ADE" w:rsidRDefault="00BC12EC" w:rsidP="00C709CC">
            <w:pPr>
              <w:pStyle w:val="Tabletitle"/>
              <w:spacing w:line="240" w:lineRule="auto"/>
              <w:rPr>
                <w:sz w:val="22"/>
                <w:szCs w:val="22"/>
              </w:rPr>
            </w:pPr>
          </w:p>
        </w:tc>
        <w:tc>
          <w:tcPr>
            <w:tcW w:w="1481" w:type="dxa"/>
          </w:tcPr>
          <w:p w14:paraId="65EA7460"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6E7F83B4"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2CEC81C2" w14:textId="77777777" w:rsidR="00BC12EC" w:rsidRPr="00042ADE" w:rsidRDefault="00BC12EC" w:rsidP="00C709CC">
            <w:pPr>
              <w:pStyle w:val="Tabletitle"/>
              <w:spacing w:line="240" w:lineRule="auto"/>
              <w:jc w:val="center"/>
              <w:rPr>
                <w:sz w:val="22"/>
                <w:szCs w:val="22"/>
              </w:rPr>
            </w:pPr>
            <w:r w:rsidRPr="00042ADE">
              <w:rPr>
                <w:sz w:val="22"/>
                <w:szCs w:val="22"/>
              </w:rPr>
              <w:t>0.665</w:t>
            </w:r>
          </w:p>
        </w:tc>
        <w:tc>
          <w:tcPr>
            <w:tcW w:w="1843" w:type="dxa"/>
          </w:tcPr>
          <w:p w14:paraId="083AC293" w14:textId="77777777" w:rsidR="00BC12EC" w:rsidRPr="00042ADE" w:rsidRDefault="00BC12EC" w:rsidP="00C709CC">
            <w:pPr>
              <w:pStyle w:val="Tabletitle"/>
              <w:spacing w:line="240" w:lineRule="auto"/>
              <w:jc w:val="center"/>
              <w:rPr>
                <w:sz w:val="22"/>
                <w:szCs w:val="22"/>
              </w:rPr>
            </w:pPr>
            <w:r w:rsidRPr="00042ADE">
              <w:rPr>
                <w:sz w:val="22"/>
                <w:szCs w:val="22"/>
              </w:rPr>
              <w:t>(-6.287, 7.617)</w:t>
            </w:r>
          </w:p>
        </w:tc>
        <w:tc>
          <w:tcPr>
            <w:tcW w:w="992" w:type="dxa"/>
          </w:tcPr>
          <w:p w14:paraId="514745BC" w14:textId="77777777" w:rsidR="00BC12EC" w:rsidRPr="00042ADE" w:rsidRDefault="00BC12EC" w:rsidP="00C709CC">
            <w:pPr>
              <w:pStyle w:val="Tabletitle"/>
              <w:spacing w:line="240" w:lineRule="auto"/>
              <w:jc w:val="center"/>
              <w:rPr>
                <w:sz w:val="22"/>
                <w:szCs w:val="22"/>
              </w:rPr>
            </w:pPr>
            <w:r w:rsidRPr="00042ADE">
              <w:rPr>
                <w:sz w:val="22"/>
                <w:szCs w:val="22"/>
              </w:rPr>
              <w:t>0.847</w:t>
            </w:r>
          </w:p>
        </w:tc>
        <w:tc>
          <w:tcPr>
            <w:tcW w:w="992" w:type="dxa"/>
          </w:tcPr>
          <w:p w14:paraId="364B3050" w14:textId="77777777" w:rsidR="00BC12EC" w:rsidRPr="00042ADE" w:rsidRDefault="00BC12EC" w:rsidP="00C709CC">
            <w:pPr>
              <w:pStyle w:val="Tabletitle"/>
              <w:spacing w:line="240" w:lineRule="auto"/>
              <w:jc w:val="center"/>
              <w:rPr>
                <w:sz w:val="22"/>
                <w:szCs w:val="22"/>
              </w:rPr>
            </w:pPr>
            <w:r w:rsidRPr="00042ADE">
              <w:rPr>
                <w:sz w:val="22"/>
                <w:szCs w:val="22"/>
              </w:rPr>
              <w:t>-1.597</w:t>
            </w:r>
          </w:p>
        </w:tc>
        <w:tc>
          <w:tcPr>
            <w:tcW w:w="1701" w:type="dxa"/>
          </w:tcPr>
          <w:p w14:paraId="7D893FEE" w14:textId="77777777" w:rsidR="00BC12EC" w:rsidRPr="00042ADE" w:rsidRDefault="00BC12EC" w:rsidP="00C709CC">
            <w:pPr>
              <w:pStyle w:val="Tabletitle"/>
              <w:spacing w:line="240" w:lineRule="auto"/>
              <w:jc w:val="center"/>
              <w:rPr>
                <w:sz w:val="22"/>
                <w:szCs w:val="22"/>
              </w:rPr>
            </w:pPr>
            <w:r w:rsidRPr="00042ADE">
              <w:rPr>
                <w:sz w:val="22"/>
                <w:szCs w:val="22"/>
              </w:rPr>
              <w:t>(-3.533, 0.339)</w:t>
            </w:r>
          </w:p>
        </w:tc>
        <w:tc>
          <w:tcPr>
            <w:tcW w:w="993" w:type="dxa"/>
          </w:tcPr>
          <w:p w14:paraId="1566899F" w14:textId="77777777" w:rsidR="00BC12EC" w:rsidRPr="00042ADE" w:rsidRDefault="00BC12EC" w:rsidP="00C709CC">
            <w:pPr>
              <w:pStyle w:val="Tabletitle"/>
              <w:spacing w:line="240" w:lineRule="auto"/>
              <w:jc w:val="center"/>
              <w:rPr>
                <w:sz w:val="22"/>
                <w:szCs w:val="22"/>
              </w:rPr>
            </w:pPr>
            <w:r w:rsidRPr="00042ADE">
              <w:rPr>
                <w:sz w:val="22"/>
                <w:szCs w:val="22"/>
              </w:rPr>
              <w:t>0.104</w:t>
            </w:r>
          </w:p>
        </w:tc>
      </w:tr>
      <w:tr w:rsidR="00BC12EC" w:rsidRPr="00042ADE" w14:paraId="4E4DA997" w14:textId="77777777" w:rsidTr="00ED52BF">
        <w:trPr>
          <w:trHeight w:val="196"/>
        </w:trPr>
        <w:tc>
          <w:tcPr>
            <w:tcW w:w="1656" w:type="dxa"/>
            <w:tcBorders>
              <w:bottom w:val="single" w:sz="4" w:space="0" w:color="auto"/>
            </w:tcBorders>
          </w:tcPr>
          <w:p w14:paraId="1AEED321"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57264EDC"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73AC3EC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Borders>
              <w:bottom w:val="single" w:sz="4" w:space="0" w:color="auto"/>
            </w:tcBorders>
          </w:tcPr>
          <w:p w14:paraId="31F0ADCF" w14:textId="77777777" w:rsidR="00BC12EC" w:rsidRPr="00042ADE" w:rsidRDefault="00BC12EC" w:rsidP="00C709CC">
            <w:pPr>
              <w:pStyle w:val="Tabletitle"/>
              <w:spacing w:line="240" w:lineRule="auto"/>
              <w:jc w:val="center"/>
              <w:rPr>
                <w:sz w:val="22"/>
                <w:szCs w:val="22"/>
              </w:rPr>
            </w:pPr>
            <w:r w:rsidRPr="00042ADE">
              <w:rPr>
                <w:sz w:val="22"/>
                <w:szCs w:val="22"/>
              </w:rPr>
              <w:t>1.220</w:t>
            </w:r>
          </w:p>
        </w:tc>
        <w:tc>
          <w:tcPr>
            <w:tcW w:w="1843" w:type="dxa"/>
            <w:tcBorders>
              <w:bottom w:val="single" w:sz="4" w:space="0" w:color="auto"/>
            </w:tcBorders>
          </w:tcPr>
          <w:p w14:paraId="7948B87C" w14:textId="77777777" w:rsidR="00BC12EC" w:rsidRPr="00042ADE" w:rsidRDefault="00BC12EC" w:rsidP="00C709CC">
            <w:pPr>
              <w:pStyle w:val="Tabletitle"/>
              <w:spacing w:line="240" w:lineRule="auto"/>
              <w:jc w:val="center"/>
              <w:rPr>
                <w:sz w:val="22"/>
                <w:szCs w:val="22"/>
              </w:rPr>
            </w:pPr>
            <w:r w:rsidRPr="00042ADE">
              <w:rPr>
                <w:sz w:val="22"/>
                <w:szCs w:val="22"/>
              </w:rPr>
              <w:t>(-5.033, 7.473)</w:t>
            </w:r>
          </w:p>
        </w:tc>
        <w:tc>
          <w:tcPr>
            <w:tcW w:w="992" w:type="dxa"/>
            <w:tcBorders>
              <w:bottom w:val="single" w:sz="4" w:space="0" w:color="auto"/>
            </w:tcBorders>
          </w:tcPr>
          <w:p w14:paraId="75DA6887" w14:textId="77777777" w:rsidR="00BC12EC" w:rsidRPr="00042ADE" w:rsidRDefault="00BC12EC" w:rsidP="00C709CC">
            <w:pPr>
              <w:pStyle w:val="Tabletitle"/>
              <w:spacing w:line="240" w:lineRule="auto"/>
              <w:jc w:val="center"/>
              <w:rPr>
                <w:sz w:val="22"/>
                <w:szCs w:val="22"/>
              </w:rPr>
            </w:pPr>
            <w:r w:rsidRPr="00042ADE">
              <w:rPr>
                <w:sz w:val="22"/>
                <w:szCs w:val="22"/>
              </w:rPr>
              <w:t>0.695</w:t>
            </w:r>
          </w:p>
        </w:tc>
        <w:tc>
          <w:tcPr>
            <w:tcW w:w="992" w:type="dxa"/>
            <w:tcBorders>
              <w:bottom w:val="single" w:sz="4" w:space="0" w:color="auto"/>
            </w:tcBorders>
          </w:tcPr>
          <w:p w14:paraId="56E8EA11" w14:textId="77777777" w:rsidR="00BC12EC" w:rsidRPr="00042ADE" w:rsidRDefault="00BC12EC" w:rsidP="00C709CC">
            <w:pPr>
              <w:pStyle w:val="Tabletitle"/>
              <w:spacing w:line="240" w:lineRule="auto"/>
              <w:jc w:val="center"/>
              <w:rPr>
                <w:sz w:val="22"/>
                <w:szCs w:val="22"/>
              </w:rPr>
            </w:pPr>
            <w:r w:rsidRPr="00042ADE">
              <w:rPr>
                <w:sz w:val="22"/>
                <w:szCs w:val="22"/>
              </w:rPr>
              <w:t>-1.361</w:t>
            </w:r>
          </w:p>
        </w:tc>
        <w:tc>
          <w:tcPr>
            <w:tcW w:w="1701" w:type="dxa"/>
            <w:tcBorders>
              <w:bottom w:val="single" w:sz="4" w:space="0" w:color="auto"/>
            </w:tcBorders>
          </w:tcPr>
          <w:p w14:paraId="40688516" w14:textId="77777777" w:rsidR="00BC12EC" w:rsidRPr="00042ADE" w:rsidRDefault="00BC12EC" w:rsidP="00C709CC">
            <w:pPr>
              <w:pStyle w:val="Tabletitle"/>
              <w:spacing w:line="240" w:lineRule="auto"/>
              <w:jc w:val="center"/>
              <w:rPr>
                <w:sz w:val="22"/>
                <w:szCs w:val="22"/>
              </w:rPr>
            </w:pPr>
            <w:r w:rsidRPr="00042ADE">
              <w:rPr>
                <w:sz w:val="22"/>
                <w:szCs w:val="22"/>
              </w:rPr>
              <w:t>(-3.289, 0.567)</w:t>
            </w:r>
          </w:p>
        </w:tc>
        <w:tc>
          <w:tcPr>
            <w:tcW w:w="993" w:type="dxa"/>
            <w:tcBorders>
              <w:bottom w:val="single" w:sz="4" w:space="0" w:color="auto"/>
            </w:tcBorders>
          </w:tcPr>
          <w:p w14:paraId="04C680F3" w14:textId="77777777" w:rsidR="00BC12EC" w:rsidRPr="00042ADE" w:rsidRDefault="00BC12EC" w:rsidP="00C709CC">
            <w:pPr>
              <w:pStyle w:val="Tabletitle"/>
              <w:spacing w:line="240" w:lineRule="auto"/>
              <w:jc w:val="center"/>
              <w:rPr>
                <w:sz w:val="22"/>
                <w:szCs w:val="22"/>
              </w:rPr>
            </w:pPr>
            <w:r w:rsidRPr="00042ADE">
              <w:rPr>
                <w:sz w:val="22"/>
                <w:szCs w:val="22"/>
              </w:rPr>
              <w:t>0.162</w:t>
            </w:r>
          </w:p>
        </w:tc>
      </w:tr>
    </w:tbl>
    <w:p w14:paraId="25B14123" w14:textId="77777777" w:rsidR="00BC12EC" w:rsidRPr="00042ADE" w:rsidRDefault="00BC12EC" w:rsidP="00BC12EC">
      <w:pPr>
        <w:rPr>
          <w:rFonts w:ascii="Times New Roman" w:hAnsi="Times New Roman"/>
          <w:sz w:val="24"/>
          <w:szCs w:val="24"/>
          <w:lang w:val="en-GB"/>
        </w:rPr>
      </w:pPr>
      <w:r w:rsidRPr="00042ADE">
        <w:rPr>
          <w:rFonts w:ascii="Times New Roman" w:hAnsi="Times New Roman"/>
          <w:sz w:val="24"/>
          <w:szCs w:val="24"/>
          <w:lang w:val="en-GB"/>
        </w:rPr>
        <w:br w:type="page"/>
      </w:r>
    </w:p>
    <w:p w14:paraId="1C1C9869" w14:textId="77777777" w:rsidR="00BC12EC" w:rsidRPr="00042ADE" w:rsidRDefault="00BC12EC" w:rsidP="00BC12EC">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lastRenderedPageBreak/>
        <w:t>(Continued) Table 2</w:t>
      </w:r>
      <w:r w:rsidRPr="00042ADE">
        <w:rPr>
          <w:rFonts w:ascii="Times New Roman" w:hAnsi="Times New Roman"/>
          <w:sz w:val="24"/>
          <w:szCs w:val="24"/>
          <w:lang w:val="en-US"/>
        </w:rPr>
        <w:t xml:space="preserve">. </w:t>
      </w:r>
      <w:r w:rsidR="001450CD" w:rsidRPr="00042ADE">
        <w:rPr>
          <w:rFonts w:ascii="Times New Roman" w:hAnsi="Times New Roman"/>
          <w:sz w:val="24"/>
          <w:szCs w:val="24"/>
          <w:lang w:val="en-US"/>
        </w:rPr>
        <w:t xml:space="preserve">Associations between nitric oxide (NOx) levels and temperature of dorsal site of both hands </w:t>
      </w:r>
      <w:r w:rsidR="001450CD" w:rsidRPr="00042ADE">
        <w:rPr>
          <w:rFonts w:ascii="Times New Roman" w:hAnsi="Times New Roman"/>
          <w:sz w:val="24"/>
          <w:szCs w:val="24"/>
          <w:lang w:val="en-GB"/>
        </w:rPr>
        <w:t>among cases (women with FMS) and controls (healthy women).</w:t>
      </w:r>
    </w:p>
    <w:tbl>
      <w:tblPr>
        <w:tblStyle w:val="Tablaconcuadrcula"/>
        <w:tblW w:w="11199" w:type="dxa"/>
        <w:tblInd w:w="-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559"/>
        <w:gridCol w:w="567"/>
        <w:gridCol w:w="850"/>
        <w:gridCol w:w="1843"/>
        <w:gridCol w:w="992"/>
        <w:gridCol w:w="993"/>
        <w:gridCol w:w="1875"/>
        <w:gridCol w:w="993"/>
      </w:tblGrid>
      <w:tr w:rsidR="00BC12EC" w:rsidRPr="00042ADE" w14:paraId="207D9360" w14:textId="77777777" w:rsidTr="00ED52BF">
        <w:trPr>
          <w:trHeight w:val="516"/>
        </w:trPr>
        <w:tc>
          <w:tcPr>
            <w:tcW w:w="1527" w:type="dxa"/>
            <w:tcBorders>
              <w:top w:val="single" w:sz="4" w:space="0" w:color="auto"/>
            </w:tcBorders>
          </w:tcPr>
          <w:p w14:paraId="100FAC92" w14:textId="77777777" w:rsidR="00BC12EC" w:rsidRPr="00042ADE" w:rsidRDefault="00BC12EC" w:rsidP="00C709CC">
            <w:pPr>
              <w:pStyle w:val="Tabletitle"/>
              <w:spacing w:line="240" w:lineRule="auto"/>
              <w:rPr>
                <w:sz w:val="22"/>
                <w:szCs w:val="22"/>
              </w:rPr>
            </w:pPr>
          </w:p>
        </w:tc>
        <w:tc>
          <w:tcPr>
            <w:tcW w:w="1559" w:type="dxa"/>
            <w:tcBorders>
              <w:top w:val="single" w:sz="4" w:space="0" w:color="auto"/>
            </w:tcBorders>
          </w:tcPr>
          <w:p w14:paraId="445C07E6" w14:textId="77777777" w:rsidR="00BC12EC" w:rsidRPr="00042ADE" w:rsidRDefault="00BC12EC" w:rsidP="00C709CC">
            <w:pPr>
              <w:pStyle w:val="Tabletitle"/>
              <w:spacing w:line="240" w:lineRule="auto"/>
              <w:rPr>
                <w:b/>
                <w:sz w:val="22"/>
                <w:szCs w:val="22"/>
              </w:rPr>
            </w:pPr>
          </w:p>
        </w:tc>
        <w:tc>
          <w:tcPr>
            <w:tcW w:w="567" w:type="dxa"/>
            <w:tcBorders>
              <w:top w:val="single" w:sz="4" w:space="0" w:color="auto"/>
            </w:tcBorders>
          </w:tcPr>
          <w:p w14:paraId="19A7D880" w14:textId="77777777" w:rsidR="00BC12EC" w:rsidRPr="00042ADE" w:rsidRDefault="00BC12EC" w:rsidP="00C709CC">
            <w:pPr>
              <w:pStyle w:val="Tabletitle"/>
              <w:spacing w:line="240" w:lineRule="auto"/>
              <w:rPr>
                <w:b/>
                <w:sz w:val="22"/>
                <w:szCs w:val="22"/>
              </w:rPr>
            </w:pPr>
          </w:p>
        </w:tc>
        <w:tc>
          <w:tcPr>
            <w:tcW w:w="2693" w:type="dxa"/>
            <w:gridSpan w:val="2"/>
            <w:tcBorders>
              <w:top w:val="single" w:sz="4" w:space="0" w:color="auto"/>
              <w:bottom w:val="single" w:sz="4" w:space="0" w:color="auto"/>
            </w:tcBorders>
            <w:hideMark/>
          </w:tcPr>
          <w:p w14:paraId="57296716" w14:textId="77777777" w:rsidR="00BC12EC" w:rsidRPr="00042ADE" w:rsidRDefault="00BC12EC" w:rsidP="00C709CC">
            <w:pPr>
              <w:pStyle w:val="Tabletitle"/>
              <w:spacing w:line="240" w:lineRule="auto"/>
              <w:rPr>
                <w:b/>
                <w:sz w:val="22"/>
                <w:szCs w:val="22"/>
              </w:rPr>
            </w:pPr>
          </w:p>
        </w:tc>
        <w:tc>
          <w:tcPr>
            <w:tcW w:w="1985" w:type="dxa"/>
            <w:gridSpan w:val="2"/>
            <w:tcBorders>
              <w:top w:val="single" w:sz="4" w:space="0" w:color="auto"/>
              <w:bottom w:val="single" w:sz="4" w:space="0" w:color="auto"/>
            </w:tcBorders>
          </w:tcPr>
          <w:p w14:paraId="6A64A6DC" w14:textId="77777777" w:rsidR="00BC12EC" w:rsidRPr="00042ADE" w:rsidRDefault="00BC12EC" w:rsidP="00C709CC">
            <w:pPr>
              <w:pStyle w:val="Tabletitle"/>
              <w:spacing w:line="240" w:lineRule="auto"/>
              <w:jc w:val="center"/>
              <w:rPr>
                <w:b/>
                <w:sz w:val="22"/>
                <w:szCs w:val="22"/>
              </w:rPr>
            </w:pPr>
            <w:r w:rsidRPr="00042ADE">
              <w:rPr>
                <w:b/>
                <w:sz w:val="22"/>
                <w:szCs w:val="22"/>
              </w:rPr>
              <w:t>NOx Levels</w:t>
            </w:r>
          </w:p>
        </w:tc>
        <w:tc>
          <w:tcPr>
            <w:tcW w:w="1875" w:type="dxa"/>
            <w:tcBorders>
              <w:top w:val="single" w:sz="4" w:space="0" w:color="auto"/>
              <w:bottom w:val="single" w:sz="4" w:space="0" w:color="auto"/>
            </w:tcBorders>
          </w:tcPr>
          <w:p w14:paraId="32622708" w14:textId="77777777" w:rsidR="00BC12EC" w:rsidRPr="00042ADE" w:rsidRDefault="00BC12EC" w:rsidP="00C709CC">
            <w:pPr>
              <w:pStyle w:val="Tabletitle"/>
              <w:spacing w:line="240" w:lineRule="auto"/>
              <w:rPr>
                <w:b/>
                <w:sz w:val="22"/>
                <w:szCs w:val="22"/>
              </w:rPr>
            </w:pPr>
          </w:p>
        </w:tc>
        <w:tc>
          <w:tcPr>
            <w:tcW w:w="993" w:type="dxa"/>
            <w:tcBorders>
              <w:top w:val="single" w:sz="4" w:space="0" w:color="auto"/>
              <w:bottom w:val="single" w:sz="4" w:space="0" w:color="auto"/>
            </w:tcBorders>
          </w:tcPr>
          <w:p w14:paraId="7A8020F7" w14:textId="77777777" w:rsidR="00BC12EC" w:rsidRPr="00042ADE" w:rsidRDefault="00BC12EC" w:rsidP="00C709CC">
            <w:pPr>
              <w:pStyle w:val="Tabletitle"/>
              <w:spacing w:line="240" w:lineRule="auto"/>
              <w:rPr>
                <w:b/>
                <w:sz w:val="22"/>
                <w:szCs w:val="22"/>
              </w:rPr>
            </w:pPr>
          </w:p>
        </w:tc>
      </w:tr>
      <w:tr w:rsidR="00BC12EC" w:rsidRPr="00042ADE" w14:paraId="5C647E42" w14:textId="77777777" w:rsidTr="00ED52BF">
        <w:trPr>
          <w:trHeight w:val="236"/>
        </w:trPr>
        <w:tc>
          <w:tcPr>
            <w:tcW w:w="1527" w:type="dxa"/>
          </w:tcPr>
          <w:p w14:paraId="0C8B963B" w14:textId="77777777" w:rsidR="00BC12EC" w:rsidRPr="00042ADE" w:rsidRDefault="00BC12EC" w:rsidP="00C709CC">
            <w:pPr>
              <w:pStyle w:val="Tabletitle"/>
              <w:spacing w:line="240" w:lineRule="auto"/>
              <w:rPr>
                <w:sz w:val="22"/>
                <w:szCs w:val="22"/>
              </w:rPr>
            </w:pPr>
          </w:p>
        </w:tc>
        <w:tc>
          <w:tcPr>
            <w:tcW w:w="1559" w:type="dxa"/>
          </w:tcPr>
          <w:p w14:paraId="620F0C6E" w14:textId="77777777" w:rsidR="00BC12EC" w:rsidRPr="00042ADE" w:rsidRDefault="00BC12EC" w:rsidP="00C709CC">
            <w:pPr>
              <w:pStyle w:val="Tabletitle"/>
              <w:spacing w:line="240" w:lineRule="auto"/>
              <w:jc w:val="center"/>
              <w:rPr>
                <w:b/>
                <w:sz w:val="22"/>
                <w:szCs w:val="22"/>
              </w:rPr>
            </w:pPr>
          </w:p>
        </w:tc>
        <w:tc>
          <w:tcPr>
            <w:tcW w:w="567" w:type="dxa"/>
          </w:tcPr>
          <w:p w14:paraId="765CBE3C" w14:textId="77777777" w:rsidR="00BC12EC" w:rsidRPr="00042ADE" w:rsidRDefault="00BC12EC" w:rsidP="00C709CC">
            <w:pPr>
              <w:pStyle w:val="Tabletitle"/>
              <w:spacing w:line="240" w:lineRule="auto"/>
              <w:jc w:val="center"/>
              <w:rPr>
                <w:b/>
                <w:sz w:val="22"/>
                <w:szCs w:val="22"/>
              </w:rPr>
            </w:pPr>
          </w:p>
        </w:tc>
        <w:tc>
          <w:tcPr>
            <w:tcW w:w="850" w:type="dxa"/>
            <w:tcBorders>
              <w:top w:val="single" w:sz="4" w:space="0" w:color="auto"/>
              <w:bottom w:val="single" w:sz="4" w:space="0" w:color="auto"/>
            </w:tcBorders>
          </w:tcPr>
          <w:p w14:paraId="5EFB01AD" w14:textId="77777777" w:rsidR="00BC12EC" w:rsidRPr="00042ADE" w:rsidRDefault="00BC12EC" w:rsidP="00C709CC">
            <w:pPr>
              <w:pStyle w:val="Tabletitle"/>
              <w:spacing w:line="240" w:lineRule="auto"/>
              <w:jc w:val="center"/>
              <w:rPr>
                <w:b/>
                <w:sz w:val="22"/>
                <w:szCs w:val="22"/>
              </w:rPr>
            </w:pPr>
          </w:p>
        </w:tc>
        <w:tc>
          <w:tcPr>
            <w:tcW w:w="2835" w:type="dxa"/>
            <w:gridSpan w:val="2"/>
            <w:tcBorders>
              <w:top w:val="single" w:sz="4" w:space="0" w:color="auto"/>
              <w:bottom w:val="single" w:sz="4" w:space="0" w:color="auto"/>
            </w:tcBorders>
          </w:tcPr>
          <w:p w14:paraId="5E7C29AE" w14:textId="77777777" w:rsidR="00BC12EC" w:rsidRPr="00042ADE" w:rsidRDefault="00BC12EC" w:rsidP="00C709CC">
            <w:pPr>
              <w:pStyle w:val="Tabletitle"/>
              <w:spacing w:line="240" w:lineRule="auto"/>
              <w:jc w:val="center"/>
              <w:rPr>
                <w:b/>
                <w:i/>
                <w:sz w:val="22"/>
                <w:szCs w:val="22"/>
              </w:rPr>
            </w:pPr>
            <w:r w:rsidRPr="00042ADE">
              <w:rPr>
                <w:b/>
                <w:sz w:val="22"/>
                <w:szCs w:val="22"/>
              </w:rPr>
              <w:t>FMS Women (n=42)</w:t>
            </w:r>
          </w:p>
        </w:tc>
        <w:tc>
          <w:tcPr>
            <w:tcW w:w="993" w:type="dxa"/>
            <w:tcBorders>
              <w:top w:val="single" w:sz="4" w:space="0" w:color="auto"/>
              <w:bottom w:val="single" w:sz="4" w:space="0" w:color="auto"/>
            </w:tcBorders>
          </w:tcPr>
          <w:p w14:paraId="5C57DE43" w14:textId="77777777" w:rsidR="00BC12EC" w:rsidRPr="00042ADE" w:rsidRDefault="00BC12EC" w:rsidP="00C709CC">
            <w:pPr>
              <w:pStyle w:val="Tabletitle"/>
              <w:spacing w:line="240" w:lineRule="auto"/>
              <w:jc w:val="center"/>
              <w:rPr>
                <w:b/>
                <w:sz w:val="22"/>
                <w:szCs w:val="22"/>
              </w:rPr>
            </w:pPr>
          </w:p>
        </w:tc>
        <w:tc>
          <w:tcPr>
            <w:tcW w:w="2868" w:type="dxa"/>
            <w:gridSpan w:val="2"/>
            <w:tcBorders>
              <w:top w:val="single" w:sz="4" w:space="0" w:color="auto"/>
              <w:bottom w:val="single" w:sz="4" w:space="0" w:color="auto"/>
            </w:tcBorders>
          </w:tcPr>
          <w:p w14:paraId="31F69951" w14:textId="77777777" w:rsidR="00BC12EC" w:rsidRPr="00042ADE" w:rsidRDefault="00BC12EC" w:rsidP="00C709CC">
            <w:pPr>
              <w:pStyle w:val="Tabletitle"/>
              <w:spacing w:line="240" w:lineRule="auto"/>
              <w:jc w:val="center"/>
              <w:rPr>
                <w:b/>
                <w:i/>
                <w:sz w:val="22"/>
                <w:szCs w:val="22"/>
              </w:rPr>
            </w:pPr>
            <w:r w:rsidRPr="00042ADE">
              <w:rPr>
                <w:b/>
                <w:sz w:val="22"/>
                <w:szCs w:val="22"/>
              </w:rPr>
              <w:t>Healthy Women (n=52)</w:t>
            </w:r>
          </w:p>
        </w:tc>
      </w:tr>
      <w:tr w:rsidR="00BC12EC" w:rsidRPr="00042ADE" w14:paraId="5124A07E" w14:textId="77777777" w:rsidTr="00ED52BF">
        <w:trPr>
          <w:trHeight w:val="236"/>
        </w:trPr>
        <w:tc>
          <w:tcPr>
            <w:tcW w:w="1527" w:type="dxa"/>
            <w:tcBorders>
              <w:bottom w:val="single" w:sz="4" w:space="0" w:color="auto"/>
            </w:tcBorders>
          </w:tcPr>
          <w:p w14:paraId="164C8EE8" w14:textId="77777777" w:rsidR="00BC12EC" w:rsidRPr="00042ADE" w:rsidRDefault="00BC12EC" w:rsidP="00C709CC">
            <w:pPr>
              <w:pStyle w:val="Tabletitle"/>
              <w:spacing w:line="240" w:lineRule="auto"/>
              <w:rPr>
                <w:sz w:val="22"/>
                <w:szCs w:val="22"/>
              </w:rPr>
            </w:pPr>
          </w:p>
        </w:tc>
        <w:tc>
          <w:tcPr>
            <w:tcW w:w="1559" w:type="dxa"/>
            <w:tcBorders>
              <w:bottom w:val="single" w:sz="4" w:space="0" w:color="auto"/>
            </w:tcBorders>
          </w:tcPr>
          <w:p w14:paraId="12132776" w14:textId="77777777" w:rsidR="00BC12EC" w:rsidRPr="00042ADE" w:rsidRDefault="00BC12EC" w:rsidP="00C709CC">
            <w:pPr>
              <w:pStyle w:val="Tabletitle"/>
              <w:spacing w:line="240" w:lineRule="auto"/>
              <w:jc w:val="center"/>
              <w:rPr>
                <w:b/>
                <w:sz w:val="22"/>
                <w:szCs w:val="22"/>
              </w:rPr>
            </w:pPr>
          </w:p>
        </w:tc>
        <w:tc>
          <w:tcPr>
            <w:tcW w:w="567" w:type="dxa"/>
            <w:tcBorders>
              <w:bottom w:val="single" w:sz="4" w:space="0" w:color="auto"/>
            </w:tcBorders>
          </w:tcPr>
          <w:p w14:paraId="03DD90CB" w14:textId="77777777" w:rsidR="00BC12EC" w:rsidRPr="00042ADE" w:rsidRDefault="00BC12EC" w:rsidP="00C709CC">
            <w:pPr>
              <w:pStyle w:val="Tabletitle"/>
              <w:spacing w:line="240" w:lineRule="auto"/>
              <w:jc w:val="center"/>
              <w:rPr>
                <w:b/>
                <w:sz w:val="22"/>
                <w:szCs w:val="22"/>
              </w:rPr>
            </w:pPr>
          </w:p>
        </w:tc>
        <w:tc>
          <w:tcPr>
            <w:tcW w:w="850" w:type="dxa"/>
            <w:tcBorders>
              <w:top w:val="single" w:sz="4" w:space="0" w:color="auto"/>
              <w:bottom w:val="single" w:sz="4" w:space="0" w:color="auto"/>
            </w:tcBorders>
            <w:hideMark/>
          </w:tcPr>
          <w:p w14:paraId="660874B1"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43" w:type="dxa"/>
            <w:tcBorders>
              <w:top w:val="single" w:sz="4" w:space="0" w:color="auto"/>
              <w:bottom w:val="single" w:sz="4" w:space="0" w:color="auto"/>
            </w:tcBorders>
            <w:hideMark/>
          </w:tcPr>
          <w:p w14:paraId="6D7185F0"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2" w:type="dxa"/>
            <w:tcBorders>
              <w:top w:val="single" w:sz="4" w:space="0" w:color="auto"/>
              <w:bottom w:val="single" w:sz="4" w:space="0" w:color="auto"/>
            </w:tcBorders>
            <w:hideMark/>
          </w:tcPr>
          <w:p w14:paraId="372C27A6"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c>
          <w:tcPr>
            <w:tcW w:w="993" w:type="dxa"/>
            <w:tcBorders>
              <w:top w:val="single" w:sz="4" w:space="0" w:color="auto"/>
              <w:bottom w:val="single" w:sz="4" w:space="0" w:color="auto"/>
            </w:tcBorders>
          </w:tcPr>
          <w:p w14:paraId="33F9CEAB"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75" w:type="dxa"/>
            <w:tcBorders>
              <w:top w:val="single" w:sz="4" w:space="0" w:color="auto"/>
              <w:bottom w:val="single" w:sz="4" w:space="0" w:color="auto"/>
            </w:tcBorders>
          </w:tcPr>
          <w:p w14:paraId="117A34EA"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3" w:type="dxa"/>
            <w:tcBorders>
              <w:top w:val="single" w:sz="4" w:space="0" w:color="auto"/>
              <w:bottom w:val="single" w:sz="4" w:space="0" w:color="auto"/>
            </w:tcBorders>
          </w:tcPr>
          <w:p w14:paraId="184CB0BA"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r>
      <w:tr w:rsidR="00BC12EC" w:rsidRPr="00042ADE" w14:paraId="5DF5122C" w14:textId="77777777" w:rsidTr="00ED52BF">
        <w:trPr>
          <w:trHeight w:val="196"/>
        </w:trPr>
        <w:tc>
          <w:tcPr>
            <w:tcW w:w="1527" w:type="dxa"/>
            <w:tcBorders>
              <w:top w:val="single" w:sz="4" w:space="0" w:color="auto"/>
            </w:tcBorders>
          </w:tcPr>
          <w:p w14:paraId="052DE236" w14:textId="77777777" w:rsidR="00BC12EC" w:rsidRPr="00042ADE" w:rsidRDefault="00BC12EC" w:rsidP="00C709CC">
            <w:pPr>
              <w:pStyle w:val="Tabletitle"/>
              <w:spacing w:line="240" w:lineRule="auto"/>
              <w:rPr>
                <w:b/>
                <w:sz w:val="22"/>
                <w:szCs w:val="22"/>
              </w:rPr>
            </w:pPr>
            <w:r w:rsidRPr="00042ADE">
              <w:rPr>
                <w:b/>
                <w:sz w:val="22"/>
                <w:szCs w:val="22"/>
              </w:rPr>
              <w:t>Palm site of the hand</w:t>
            </w:r>
          </w:p>
        </w:tc>
        <w:tc>
          <w:tcPr>
            <w:tcW w:w="1559" w:type="dxa"/>
            <w:tcBorders>
              <w:top w:val="single" w:sz="4" w:space="0" w:color="auto"/>
            </w:tcBorders>
          </w:tcPr>
          <w:p w14:paraId="4C4BDC53" w14:textId="77777777" w:rsidR="00BC12EC" w:rsidRPr="00042ADE" w:rsidRDefault="00BC12EC" w:rsidP="00C709CC">
            <w:pPr>
              <w:pStyle w:val="Tabletitle"/>
              <w:spacing w:line="240" w:lineRule="auto"/>
              <w:jc w:val="center"/>
              <w:rPr>
                <w:sz w:val="22"/>
                <w:szCs w:val="22"/>
              </w:rPr>
            </w:pPr>
          </w:p>
        </w:tc>
        <w:tc>
          <w:tcPr>
            <w:tcW w:w="567" w:type="dxa"/>
            <w:tcBorders>
              <w:top w:val="single" w:sz="4" w:space="0" w:color="auto"/>
            </w:tcBorders>
          </w:tcPr>
          <w:p w14:paraId="15504A86" w14:textId="77777777" w:rsidR="00BC12EC" w:rsidRPr="00042ADE" w:rsidRDefault="00BC12EC" w:rsidP="00C709CC">
            <w:pPr>
              <w:pStyle w:val="Tabletitle"/>
              <w:spacing w:line="240" w:lineRule="auto"/>
              <w:jc w:val="center"/>
              <w:rPr>
                <w:sz w:val="22"/>
                <w:szCs w:val="22"/>
              </w:rPr>
            </w:pPr>
          </w:p>
        </w:tc>
        <w:tc>
          <w:tcPr>
            <w:tcW w:w="850" w:type="dxa"/>
            <w:tcBorders>
              <w:top w:val="single" w:sz="4" w:space="0" w:color="auto"/>
            </w:tcBorders>
          </w:tcPr>
          <w:p w14:paraId="4447BF83" w14:textId="77777777" w:rsidR="00BC12EC" w:rsidRPr="00042ADE" w:rsidRDefault="00BC12EC" w:rsidP="00C709CC">
            <w:pPr>
              <w:pStyle w:val="Tabletitle"/>
              <w:spacing w:line="240" w:lineRule="auto"/>
              <w:jc w:val="center"/>
              <w:rPr>
                <w:sz w:val="22"/>
                <w:szCs w:val="22"/>
              </w:rPr>
            </w:pPr>
          </w:p>
        </w:tc>
        <w:tc>
          <w:tcPr>
            <w:tcW w:w="1843" w:type="dxa"/>
            <w:tcBorders>
              <w:top w:val="single" w:sz="4" w:space="0" w:color="auto"/>
            </w:tcBorders>
          </w:tcPr>
          <w:p w14:paraId="0F8ACD59"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tcBorders>
          </w:tcPr>
          <w:p w14:paraId="5AF4911E"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tcBorders>
          </w:tcPr>
          <w:p w14:paraId="7370182B" w14:textId="77777777" w:rsidR="00BC12EC" w:rsidRPr="00042ADE" w:rsidRDefault="00BC12EC" w:rsidP="00C709CC">
            <w:pPr>
              <w:pStyle w:val="Tabletitle"/>
              <w:spacing w:line="240" w:lineRule="auto"/>
              <w:jc w:val="center"/>
              <w:rPr>
                <w:sz w:val="22"/>
                <w:szCs w:val="22"/>
              </w:rPr>
            </w:pPr>
          </w:p>
        </w:tc>
        <w:tc>
          <w:tcPr>
            <w:tcW w:w="1875" w:type="dxa"/>
            <w:tcBorders>
              <w:top w:val="single" w:sz="4" w:space="0" w:color="auto"/>
            </w:tcBorders>
          </w:tcPr>
          <w:p w14:paraId="2E5C1585"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tcBorders>
          </w:tcPr>
          <w:p w14:paraId="1DB25860" w14:textId="77777777" w:rsidR="00BC12EC" w:rsidRPr="00042ADE" w:rsidRDefault="00BC12EC" w:rsidP="00C709CC">
            <w:pPr>
              <w:pStyle w:val="Tabletitle"/>
              <w:spacing w:line="240" w:lineRule="auto"/>
              <w:jc w:val="center"/>
              <w:rPr>
                <w:sz w:val="22"/>
                <w:szCs w:val="22"/>
              </w:rPr>
            </w:pPr>
          </w:p>
        </w:tc>
      </w:tr>
      <w:tr w:rsidR="00BC12EC" w:rsidRPr="00042ADE" w14:paraId="28851738" w14:textId="77777777" w:rsidTr="00ED52BF">
        <w:trPr>
          <w:trHeight w:val="196"/>
        </w:trPr>
        <w:tc>
          <w:tcPr>
            <w:tcW w:w="1527" w:type="dxa"/>
          </w:tcPr>
          <w:p w14:paraId="1DC6FDC6" w14:textId="77777777" w:rsidR="00BC12EC" w:rsidRPr="00042ADE" w:rsidRDefault="00BC12EC" w:rsidP="00C709CC">
            <w:pPr>
              <w:pStyle w:val="Tabletitle"/>
              <w:spacing w:line="240" w:lineRule="auto"/>
              <w:rPr>
                <w:sz w:val="22"/>
                <w:szCs w:val="22"/>
              </w:rPr>
            </w:pPr>
          </w:p>
        </w:tc>
        <w:tc>
          <w:tcPr>
            <w:tcW w:w="1559" w:type="dxa"/>
          </w:tcPr>
          <w:p w14:paraId="76025BF5"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567" w:type="dxa"/>
          </w:tcPr>
          <w:p w14:paraId="538ECDB3"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28762412" w14:textId="77777777" w:rsidR="00BC12EC" w:rsidRPr="00042ADE" w:rsidRDefault="00BC12EC" w:rsidP="00C709CC">
            <w:pPr>
              <w:pStyle w:val="Tabletitle"/>
              <w:spacing w:line="240" w:lineRule="auto"/>
              <w:jc w:val="center"/>
              <w:rPr>
                <w:sz w:val="22"/>
                <w:szCs w:val="22"/>
              </w:rPr>
            </w:pPr>
            <w:r w:rsidRPr="00042ADE">
              <w:rPr>
                <w:sz w:val="22"/>
                <w:szCs w:val="22"/>
              </w:rPr>
              <w:t>1.301</w:t>
            </w:r>
          </w:p>
        </w:tc>
        <w:tc>
          <w:tcPr>
            <w:tcW w:w="1843" w:type="dxa"/>
          </w:tcPr>
          <w:p w14:paraId="57528A6C" w14:textId="77777777" w:rsidR="00BC12EC" w:rsidRPr="00042ADE" w:rsidRDefault="00BC12EC" w:rsidP="00C709CC">
            <w:pPr>
              <w:pStyle w:val="Tabletitle"/>
              <w:spacing w:line="240" w:lineRule="auto"/>
              <w:jc w:val="center"/>
              <w:rPr>
                <w:sz w:val="22"/>
                <w:szCs w:val="22"/>
              </w:rPr>
            </w:pPr>
            <w:r w:rsidRPr="00042ADE">
              <w:rPr>
                <w:sz w:val="22"/>
                <w:szCs w:val="22"/>
              </w:rPr>
              <w:t>(-6.179, 8.780)</w:t>
            </w:r>
          </w:p>
        </w:tc>
        <w:tc>
          <w:tcPr>
            <w:tcW w:w="992" w:type="dxa"/>
          </w:tcPr>
          <w:p w14:paraId="149540CE" w14:textId="77777777" w:rsidR="00BC12EC" w:rsidRPr="00042ADE" w:rsidRDefault="00BC12EC" w:rsidP="00C709CC">
            <w:pPr>
              <w:pStyle w:val="Tabletitle"/>
              <w:spacing w:line="240" w:lineRule="auto"/>
              <w:jc w:val="center"/>
              <w:rPr>
                <w:sz w:val="22"/>
                <w:szCs w:val="22"/>
              </w:rPr>
            </w:pPr>
            <w:r w:rsidRPr="00042ADE">
              <w:rPr>
                <w:sz w:val="22"/>
                <w:szCs w:val="22"/>
              </w:rPr>
              <w:t>0.727</w:t>
            </w:r>
          </w:p>
        </w:tc>
        <w:tc>
          <w:tcPr>
            <w:tcW w:w="993" w:type="dxa"/>
          </w:tcPr>
          <w:p w14:paraId="3CE3E412" w14:textId="77777777" w:rsidR="00BC12EC" w:rsidRPr="00042ADE" w:rsidRDefault="00BC12EC" w:rsidP="00C709CC">
            <w:pPr>
              <w:pStyle w:val="Tabletitle"/>
              <w:spacing w:line="240" w:lineRule="auto"/>
              <w:jc w:val="center"/>
              <w:rPr>
                <w:sz w:val="22"/>
                <w:szCs w:val="22"/>
              </w:rPr>
            </w:pPr>
            <w:r w:rsidRPr="00042ADE">
              <w:rPr>
                <w:sz w:val="22"/>
                <w:szCs w:val="22"/>
              </w:rPr>
              <w:t>-0.559</w:t>
            </w:r>
          </w:p>
        </w:tc>
        <w:tc>
          <w:tcPr>
            <w:tcW w:w="1875" w:type="dxa"/>
          </w:tcPr>
          <w:p w14:paraId="0DB15A16" w14:textId="77777777" w:rsidR="00BC12EC" w:rsidRPr="00042ADE" w:rsidRDefault="00BC12EC" w:rsidP="00C709CC">
            <w:pPr>
              <w:pStyle w:val="Tabletitle"/>
              <w:spacing w:line="240" w:lineRule="auto"/>
              <w:jc w:val="center"/>
              <w:rPr>
                <w:sz w:val="22"/>
                <w:szCs w:val="22"/>
              </w:rPr>
            </w:pPr>
            <w:r w:rsidRPr="00042ADE">
              <w:rPr>
                <w:sz w:val="22"/>
                <w:szCs w:val="22"/>
              </w:rPr>
              <w:t>(-2.404, 1.286)</w:t>
            </w:r>
          </w:p>
        </w:tc>
        <w:tc>
          <w:tcPr>
            <w:tcW w:w="993" w:type="dxa"/>
          </w:tcPr>
          <w:p w14:paraId="67D9C5C5" w14:textId="77777777" w:rsidR="00BC12EC" w:rsidRPr="00042ADE" w:rsidRDefault="00BC12EC" w:rsidP="00C709CC">
            <w:pPr>
              <w:pStyle w:val="Tabletitle"/>
              <w:spacing w:line="240" w:lineRule="auto"/>
              <w:jc w:val="center"/>
              <w:rPr>
                <w:sz w:val="22"/>
                <w:szCs w:val="22"/>
              </w:rPr>
            </w:pPr>
            <w:r w:rsidRPr="00042ADE">
              <w:rPr>
                <w:sz w:val="22"/>
                <w:szCs w:val="22"/>
              </w:rPr>
              <w:t>0.545</w:t>
            </w:r>
          </w:p>
        </w:tc>
      </w:tr>
      <w:tr w:rsidR="00BC12EC" w:rsidRPr="00042ADE" w14:paraId="6F926A53" w14:textId="77777777" w:rsidTr="00ED52BF">
        <w:trPr>
          <w:trHeight w:val="196"/>
        </w:trPr>
        <w:tc>
          <w:tcPr>
            <w:tcW w:w="1527" w:type="dxa"/>
          </w:tcPr>
          <w:p w14:paraId="14D89477" w14:textId="77777777" w:rsidR="00BC12EC" w:rsidRPr="00042ADE" w:rsidRDefault="00BC12EC" w:rsidP="00C709CC">
            <w:pPr>
              <w:pStyle w:val="Tabletitle"/>
              <w:spacing w:line="240" w:lineRule="auto"/>
              <w:rPr>
                <w:sz w:val="22"/>
                <w:szCs w:val="22"/>
              </w:rPr>
            </w:pPr>
          </w:p>
        </w:tc>
        <w:tc>
          <w:tcPr>
            <w:tcW w:w="1559" w:type="dxa"/>
          </w:tcPr>
          <w:p w14:paraId="53C459E5" w14:textId="77777777" w:rsidR="00BC12EC" w:rsidRPr="00042ADE" w:rsidRDefault="00BC12EC" w:rsidP="00C709CC">
            <w:pPr>
              <w:pStyle w:val="Tabletitle"/>
              <w:spacing w:line="240" w:lineRule="auto"/>
              <w:jc w:val="center"/>
              <w:rPr>
                <w:b/>
                <w:sz w:val="22"/>
                <w:szCs w:val="22"/>
              </w:rPr>
            </w:pPr>
          </w:p>
        </w:tc>
        <w:tc>
          <w:tcPr>
            <w:tcW w:w="567" w:type="dxa"/>
          </w:tcPr>
          <w:p w14:paraId="2EB976AA"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1C0A34BF" w14:textId="77777777" w:rsidR="00BC12EC" w:rsidRPr="00042ADE" w:rsidRDefault="00BC12EC" w:rsidP="00C709CC">
            <w:pPr>
              <w:pStyle w:val="Tabletitle"/>
              <w:spacing w:line="240" w:lineRule="auto"/>
              <w:jc w:val="center"/>
              <w:rPr>
                <w:sz w:val="22"/>
                <w:szCs w:val="22"/>
              </w:rPr>
            </w:pPr>
            <w:r w:rsidRPr="00042ADE">
              <w:rPr>
                <w:sz w:val="22"/>
                <w:szCs w:val="22"/>
              </w:rPr>
              <w:t>-0.625</w:t>
            </w:r>
          </w:p>
        </w:tc>
        <w:tc>
          <w:tcPr>
            <w:tcW w:w="1843" w:type="dxa"/>
          </w:tcPr>
          <w:p w14:paraId="4E9646D2" w14:textId="77777777" w:rsidR="00BC12EC" w:rsidRPr="00042ADE" w:rsidRDefault="00BC12EC" w:rsidP="00C709CC">
            <w:pPr>
              <w:pStyle w:val="Tabletitle"/>
              <w:spacing w:line="240" w:lineRule="auto"/>
              <w:jc w:val="center"/>
              <w:rPr>
                <w:sz w:val="22"/>
                <w:szCs w:val="22"/>
              </w:rPr>
            </w:pPr>
            <w:r w:rsidRPr="00042ADE">
              <w:rPr>
                <w:sz w:val="22"/>
                <w:szCs w:val="22"/>
              </w:rPr>
              <w:t>(-6.514, 5.264)</w:t>
            </w:r>
          </w:p>
        </w:tc>
        <w:tc>
          <w:tcPr>
            <w:tcW w:w="992" w:type="dxa"/>
          </w:tcPr>
          <w:p w14:paraId="7627D268" w14:textId="77777777" w:rsidR="00BC12EC" w:rsidRPr="00042ADE" w:rsidRDefault="00BC12EC" w:rsidP="00C709CC">
            <w:pPr>
              <w:pStyle w:val="Tabletitle"/>
              <w:spacing w:line="240" w:lineRule="auto"/>
              <w:jc w:val="center"/>
              <w:rPr>
                <w:sz w:val="22"/>
                <w:szCs w:val="22"/>
              </w:rPr>
            </w:pPr>
            <w:r w:rsidRPr="00042ADE">
              <w:rPr>
                <w:sz w:val="22"/>
                <w:szCs w:val="22"/>
              </w:rPr>
              <w:t>0.831</w:t>
            </w:r>
          </w:p>
        </w:tc>
        <w:tc>
          <w:tcPr>
            <w:tcW w:w="993" w:type="dxa"/>
          </w:tcPr>
          <w:p w14:paraId="70BFE41A" w14:textId="77777777" w:rsidR="00BC12EC" w:rsidRPr="00042ADE" w:rsidRDefault="00BC12EC" w:rsidP="00C709CC">
            <w:pPr>
              <w:pStyle w:val="Tabletitle"/>
              <w:spacing w:line="240" w:lineRule="auto"/>
              <w:jc w:val="center"/>
              <w:rPr>
                <w:sz w:val="22"/>
                <w:szCs w:val="22"/>
              </w:rPr>
            </w:pPr>
            <w:r w:rsidRPr="00042ADE">
              <w:rPr>
                <w:sz w:val="22"/>
                <w:szCs w:val="22"/>
              </w:rPr>
              <w:t>-1.237</w:t>
            </w:r>
          </w:p>
        </w:tc>
        <w:tc>
          <w:tcPr>
            <w:tcW w:w="1875" w:type="dxa"/>
          </w:tcPr>
          <w:p w14:paraId="0C9EB142" w14:textId="77777777" w:rsidR="00BC12EC" w:rsidRPr="00042ADE" w:rsidRDefault="00BC12EC" w:rsidP="00C709CC">
            <w:pPr>
              <w:pStyle w:val="Tabletitle"/>
              <w:spacing w:line="240" w:lineRule="auto"/>
              <w:jc w:val="center"/>
              <w:rPr>
                <w:sz w:val="22"/>
                <w:szCs w:val="22"/>
              </w:rPr>
            </w:pPr>
            <w:r w:rsidRPr="00042ADE">
              <w:rPr>
                <w:sz w:val="22"/>
                <w:szCs w:val="22"/>
              </w:rPr>
              <w:t>(-3.074, 0.599)</w:t>
            </w:r>
          </w:p>
        </w:tc>
        <w:tc>
          <w:tcPr>
            <w:tcW w:w="993" w:type="dxa"/>
          </w:tcPr>
          <w:p w14:paraId="3F02F589" w14:textId="77777777" w:rsidR="00BC12EC" w:rsidRPr="00042ADE" w:rsidRDefault="00BC12EC" w:rsidP="00C709CC">
            <w:pPr>
              <w:pStyle w:val="Tabletitle"/>
              <w:spacing w:line="240" w:lineRule="auto"/>
              <w:jc w:val="center"/>
              <w:rPr>
                <w:sz w:val="22"/>
                <w:szCs w:val="22"/>
              </w:rPr>
            </w:pPr>
            <w:r w:rsidRPr="00042ADE">
              <w:rPr>
                <w:sz w:val="22"/>
                <w:szCs w:val="22"/>
              </w:rPr>
              <w:t>0.182</w:t>
            </w:r>
          </w:p>
        </w:tc>
      </w:tr>
      <w:tr w:rsidR="00BC12EC" w:rsidRPr="00042ADE" w14:paraId="12814503" w14:textId="77777777" w:rsidTr="00ED52BF">
        <w:trPr>
          <w:trHeight w:val="196"/>
        </w:trPr>
        <w:tc>
          <w:tcPr>
            <w:tcW w:w="1527" w:type="dxa"/>
          </w:tcPr>
          <w:p w14:paraId="5F05DF06" w14:textId="77777777" w:rsidR="00BC12EC" w:rsidRPr="00042ADE" w:rsidRDefault="00BC12EC" w:rsidP="00C709CC">
            <w:pPr>
              <w:pStyle w:val="Tabletitle"/>
              <w:spacing w:line="240" w:lineRule="auto"/>
              <w:rPr>
                <w:sz w:val="22"/>
                <w:szCs w:val="22"/>
              </w:rPr>
            </w:pPr>
            <w:r w:rsidRPr="00042ADE">
              <w:rPr>
                <w:b/>
                <w:sz w:val="22"/>
                <w:szCs w:val="22"/>
              </w:rPr>
              <w:t>Ring Fingertip</w:t>
            </w:r>
          </w:p>
        </w:tc>
        <w:tc>
          <w:tcPr>
            <w:tcW w:w="1559" w:type="dxa"/>
          </w:tcPr>
          <w:p w14:paraId="7F49C02B"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567" w:type="dxa"/>
          </w:tcPr>
          <w:p w14:paraId="4B5E2D67"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7700A4F4" w14:textId="77777777" w:rsidR="00BC12EC" w:rsidRPr="00042ADE" w:rsidRDefault="00BC12EC" w:rsidP="00C709CC">
            <w:pPr>
              <w:pStyle w:val="Tabletitle"/>
              <w:spacing w:line="240" w:lineRule="auto"/>
              <w:jc w:val="center"/>
              <w:rPr>
                <w:sz w:val="22"/>
                <w:szCs w:val="22"/>
              </w:rPr>
            </w:pPr>
            <w:r w:rsidRPr="00042ADE">
              <w:rPr>
                <w:sz w:val="22"/>
                <w:szCs w:val="22"/>
              </w:rPr>
              <w:t>0.207</w:t>
            </w:r>
          </w:p>
        </w:tc>
        <w:tc>
          <w:tcPr>
            <w:tcW w:w="1843" w:type="dxa"/>
          </w:tcPr>
          <w:p w14:paraId="6EC50AFD" w14:textId="77777777" w:rsidR="00BC12EC" w:rsidRPr="00042ADE" w:rsidRDefault="00BC12EC" w:rsidP="00C709CC">
            <w:pPr>
              <w:pStyle w:val="Tabletitle"/>
              <w:spacing w:line="240" w:lineRule="auto"/>
              <w:jc w:val="center"/>
              <w:rPr>
                <w:sz w:val="22"/>
                <w:szCs w:val="22"/>
              </w:rPr>
            </w:pPr>
            <w:r w:rsidRPr="00042ADE">
              <w:rPr>
                <w:sz w:val="22"/>
                <w:szCs w:val="22"/>
              </w:rPr>
              <w:t>(-4.840, 5.255)</w:t>
            </w:r>
          </w:p>
        </w:tc>
        <w:tc>
          <w:tcPr>
            <w:tcW w:w="992" w:type="dxa"/>
          </w:tcPr>
          <w:p w14:paraId="184390E9" w14:textId="77777777" w:rsidR="00BC12EC" w:rsidRPr="00042ADE" w:rsidRDefault="00BC12EC" w:rsidP="00C709CC">
            <w:pPr>
              <w:pStyle w:val="Tabletitle"/>
              <w:spacing w:line="240" w:lineRule="auto"/>
              <w:jc w:val="center"/>
              <w:rPr>
                <w:sz w:val="22"/>
                <w:szCs w:val="22"/>
              </w:rPr>
            </w:pPr>
            <w:r w:rsidRPr="00042ADE">
              <w:rPr>
                <w:sz w:val="22"/>
                <w:szCs w:val="22"/>
              </w:rPr>
              <w:t>0.934</w:t>
            </w:r>
          </w:p>
        </w:tc>
        <w:tc>
          <w:tcPr>
            <w:tcW w:w="993" w:type="dxa"/>
          </w:tcPr>
          <w:p w14:paraId="731AFE01" w14:textId="77777777" w:rsidR="00BC12EC" w:rsidRPr="00042ADE" w:rsidRDefault="00BC12EC" w:rsidP="00C709CC">
            <w:pPr>
              <w:pStyle w:val="Tabletitle"/>
              <w:spacing w:line="240" w:lineRule="auto"/>
              <w:jc w:val="center"/>
              <w:rPr>
                <w:sz w:val="22"/>
                <w:szCs w:val="22"/>
              </w:rPr>
            </w:pPr>
            <w:r w:rsidRPr="00042ADE">
              <w:rPr>
                <w:sz w:val="22"/>
                <w:szCs w:val="22"/>
              </w:rPr>
              <w:t>-0.256</w:t>
            </w:r>
          </w:p>
        </w:tc>
        <w:tc>
          <w:tcPr>
            <w:tcW w:w="1875" w:type="dxa"/>
          </w:tcPr>
          <w:p w14:paraId="6D8F5184" w14:textId="77777777" w:rsidR="00BC12EC" w:rsidRPr="00042ADE" w:rsidRDefault="00BC12EC" w:rsidP="00C709CC">
            <w:pPr>
              <w:pStyle w:val="Tabletitle"/>
              <w:spacing w:line="240" w:lineRule="auto"/>
              <w:jc w:val="center"/>
              <w:rPr>
                <w:sz w:val="22"/>
                <w:szCs w:val="22"/>
              </w:rPr>
            </w:pPr>
            <w:r w:rsidRPr="00042ADE">
              <w:rPr>
                <w:sz w:val="22"/>
                <w:szCs w:val="22"/>
              </w:rPr>
              <w:t>(-2.172, 1.660)</w:t>
            </w:r>
          </w:p>
        </w:tc>
        <w:tc>
          <w:tcPr>
            <w:tcW w:w="993" w:type="dxa"/>
          </w:tcPr>
          <w:p w14:paraId="2E37172F" w14:textId="77777777" w:rsidR="00BC12EC" w:rsidRPr="00042ADE" w:rsidRDefault="00BC12EC" w:rsidP="00C709CC">
            <w:pPr>
              <w:pStyle w:val="Tabletitle"/>
              <w:spacing w:line="240" w:lineRule="auto"/>
              <w:jc w:val="center"/>
              <w:rPr>
                <w:sz w:val="22"/>
                <w:szCs w:val="22"/>
              </w:rPr>
            </w:pPr>
            <w:r w:rsidRPr="00042ADE">
              <w:rPr>
                <w:sz w:val="22"/>
                <w:szCs w:val="22"/>
              </w:rPr>
              <w:t>0.790</w:t>
            </w:r>
          </w:p>
        </w:tc>
      </w:tr>
      <w:tr w:rsidR="00BC12EC" w:rsidRPr="00042ADE" w14:paraId="7AB4AF3C" w14:textId="77777777" w:rsidTr="00ED52BF">
        <w:trPr>
          <w:trHeight w:val="196"/>
        </w:trPr>
        <w:tc>
          <w:tcPr>
            <w:tcW w:w="1527" w:type="dxa"/>
          </w:tcPr>
          <w:p w14:paraId="04413CE4" w14:textId="77777777" w:rsidR="00BC12EC" w:rsidRPr="00042ADE" w:rsidRDefault="00BC12EC" w:rsidP="00C709CC">
            <w:pPr>
              <w:pStyle w:val="Tabletitle"/>
              <w:spacing w:line="240" w:lineRule="auto"/>
              <w:rPr>
                <w:sz w:val="22"/>
                <w:szCs w:val="22"/>
              </w:rPr>
            </w:pPr>
          </w:p>
        </w:tc>
        <w:tc>
          <w:tcPr>
            <w:tcW w:w="1559" w:type="dxa"/>
          </w:tcPr>
          <w:p w14:paraId="55C99E2A" w14:textId="77777777" w:rsidR="00BC12EC" w:rsidRPr="00042ADE" w:rsidRDefault="00BC12EC" w:rsidP="00C709CC">
            <w:pPr>
              <w:pStyle w:val="Tabletitle"/>
              <w:spacing w:line="240" w:lineRule="auto"/>
              <w:jc w:val="center"/>
              <w:rPr>
                <w:b/>
                <w:sz w:val="22"/>
                <w:szCs w:val="22"/>
              </w:rPr>
            </w:pPr>
          </w:p>
        </w:tc>
        <w:tc>
          <w:tcPr>
            <w:tcW w:w="567" w:type="dxa"/>
          </w:tcPr>
          <w:p w14:paraId="32C598F6"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6189D7D4" w14:textId="77777777" w:rsidR="00BC12EC" w:rsidRPr="00042ADE" w:rsidRDefault="00BC12EC" w:rsidP="00C709CC">
            <w:pPr>
              <w:pStyle w:val="Tabletitle"/>
              <w:spacing w:line="240" w:lineRule="auto"/>
              <w:jc w:val="center"/>
              <w:rPr>
                <w:sz w:val="22"/>
                <w:szCs w:val="22"/>
              </w:rPr>
            </w:pPr>
            <w:r w:rsidRPr="00042ADE">
              <w:rPr>
                <w:sz w:val="22"/>
                <w:szCs w:val="22"/>
              </w:rPr>
              <w:t>-0.915</w:t>
            </w:r>
          </w:p>
        </w:tc>
        <w:tc>
          <w:tcPr>
            <w:tcW w:w="1843" w:type="dxa"/>
          </w:tcPr>
          <w:p w14:paraId="0029BE48" w14:textId="77777777" w:rsidR="00BC12EC" w:rsidRPr="00042ADE" w:rsidRDefault="00BC12EC" w:rsidP="00C709CC">
            <w:pPr>
              <w:pStyle w:val="Tabletitle"/>
              <w:spacing w:line="240" w:lineRule="auto"/>
              <w:jc w:val="center"/>
              <w:rPr>
                <w:sz w:val="22"/>
                <w:szCs w:val="22"/>
              </w:rPr>
            </w:pPr>
            <w:r w:rsidRPr="00042ADE">
              <w:rPr>
                <w:sz w:val="22"/>
                <w:szCs w:val="22"/>
              </w:rPr>
              <w:t>(-6.393, 4.563)</w:t>
            </w:r>
          </w:p>
        </w:tc>
        <w:tc>
          <w:tcPr>
            <w:tcW w:w="992" w:type="dxa"/>
          </w:tcPr>
          <w:p w14:paraId="5C757099" w14:textId="77777777" w:rsidR="00BC12EC" w:rsidRPr="00042ADE" w:rsidRDefault="00BC12EC" w:rsidP="00C709CC">
            <w:pPr>
              <w:pStyle w:val="Tabletitle"/>
              <w:spacing w:line="240" w:lineRule="auto"/>
              <w:jc w:val="center"/>
              <w:rPr>
                <w:sz w:val="22"/>
                <w:szCs w:val="22"/>
              </w:rPr>
            </w:pPr>
            <w:r w:rsidRPr="00042ADE">
              <w:rPr>
                <w:sz w:val="22"/>
                <w:szCs w:val="22"/>
              </w:rPr>
              <w:t>0.737</w:t>
            </w:r>
          </w:p>
        </w:tc>
        <w:tc>
          <w:tcPr>
            <w:tcW w:w="993" w:type="dxa"/>
          </w:tcPr>
          <w:p w14:paraId="206D9060" w14:textId="77777777" w:rsidR="00BC12EC" w:rsidRPr="00042ADE" w:rsidRDefault="00BC12EC" w:rsidP="00C709CC">
            <w:pPr>
              <w:pStyle w:val="Tabletitle"/>
              <w:spacing w:line="240" w:lineRule="auto"/>
              <w:jc w:val="center"/>
              <w:rPr>
                <w:sz w:val="22"/>
                <w:szCs w:val="22"/>
              </w:rPr>
            </w:pPr>
            <w:r w:rsidRPr="00042ADE">
              <w:rPr>
                <w:sz w:val="22"/>
                <w:szCs w:val="22"/>
              </w:rPr>
              <w:t>-0.942</w:t>
            </w:r>
          </w:p>
        </w:tc>
        <w:tc>
          <w:tcPr>
            <w:tcW w:w="1875" w:type="dxa"/>
          </w:tcPr>
          <w:p w14:paraId="26487F3B" w14:textId="77777777" w:rsidR="00BC12EC" w:rsidRPr="00042ADE" w:rsidRDefault="00BC12EC" w:rsidP="00C709CC">
            <w:pPr>
              <w:pStyle w:val="Tabletitle"/>
              <w:spacing w:line="240" w:lineRule="auto"/>
              <w:jc w:val="center"/>
              <w:rPr>
                <w:sz w:val="22"/>
                <w:szCs w:val="22"/>
              </w:rPr>
            </w:pPr>
            <w:r w:rsidRPr="00042ADE">
              <w:rPr>
                <w:sz w:val="22"/>
                <w:szCs w:val="22"/>
              </w:rPr>
              <w:t>(-2.881, 0.996)</w:t>
            </w:r>
          </w:p>
        </w:tc>
        <w:tc>
          <w:tcPr>
            <w:tcW w:w="993" w:type="dxa"/>
          </w:tcPr>
          <w:p w14:paraId="4645B16E" w14:textId="77777777" w:rsidR="00BC12EC" w:rsidRPr="00042ADE" w:rsidRDefault="00BC12EC" w:rsidP="00C709CC">
            <w:pPr>
              <w:pStyle w:val="Tabletitle"/>
              <w:spacing w:line="240" w:lineRule="auto"/>
              <w:jc w:val="center"/>
              <w:rPr>
                <w:sz w:val="22"/>
                <w:szCs w:val="22"/>
              </w:rPr>
            </w:pPr>
            <w:r w:rsidRPr="00042ADE">
              <w:rPr>
                <w:sz w:val="22"/>
                <w:szCs w:val="22"/>
              </w:rPr>
              <w:t>0.333</w:t>
            </w:r>
          </w:p>
        </w:tc>
      </w:tr>
      <w:tr w:rsidR="00BC12EC" w:rsidRPr="00042ADE" w14:paraId="13263F8D" w14:textId="77777777" w:rsidTr="00ED52BF">
        <w:trPr>
          <w:trHeight w:val="196"/>
        </w:trPr>
        <w:tc>
          <w:tcPr>
            <w:tcW w:w="1527" w:type="dxa"/>
          </w:tcPr>
          <w:p w14:paraId="00B38EAE" w14:textId="77777777" w:rsidR="00BC12EC" w:rsidRPr="00042ADE" w:rsidRDefault="00BC12EC" w:rsidP="00C709CC">
            <w:pPr>
              <w:pStyle w:val="Tabletitle"/>
              <w:spacing w:line="240" w:lineRule="auto"/>
              <w:rPr>
                <w:sz w:val="22"/>
                <w:szCs w:val="22"/>
              </w:rPr>
            </w:pPr>
          </w:p>
        </w:tc>
        <w:tc>
          <w:tcPr>
            <w:tcW w:w="1559" w:type="dxa"/>
          </w:tcPr>
          <w:p w14:paraId="037562AF"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567" w:type="dxa"/>
          </w:tcPr>
          <w:p w14:paraId="49579344"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3FB965D0" w14:textId="77777777" w:rsidR="00BC12EC" w:rsidRPr="00042ADE" w:rsidRDefault="00BC12EC" w:rsidP="00C709CC">
            <w:pPr>
              <w:pStyle w:val="Tabletitle"/>
              <w:spacing w:line="240" w:lineRule="auto"/>
              <w:jc w:val="center"/>
              <w:rPr>
                <w:sz w:val="22"/>
                <w:szCs w:val="22"/>
              </w:rPr>
            </w:pPr>
            <w:r w:rsidRPr="00042ADE">
              <w:rPr>
                <w:sz w:val="22"/>
                <w:szCs w:val="22"/>
              </w:rPr>
              <w:t>-0.452</w:t>
            </w:r>
          </w:p>
        </w:tc>
        <w:tc>
          <w:tcPr>
            <w:tcW w:w="1843" w:type="dxa"/>
          </w:tcPr>
          <w:p w14:paraId="4683A970" w14:textId="77777777" w:rsidR="00BC12EC" w:rsidRPr="00042ADE" w:rsidRDefault="00BC12EC" w:rsidP="00C709CC">
            <w:pPr>
              <w:pStyle w:val="Tabletitle"/>
              <w:spacing w:line="240" w:lineRule="auto"/>
              <w:jc w:val="center"/>
              <w:rPr>
                <w:sz w:val="22"/>
                <w:szCs w:val="22"/>
              </w:rPr>
            </w:pPr>
            <w:r w:rsidRPr="00042ADE">
              <w:rPr>
                <w:sz w:val="22"/>
                <w:szCs w:val="22"/>
              </w:rPr>
              <w:t>(-7.614, 6.710)</w:t>
            </w:r>
          </w:p>
        </w:tc>
        <w:tc>
          <w:tcPr>
            <w:tcW w:w="992" w:type="dxa"/>
          </w:tcPr>
          <w:p w14:paraId="44081577" w14:textId="77777777" w:rsidR="00BC12EC" w:rsidRPr="00042ADE" w:rsidRDefault="00BC12EC" w:rsidP="00C709CC">
            <w:pPr>
              <w:pStyle w:val="Tabletitle"/>
              <w:spacing w:line="240" w:lineRule="auto"/>
              <w:jc w:val="center"/>
              <w:rPr>
                <w:sz w:val="22"/>
                <w:szCs w:val="22"/>
              </w:rPr>
            </w:pPr>
            <w:r w:rsidRPr="00042ADE">
              <w:rPr>
                <w:sz w:val="22"/>
                <w:szCs w:val="22"/>
              </w:rPr>
              <w:t>0.899</w:t>
            </w:r>
          </w:p>
        </w:tc>
        <w:tc>
          <w:tcPr>
            <w:tcW w:w="993" w:type="dxa"/>
          </w:tcPr>
          <w:p w14:paraId="052C3FAA" w14:textId="77777777" w:rsidR="00BC12EC" w:rsidRPr="00042ADE" w:rsidRDefault="00BC12EC" w:rsidP="00C709CC">
            <w:pPr>
              <w:pStyle w:val="Tabletitle"/>
              <w:spacing w:line="240" w:lineRule="auto"/>
              <w:jc w:val="center"/>
              <w:rPr>
                <w:sz w:val="22"/>
                <w:szCs w:val="22"/>
              </w:rPr>
            </w:pPr>
            <w:r w:rsidRPr="00042ADE">
              <w:rPr>
                <w:sz w:val="22"/>
                <w:szCs w:val="22"/>
              </w:rPr>
              <w:t>-0.483</w:t>
            </w:r>
          </w:p>
        </w:tc>
        <w:tc>
          <w:tcPr>
            <w:tcW w:w="1875" w:type="dxa"/>
          </w:tcPr>
          <w:p w14:paraId="0D931089" w14:textId="77777777" w:rsidR="00BC12EC" w:rsidRPr="00042ADE" w:rsidRDefault="00BC12EC" w:rsidP="00C709CC">
            <w:pPr>
              <w:pStyle w:val="Tabletitle"/>
              <w:spacing w:line="240" w:lineRule="auto"/>
              <w:jc w:val="center"/>
              <w:rPr>
                <w:sz w:val="22"/>
                <w:szCs w:val="22"/>
              </w:rPr>
            </w:pPr>
            <w:r w:rsidRPr="00042ADE">
              <w:rPr>
                <w:sz w:val="22"/>
                <w:szCs w:val="22"/>
              </w:rPr>
              <w:t>(-2.349, 1.382)</w:t>
            </w:r>
          </w:p>
        </w:tc>
        <w:tc>
          <w:tcPr>
            <w:tcW w:w="993" w:type="dxa"/>
          </w:tcPr>
          <w:p w14:paraId="5DEE1EF3" w14:textId="77777777" w:rsidR="00BC12EC" w:rsidRPr="00042ADE" w:rsidRDefault="00BC12EC" w:rsidP="00C709CC">
            <w:pPr>
              <w:pStyle w:val="Tabletitle"/>
              <w:spacing w:line="240" w:lineRule="auto"/>
              <w:jc w:val="center"/>
              <w:rPr>
                <w:sz w:val="22"/>
                <w:szCs w:val="22"/>
              </w:rPr>
            </w:pPr>
            <w:r w:rsidRPr="00042ADE">
              <w:rPr>
                <w:sz w:val="22"/>
                <w:szCs w:val="22"/>
              </w:rPr>
              <w:t>0.605</w:t>
            </w:r>
          </w:p>
        </w:tc>
      </w:tr>
      <w:tr w:rsidR="00BC12EC" w:rsidRPr="00042ADE" w14:paraId="30755AC5" w14:textId="77777777" w:rsidTr="00ED52BF">
        <w:trPr>
          <w:trHeight w:val="196"/>
        </w:trPr>
        <w:tc>
          <w:tcPr>
            <w:tcW w:w="1527" w:type="dxa"/>
          </w:tcPr>
          <w:p w14:paraId="3D60AD95" w14:textId="77777777" w:rsidR="00BC12EC" w:rsidRPr="00042ADE" w:rsidRDefault="00BC12EC" w:rsidP="00C709CC">
            <w:pPr>
              <w:pStyle w:val="Tabletitle"/>
              <w:spacing w:line="240" w:lineRule="auto"/>
              <w:rPr>
                <w:sz w:val="22"/>
                <w:szCs w:val="22"/>
              </w:rPr>
            </w:pPr>
          </w:p>
        </w:tc>
        <w:tc>
          <w:tcPr>
            <w:tcW w:w="1559" w:type="dxa"/>
          </w:tcPr>
          <w:p w14:paraId="40F01129" w14:textId="77777777" w:rsidR="00BC12EC" w:rsidRPr="00042ADE" w:rsidRDefault="00BC12EC" w:rsidP="00C709CC">
            <w:pPr>
              <w:pStyle w:val="Tabletitle"/>
              <w:spacing w:line="240" w:lineRule="auto"/>
              <w:jc w:val="center"/>
              <w:rPr>
                <w:b/>
                <w:sz w:val="22"/>
                <w:szCs w:val="22"/>
              </w:rPr>
            </w:pPr>
          </w:p>
        </w:tc>
        <w:tc>
          <w:tcPr>
            <w:tcW w:w="567" w:type="dxa"/>
          </w:tcPr>
          <w:p w14:paraId="54CF182D"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27DF5EB9" w14:textId="77777777" w:rsidR="00BC12EC" w:rsidRPr="00042ADE" w:rsidRDefault="00BC12EC" w:rsidP="00C709CC">
            <w:pPr>
              <w:pStyle w:val="Tabletitle"/>
              <w:spacing w:line="240" w:lineRule="auto"/>
              <w:jc w:val="center"/>
              <w:rPr>
                <w:sz w:val="22"/>
                <w:szCs w:val="22"/>
              </w:rPr>
            </w:pPr>
            <w:r w:rsidRPr="00042ADE">
              <w:rPr>
                <w:sz w:val="22"/>
                <w:szCs w:val="22"/>
              </w:rPr>
              <w:t>-0.186</w:t>
            </w:r>
          </w:p>
        </w:tc>
        <w:tc>
          <w:tcPr>
            <w:tcW w:w="1843" w:type="dxa"/>
          </w:tcPr>
          <w:p w14:paraId="3F41BA05" w14:textId="77777777" w:rsidR="00BC12EC" w:rsidRPr="00042ADE" w:rsidRDefault="00BC12EC" w:rsidP="00C709CC">
            <w:pPr>
              <w:pStyle w:val="Tabletitle"/>
              <w:spacing w:line="240" w:lineRule="auto"/>
              <w:jc w:val="center"/>
              <w:rPr>
                <w:sz w:val="22"/>
                <w:szCs w:val="22"/>
              </w:rPr>
            </w:pPr>
            <w:r w:rsidRPr="00042ADE">
              <w:rPr>
                <w:sz w:val="22"/>
                <w:szCs w:val="22"/>
              </w:rPr>
              <w:t>(-1.815, 1.218)</w:t>
            </w:r>
          </w:p>
        </w:tc>
        <w:tc>
          <w:tcPr>
            <w:tcW w:w="992" w:type="dxa"/>
          </w:tcPr>
          <w:p w14:paraId="578A3159" w14:textId="77777777" w:rsidR="00BC12EC" w:rsidRPr="00042ADE" w:rsidRDefault="00BC12EC" w:rsidP="00C709CC">
            <w:pPr>
              <w:pStyle w:val="Tabletitle"/>
              <w:spacing w:line="240" w:lineRule="auto"/>
              <w:jc w:val="center"/>
              <w:rPr>
                <w:sz w:val="22"/>
                <w:szCs w:val="22"/>
              </w:rPr>
            </w:pPr>
            <w:r w:rsidRPr="00042ADE">
              <w:rPr>
                <w:sz w:val="22"/>
                <w:szCs w:val="22"/>
              </w:rPr>
              <w:t>0.692</w:t>
            </w:r>
          </w:p>
        </w:tc>
        <w:tc>
          <w:tcPr>
            <w:tcW w:w="993" w:type="dxa"/>
          </w:tcPr>
          <w:p w14:paraId="6B9413DF" w14:textId="77777777" w:rsidR="00BC12EC" w:rsidRPr="00042ADE" w:rsidRDefault="00BC12EC" w:rsidP="00C709CC">
            <w:pPr>
              <w:pStyle w:val="Tabletitle"/>
              <w:spacing w:line="240" w:lineRule="auto"/>
              <w:jc w:val="center"/>
              <w:rPr>
                <w:sz w:val="22"/>
                <w:szCs w:val="22"/>
              </w:rPr>
            </w:pPr>
            <w:r w:rsidRPr="00042ADE">
              <w:rPr>
                <w:sz w:val="22"/>
                <w:szCs w:val="22"/>
              </w:rPr>
              <w:t>-1.155</w:t>
            </w:r>
          </w:p>
        </w:tc>
        <w:tc>
          <w:tcPr>
            <w:tcW w:w="1875" w:type="dxa"/>
          </w:tcPr>
          <w:p w14:paraId="2ACB4B79" w14:textId="77777777" w:rsidR="00BC12EC" w:rsidRPr="00042ADE" w:rsidRDefault="00BC12EC" w:rsidP="00C709CC">
            <w:pPr>
              <w:pStyle w:val="Tabletitle"/>
              <w:spacing w:line="240" w:lineRule="auto"/>
              <w:jc w:val="center"/>
              <w:rPr>
                <w:sz w:val="22"/>
                <w:szCs w:val="22"/>
              </w:rPr>
            </w:pPr>
            <w:r w:rsidRPr="00042ADE">
              <w:rPr>
                <w:sz w:val="22"/>
                <w:szCs w:val="22"/>
              </w:rPr>
              <w:t>(-3.052, 0.743)</w:t>
            </w:r>
          </w:p>
        </w:tc>
        <w:tc>
          <w:tcPr>
            <w:tcW w:w="993" w:type="dxa"/>
          </w:tcPr>
          <w:p w14:paraId="541B255E" w14:textId="77777777" w:rsidR="00BC12EC" w:rsidRPr="00042ADE" w:rsidRDefault="00BC12EC" w:rsidP="00C709CC">
            <w:pPr>
              <w:pStyle w:val="Tabletitle"/>
              <w:spacing w:line="240" w:lineRule="auto"/>
              <w:jc w:val="center"/>
              <w:rPr>
                <w:sz w:val="22"/>
                <w:szCs w:val="22"/>
              </w:rPr>
            </w:pPr>
            <w:r w:rsidRPr="00042ADE">
              <w:rPr>
                <w:sz w:val="22"/>
                <w:szCs w:val="22"/>
              </w:rPr>
              <w:t>0.227</w:t>
            </w:r>
          </w:p>
        </w:tc>
      </w:tr>
      <w:tr w:rsidR="00BC12EC" w:rsidRPr="00042ADE" w14:paraId="636A5E18" w14:textId="77777777" w:rsidTr="00ED52BF">
        <w:trPr>
          <w:trHeight w:val="196"/>
        </w:trPr>
        <w:tc>
          <w:tcPr>
            <w:tcW w:w="1527" w:type="dxa"/>
          </w:tcPr>
          <w:p w14:paraId="21280651" w14:textId="77777777" w:rsidR="00BC12EC" w:rsidRPr="00042ADE" w:rsidRDefault="00BC12EC" w:rsidP="00C709CC">
            <w:pPr>
              <w:pStyle w:val="Tabletitle"/>
              <w:spacing w:line="240" w:lineRule="auto"/>
              <w:rPr>
                <w:sz w:val="22"/>
                <w:szCs w:val="22"/>
              </w:rPr>
            </w:pPr>
          </w:p>
        </w:tc>
        <w:tc>
          <w:tcPr>
            <w:tcW w:w="1559" w:type="dxa"/>
          </w:tcPr>
          <w:p w14:paraId="17872799"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567" w:type="dxa"/>
          </w:tcPr>
          <w:p w14:paraId="3706C7B6"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1A2874A0" w14:textId="77777777" w:rsidR="00BC12EC" w:rsidRPr="00042ADE" w:rsidRDefault="00BC12EC" w:rsidP="00C709CC">
            <w:pPr>
              <w:pStyle w:val="Tabletitle"/>
              <w:spacing w:line="240" w:lineRule="auto"/>
              <w:jc w:val="center"/>
              <w:rPr>
                <w:sz w:val="22"/>
                <w:szCs w:val="22"/>
              </w:rPr>
            </w:pPr>
            <w:r w:rsidRPr="00042ADE">
              <w:rPr>
                <w:sz w:val="22"/>
                <w:szCs w:val="22"/>
              </w:rPr>
              <w:t>-2.857</w:t>
            </w:r>
          </w:p>
        </w:tc>
        <w:tc>
          <w:tcPr>
            <w:tcW w:w="1843" w:type="dxa"/>
          </w:tcPr>
          <w:p w14:paraId="1D0ED9FF" w14:textId="77777777" w:rsidR="00BC12EC" w:rsidRPr="00042ADE" w:rsidRDefault="00BC12EC" w:rsidP="00C709CC">
            <w:pPr>
              <w:pStyle w:val="Tabletitle"/>
              <w:spacing w:line="240" w:lineRule="auto"/>
              <w:jc w:val="center"/>
              <w:rPr>
                <w:sz w:val="22"/>
                <w:szCs w:val="22"/>
              </w:rPr>
            </w:pPr>
            <w:r w:rsidRPr="00042ADE">
              <w:rPr>
                <w:sz w:val="22"/>
                <w:szCs w:val="22"/>
              </w:rPr>
              <w:t>(-9.016, 3.303)</w:t>
            </w:r>
          </w:p>
        </w:tc>
        <w:tc>
          <w:tcPr>
            <w:tcW w:w="992" w:type="dxa"/>
          </w:tcPr>
          <w:p w14:paraId="5DCDC422" w14:textId="77777777" w:rsidR="00BC12EC" w:rsidRPr="00042ADE" w:rsidRDefault="00BC12EC" w:rsidP="00C709CC">
            <w:pPr>
              <w:pStyle w:val="Tabletitle"/>
              <w:spacing w:line="240" w:lineRule="auto"/>
              <w:jc w:val="center"/>
              <w:rPr>
                <w:sz w:val="22"/>
                <w:szCs w:val="22"/>
              </w:rPr>
            </w:pPr>
            <w:r w:rsidRPr="00042ADE">
              <w:rPr>
                <w:sz w:val="22"/>
                <w:szCs w:val="22"/>
              </w:rPr>
              <w:t>0.353</w:t>
            </w:r>
          </w:p>
        </w:tc>
        <w:tc>
          <w:tcPr>
            <w:tcW w:w="993" w:type="dxa"/>
          </w:tcPr>
          <w:p w14:paraId="39EA248B" w14:textId="77777777" w:rsidR="00BC12EC" w:rsidRPr="00042ADE" w:rsidRDefault="00BC12EC" w:rsidP="00C709CC">
            <w:pPr>
              <w:pStyle w:val="Tabletitle"/>
              <w:spacing w:line="240" w:lineRule="auto"/>
              <w:jc w:val="center"/>
              <w:rPr>
                <w:sz w:val="22"/>
                <w:szCs w:val="22"/>
              </w:rPr>
            </w:pPr>
            <w:r w:rsidRPr="00042ADE">
              <w:rPr>
                <w:sz w:val="22"/>
                <w:szCs w:val="22"/>
              </w:rPr>
              <w:t>-0.510</w:t>
            </w:r>
          </w:p>
        </w:tc>
        <w:tc>
          <w:tcPr>
            <w:tcW w:w="1875" w:type="dxa"/>
          </w:tcPr>
          <w:p w14:paraId="6688BA51" w14:textId="77777777" w:rsidR="00BC12EC" w:rsidRPr="00042ADE" w:rsidRDefault="00BC12EC" w:rsidP="00C709CC">
            <w:pPr>
              <w:pStyle w:val="Tabletitle"/>
              <w:spacing w:line="240" w:lineRule="auto"/>
              <w:jc w:val="center"/>
              <w:rPr>
                <w:sz w:val="22"/>
                <w:szCs w:val="22"/>
              </w:rPr>
            </w:pPr>
            <w:r w:rsidRPr="00042ADE">
              <w:rPr>
                <w:sz w:val="22"/>
                <w:szCs w:val="22"/>
              </w:rPr>
              <w:t>(-2.320, 1.301)</w:t>
            </w:r>
          </w:p>
        </w:tc>
        <w:tc>
          <w:tcPr>
            <w:tcW w:w="993" w:type="dxa"/>
          </w:tcPr>
          <w:p w14:paraId="26609CC1" w14:textId="77777777" w:rsidR="00BC12EC" w:rsidRPr="00042ADE" w:rsidRDefault="00BC12EC" w:rsidP="00C709CC">
            <w:pPr>
              <w:pStyle w:val="Tabletitle"/>
              <w:spacing w:line="240" w:lineRule="auto"/>
              <w:jc w:val="center"/>
              <w:rPr>
                <w:sz w:val="22"/>
                <w:szCs w:val="22"/>
              </w:rPr>
            </w:pPr>
            <w:r w:rsidRPr="00042ADE">
              <w:rPr>
                <w:sz w:val="22"/>
                <w:szCs w:val="22"/>
              </w:rPr>
              <w:t>0.574</w:t>
            </w:r>
          </w:p>
        </w:tc>
      </w:tr>
      <w:tr w:rsidR="00BC12EC" w:rsidRPr="00042ADE" w14:paraId="4811F0B5" w14:textId="77777777" w:rsidTr="00ED52BF">
        <w:trPr>
          <w:trHeight w:val="196"/>
        </w:trPr>
        <w:tc>
          <w:tcPr>
            <w:tcW w:w="1527" w:type="dxa"/>
          </w:tcPr>
          <w:p w14:paraId="02A8B196" w14:textId="77777777" w:rsidR="00BC12EC" w:rsidRPr="00042ADE" w:rsidRDefault="00BC12EC" w:rsidP="00C709CC">
            <w:pPr>
              <w:pStyle w:val="Tabletitle"/>
              <w:spacing w:line="240" w:lineRule="auto"/>
              <w:rPr>
                <w:sz w:val="22"/>
                <w:szCs w:val="22"/>
              </w:rPr>
            </w:pPr>
          </w:p>
        </w:tc>
        <w:tc>
          <w:tcPr>
            <w:tcW w:w="1559" w:type="dxa"/>
          </w:tcPr>
          <w:p w14:paraId="1CB18C6E" w14:textId="77777777" w:rsidR="00BC12EC" w:rsidRPr="00042ADE" w:rsidRDefault="00BC12EC" w:rsidP="00C709CC">
            <w:pPr>
              <w:pStyle w:val="Tabletitle"/>
              <w:spacing w:line="240" w:lineRule="auto"/>
              <w:jc w:val="center"/>
              <w:rPr>
                <w:b/>
                <w:sz w:val="22"/>
                <w:szCs w:val="22"/>
              </w:rPr>
            </w:pPr>
          </w:p>
        </w:tc>
        <w:tc>
          <w:tcPr>
            <w:tcW w:w="567" w:type="dxa"/>
          </w:tcPr>
          <w:p w14:paraId="62650FA2"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5A15A91E" w14:textId="77777777" w:rsidR="00BC12EC" w:rsidRPr="00042ADE" w:rsidRDefault="00BC12EC" w:rsidP="00C709CC">
            <w:pPr>
              <w:pStyle w:val="Tabletitle"/>
              <w:spacing w:line="240" w:lineRule="auto"/>
              <w:jc w:val="center"/>
              <w:rPr>
                <w:sz w:val="22"/>
                <w:szCs w:val="22"/>
              </w:rPr>
            </w:pPr>
            <w:r w:rsidRPr="00042ADE">
              <w:rPr>
                <w:sz w:val="22"/>
                <w:szCs w:val="22"/>
              </w:rPr>
              <w:t>-1.212</w:t>
            </w:r>
          </w:p>
        </w:tc>
        <w:tc>
          <w:tcPr>
            <w:tcW w:w="1843" w:type="dxa"/>
          </w:tcPr>
          <w:p w14:paraId="0C05D9FD" w14:textId="77777777" w:rsidR="00BC12EC" w:rsidRPr="00042ADE" w:rsidRDefault="00BC12EC" w:rsidP="00C709CC">
            <w:pPr>
              <w:pStyle w:val="Tabletitle"/>
              <w:spacing w:line="240" w:lineRule="auto"/>
              <w:jc w:val="center"/>
              <w:rPr>
                <w:sz w:val="22"/>
                <w:szCs w:val="22"/>
              </w:rPr>
            </w:pPr>
            <w:r w:rsidRPr="00042ADE">
              <w:rPr>
                <w:sz w:val="22"/>
                <w:szCs w:val="22"/>
              </w:rPr>
              <w:t>(-7.525, 5.102)</w:t>
            </w:r>
          </w:p>
        </w:tc>
        <w:tc>
          <w:tcPr>
            <w:tcW w:w="992" w:type="dxa"/>
          </w:tcPr>
          <w:p w14:paraId="57887C93" w14:textId="77777777" w:rsidR="00BC12EC" w:rsidRPr="00042ADE" w:rsidRDefault="00BC12EC" w:rsidP="00C709CC">
            <w:pPr>
              <w:pStyle w:val="Tabletitle"/>
              <w:spacing w:line="240" w:lineRule="auto"/>
              <w:jc w:val="center"/>
              <w:rPr>
                <w:sz w:val="22"/>
                <w:szCs w:val="22"/>
              </w:rPr>
            </w:pPr>
            <w:r w:rsidRPr="00042ADE">
              <w:rPr>
                <w:sz w:val="22"/>
                <w:szCs w:val="22"/>
              </w:rPr>
              <w:t>0.700</w:t>
            </w:r>
          </w:p>
        </w:tc>
        <w:tc>
          <w:tcPr>
            <w:tcW w:w="993" w:type="dxa"/>
          </w:tcPr>
          <w:p w14:paraId="2A20000D" w14:textId="77777777" w:rsidR="00BC12EC" w:rsidRPr="00042ADE" w:rsidRDefault="00BC12EC" w:rsidP="00C709CC">
            <w:pPr>
              <w:pStyle w:val="Tabletitle"/>
              <w:spacing w:line="240" w:lineRule="auto"/>
              <w:jc w:val="center"/>
              <w:rPr>
                <w:sz w:val="22"/>
                <w:szCs w:val="22"/>
              </w:rPr>
            </w:pPr>
            <w:r w:rsidRPr="00042ADE">
              <w:rPr>
                <w:sz w:val="22"/>
                <w:szCs w:val="22"/>
              </w:rPr>
              <w:t>-1.061</w:t>
            </w:r>
          </w:p>
        </w:tc>
        <w:tc>
          <w:tcPr>
            <w:tcW w:w="1875" w:type="dxa"/>
          </w:tcPr>
          <w:p w14:paraId="28AEB4BC" w14:textId="77777777" w:rsidR="00BC12EC" w:rsidRPr="00042ADE" w:rsidRDefault="00BC12EC" w:rsidP="00C709CC">
            <w:pPr>
              <w:pStyle w:val="Tabletitle"/>
              <w:spacing w:line="240" w:lineRule="auto"/>
              <w:jc w:val="center"/>
              <w:rPr>
                <w:sz w:val="22"/>
                <w:szCs w:val="22"/>
              </w:rPr>
            </w:pPr>
            <w:r w:rsidRPr="00042ADE">
              <w:rPr>
                <w:sz w:val="22"/>
                <w:szCs w:val="22"/>
              </w:rPr>
              <w:t>(-2.931, 0.808)</w:t>
            </w:r>
          </w:p>
        </w:tc>
        <w:tc>
          <w:tcPr>
            <w:tcW w:w="993" w:type="dxa"/>
          </w:tcPr>
          <w:p w14:paraId="51586B1C" w14:textId="77777777" w:rsidR="00BC12EC" w:rsidRPr="00042ADE" w:rsidRDefault="00BC12EC" w:rsidP="00C709CC">
            <w:pPr>
              <w:pStyle w:val="Tabletitle"/>
              <w:spacing w:line="240" w:lineRule="auto"/>
              <w:jc w:val="center"/>
              <w:rPr>
                <w:sz w:val="22"/>
                <w:szCs w:val="22"/>
              </w:rPr>
            </w:pPr>
            <w:r w:rsidRPr="00042ADE">
              <w:rPr>
                <w:sz w:val="22"/>
                <w:szCs w:val="22"/>
              </w:rPr>
              <w:t>0.259</w:t>
            </w:r>
          </w:p>
        </w:tc>
      </w:tr>
      <w:tr w:rsidR="00BC12EC" w:rsidRPr="00042ADE" w14:paraId="0B26A189" w14:textId="77777777" w:rsidTr="00ED52BF">
        <w:trPr>
          <w:trHeight w:val="196"/>
        </w:trPr>
        <w:tc>
          <w:tcPr>
            <w:tcW w:w="1527" w:type="dxa"/>
          </w:tcPr>
          <w:p w14:paraId="734C19EE" w14:textId="77777777" w:rsidR="00BC12EC" w:rsidRPr="00042ADE" w:rsidRDefault="00BC12EC" w:rsidP="00C709CC">
            <w:pPr>
              <w:pStyle w:val="Tabletitle"/>
              <w:spacing w:line="240" w:lineRule="auto"/>
              <w:rPr>
                <w:sz w:val="22"/>
                <w:szCs w:val="22"/>
              </w:rPr>
            </w:pPr>
            <w:r w:rsidRPr="00042ADE">
              <w:rPr>
                <w:b/>
                <w:sz w:val="22"/>
                <w:szCs w:val="22"/>
              </w:rPr>
              <w:t>Pinkie Fingertip</w:t>
            </w:r>
          </w:p>
        </w:tc>
        <w:tc>
          <w:tcPr>
            <w:tcW w:w="1559" w:type="dxa"/>
          </w:tcPr>
          <w:p w14:paraId="498BB8EB"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567" w:type="dxa"/>
          </w:tcPr>
          <w:p w14:paraId="1041FA26"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4E263110" w14:textId="77777777" w:rsidR="00BC12EC" w:rsidRPr="00042ADE" w:rsidRDefault="00BC12EC" w:rsidP="00C709CC">
            <w:pPr>
              <w:pStyle w:val="Tabletitle"/>
              <w:spacing w:line="240" w:lineRule="auto"/>
              <w:jc w:val="center"/>
              <w:rPr>
                <w:sz w:val="22"/>
                <w:szCs w:val="22"/>
              </w:rPr>
            </w:pPr>
            <w:r w:rsidRPr="00042ADE">
              <w:rPr>
                <w:sz w:val="22"/>
                <w:szCs w:val="22"/>
              </w:rPr>
              <w:t>0.057</w:t>
            </w:r>
          </w:p>
        </w:tc>
        <w:tc>
          <w:tcPr>
            <w:tcW w:w="1843" w:type="dxa"/>
          </w:tcPr>
          <w:p w14:paraId="2A350190" w14:textId="77777777" w:rsidR="00BC12EC" w:rsidRPr="00042ADE" w:rsidRDefault="00BC12EC" w:rsidP="00C709CC">
            <w:pPr>
              <w:pStyle w:val="Tabletitle"/>
              <w:spacing w:line="240" w:lineRule="auto"/>
              <w:jc w:val="center"/>
              <w:rPr>
                <w:sz w:val="22"/>
                <w:szCs w:val="22"/>
              </w:rPr>
            </w:pPr>
            <w:r w:rsidRPr="00042ADE">
              <w:rPr>
                <w:sz w:val="22"/>
                <w:szCs w:val="22"/>
              </w:rPr>
              <w:t>(-3.264, 3.377)</w:t>
            </w:r>
          </w:p>
        </w:tc>
        <w:tc>
          <w:tcPr>
            <w:tcW w:w="992" w:type="dxa"/>
          </w:tcPr>
          <w:p w14:paraId="4E89C77B" w14:textId="77777777" w:rsidR="00BC12EC" w:rsidRPr="00042ADE" w:rsidRDefault="00BC12EC" w:rsidP="00C709CC">
            <w:pPr>
              <w:pStyle w:val="Tabletitle"/>
              <w:spacing w:line="240" w:lineRule="auto"/>
              <w:jc w:val="center"/>
              <w:rPr>
                <w:sz w:val="22"/>
                <w:szCs w:val="22"/>
              </w:rPr>
            </w:pPr>
            <w:r w:rsidRPr="00042ADE">
              <w:rPr>
                <w:sz w:val="22"/>
                <w:szCs w:val="22"/>
              </w:rPr>
              <w:t>0.973</w:t>
            </w:r>
          </w:p>
        </w:tc>
        <w:tc>
          <w:tcPr>
            <w:tcW w:w="993" w:type="dxa"/>
          </w:tcPr>
          <w:p w14:paraId="16B68F2E" w14:textId="77777777" w:rsidR="00BC12EC" w:rsidRPr="00042ADE" w:rsidRDefault="00BC12EC" w:rsidP="00C709CC">
            <w:pPr>
              <w:pStyle w:val="Tabletitle"/>
              <w:spacing w:line="240" w:lineRule="auto"/>
              <w:jc w:val="center"/>
              <w:rPr>
                <w:sz w:val="22"/>
                <w:szCs w:val="22"/>
              </w:rPr>
            </w:pPr>
            <w:r w:rsidRPr="00042ADE">
              <w:rPr>
                <w:sz w:val="22"/>
                <w:szCs w:val="22"/>
              </w:rPr>
              <w:t>-0.374</w:t>
            </w:r>
          </w:p>
        </w:tc>
        <w:tc>
          <w:tcPr>
            <w:tcW w:w="1875" w:type="dxa"/>
          </w:tcPr>
          <w:p w14:paraId="749F94D9" w14:textId="77777777" w:rsidR="00BC12EC" w:rsidRPr="00042ADE" w:rsidRDefault="00BC12EC" w:rsidP="00C709CC">
            <w:pPr>
              <w:pStyle w:val="Tabletitle"/>
              <w:spacing w:line="240" w:lineRule="auto"/>
              <w:jc w:val="center"/>
              <w:rPr>
                <w:sz w:val="22"/>
                <w:szCs w:val="22"/>
              </w:rPr>
            </w:pPr>
            <w:r w:rsidRPr="00042ADE">
              <w:rPr>
                <w:sz w:val="22"/>
                <w:szCs w:val="22"/>
              </w:rPr>
              <w:t>(-2.258, 1.510)</w:t>
            </w:r>
          </w:p>
        </w:tc>
        <w:tc>
          <w:tcPr>
            <w:tcW w:w="993" w:type="dxa"/>
          </w:tcPr>
          <w:p w14:paraId="291E516E" w14:textId="77777777" w:rsidR="00BC12EC" w:rsidRPr="00042ADE" w:rsidRDefault="00BC12EC" w:rsidP="00C709CC">
            <w:pPr>
              <w:pStyle w:val="Tabletitle"/>
              <w:spacing w:line="240" w:lineRule="auto"/>
              <w:jc w:val="center"/>
              <w:rPr>
                <w:sz w:val="22"/>
                <w:szCs w:val="22"/>
              </w:rPr>
            </w:pPr>
            <w:r w:rsidRPr="00042ADE">
              <w:rPr>
                <w:sz w:val="22"/>
                <w:szCs w:val="22"/>
              </w:rPr>
              <w:t>0.691</w:t>
            </w:r>
          </w:p>
        </w:tc>
      </w:tr>
      <w:tr w:rsidR="00BC12EC" w:rsidRPr="00042ADE" w14:paraId="721B6957" w14:textId="77777777" w:rsidTr="00ED52BF">
        <w:trPr>
          <w:trHeight w:val="196"/>
        </w:trPr>
        <w:tc>
          <w:tcPr>
            <w:tcW w:w="1527" w:type="dxa"/>
          </w:tcPr>
          <w:p w14:paraId="640FBD90" w14:textId="77777777" w:rsidR="00BC12EC" w:rsidRPr="00042ADE" w:rsidRDefault="00BC12EC" w:rsidP="00C709CC">
            <w:pPr>
              <w:pStyle w:val="Tabletitle"/>
              <w:spacing w:line="240" w:lineRule="auto"/>
              <w:rPr>
                <w:sz w:val="22"/>
                <w:szCs w:val="22"/>
              </w:rPr>
            </w:pPr>
          </w:p>
        </w:tc>
        <w:tc>
          <w:tcPr>
            <w:tcW w:w="1559" w:type="dxa"/>
          </w:tcPr>
          <w:p w14:paraId="4AE83160" w14:textId="77777777" w:rsidR="00BC12EC" w:rsidRPr="00042ADE" w:rsidRDefault="00BC12EC" w:rsidP="00C709CC">
            <w:pPr>
              <w:pStyle w:val="Tabletitle"/>
              <w:spacing w:line="240" w:lineRule="auto"/>
              <w:jc w:val="center"/>
              <w:rPr>
                <w:b/>
                <w:sz w:val="22"/>
                <w:szCs w:val="22"/>
              </w:rPr>
            </w:pPr>
          </w:p>
        </w:tc>
        <w:tc>
          <w:tcPr>
            <w:tcW w:w="567" w:type="dxa"/>
          </w:tcPr>
          <w:p w14:paraId="48BB179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4C844B3A" w14:textId="77777777" w:rsidR="00BC12EC" w:rsidRPr="00042ADE" w:rsidRDefault="00BC12EC" w:rsidP="00C709CC">
            <w:pPr>
              <w:pStyle w:val="Tabletitle"/>
              <w:spacing w:line="240" w:lineRule="auto"/>
              <w:jc w:val="center"/>
              <w:rPr>
                <w:sz w:val="22"/>
                <w:szCs w:val="22"/>
              </w:rPr>
            </w:pPr>
            <w:r w:rsidRPr="00042ADE">
              <w:rPr>
                <w:sz w:val="22"/>
                <w:szCs w:val="22"/>
              </w:rPr>
              <w:t>-2.494</w:t>
            </w:r>
          </w:p>
        </w:tc>
        <w:tc>
          <w:tcPr>
            <w:tcW w:w="1843" w:type="dxa"/>
          </w:tcPr>
          <w:p w14:paraId="0A46CE55" w14:textId="77777777" w:rsidR="00BC12EC" w:rsidRPr="00042ADE" w:rsidRDefault="00BC12EC" w:rsidP="00C709CC">
            <w:pPr>
              <w:pStyle w:val="Tabletitle"/>
              <w:spacing w:line="240" w:lineRule="auto"/>
              <w:jc w:val="center"/>
              <w:rPr>
                <w:sz w:val="22"/>
                <w:szCs w:val="22"/>
              </w:rPr>
            </w:pPr>
            <w:r w:rsidRPr="00042ADE">
              <w:rPr>
                <w:sz w:val="22"/>
                <w:szCs w:val="22"/>
              </w:rPr>
              <w:t>(-5.885, 0.897)</w:t>
            </w:r>
          </w:p>
        </w:tc>
        <w:tc>
          <w:tcPr>
            <w:tcW w:w="992" w:type="dxa"/>
          </w:tcPr>
          <w:p w14:paraId="596659AF" w14:textId="77777777" w:rsidR="00BC12EC" w:rsidRPr="00042ADE" w:rsidRDefault="00BC12EC" w:rsidP="00C709CC">
            <w:pPr>
              <w:pStyle w:val="Tabletitle"/>
              <w:spacing w:line="240" w:lineRule="auto"/>
              <w:jc w:val="center"/>
              <w:rPr>
                <w:sz w:val="22"/>
                <w:szCs w:val="22"/>
              </w:rPr>
            </w:pPr>
            <w:r w:rsidRPr="00042ADE">
              <w:rPr>
                <w:sz w:val="22"/>
                <w:szCs w:val="22"/>
              </w:rPr>
              <w:t>0.145</w:t>
            </w:r>
          </w:p>
        </w:tc>
        <w:tc>
          <w:tcPr>
            <w:tcW w:w="993" w:type="dxa"/>
          </w:tcPr>
          <w:p w14:paraId="468B815D" w14:textId="77777777" w:rsidR="00BC12EC" w:rsidRPr="00042ADE" w:rsidRDefault="00BC12EC" w:rsidP="00C709CC">
            <w:pPr>
              <w:pStyle w:val="Tabletitle"/>
              <w:spacing w:line="240" w:lineRule="auto"/>
              <w:jc w:val="center"/>
              <w:rPr>
                <w:sz w:val="22"/>
                <w:szCs w:val="22"/>
              </w:rPr>
            </w:pPr>
            <w:r w:rsidRPr="00042ADE">
              <w:rPr>
                <w:sz w:val="22"/>
                <w:szCs w:val="22"/>
              </w:rPr>
              <w:t>-1.086</w:t>
            </w:r>
          </w:p>
        </w:tc>
        <w:tc>
          <w:tcPr>
            <w:tcW w:w="1875" w:type="dxa"/>
          </w:tcPr>
          <w:p w14:paraId="70EEB11D" w14:textId="77777777" w:rsidR="00BC12EC" w:rsidRPr="00042ADE" w:rsidRDefault="00BC12EC" w:rsidP="00C709CC">
            <w:pPr>
              <w:pStyle w:val="Tabletitle"/>
              <w:spacing w:line="240" w:lineRule="auto"/>
              <w:jc w:val="center"/>
              <w:rPr>
                <w:sz w:val="22"/>
                <w:szCs w:val="22"/>
              </w:rPr>
            </w:pPr>
            <w:r w:rsidRPr="00042ADE">
              <w:rPr>
                <w:sz w:val="22"/>
                <w:szCs w:val="22"/>
              </w:rPr>
              <w:t>(-3.017, 0.846)</w:t>
            </w:r>
          </w:p>
        </w:tc>
        <w:tc>
          <w:tcPr>
            <w:tcW w:w="993" w:type="dxa"/>
          </w:tcPr>
          <w:p w14:paraId="100D87B2" w14:textId="77777777" w:rsidR="00BC12EC" w:rsidRPr="00042ADE" w:rsidRDefault="00BC12EC" w:rsidP="00C709CC">
            <w:pPr>
              <w:pStyle w:val="Tabletitle"/>
              <w:spacing w:line="240" w:lineRule="auto"/>
              <w:jc w:val="center"/>
              <w:rPr>
                <w:sz w:val="22"/>
                <w:szCs w:val="22"/>
              </w:rPr>
            </w:pPr>
            <w:r w:rsidRPr="00042ADE">
              <w:rPr>
                <w:sz w:val="22"/>
                <w:szCs w:val="22"/>
              </w:rPr>
              <w:t>0.264</w:t>
            </w:r>
          </w:p>
        </w:tc>
      </w:tr>
      <w:tr w:rsidR="00BC12EC" w:rsidRPr="00042ADE" w14:paraId="04085C5D" w14:textId="77777777" w:rsidTr="00ED52BF">
        <w:trPr>
          <w:trHeight w:val="196"/>
        </w:trPr>
        <w:tc>
          <w:tcPr>
            <w:tcW w:w="1527" w:type="dxa"/>
          </w:tcPr>
          <w:p w14:paraId="20A518DB" w14:textId="77777777" w:rsidR="00BC12EC" w:rsidRPr="00042ADE" w:rsidRDefault="00BC12EC" w:rsidP="00C709CC">
            <w:pPr>
              <w:pStyle w:val="Tabletitle"/>
              <w:spacing w:line="240" w:lineRule="auto"/>
              <w:rPr>
                <w:sz w:val="22"/>
                <w:szCs w:val="22"/>
              </w:rPr>
            </w:pPr>
          </w:p>
        </w:tc>
        <w:tc>
          <w:tcPr>
            <w:tcW w:w="1559" w:type="dxa"/>
          </w:tcPr>
          <w:p w14:paraId="78B752E9"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567" w:type="dxa"/>
          </w:tcPr>
          <w:p w14:paraId="2BF4AE2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64CAE629" w14:textId="77777777" w:rsidR="00BC12EC" w:rsidRPr="00042ADE" w:rsidRDefault="00BC12EC" w:rsidP="00C709CC">
            <w:pPr>
              <w:pStyle w:val="Tabletitle"/>
              <w:spacing w:line="240" w:lineRule="auto"/>
              <w:jc w:val="center"/>
              <w:rPr>
                <w:sz w:val="22"/>
                <w:szCs w:val="22"/>
              </w:rPr>
            </w:pPr>
            <w:r w:rsidRPr="00042ADE">
              <w:rPr>
                <w:sz w:val="22"/>
                <w:szCs w:val="22"/>
              </w:rPr>
              <w:t>-2.557</w:t>
            </w:r>
          </w:p>
        </w:tc>
        <w:tc>
          <w:tcPr>
            <w:tcW w:w="1843" w:type="dxa"/>
          </w:tcPr>
          <w:p w14:paraId="56ECAFB9" w14:textId="77777777" w:rsidR="00BC12EC" w:rsidRPr="00042ADE" w:rsidRDefault="00BC12EC" w:rsidP="00C709CC">
            <w:pPr>
              <w:pStyle w:val="Tabletitle"/>
              <w:spacing w:line="240" w:lineRule="auto"/>
              <w:jc w:val="center"/>
              <w:rPr>
                <w:sz w:val="22"/>
                <w:szCs w:val="22"/>
              </w:rPr>
            </w:pPr>
            <w:r w:rsidRPr="00042ADE">
              <w:rPr>
                <w:sz w:val="22"/>
                <w:szCs w:val="22"/>
              </w:rPr>
              <w:t>(-8.620, 3.506)</w:t>
            </w:r>
          </w:p>
        </w:tc>
        <w:tc>
          <w:tcPr>
            <w:tcW w:w="992" w:type="dxa"/>
          </w:tcPr>
          <w:p w14:paraId="511E3D93" w14:textId="77777777" w:rsidR="00BC12EC" w:rsidRPr="00042ADE" w:rsidRDefault="00BC12EC" w:rsidP="00C709CC">
            <w:pPr>
              <w:pStyle w:val="Tabletitle"/>
              <w:spacing w:line="240" w:lineRule="auto"/>
              <w:jc w:val="center"/>
              <w:rPr>
                <w:sz w:val="22"/>
                <w:szCs w:val="22"/>
              </w:rPr>
            </w:pPr>
            <w:r w:rsidRPr="00042ADE">
              <w:rPr>
                <w:sz w:val="22"/>
                <w:szCs w:val="22"/>
              </w:rPr>
              <w:t>0.398</w:t>
            </w:r>
          </w:p>
        </w:tc>
        <w:tc>
          <w:tcPr>
            <w:tcW w:w="993" w:type="dxa"/>
          </w:tcPr>
          <w:p w14:paraId="102D036D" w14:textId="77777777" w:rsidR="00BC12EC" w:rsidRPr="00042ADE" w:rsidRDefault="00BC12EC" w:rsidP="00C709CC">
            <w:pPr>
              <w:pStyle w:val="Tabletitle"/>
              <w:spacing w:line="240" w:lineRule="auto"/>
              <w:jc w:val="center"/>
              <w:rPr>
                <w:sz w:val="22"/>
                <w:szCs w:val="22"/>
              </w:rPr>
            </w:pPr>
            <w:r w:rsidRPr="00042ADE">
              <w:rPr>
                <w:sz w:val="22"/>
                <w:szCs w:val="22"/>
              </w:rPr>
              <w:t>-0.432</w:t>
            </w:r>
          </w:p>
        </w:tc>
        <w:tc>
          <w:tcPr>
            <w:tcW w:w="1875" w:type="dxa"/>
          </w:tcPr>
          <w:p w14:paraId="29E929F7" w14:textId="77777777" w:rsidR="00BC12EC" w:rsidRPr="00042ADE" w:rsidRDefault="00BC12EC" w:rsidP="00C709CC">
            <w:pPr>
              <w:pStyle w:val="Tabletitle"/>
              <w:spacing w:line="240" w:lineRule="auto"/>
              <w:jc w:val="center"/>
              <w:rPr>
                <w:sz w:val="22"/>
                <w:szCs w:val="22"/>
              </w:rPr>
            </w:pPr>
            <w:r w:rsidRPr="00042ADE">
              <w:rPr>
                <w:sz w:val="22"/>
                <w:szCs w:val="22"/>
              </w:rPr>
              <w:t>(-2.289, 1.426)</w:t>
            </w:r>
          </w:p>
        </w:tc>
        <w:tc>
          <w:tcPr>
            <w:tcW w:w="993" w:type="dxa"/>
          </w:tcPr>
          <w:p w14:paraId="70FBB980" w14:textId="77777777" w:rsidR="00BC12EC" w:rsidRPr="00042ADE" w:rsidRDefault="00BC12EC" w:rsidP="00C709CC">
            <w:pPr>
              <w:pStyle w:val="Tabletitle"/>
              <w:spacing w:line="240" w:lineRule="auto"/>
              <w:jc w:val="center"/>
              <w:rPr>
                <w:sz w:val="22"/>
                <w:szCs w:val="22"/>
              </w:rPr>
            </w:pPr>
            <w:r w:rsidRPr="00042ADE">
              <w:rPr>
                <w:sz w:val="22"/>
                <w:szCs w:val="22"/>
              </w:rPr>
              <w:t>0.642</w:t>
            </w:r>
          </w:p>
        </w:tc>
      </w:tr>
      <w:tr w:rsidR="00BC12EC" w:rsidRPr="00042ADE" w14:paraId="026C9CE9" w14:textId="77777777" w:rsidTr="00ED52BF">
        <w:trPr>
          <w:trHeight w:val="196"/>
        </w:trPr>
        <w:tc>
          <w:tcPr>
            <w:tcW w:w="1527" w:type="dxa"/>
          </w:tcPr>
          <w:p w14:paraId="4FCC0ED0" w14:textId="77777777" w:rsidR="00BC12EC" w:rsidRPr="00042ADE" w:rsidRDefault="00BC12EC" w:rsidP="00C709CC">
            <w:pPr>
              <w:pStyle w:val="Tabletitle"/>
              <w:spacing w:line="240" w:lineRule="auto"/>
              <w:rPr>
                <w:sz w:val="22"/>
                <w:szCs w:val="22"/>
              </w:rPr>
            </w:pPr>
          </w:p>
        </w:tc>
        <w:tc>
          <w:tcPr>
            <w:tcW w:w="1559" w:type="dxa"/>
          </w:tcPr>
          <w:p w14:paraId="62610FC9" w14:textId="77777777" w:rsidR="00BC12EC" w:rsidRPr="00042ADE" w:rsidRDefault="00BC12EC" w:rsidP="00C709CC">
            <w:pPr>
              <w:pStyle w:val="Tabletitle"/>
              <w:spacing w:line="240" w:lineRule="auto"/>
              <w:jc w:val="center"/>
              <w:rPr>
                <w:b/>
                <w:sz w:val="22"/>
                <w:szCs w:val="22"/>
              </w:rPr>
            </w:pPr>
          </w:p>
        </w:tc>
        <w:tc>
          <w:tcPr>
            <w:tcW w:w="567" w:type="dxa"/>
          </w:tcPr>
          <w:p w14:paraId="40A7842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7584FEB0" w14:textId="77777777" w:rsidR="00BC12EC" w:rsidRPr="00042ADE" w:rsidRDefault="00BC12EC" w:rsidP="00C709CC">
            <w:pPr>
              <w:pStyle w:val="Tabletitle"/>
              <w:spacing w:line="240" w:lineRule="auto"/>
              <w:jc w:val="center"/>
              <w:rPr>
                <w:sz w:val="22"/>
                <w:szCs w:val="22"/>
              </w:rPr>
            </w:pPr>
            <w:r w:rsidRPr="00042ADE">
              <w:rPr>
                <w:sz w:val="22"/>
                <w:szCs w:val="22"/>
              </w:rPr>
              <w:t>-2.137</w:t>
            </w:r>
          </w:p>
        </w:tc>
        <w:tc>
          <w:tcPr>
            <w:tcW w:w="1843" w:type="dxa"/>
          </w:tcPr>
          <w:p w14:paraId="0A2BAD30" w14:textId="77777777" w:rsidR="00BC12EC" w:rsidRPr="00042ADE" w:rsidRDefault="00BC12EC" w:rsidP="00C709CC">
            <w:pPr>
              <w:pStyle w:val="Tabletitle"/>
              <w:spacing w:line="240" w:lineRule="auto"/>
              <w:jc w:val="center"/>
              <w:rPr>
                <w:sz w:val="22"/>
                <w:szCs w:val="22"/>
              </w:rPr>
            </w:pPr>
            <w:r w:rsidRPr="00042ADE">
              <w:rPr>
                <w:sz w:val="22"/>
                <w:szCs w:val="22"/>
              </w:rPr>
              <w:t>(-7.891, 3.617)</w:t>
            </w:r>
          </w:p>
        </w:tc>
        <w:tc>
          <w:tcPr>
            <w:tcW w:w="992" w:type="dxa"/>
          </w:tcPr>
          <w:p w14:paraId="489FB8AB" w14:textId="77777777" w:rsidR="00BC12EC" w:rsidRPr="00042ADE" w:rsidRDefault="00BC12EC" w:rsidP="00C709CC">
            <w:pPr>
              <w:pStyle w:val="Tabletitle"/>
              <w:spacing w:line="240" w:lineRule="auto"/>
              <w:jc w:val="center"/>
              <w:rPr>
                <w:sz w:val="22"/>
                <w:szCs w:val="22"/>
              </w:rPr>
            </w:pPr>
            <w:r w:rsidRPr="00042ADE">
              <w:rPr>
                <w:sz w:val="22"/>
                <w:szCs w:val="22"/>
              </w:rPr>
              <w:t>0.457</w:t>
            </w:r>
          </w:p>
        </w:tc>
        <w:tc>
          <w:tcPr>
            <w:tcW w:w="993" w:type="dxa"/>
          </w:tcPr>
          <w:p w14:paraId="327C54BC" w14:textId="77777777" w:rsidR="00BC12EC" w:rsidRPr="00042ADE" w:rsidRDefault="00BC12EC" w:rsidP="00C709CC">
            <w:pPr>
              <w:pStyle w:val="Tabletitle"/>
              <w:spacing w:line="240" w:lineRule="auto"/>
              <w:jc w:val="center"/>
              <w:rPr>
                <w:sz w:val="22"/>
                <w:szCs w:val="22"/>
              </w:rPr>
            </w:pPr>
            <w:r w:rsidRPr="00042ADE">
              <w:rPr>
                <w:sz w:val="22"/>
                <w:szCs w:val="22"/>
              </w:rPr>
              <w:t>-1.064</w:t>
            </w:r>
          </w:p>
        </w:tc>
        <w:tc>
          <w:tcPr>
            <w:tcW w:w="1875" w:type="dxa"/>
          </w:tcPr>
          <w:p w14:paraId="66CB7740" w14:textId="77777777" w:rsidR="00BC12EC" w:rsidRPr="00042ADE" w:rsidRDefault="00BC12EC" w:rsidP="00C709CC">
            <w:pPr>
              <w:pStyle w:val="Tabletitle"/>
              <w:spacing w:line="240" w:lineRule="auto"/>
              <w:jc w:val="center"/>
              <w:rPr>
                <w:sz w:val="22"/>
                <w:szCs w:val="22"/>
              </w:rPr>
            </w:pPr>
            <w:r w:rsidRPr="00042ADE">
              <w:rPr>
                <w:sz w:val="22"/>
                <w:szCs w:val="22"/>
              </w:rPr>
              <w:t>(-2.930, 0.803)</w:t>
            </w:r>
          </w:p>
        </w:tc>
        <w:tc>
          <w:tcPr>
            <w:tcW w:w="993" w:type="dxa"/>
          </w:tcPr>
          <w:p w14:paraId="26AAD2FB" w14:textId="77777777" w:rsidR="00BC12EC" w:rsidRPr="00042ADE" w:rsidRDefault="00BC12EC" w:rsidP="00C709CC">
            <w:pPr>
              <w:pStyle w:val="Tabletitle"/>
              <w:spacing w:line="240" w:lineRule="auto"/>
              <w:jc w:val="center"/>
              <w:rPr>
                <w:sz w:val="22"/>
                <w:szCs w:val="22"/>
              </w:rPr>
            </w:pPr>
            <w:r w:rsidRPr="00042ADE">
              <w:rPr>
                <w:sz w:val="22"/>
                <w:szCs w:val="22"/>
              </w:rPr>
              <w:t>0.258</w:t>
            </w:r>
          </w:p>
        </w:tc>
      </w:tr>
      <w:tr w:rsidR="00BC12EC" w:rsidRPr="00042ADE" w14:paraId="3125F2BC" w14:textId="77777777" w:rsidTr="00ED52BF">
        <w:trPr>
          <w:trHeight w:val="196"/>
        </w:trPr>
        <w:tc>
          <w:tcPr>
            <w:tcW w:w="1527" w:type="dxa"/>
          </w:tcPr>
          <w:p w14:paraId="1BCC5330" w14:textId="77777777" w:rsidR="00BC12EC" w:rsidRPr="00042ADE" w:rsidRDefault="00BC12EC" w:rsidP="00C709CC">
            <w:pPr>
              <w:pStyle w:val="Tabletitle"/>
              <w:spacing w:line="240" w:lineRule="auto"/>
              <w:rPr>
                <w:sz w:val="22"/>
                <w:szCs w:val="22"/>
              </w:rPr>
            </w:pPr>
          </w:p>
        </w:tc>
        <w:tc>
          <w:tcPr>
            <w:tcW w:w="1559" w:type="dxa"/>
          </w:tcPr>
          <w:p w14:paraId="08A0294B"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567" w:type="dxa"/>
          </w:tcPr>
          <w:p w14:paraId="035CC5FE"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1924470A" w14:textId="77777777" w:rsidR="00BC12EC" w:rsidRPr="00042ADE" w:rsidRDefault="00BC12EC" w:rsidP="00C709CC">
            <w:pPr>
              <w:pStyle w:val="Tabletitle"/>
              <w:spacing w:line="240" w:lineRule="auto"/>
              <w:jc w:val="center"/>
              <w:rPr>
                <w:sz w:val="22"/>
                <w:szCs w:val="22"/>
              </w:rPr>
            </w:pPr>
            <w:r w:rsidRPr="00042ADE">
              <w:rPr>
                <w:sz w:val="22"/>
                <w:szCs w:val="22"/>
              </w:rPr>
              <w:t>6.190</w:t>
            </w:r>
          </w:p>
        </w:tc>
        <w:tc>
          <w:tcPr>
            <w:tcW w:w="1843" w:type="dxa"/>
          </w:tcPr>
          <w:p w14:paraId="1FC61317" w14:textId="77777777" w:rsidR="00BC12EC" w:rsidRPr="00042ADE" w:rsidRDefault="00BC12EC" w:rsidP="00C709CC">
            <w:pPr>
              <w:pStyle w:val="Tabletitle"/>
              <w:spacing w:line="240" w:lineRule="auto"/>
              <w:jc w:val="center"/>
              <w:rPr>
                <w:sz w:val="22"/>
                <w:szCs w:val="22"/>
              </w:rPr>
            </w:pPr>
            <w:r w:rsidRPr="00042ADE">
              <w:rPr>
                <w:sz w:val="22"/>
                <w:szCs w:val="22"/>
              </w:rPr>
              <w:t>(-7.739, 20.118)</w:t>
            </w:r>
          </w:p>
        </w:tc>
        <w:tc>
          <w:tcPr>
            <w:tcW w:w="992" w:type="dxa"/>
          </w:tcPr>
          <w:p w14:paraId="0CD725A3" w14:textId="77777777" w:rsidR="00BC12EC" w:rsidRPr="00042ADE" w:rsidRDefault="00BC12EC" w:rsidP="00C709CC">
            <w:pPr>
              <w:pStyle w:val="Tabletitle"/>
              <w:spacing w:line="240" w:lineRule="auto"/>
              <w:jc w:val="center"/>
              <w:rPr>
                <w:sz w:val="22"/>
                <w:szCs w:val="22"/>
              </w:rPr>
            </w:pPr>
            <w:r w:rsidRPr="00042ADE">
              <w:rPr>
                <w:sz w:val="22"/>
                <w:szCs w:val="22"/>
              </w:rPr>
              <w:t>0.374</w:t>
            </w:r>
          </w:p>
        </w:tc>
        <w:tc>
          <w:tcPr>
            <w:tcW w:w="993" w:type="dxa"/>
          </w:tcPr>
          <w:p w14:paraId="34CB8E3F" w14:textId="77777777" w:rsidR="00BC12EC" w:rsidRPr="00042ADE" w:rsidRDefault="00BC12EC" w:rsidP="00C709CC">
            <w:pPr>
              <w:pStyle w:val="Tabletitle"/>
              <w:spacing w:line="240" w:lineRule="auto"/>
              <w:jc w:val="center"/>
              <w:rPr>
                <w:sz w:val="22"/>
                <w:szCs w:val="22"/>
              </w:rPr>
            </w:pPr>
            <w:r w:rsidRPr="00042ADE">
              <w:rPr>
                <w:sz w:val="22"/>
                <w:szCs w:val="22"/>
              </w:rPr>
              <w:t>-3.627</w:t>
            </w:r>
          </w:p>
        </w:tc>
        <w:tc>
          <w:tcPr>
            <w:tcW w:w="1875" w:type="dxa"/>
          </w:tcPr>
          <w:p w14:paraId="001CCAED" w14:textId="77777777" w:rsidR="00BC12EC" w:rsidRPr="00042ADE" w:rsidRDefault="00BC12EC" w:rsidP="00C709CC">
            <w:pPr>
              <w:pStyle w:val="Tabletitle"/>
              <w:spacing w:line="240" w:lineRule="auto"/>
              <w:jc w:val="center"/>
              <w:rPr>
                <w:sz w:val="22"/>
                <w:szCs w:val="22"/>
              </w:rPr>
            </w:pPr>
            <w:r w:rsidRPr="00042ADE">
              <w:rPr>
                <w:sz w:val="22"/>
                <w:szCs w:val="22"/>
              </w:rPr>
              <w:t>(-7.640, 0.387)</w:t>
            </w:r>
          </w:p>
        </w:tc>
        <w:tc>
          <w:tcPr>
            <w:tcW w:w="993" w:type="dxa"/>
          </w:tcPr>
          <w:p w14:paraId="6BA196E0" w14:textId="77777777" w:rsidR="00BC12EC" w:rsidRPr="00042ADE" w:rsidRDefault="00BC12EC" w:rsidP="00C709CC">
            <w:pPr>
              <w:pStyle w:val="Tabletitle"/>
              <w:spacing w:line="240" w:lineRule="auto"/>
              <w:jc w:val="center"/>
              <w:rPr>
                <w:sz w:val="22"/>
                <w:szCs w:val="22"/>
              </w:rPr>
            </w:pPr>
            <w:r w:rsidRPr="00042ADE">
              <w:rPr>
                <w:sz w:val="22"/>
                <w:szCs w:val="22"/>
              </w:rPr>
              <w:t>0.075</w:t>
            </w:r>
          </w:p>
        </w:tc>
      </w:tr>
      <w:tr w:rsidR="00BC12EC" w:rsidRPr="00042ADE" w14:paraId="2289AA88" w14:textId="77777777" w:rsidTr="00ED52BF">
        <w:trPr>
          <w:trHeight w:val="196"/>
        </w:trPr>
        <w:tc>
          <w:tcPr>
            <w:tcW w:w="1527" w:type="dxa"/>
          </w:tcPr>
          <w:p w14:paraId="17DDD29E" w14:textId="77777777" w:rsidR="00BC12EC" w:rsidRPr="00042ADE" w:rsidRDefault="00BC12EC" w:rsidP="00C709CC">
            <w:pPr>
              <w:pStyle w:val="Tabletitle"/>
              <w:spacing w:line="240" w:lineRule="auto"/>
              <w:rPr>
                <w:sz w:val="22"/>
                <w:szCs w:val="22"/>
              </w:rPr>
            </w:pPr>
          </w:p>
        </w:tc>
        <w:tc>
          <w:tcPr>
            <w:tcW w:w="1559" w:type="dxa"/>
          </w:tcPr>
          <w:p w14:paraId="33E5B358" w14:textId="77777777" w:rsidR="00BC12EC" w:rsidRPr="00042ADE" w:rsidRDefault="00BC12EC" w:rsidP="00C709CC">
            <w:pPr>
              <w:pStyle w:val="Tabletitle"/>
              <w:spacing w:line="240" w:lineRule="auto"/>
              <w:jc w:val="center"/>
              <w:rPr>
                <w:b/>
                <w:sz w:val="22"/>
                <w:szCs w:val="22"/>
              </w:rPr>
            </w:pPr>
          </w:p>
        </w:tc>
        <w:tc>
          <w:tcPr>
            <w:tcW w:w="567" w:type="dxa"/>
          </w:tcPr>
          <w:p w14:paraId="0E1DF670"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2E83D465" w14:textId="77777777" w:rsidR="00BC12EC" w:rsidRPr="00042ADE" w:rsidRDefault="00BC12EC" w:rsidP="00C709CC">
            <w:pPr>
              <w:pStyle w:val="Tabletitle"/>
              <w:spacing w:line="240" w:lineRule="auto"/>
              <w:jc w:val="center"/>
              <w:rPr>
                <w:sz w:val="22"/>
                <w:szCs w:val="22"/>
              </w:rPr>
            </w:pPr>
            <w:r w:rsidRPr="00042ADE">
              <w:rPr>
                <w:sz w:val="22"/>
                <w:szCs w:val="22"/>
              </w:rPr>
              <w:t>2.826</w:t>
            </w:r>
          </w:p>
        </w:tc>
        <w:tc>
          <w:tcPr>
            <w:tcW w:w="1843" w:type="dxa"/>
          </w:tcPr>
          <w:p w14:paraId="1277F8E4" w14:textId="77777777" w:rsidR="00BC12EC" w:rsidRPr="00042ADE" w:rsidRDefault="00BC12EC" w:rsidP="00C709CC">
            <w:pPr>
              <w:pStyle w:val="Tabletitle"/>
              <w:spacing w:line="240" w:lineRule="auto"/>
              <w:jc w:val="center"/>
              <w:rPr>
                <w:sz w:val="22"/>
                <w:szCs w:val="22"/>
              </w:rPr>
            </w:pPr>
            <w:r w:rsidRPr="00042ADE">
              <w:rPr>
                <w:sz w:val="22"/>
                <w:szCs w:val="22"/>
              </w:rPr>
              <w:t>(-11.649, 17.301)</w:t>
            </w:r>
          </w:p>
        </w:tc>
        <w:tc>
          <w:tcPr>
            <w:tcW w:w="992" w:type="dxa"/>
          </w:tcPr>
          <w:p w14:paraId="1F940046" w14:textId="77777777" w:rsidR="00BC12EC" w:rsidRPr="00042ADE" w:rsidRDefault="00BC12EC" w:rsidP="00C709CC">
            <w:pPr>
              <w:pStyle w:val="Tabletitle"/>
              <w:spacing w:line="240" w:lineRule="auto"/>
              <w:jc w:val="center"/>
              <w:rPr>
                <w:sz w:val="22"/>
                <w:szCs w:val="22"/>
              </w:rPr>
            </w:pPr>
            <w:r w:rsidRPr="00042ADE">
              <w:rPr>
                <w:sz w:val="22"/>
                <w:szCs w:val="22"/>
              </w:rPr>
              <w:t>0.695</w:t>
            </w:r>
          </w:p>
        </w:tc>
        <w:tc>
          <w:tcPr>
            <w:tcW w:w="993" w:type="dxa"/>
          </w:tcPr>
          <w:p w14:paraId="0BDB2ED0" w14:textId="77777777" w:rsidR="00BC12EC" w:rsidRPr="00042ADE" w:rsidRDefault="00BC12EC" w:rsidP="00C709CC">
            <w:pPr>
              <w:pStyle w:val="Tabletitle"/>
              <w:spacing w:line="240" w:lineRule="auto"/>
              <w:jc w:val="center"/>
              <w:rPr>
                <w:sz w:val="22"/>
                <w:szCs w:val="22"/>
              </w:rPr>
            </w:pPr>
            <w:r w:rsidRPr="00042ADE">
              <w:rPr>
                <w:sz w:val="22"/>
                <w:szCs w:val="22"/>
              </w:rPr>
              <w:t>-5.594</w:t>
            </w:r>
          </w:p>
        </w:tc>
        <w:tc>
          <w:tcPr>
            <w:tcW w:w="1875" w:type="dxa"/>
          </w:tcPr>
          <w:p w14:paraId="729F8992" w14:textId="77777777" w:rsidR="00BC12EC" w:rsidRPr="00042ADE" w:rsidRDefault="00BC12EC" w:rsidP="00C709CC">
            <w:pPr>
              <w:pStyle w:val="Tabletitle"/>
              <w:spacing w:line="240" w:lineRule="auto"/>
              <w:jc w:val="center"/>
              <w:rPr>
                <w:sz w:val="22"/>
                <w:szCs w:val="22"/>
              </w:rPr>
            </w:pPr>
            <w:r w:rsidRPr="00042ADE">
              <w:rPr>
                <w:sz w:val="22"/>
                <w:szCs w:val="22"/>
              </w:rPr>
              <w:t>(-10.106, -1.081)</w:t>
            </w:r>
          </w:p>
        </w:tc>
        <w:tc>
          <w:tcPr>
            <w:tcW w:w="993" w:type="dxa"/>
          </w:tcPr>
          <w:p w14:paraId="6D6DA617" w14:textId="77777777" w:rsidR="00BC12EC" w:rsidRPr="00042ADE" w:rsidRDefault="00BC12EC" w:rsidP="00C709CC">
            <w:pPr>
              <w:pStyle w:val="Tabletitle"/>
              <w:spacing w:line="240" w:lineRule="auto"/>
              <w:jc w:val="center"/>
              <w:rPr>
                <w:sz w:val="22"/>
                <w:szCs w:val="22"/>
              </w:rPr>
            </w:pPr>
            <w:r w:rsidRPr="00042ADE">
              <w:rPr>
                <w:sz w:val="22"/>
                <w:szCs w:val="22"/>
              </w:rPr>
              <w:t>0.016</w:t>
            </w:r>
            <w:r w:rsidRPr="00042ADE">
              <w:rPr>
                <w:sz w:val="22"/>
                <w:szCs w:val="22"/>
                <w:vertAlign w:val="superscript"/>
              </w:rPr>
              <w:t>*</w:t>
            </w:r>
          </w:p>
        </w:tc>
      </w:tr>
      <w:tr w:rsidR="00BC12EC" w:rsidRPr="00042ADE" w14:paraId="70CB5776" w14:textId="77777777" w:rsidTr="00ED52BF">
        <w:trPr>
          <w:trHeight w:val="196"/>
        </w:trPr>
        <w:tc>
          <w:tcPr>
            <w:tcW w:w="1527" w:type="dxa"/>
          </w:tcPr>
          <w:p w14:paraId="165FE5B8" w14:textId="77777777" w:rsidR="00BC12EC" w:rsidRPr="00042ADE" w:rsidRDefault="00BC12EC" w:rsidP="00C709CC">
            <w:pPr>
              <w:pStyle w:val="Tabletitle"/>
              <w:spacing w:line="240" w:lineRule="auto"/>
              <w:rPr>
                <w:b/>
                <w:sz w:val="22"/>
                <w:szCs w:val="22"/>
              </w:rPr>
            </w:pPr>
            <w:r w:rsidRPr="00042ADE">
              <w:rPr>
                <w:b/>
                <w:sz w:val="22"/>
                <w:szCs w:val="22"/>
              </w:rPr>
              <w:t>Palm Centre</w:t>
            </w:r>
          </w:p>
        </w:tc>
        <w:tc>
          <w:tcPr>
            <w:tcW w:w="1559" w:type="dxa"/>
          </w:tcPr>
          <w:p w14:paraId="77FC942A"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567" w:type="dxa"/>
          </w:tcPr>
          <w:p w14:paraId="2FCD04AC"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6739063C" w14:textId="77777777" w:rsidR="00BC12EC" w:rsidRPr="00042ADE" w:rsidRDefault="00BC12EC" w:rsidP="00C709CC">
            <w:pPr>
              <w:pStyle w:val="Tabletitle"/>
              <w:spacing w:line="240" w:lineRule="auto"/>
              <w:jc w:val="center"/>
              <w:rPr>
                <w:sz w:val="22"/>
                <w:szCs w:val="22"/>
              </w:rPr>
            </w:pPr>
            <w:r w:rsidRPr="00042ADE">
              <w:rPr>
                <w:sz w:val="22"/>
                <w:szCs w:val="22"/>
              </w:rPr>
              <w:t>-1.416</w:t>
            </w:r>
          </w:p>
        </w:tc>
        <w:tc>
          <w:tcPr>
            <w:tcW w:w="1843" w:type="dxa"/>
          </w:tcPr>
          <w:p w14:paraId="11B11E24" w14:textId="77777777" w:rsidR="00BC12EC" w:rsidRPr="00042ADE" w:rsidRDefault="00BC12EC" w:rsidP="00C709CC">
            <w:pPr>
              <w:pStyle w:val="Tabletitle"/>
              <w:spacing w:line="240" w:lineRule="auto"/>
              <w:jc w:val="center"/>
              <w:rPr>
                <w:sz w:val="22"/>
                <w:szCs w:val="22"/>
              </w:rPr>
            </w:pPr>
            <w:r w:rsidRPr="00042ADE">
              <w:rPr>
                <w:sz w:val="22"/>
                <w:szCs w:val="22"/>
              </w:rPr>
              <w:t>(-12.151, 9.319)</w:t>
            </w:r>
          </w:p>
        </w:tc>
        <w:tc>
          <w:tcPr>
            <w:tcW w:w="992" w:type="dxa"/>
          </w:tcPr>
          <w:p w14:paraId="52DE0599" w14:textId="77777777" w:rsidR="00BC12EC" w:rsidRPr="00042ADE" w:rsidRDefault="00BC12EC" w:rsidP="00C709CC">
            <w:pPr>
              <w:pStyle w:val="Tabletitle"/>
              <w:spacing w:line="240" w:lineRule="auto"/>
              <w:jc w:val="center"/>
              <w:rPr>
                <w:sz w:val="22"/>
                <w:szCs w:val="22"/>
              </w:rPr>
            </w:pPr>
            <w:r w:rsidRPr="00042ADE">
              <w:rPr>
                <w:sz w:val="22"/>
                <w:szCs w:val="22"/>
              </w:rPr>
              <w:t>0.791</w:t>
            </w:r>
          </w:p>
        </w:tc>
        <w:tc>
          <w:tcPr>
            <w:tcW w:w="993" w:type="dxa"/>
          </w:tcPr>
          <w:p w14:paraId="2A89931A" w14:textId="77777777" w:rsidR="00BC12EC" w:rsidRPr="00042ADE" w:rsidRDefault="00BC12EC" w:rsidP="00C709CC">
            <w:pPr>
              <w:pStyle w:val="Tabletitle"/>
              <w:spacing w:line="240" w:lineRule="auto"/>
              <w:jc w:val="center"/>
              <w:rPr>
                <w:sz w:val="22"/>
                <w:szCs w:val="22"/>
              </w:rPr>
            </w:pPr>
            <w:r w:rsidRPr="00042ADE">
              <w:rPr>
                <w:sz w:val="22"/>
                <w:szCs w:val="22"/>
              </w:rPr>
              <w:t>-3.603</w:t>
            </w:r>
          </w:p>
        </w:tc>
        <w:tc>
          <w:tcPr>
            <w:tcW w:w="1875" w:type="dxa"/>
          </w:tcPr>
          <w:p w14:paraId="7ADD2216" w14:textId="77777777" w:rsidR="00BC12EC" w:rsidRPr="00042ADE" w:rsidRDefault="00BC12EC" w:rsidP="00C709CC">
            <w:pPr>
              <w:pStyle w:val="Tabletitle"/>
              <w:spacing w:line="240" w:lineRule="auto"/>
              <w:jc w:val="center"/>
              <w:rPr>
                <w:sz w:val="22"/>
                <w:szCs w:val="22"/>
              </w:rPr>
            </w:pPr>
            <w:r w:rsidRPr="00042ADE">
              <w:rPr>
                <w:sz w:val="22"/>
                <w:szCs w:val="22"/>
              </w:rPr>
              <w:t>(-7.370, 0.163)</w:t>
            </w:r>
          </w:p>
        </w:tc>
        <w:tc>
          <w:tcPr>
            <w:tcW w:w="993" w:type="dxa"/>
          </w:tcPr>
          <w:p w14:paraId="10719770" w14:textId="77777777" w:rsidR="00BC12EC" w:rsidRPr="00042ADE" w:rsidRDefault="00BC12EC" w:rsidP="00C709CC">
            <w:pPr>
              <w:pStyle w:val="Tabletitle"/>
              <w:spacing w:line="240" w:lineRule="auto"/>
              <w:jc w:val="center"/>
              <w:rPr>
                <w:sz w:val="22"/>
                <w:szCs w:val="22"/>
              </w:rPr>
            </w:pPr>
            <w:r w:rsidRPr="00042ADE">
              <w:rPr>
                <w:sz w:val="22"/>
                <w:szCs w:val="22"/>
              </w:rPr>
              <w:t>0.060</w:t>
            </w:r>
          </w:p>
        </w:tc>
      </w:tr>
      <w:tr w:rsidR="00BC12EC" w:rsidRPr="00042ADE" w14:paraId="383E18AF" w14:textId="77777777" w:rsidTr="00ED52BF">
        <w:trPr>
          <w:trHeight w:val="196"/>
        </w:trPr>
        <w:tc>
          <w:tcPr>
            <w:tcW w:w="1527" w:type="dxa"/>
          </w:tcPr>
          <w:p w14:paraId="43E7376A" w14:textId="77777777" w:rsidR="00BC12EC" w:rsidRPr="00042ADE" w:rsidRDefault="00BC12EC" w:rsidP="00C709CC">
            <w:pPr>
              <w:pStyle w:val="Tabletitle"/>
              <w:spacing w:line="240" w:lineRule="auto"/>
              <w:rPr>
                <w:sz w:val="22"/>
                <w:szCs w:val="22"/>
              </w:rPr>
            </w:pPr>
          </w:p>
        </w:tc>
        <w:tc>
          <w:tcPr>
            <w:tcW w:w="1559" w:type="dxa"/>
          </w:tcPr>
          <w:p w14:paraId="1845A691" w14:textId="77777777" w:rsidR="00BC12EC" w:rsidRPr="00042ADE" w:rsidRDefault="00BC12EC" w:rsidP="00C709CC">
            <w:pPr>
              <w:pStyle w:val="Tabletitle"/>
              <w:spacing w:line="240" w:lineRule="auto"/>
              <w:jc w:val="center"/>
              <w:rPr>
                <w:b/>
                <w:sz w:val="22"/>
                <w:szCs w:val="22"/>
              </w:rPr>
            </w:pPr>
          </w:p>
        </w:tc>
        <w:tc>
          <w:tcPr>
            <w:tcW w:w="567" w:type="dxa"/>
          </w:tcPr>
          <w:p w14:paraId="4313BFF9"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Pr>
          <w:p w14:paraId="67B88F3E" w14:textId="77777777" w:rsidR="00BC12EC" w:rsidRPr="00042ADE" w:rsidRDefault="00BC12EC" w:rsidP="00C709CC">
            <w:pPr>
              <w:pStyle w:val="Tabletitle"/>
              <w:spacing w:line="240" w:lineRule="auto"/>
              <w:jc w:val="center"/>
              <w:rPr>
                <w:sz w:val="22"/>
                <w:szCs w:val="22"/>
              </w:rPr>
            </w:pPr>
            <w:r w:rsidRPr="00042ADE">
              <w:rPr>
                <w:sz w:val="22"/>
                <w:szCs w:val="22"/>
              </w:rPr>
              <w:t>4.888</w:t>
            </w:r>
          </w:p>
        </w:tc>
        <w:tc>
          <w:tcPr>
            <w:tcW w:w="1843" w:type="dxa"/>
          </w:tcPr>
          <w:p w14:paraId="2E5C2AEC" w14:textId="77777777" w:rsidR="00BC12EC" w:rsidRPr="00042ADE" w:rsidRDefault="00BC12EC" w:rsidP="00C709CC">
            <w:pPr>
              <w:pStyle w:val="Tabletitle"/>
              <w:spacing w:line="240" w:lineRule="auto"/>
              <w:jc w:val="center"/>
              <w:rPr>
                <w:sz w:val="22"/>
                <w:szCs w:val="22"/>
              </w:rPr>
            </w:pPr>
            <w:r w:rsidRPr="00042ADE">
              <w:rPr>
                <w:sz w:val="22"/>
                <w:szCs w:val="22"/>
              </w:rPr>
              <w:t>(-5.319, 15.095)</w:t>
            </w:r>
          </w:p>
        </w:tc>
        <w:tc>
          <w:tcPr>
            <w:tcW w:w="992" w:type="dxa"/>
          </w:tcPr>
          <w:p w14:paraId="20E75AB5" w14:textId="77777777" w:rsidR="00BC12EC" w:rsidRPr="00042ADE" w:rsidRDefault="00BC12EC" w:rsidP="00C709CC">
            <w:pPr>
              <w:pStyle w:val="Tabletitle"/>
              <w:spacing w:line="240" w:lineRule="auto"/>
              <w:jc w:val="center"/>
              <w:rPr>
                <w:sz w:val="22"/>
                <w:szCs w:val="22"/>
              </w:rPr>
            </w:pPr>
            <w:r w:rsidRPr="00042ADE">
              <w:rPr>
                <w:sz w:val="22"/>
                <w:szCs w:val="22"/>
              </w:rPr>
              <w:t>0.338</w:t>
            </w:r>
          </w:p>
        </w:tc>
        <w:tc>
          <w:tcPr>
            <w:tcW w:w="993" w:type="dxa"/>
          </w:tcPr>
          <w:p w14:paraId="668F835B" w14:textId="77777777" w:rsidR="00BC12EC" w:rsidRPr="00042ADE" w:rsidRDefault="00BC12EC" w:rsidP="00C709CC">
            <w:pPr>
              <w:pStyle w:val="Tabletitle"/>
              <w:spacing w:line="240" w:lineRule="auto"/>
              <w:jc w:val="center"/>
              <w:rPr>
                <w:sz w:val="22"/>
                <w:szCs w:val="22"/>
              </w:rPr>
            </w:pPr>
            <w:r w:rsidRPr="00042ADE">
              <w:rPr>
                <w:sz w:val="22"/>
                <w:szCs w:val="22"/>
              </w:rPr>
              <w:t>-4.090</w:t>
            </w:r>
          </w:p>
        </w:tc>
        <w:tc>
          <w:tcPr>
            <w:tcW w:w="1875" w:type="dxa"/>
          </w:tcPr>
          <w:p w14:paraId="2AAF1D57" w14:textId="77777777" w:rsidR="00BC12EC" w:rsidRPr="00042ADE" w:rsidRDefault="00BC12EC" w:rsidP="00C709CC">
            <w:pPr>
              <w:pStyle w:val="Tabletitle"/>
              <w:spacing w:line="240" w:lineRule="auto"/>
              <w:jc w:val="center"/>
              <w:rPr>
                <w:sz w:val="22"/>
                <w:szCs w:val="22"/>
              </w:rPr>
            </w:pPr>
            <w:r w:rsidRPr="00042ADE">
              <w:rPr>
                <w:sz w:val="22"/>
                <w:szCs w:val="22"/>
              </w:rPr>
              <w:t>(-7.905, -0.275)</w:t>
            </w:r>
          </w:p>
        </w:tc>
        <w:tc>
          <w:tcPr>
            <w:tcW w:w="993" w:type="dxa"/>
          </w:tcPr>
          <w:p w14:paraId="1B055FEF" w14:textId="77777777" w:rsidR="00BC12EC" w:rsidRPr="00042ADE" w:rsidRDefault="00BC12EC" w:rsidP="00C709CC">
            <w:pPr>
              <w:pStyle w:val="Tabletitle"/>
              <w:spacing w:line="240" w:lineRule="auto"/>
              <w:jc w:val="center"/>
              <w:rPr>
                <w:sz w:val="22"/>
                <w:szCs w:val="22"/>
              </w:rPr>
            </w:pPr>
            <w:r w:rsidRPr="00042ADE">
              <w:rPr>
                <w:sz w:val="22"/>
                <w:szCs w:val="22"/>
              </w:rPr>
              <w:t>0.036</w:t>
            </w:r>
            <w:r w:rsidRPr="00042ADE">
              <w:rPr>
                <w:sz w:val="22"/>
                <w:szCs w:val="22"/>
                <w:vertAlign w:val="superscript"/>
              </w:rPr>
              <w:t>*</w:t>
            </w:r>
          </w:p>
        </w:tc>
      </w:tr>
      <w:tr w:rsidR="00BC12EC" w:rsidRPr="00042ADE" w14:paraId="29255020" w14:textId="77777777" w:rsidTr="00ED52BF">
        <w:trPr>
          <w:trHeight w:val="196"/>
        </w:trPr>
        <w:tc>
          <w:tcPr>
            <w:tcW w:w="1527" w:type="dxa"/>
          </w:tcPr>
          <w:p w14:paraId="4145C8A4" w14:textId="77777777" w:rsidR="00BC12EC" w:rsidRPr="00042ADE" w:rsidRDefault="00BC12EC" w:rsidP="00C709CC">
            <w:pPr>
              <w:pStyle w:val="Tabletitle"/>
              <w:spacing w:line="240" w:lineRule="auto"/>
              <w:rPr>
                <w:sz w:val="22"/>
                <w:szCs w:val="22"/>
              </w:rPr>
            </w:pPr>
          </w:p>
        </w:tc>
        <w:tc>
          <w:tcPr>
            <w:tcW w:w="1559" w:type="dxa"/>
          </w:tcPr>
          <w:p w14:paraId="2D2F17F7"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567" w:type="dxa"/>
          </w:tcPr>
          <w:p w14:paraId="02B73726"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850" w:type="dxa"/>
          </w:tcPr>
          <w:p w14:paraId="49CB6D2B" w14:textId="77777777" w:rsidR="00BC12EC" w:rsidRPr="00042ADE" w:rsidRDefault="00BC12EC" w:rsidP="00C709CC">
            <w:pPr>
              <w:pStyle w:val="Tabletitle"/>
              <w:spacing w:line="240" w:lineRule="auto"/>
              <w:jc w:val="center"/>
              <w:rPr>
                <w:sz w:val="22"/>
                <w:szCs w:val="22"/>
              </w:rPr>
            </w:pPr>
            <w:r w:rsidRPr="00042ADE">
              <w:rPr>
                <w:sz w:val="22"/>
                <w:szCs w:val="22"/>
              </w:rPr>
              <w:t>6.359</w:t>
            </w:r>
          </w:p>
        </w:tc>
        <w:tc>
          <w:tcPr>
            <w:tcW w:w="1843" w:type="dxa"/>
          </w:tcPr>
          <w:p w14:paraId="1C27E597" w14:textId="77777777" w:rsidR="00BC12EC" w:rsidRPr="00042ADE" w:rsidRDefault="00BC12EC" w:rsidP="00C709CC">
            <w:pPr>
              <w:pStyle w:val="Tabletitle"/>
              <w:spacing w:line="240" w:lineRule="auto"/>
              <w:jc w:val="center"/>
              <w:rPr>
                <w:sz w:val="22"/>
                <w:szCs w:val="22"/>
              </w:rPr>
            </w:pPr>
            <w:r w:rsidRPr="00042ADE">
              <w:rPr>
                <w:sz w:val="22"/>
                <w:szCs w:val="22"/>
              </w:rPr>
              <w:t>(-6.572, 19.290)</w:t>
            </w:r>
          </w:p>
        </w:tc>
        <w:tc>
          <w:tcPr>
            <w:tcW w:w="992" w:type="dxa"/>
          </w:tcPr>
          <w:p w14:paraId="419F899A" w14:textId="77777777" w:rsidR="00BC12EC" w:rsidRPr="00042ADE" w:rsidRDefault="00BC12EC" w:rsidP="00C709CC">
            <w:pPr>
              <w:pStyle w:val="Tabletitle"/>
              <w:spacing w:line="240" w:lineRule="auto"/>
              <w:jc w:val="center"/>
              <w:rPr>
                <w:sz w:val="22"/>
                <w:szCs w:val="22"/>
              </w:rPr>
            </w:pPr>
            <w:r w:rsidRPr="00042ADE">
              <w:rPr>
                <w:sz w:val="22"/>
                <w:szCs w:val="22"/>
              </w:rPr>
              <w:t>0.326</w:t>
            </w:r>
          </w:p>
        </w:tc>
        <w:tc>
          <w:tcPr>
            <w:tcW w:w="993" w:type="dxa"/>
          </w:tcPr>
          <w:p w14:paraId="206EB82E" w14:textId="77777777" w:rsidR="00BC12EC" w:rsidRPr="00042ADE" w:rsidRDefault="00BC12EC" w:rsidP="00C709CC">
            <w:pPr>
              <w:pStyle w:val="Tabletitle"/>
              <w:spacing w:line="240" w:lineRule="auto"/>
              <w:jc w:val="center"/>
              <w:rPr>
                <w:sz w:val="22"/>
                <w:szCs w:val="22"/>
              </w:rPr>
            </w:pPr>
            <w:r w:rsidRPr="00042ADE">
              <w:rPr>
                <w:sz w:val="22"/>
                <w:szCs w:val="22"/>
              </w:rPr>
              <w:t>-3.295</w:t>
            </w:r>
          </w:p>
        </w:tc>
        <w:tc>
          <w:tcPr>
            <w:tcW w:w="1875" w:type="dxa"/>
          </w:tcPr>
          <w:p w14:paraId="529C9161" w14:textId="77777777" w:rsidR="00BC12EC" w:rsidRPr="00042ADE" w:rsidRDefault="00BC12EC" w:rsidP="00C709CC">
            <w:pPr>
              <w:pStyle w:val="Tabletitle"/>
              <w:spacing w:line="240" w:lineRule="auto"/>
              <w:jc w:val="center"/>
              <w:rPr>
                <w:sz w:val="22"/>
                <w:szCs w:val="22"/>
              </w:rPr>
            </w:pPr>
            <w:r w:rsidRPr="00042ADE">
              <w:rPr>
                <w:sz w:val="22"/>
                <w:szCs w:val="22"/>
              </w:rPr>
              <w:t>(-7.282, 0.691)</w:t>
            </w:r>
          </w:p>
        </w:tc>
        <w:tc>
          <w:tcPr>
            <w:tcW w:w="993" w:type="dxa"/>
          </w:tcPr>
          <w:p w14:paraId="5B8219D1" w14:textId="77777777" w:rsidR="00BC12EC" w:rsidRPr="00042ADE" w:rsidRDefault="00BC12EC" w:rsidP="00C709CC">
            <w:pPr>
              <w:pStyle w:val="Tabletitle"/>
              <w:spacing w:line="240" w:lineRule="auto"/>
              <w:jc w:val="center"/>
              <w:rPr>
                <w:sz w:val="22"/>
                <w:szCs w:val="22"/>
              </w:rPr>
            </w:pPr>
            <w:r w:rsidRPr="00042ADE">
              <w:rPr>
                <w:sz w:val="22"/>
                <w:szCs w:val="22"/>
              </w:rPr>
              <w:t>0.103</w:t>
            </w:r>
          </w:p>
        </w:tc>
      </w:tr>
      <w:tr w:rsidR="00BC12EC" w:rsidRPr="00042ADE" w14:paraId="0DE32D91" w14:textId="77777777" w:rsidTr="00ED52BF">
        <w:trPr>
          <w:trHeight w:val="196"/>
        </w:trPr>
        <w:tc>
          <w:tcPr>
            <w:tcW w:w="1527" w:type="dxa"/>
            <w:tcBorders>
              <w:bottom w:val="single" w:sz="4" w:space="0" w:color="auto"/>
            </w:tcBorders>
          </w:tcPr>
          <w:p w14:paraId="177FB65E" w14:textId="77777777" w:rsidR="00BC12EC" w:rsidRPr="00042ADE" w:rsidRDefault="00BC12EC" w:rsidP="00C709CC">
            <w:pPr>
              <w:pStyle w:val="Tabletitle"/>
              <w:spacing w:line="240" w:lineRule="auto"/>
              <w:rPr>
                <w:sz w:val="22"/>
                <w:szCs w:val="22"/>
              </w:rPr>
            </w:pPr>
          </w:p>
        </w:tc>
        <w:tc>
          <w:tcPr>
            <w:tcW w:w="1559" w:type="dxa"/>
            <w:tcBorders>
              <w:bottom w:val="single" w:sz="4" w:space="0" w:color="auto"/>
            </w:tcBorders>
          </w:tcPr>
          <w:p w14:paraId="1983E65A" w14:textId="77777777" w:rsidR="00BC12EC" w:rsidRPr="00042ADE" w:rsidRDefault="00BC12EC" w:rsidP="00C709CC">
            <w:pPr>
              <w:pStyle w:val="Tabletitle"/>
              <w:spacing w:line="240" w:lineRule="auto"/>
              <w:jc w:val="center"/>
              <w:rPr>
                <w:b/>
                <w:sz w:val="22"/>
                <w:szCs w:val="22"/>
              </w:rPr>
            </w:pPr>
          </w:p>
        </w:tc>
        <w:tc>
          <w:tcPr>
            <w:tcW w:w="567" w:type="dxa"/>
            <w:tcBorders>
              <w:bottom w:val="single" w:sz="4" w:space="0" w:color="auto"/>
            </w:tcBorders>
          </w:tcPr>
          <w:p w14:paraId="7428D8FE"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850" w:type="dxa"/>
            <w:tcBorders>
              <w:bottom w:val="single" w:sz="4" w:space="0" w:color="auto"/>
            </w:tcBorders>
          </w:tcPr>
          <w:p w14:paraId="5E19815B" w14:textId="77777777" w:rsidR="00BC12EC" w:rsidRPr="00042ADE" w:rsidRDefault="00BC12EC" w:rsidP="00C709CC">
            <w:pPr>
              <w:pStyle w:val="Tabletitle"/>
              <w:spacing w:line="240" w:lineRule="auto"/>
              <w:jc w:val="center"/>
              <w:rPr>
                <w:sz w:val="22"/>
                <w:szCs w:val="22"/>
              </w:rPr>
            </w:pPr>
            <w:r w:rsidRPr="00042ADE">
              <w:rPr>
                <w:sz w:val="22"/>
                <w:szCs w:val="22"/>
              </w:rPr>
              <w:t>3.955</w:t>
            </w:r>
          </w:p>
        </w:tc>
        <w:tc>
          <w:tcPr>
            <w:tcW w:w="1843" w:type="dxa"/>
            <w:tcBorders>
              <w:bottom w:val="single" w:sz="4" w:space="0" w:color="auto"/>
            </w:tcBorders>
          </w:tcPr>
          <w:p w14:paraId="13846E48" w14:textId="77777777" w:rsidR="00BC12EC" w:rsidRPr="00042ADE" w:rsidRDefault="00BC12EC" w:rsidP="00C709CC">
            <w:pPr>
              <w:pStyle w:val="Tabletitle"/>
              <w:spacing w:line="240" w:lineRule="auto"/>
              <w:jc w:val="center"/>
              <w:rPr>
                <w:sz w:val="22"/>
                <w:szCs w:val="22"/>
              </w:rPr>
            </w:pPr>
            <w:r w:rsidRPr="00042ADE">
              <w:rPr>
                <w:sz w:val="22"/>
                <w:szCs w:val="22"/>
              </w:rPr>
              <w:t>(-9.300, 17.209)</w:t>
            </w:r>
          </w:p>
        </w:tc>
        <w:tc>
          <w:tcPr>
            <w:tcW w:w="992" w:type="dxa"/>
            <w:tcBorders>
              <w:bottom w:val="single" w:sz="4" w:space="0" w:color="auto"/>
            </w:tcBorders>
          </w:tcPr>
          <w:p w14:paraId="5A877B0C" w14:textId="77777777" w:rsidR="00BC12EC" w:rsidRPr="00042ADE" w:rsidRDefault="00BC12EC" w:rsidP="00C709CC">
            <w:pPr>
              <w:pStyle w:val="Tabletitle"/>
              <w:spacing w:line="240" w:lineRule="auto"/>
              <w:jc w:val="center"/>
              <w:rPr>
                <w:sz w:val="22"/>
                <w:szCs w:val="22"/>
              </w:rPr>
            </w:pPr>
            <w:r w:rsidRPr="00042ADE">
              <w:rPr>
                <w:sz w:val="22"/>
                <w:szCs w:val="22"/>
              </w:rPr>
              <w:t>0.549</w:t>
            </w:r>
          </w:p>
        </w:tc>
        <w:tc>
          <w:tcPr>
            <w:tcW w:w="993" w:type="dxa"/>
            <w:tcBorders>
              <w:bottom w:val="single" w:sz="4" w:space="0" w:color="auto"/>
            </w:tcBorders>
          </w:tcPr>
          <w:p w14:paraId="1A8872B9" w14:textId="77777777" w:rsidR="00BC12EC" w:rsidRPr="00042ADE" w:rsidRDefault="00BC12EC" w:rsidP="00C709CC">
            <w:pPr>
              <w:pStyle w:val="Tabletitle"/>
              <w:spacing w:line="240" w:lineRule="auto"/>
              <w:jc w:val="center"/>
              <w:rPr>
                <w:sz w:val="22"/>
                <w:szCs w:val="22"/>
              </w:rPr>
            </w:pPr>
            <w:r w:rsidRPr="00042ADE">
              <w:rPr>
                <w:sz w:val="22"/>
                <w:szCs w:val="22"/>
              </w:rPr>
              <w:t>-5.519</w:t>
            </w:r>
          </w:p>
        </w:tc>
        <w:tc>
          <w:tcPr>
            <w:tcW w:w="1875" w:type="dxa"/>
            <w:tcBorders>
              <w:bottom w:val="single" w:sz="4" w:space="0" w:color="auto"/>
            </w:tcBorders>
          </w:tcPr>
          <w:p w14:paraId="7FA5E43E" w14:textId="77777777" w:rsidR="00BC12EC" w:rsidRPr="00042ADE" w:rsidRDefault="00BC12EC" w:rsidP="00C709CC">
            <w:pPr>
              <w:pStyle w:val="Tabletitle"/>
              <w:spacing w:line="240" w:lineRule="auto"/>
              <w:jc w:val="center"/>
              <w:rPr>
                <w:sz w:val="22"/>
                <w:szCs w:val="22"/>
              </w:rPr>
            </w:pPr>
            <w:r w:rsidRPr="00042ADE">
              <w:rPr>
                <w:sz w:val="22"/>
                <w:szCs w:val="22"/>
              </w:rPr>
              <w:t>(-9.933, -1.106)</w:t>
            </w:r>
          </w:p>
        </w:tc>
        <w:tc>
          <w:tcPr>
            <w:tcW w:w="993" w:type="dxa"/>
            <w:tcBorders>
              <w:bottom w:val="single" w:sz="4" w:space="0" w:color="auto"/>
            </w:tcBorders>
          </w:tcPr>
          <w:p w14:paraId="1A3211D7" w14:textId="77777777" w:rsidR="00BC12EC" w:rsidRPr="00042ADE" w:rsidRDefault="00BC12EC" w:rsidP="00C709CC">
            <w:pPr>
              <w:pStyle w:val="Tabletitle"/>
              <w:spacing w:line="240" w:lineRule="auto"/>
              <w:jc w:val="center"/>
              <w:rPr>
                <w:sz w:val="22"/>
                <w:szCs w:val="22"/>
              </w:rPr>
            </w:pPr>
            <w:r w:rsidRPr="00042ADE">
              <w:rPr>
                <w:sz w:val="22"/>
                <w:szCs w:val="22"/>
              </w:rPr>
              <w:t>0.015</w:t>
            </w:r>
            <w:r w:rsidRPr="00042ADE">
              <w:rPr>
                <w:sz w:val="22"/>
                <w:szCs w:val="22"/>
                <w:vertAlign w:val="superscript"/>
              </w:rPr>
              <w:t>*</w:t>
            </w:r>
          </w:p>
        </w:tc>
      </w:tr>
    </w:tbl>
    <w:p w14:paraId="4377AC3F" w14:textId="77777777" w:rsidR="00BC12EC" w:rsidRPr="00042ADE" w:rsidRDefault="00BC12EC" w:rsidP="00BC12EC">
      <w:pPr>
        <w:rPr>
          <w:rFonts w:ascii="Times New Roman" w:hAnsi="Times New Roman"/>
          <w:sz w:val="24"/>
          <w:szCs w:val="24"/>
          <w:lang w:val="en-GB"/>
        </w:rPr>
      </w:pPr>
      <w:r w:rsidRPr="00042ADE">
        <w:rPr>
          <w:rFonts w:ascii="Times New Roman" w:hAnsi="Times New Roman"/>
          <w:sz w:val="24"/>
          <w:szCs w:val="24"/>
          <w:lang w:val="en-GB"/>
        </w:rPr>
        <w:br w:type="page"/>
      </w:r>
    </w:p>
    <w:p w14:paraId="6117D748" w14:textId="77777777" w:rsidR="00BC12EC" w:rsidRPr="00042ADE" w:rsidRDefault="00BC12EC" w:rsidP="00BC12EC">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lastRenderedPageBreak/>
        <w:t>(Continued) Table 2</w:t>
      </w:r>
      <w:r w:rsidRPr="00042ADE">
        <w:rPr>
          <w:rFonts w:ascii="Times New Roman" w:hAnsi="Times New Roman"/>
          <w:sz w:val="24"/>
          <w:szCs w:val="24"/>
          <w:lang w:val="en-US"/>
        </w:rPr>
        <w:t xml:space="preserve">. </w:t>
      </w:r>
      <w:r w:rsidR="001450CD" w:rsidRPr="00042ADE">
        <w:rPr>
          <w:rFonts w:ascii="Times New Roman" w:hAnsi="Times New Roman"/>
          <w:sz w:val="24"/>
          <w:szCs w:val="24"/>
          <w:lang w:val="en-US"/>
        </w:rPr>
        <w:t xml:space="preserve">Associations between nitric oxide (NOx) levels and temperature of dorsal site of both hands </w:t>
      </w:r>
      <w:r w:rsidR="001450CD" w:rsidRPr="00042ADE">
        <w:rPr>
          <w:rFonts w:ascii="Times New Roman" w:hAnsi="Times New Roman"/>
          <w:sz w:val="24"/>
          <w:szCs w:val="24"/>
          <w:lang w:val="en-GB"/>
        </w:rPr>
        <w:t>among cases (women with FMS) and controls (healthy women).</w:t>
      </w:r>
    </w:p>
    <w:tbl>
      <w:tblPr>
        <w:tblStyle w:val="Tablaconcuadrcula"/>
        <w:tblW w:w="11199" w:type="dxa"/>
        <w:tblInd w:w="-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1481"/>
        <w:gridCol w:w="629"/>
        <w:gridCol w:w="912"/>
        <w:gridCol w:w="1843"/>
        <w:gridCol w:w="992"/>
        <w:gridCol w:w="818"/>
        <w:gridCol w:w="1875"/>
        <w:gridCol w:w="993"/>
      </w:tblGrid>
      <w:tr w:rsidR="00BC12EC" w:rsidRPr="00042ADE" w14:paraId="328827BA" w14:textId="77777777" w:rsidTr="00ED52BF">
        <w:trPr>
          <w:trHeight w:val="516"/>
        </w:trPr>
        <w:tc>
          <w:tcPr>
            <w:tcW w:w="1656" w:type="dxa"/>
            <w:tcBorders>
              <w:top w:val="single" w:sz="4" w:space="0" w:color="auto"/>
            </w:tcBorders>
          </w:tcPr>
          <w:p w14:paraId="6AAAE2A9" w14:textId="77777777" w:rsidR="00BC12EC" w:rsidRPr="00042ADE" w:rsidRDefault="00BC12EC" w:rsidP="00C709CC">
            <w:pPr>
              <w:pStyle w:val="Tabletitle"/>
              <w:spacing w:line="240" w:lineRule="auto"/>
              <w:rPr>
                <w:sz w:val="22"/>
                <w:szCs w:val="22"/>
              </w:rPr>
            </w:pPr>
          </w:p>
        </w:tc>
        <w:tc>
          <w:tcPr>
            <w:tcW w:w="1481" w:type="dxa"/>
            <w:tcBorders>
              <w:top w:val="single" w:sz="4" w:space="0" w:color="auto"/>
            </w:tcBorders>
          </w:tcPr>
          <w:p w14:paraId="38C650C0" w14:textId="77777777" w:rsidR="00BC12EC" w:rsidRPr="00042ADE" w:rsidRDefault="00BC12EC" w:rsidP="00C709CC">
            <w:pPr>
              <w:pStyle w:val="Tabletitle"/>
              <w:spacing w:line="240" w:lineRule="auto"/>
              <w:rPr>
                <w:b/>
                <w:sz w:val="22"/>
                <w:szCs w:val="22"/>
              </w:rPr>
            </w:pPr>
          </w:p>
        </w:tc>
        <w:tc>
          <w:tcPr>
            <w:tcW w:w="629" w:type="dxa"/>
            <w:tcBorders>
              <w:top w:val="single" w:sz="4" w:space="0" w:color="auto"/>
            </w:tcBorders>
          </w:tcPr>
          <w:p w14:paraId="2B14AA0C" w14:textId="77777777" w:rsidR="00BC12EC" w:rsidRPr="00042ADE" w:rsidRDefault="00BC12EC" w:rsidP="00C709CC">
            <w:pPr>
              <w:pStyle w:val="Tabletitle"/>
              <w:spacing w:line="240" w:lineRule="auto"/>
              <w:rPr>
                <w:b/>
                <w:sz w:val="22"/>
                <w:szCs w:val="22"/>
              </w:rPr>
            </w:pPr>
          </w:p>
        </w:tc>
        <w:tc>
          <w:tcPr>
            <w:tcW w:w="2755" w:type="dxa"/>
            <w:gridSpan w:val="2"/>
            <w:tcBorders>
              <w:top w:val="single" w:sz="4" w:space="0" w:color="auto"/>
              <w:bottom w:val="single" w:sz="4" w:space="0" w:color="auto"/>
            </w:tcBorders>
            <w:hideMark/>
          </w:tcPr>
          <w:p w14:paraId="52CC4F19" w14:textId="77777777" w:rsidR="00BC12EC" w:rsidRPr="00042ADE" w:rsidRDefault="00BC12EC" w:rsidP="00C709CC">
            <w:pPr>
              <w:pStyle w:val="Tabletitle"/>
              <w:spacing w:line="240" w:lineRule="auto"/>
              <w:rPr>
                <w:b/>
                <w:sz w:val="22"/>
                <w:szCs w:val="22"/>
              </w:rPr>
            </w:pPr>
          </w:p>
        </w:tc>
        <w:tc>
          <w:tcPr>
            <w:tcW w:w="1810" w:type="dxa"/>
            <w:gridSpan w:val="2"/>
            <w:tcBorders>
              <w:top w:val="single" w:sz="4" w:space="0" w:color="auto"/>
              <w:bottom w:val="single" w:sz="4" w:space="0" w:color="auto"/>
            </w:tcBorders>
          </w:tcPr>
          <w:p w14:paraId="03034987" w14:textId="77777777" w:rsidR="00BC12EC" w:rsidRPr="00042ADE" w:rsidRDefault="00BC12EC" w:rsidP="00C709CC">
            <w:pPr>
              <w:pStyle w:val="Tabletitle"/>
              <w:spacing w:line="240" w:lineRule="auto"/>
              <w:jc w:val="center"/>
              <w:rPr>
                <w:b/>
                <w:sz w:val="22"/>
                <w:szCs w:val="22"/>
              </w:rPr>
            </w:pPr>
            <w:r w:rsidRPr="00042ADE">
              <w:rPr>
                <w:b/>
                <w:sz w:val="22"/>
                <w:szCs w:val="22"/>
              </w:rPr>
              <w:t>NOx Levels</w:t>
            </w:r>
          </w:p>
        </w:tc>
        <w:tc>
          <w:tcPr>
            <w:tcW w:w="1875" w:type="dxa"/>
            <w:tcBorders>
              <w:top w:val="single" w:sz="4" w:space="0" w:color="auto"/>
              <w:bottom w:val="single" w:sz="4" w:space="0" w:color="auto"/>
            </w:tcBorders>
          </w:tcPr>
          <w:p w14:paraId="3028728C" w14:textId="77777777" w:rsidR="00BC12EC" w:rsidRPr="00042ADE" w:rsidRDefault="00BC12EC" w:rsidP="00C709CC">
            <w:pPr>
              <w:pStyle w:val="Tabletitle"/>
              <w:spacing w:line="240" w:lineRule="auto"/>
              <w:rPr>
                <w:b/>
                <w:sz w:val="22"/>
                <w:szCs w:val="22"/>
              </w:rPr>
            </w:pPr>
          </w:p>
        </w:tc>
        <w:tc>
          <w:tcPr>
            <w:tcW w:w="993" w:type="dxa"/>
            <w:tcBorders>
              <w:top w:val="single" w:sz="4" w:space="0" w:color="auto"/>
              <w:bottom w:val="single" w:sz="4" w:space="0" w:color="auto"/>
            </w:tcBorders>
          </w:tcPr>
          <w:p w14:paraId="1ABF28AD" w14:textId="77777777" w:rsidR="00BC12EC" w:rsidRPr="00042ADE" w:rsidRDefault="00BC12EC" w:rsidP="00C709CC">
            <w:pPr>
              <w:pStyle w:val="Tabletitle"/>
              <w:spacing w:line="240" w:lineRule="auto"/>
              <w:rPr>
                <w:b/>
                <w:sz w:val="22"/>
                <w:szCs w:val="22"/>
              </w:rPr>
            </w:pPr>
          </w:p>
        </w:tc>
      </w:tr>
      <w:tr w:rsidR="00BC12EC" w:rsidRPr="00042ADE" w14:paraId="4332CE2C" w14:textId="77777777" w:rsidTr="00ED52BF">
        <w:trPr>
          <w:trHeight w:val="236"/>
        </w:trPr>
        <w:tc>
          <w:tcPr>
            <w:tcW w:w="1656" w:type="dxa"/>
          </w:tcPr>
          <w:p w14:paraId="2C68CADC" w14:textId="77777777" w:rsidR="00BC12EC" w:rsidRPr="00042ADE" w:rsidRDefault="00BC12EC" w:rsidP="00C709CC">
            <w:pPr>
              <w:pStyle w:val="Tabletitle"/>
              <w:spacing w:line="240" w:lineRule="auto"/>
              <w:rPr>
                <w:sz w:val="22"/>
                <w:szCs w:val="22"/>
              </w:rPr>
            </w:pPr>
          </w:p>
        </w:tc>
        <w:tc>
          <w:tcPr>
            <w:tcW w:w="1481" w:type="dxa"/>
          </w:tcPr>
          <w:p w14:paraId="4B3B2DEB" w14:textId="77777777" w:rsidR="00BC12EC" w:rsidRPr="00042ADE" w:rsidRDefault="00BC12EC" w:rsidP="00C709CC">
            <w:pPr>
              <w:pStyle w:val="Tabletitle"/>
              <w:spacing w:line="240" w:lineRule="auto"/>
              <w:jc w:val="center"/>
              <w:rPr>
                <w:b/>
                <w:sz w:val="22"/>
                <w:szCs w:val="22"/>
              </w:rPr>
            </w:pPr>
          </w:p>
        </w:tc>
        <w:tc>
          <w:tcPr>
            <w:tcW w:w="629" w:type="dxa"/>
          </w:tcPr>
          <w:p w14:paraId="385D5B9A"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tcPr>
          <w:p w14:paraId="708FE481" w14:textId="77777777" w:rsidR="00BC12EC" w:rsidRPr="00042ADE" w:rsidRDefault="00BC12EC" w:rsidP="00C709CC">
            <w:pPr>
              <w:pStyle w:val="Tabletitle"/>
              <w:spacing w:line="240" w:lineRule="auto"/>
              <w:jc w:val="center"/>
              <w:rPr>
                <w:b/>
                <w:sz w:val="22"/>
                <w:szCs w:val="22"/>
              </w:rPr>
            </w:pPr>
          </w:p>
        </w:tc>
        <w:tc>
          <w:tcPr>
            <w:tcW w:w="2835" w:type="dxa"/>
            <w:gridSpan w:val="2"/>
            <w:tcBorders>
              <w:top w:val="single" w:sz="4" w:space="0" w:color="auto"/>
              <w:bottom w:val="single" w:sz="4" w:space="0" w:color="auto"/>
            </w:tcBorders>
          </w:tcPr>
          <w:p w14:paraId="5B3E2697" w14:textId="77777777" w:rsidR="00BC12EC" w:rsidRPr="00042ADE" w:rsidRDefault="00BC12EC" w:rsidP="00C709CC">
            <w:pPr>
              <w:pStyle w:val="Tabletitle"/>
              <w:spacing w:line="240" w:lineRule="auto"/>
              <w:jc w:val="center"/>
              <w:rPr>
                <w:b/>
                <w:i/>
                <w:sz w:val="22"/>
                <w:szCs w:val="22"/>
              </w:rPr>
            </w:pPr>
            <w:r w:rsidRPr="00042ADE">
              <w:rPr>
                <w:b/>
                <w:sz w:val="22"/>
                <w:szCs w:val="22"/>
              </w:rPr>
              <w:t>FMS Women (n=42)</w:t>
            </w:r>
          </w:p>
        </w:tc>
        <w:tc>
          <w:tcPr>
            <w:tcW w:w="818" w:type="dxa"/>
            <w:tcBorders>
              <w:top w:val="single" w:sz="4" w:space="0" w:color="auto"/>
              <w:bottom w:val="single" w:sz="4" w:space="0" w:color="auto"/>
            </w:tcBorders>
          </w:tcPr>
          <w:p w14:paraId="7A5B6743" w14:textId="77777777" w:rsidR="00BC12EC" w:rsidRPr="00042ADE" w:rsidRDefault="00BC12EC" w:rsidP="00C709CC">
            <w:pPr>
              <w:pStyle w:val="Tabletitle"/>
              <w:spacing w:line="240" w:lineRule="auto"/>
              <w:jc w:val="center"/>
              <w:rPr>
                <w:b/>
                <w:sz w:val="22"/>
                <w:szCs w:val="22"/>
              </w:rPr>
            </w:pPr>
          </w:p>
        </w:tc>
        <w:tc>
          <w:tcPr>
            <w:tcW w:w="2868" w:type="dxa"/>
            <w:gridSpan w:val="2"/>
            <w:tcBorders>
              <w:top w:val="single" w:sz="4" w:space="0" w:color="auto"/>
              <w:bottom w:val="single" w:sz="4" w:space="0" w:color="auto"/>
            </w:tcBorders>
          </w:tcPr>
          <w:p w14:paraId="1F957193" w14:textId="77777777" w:rsidR="00BC12EC" w:rsidRPr="00042ADE" w:rsidRDefault="00BC12EC" w:rsidP="00C709CC">
            <w:pPr>
              <w:pStyle w:val="Tabletitle"/>
              <w:spacing w:line="240" w:lineRule="auto"/>
              <w:jc w:val="center"/>
              <w:rPr>
                <w:b/>
                <w:i/>
                <w:sz w:val="22"/>
                <w:szCs w:val="22"/>
              </w:rPr>
            </w:pPr>
            <w:r w:rsidRPr="00042ADE">
              <w:rPr>
                <w:b/>
                <w:sz w:val="22"/>
                <w:szCs w:val="22"/>
              </w:rPr>
              <w:t>Healthy Women (n=52)</w:t>
            </w:r>
          </w:p>
        </w:tc>
      </w:tr>
      <w:tr w:rsidR="00BC12EC" w:rsidRPr="00042ADE" w14:paraId="01A30DA4" w14:textId="77777777" w:rsidTr="00ED52BF">
        <w:trPr>
          <w:trHeight w:val="236"/>
        </w:trPr>
        <w:tc>
          <w:tcPr>
            <w:tcW w:w="1656" w:type="dxa"/>
            <w:tcBorders>
              <w:bottom w:val="single" w:sz="4" w:space="0" w:color="auto"/>
            </w:tcBorders>
          </w:tcPr>
          <w:p w14:paraId="0F1C498D"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4B3E5859"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31D03C07" w14:textId="77777777" w:rsidR="00BC12EC" w:rsidRPr="00042ADE" w:rsidRDefault="00BC12EC" w:rsidP="00C709CC">
            <w:pPr>
              <w:pStyle w:val="Tabletitle"/>
              <w:spacing w:line="240" w:lineRule="auto"/>
              <w:jc w:val="center"/>
              <w:rPr>
                <w:b/>
                <w:sz w:val="22"/>
                <w:szCs w:val="22"/>
              </w:rPr>
            </w:pPr>
          </w:p>
        </w:tc>
        <w:tc>
          <w:tcPr>
            <w:tcW w:w="912" w:type="dxa"/>
            <w:tcBorders>
              <w:top w:val="single" w:sz="4" w:space="0" w:color="auto"/>
              <w:bottom w:val="single" w:sz="4" w:space="0" w:color="auto"/>
            </w:tcBorders>
            <w:hideMark/>
          </w:tcPr>
          <w:p w14:paraId="1C9BAF63"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43" w:type="dxa"/>
            <w:tcBorders>
              <w:top w:val="single" w:sz="4" w:space="0" w:color="auto"/>
              <w:bottom w:val="single" w:sz="4" w:space="0" w:color="auto"/>
            </w:tcBorders>
            <w:hideMark/>
          </w:tcPr>
          <w:p w14:paraId="1BA43073"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2" w:type="dxa"/>
            <w:tcBorders>
              <w:top w:val="single" w:sz="4" w:space="0" w:color="auto"/>
              <w:bottom w:val="single" w:sz="4" w:space="0" w:color="auto"/>
            </w:tcBorders>
            <w:hideMark/>
          </w:tcPr>
          <w:p w14:paraId="04E36A32"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c>
          <w:tcPr>
            <w:tcW w:w="818" w:type="dxa"/>
            <w:tcBorders>
              <w:top w:val="single" w:sz="4" w:space="0" w:color="auto"/>
              <w:bottom w:val="single" w:sz="4" w:space="0" w:color="auto"/>
            </w:tcBorders>
          </w:tcPr>
          <w:p w14:paraId="236DBF68" w14:textId="77777777" w:rsidR="00BC12EC" w:rsidRPr="00042ADE" w:rsidRDefault="00BC12EC" w:rsidP="00C709CC">
            <w:pPr>
              <w:pStyle w:val="Tabletitle"/>
              <w:spacing w:line="240" w:lineRule="auto"/>
              <w:jc w:val="center"/>
              <w:rPr>
                <w:b/>
                <w:sz w:val="22"/>
                <w:szCs w:val="22"/>
              </w:rPr>
            </w:pPr>
            <w:r w:rsidRPr="00042ADE">
              <w:rPr>
                <w:b/>
                <w:sz w:val="22"/>
                <w:szCs w:val="22"/>
              </w:rPr>
              <w:t>β</w:t>
            </w:r>
          </w:p>
        </w:tc>
        <w:tc>
          <w:tcPr>
            <w:tcW w:w="1875" w:type="dxa"/>
            <w:tcBorders>
              <w:top w:val="single" w:sz="4" w:space="0" w:color="auto"/>
              <w:bottom w:val="single" w:sz="4" w:space="0" w:color="auto"/>
            </w:tcBorders>
          </w:tcPr>
          <w:p w14:paraId="4454B7F2" w14:textId="77777777" w:rsidR="00BC12EC" w:rsidRPr="00042ADE" w:rsidRDefault="00BC12EC" w:rsidP="00C709CC">
            <w:pPr>
              <w:pStyle w:val="Tabletitle"/>
              <w:spacing w:line="240" w:lineRule="auto"/>
              <w:jc w:val="center"/>
              <w:rPr>
                <w:b/>
                <w:sz w:val="22"/>
                <w:szCs w:val="22"/>
              </w:rPr>
            </w:pPr>
            <w:r w:rsidRPr="00042ADE">
              <w:rPr>
                <w:b/>
                <w:sz w:val="22"/>
                <w:szCs w:val="22"/>
              </w:rPr>
              <w:t>95 % CI</w:t>
            </w:r>
          </w:p>
        </w:tc>
        <w:tc>
          <w:tcPr>
            <w:tcW w:w="993" w:type="dxa"/>
            <w:tcBorders>
              <w:top w:val="single" w:sz="4" w:space="0" w:color="auto"/>
              <w:bottom w:val="single" w:sz="4" w:space="0" w:color="auto"/>
            </w:tcBorders>
          </w:tcPr>
          <w:p w14:paraId="01219D7A" w14:textId="77777777" w:rsidR="00BC12EC" w:rsidRPr="00042ADE" w:rsidRDefault="00BC12EC" w:rsidP="00C709CC">
            <w:pPr>
              <w:pStyle w:val="Tabletitle"/>
              <w:spacing w:line="240" w:lineRule="auto"/>
              <w:jc w:val="center"/>
              <w:rPr>
                <w:b/>
                <w:sz w:val="22"/>
                <w:szCs w:val="22"/>
              </w:rPr>
            </w:pPr>
            <w:r w:rsidRPr="00042ADE">
              <w:rPr>
                <w:b/>
                <w:i/>
                <w:sz w:val="22"/>
                <w:szCs w:val="22"/>
              </w:rPr>
              <w:t>P</w:t>
            </w:r>
            <w:r w:rsidRPr="00042ADE">
              <w:rPr>
                <w:b/>
                <w:sz w:val="22"/>
                <w:szCs w:val="22"/>
              </w:rPr>
              <w:t>-value</w:t>
            </w:r>
          </w:p>
        </w:tc>
      </w:tr>
      <w:tr w:rsidR="00BC12EC" w:rsidRPr="00042ADE" w14:paraId="024DEE04" w14:textId="77777777" w:rsidTr="00ED52BF">
        <w:trPr>
          <w:trHeight w:val="196"/>
        </w:trPr>
        <w:tc>
          <w:tcPr>
            <w:tcW w:w="1656" w:type="dxa"/>
            <w:tcBorders>
              <w:top w:val="single" w:sz="4" w:space="0" w:color="auto"/>
            </w:tcBorders>
          </w:tcPr>
          <w:p w14:paraId="674F0885" w14:textId="77777777" w:rsidR="00BC12EC" w:rsidRPr="00042ADE" w:rsidRDefault="00BC12EC" w:rsidP="00C709CC">
            <w:pPr>
              <w:pStyle w:val="Tabletitle"/>
              <w:spacing w:line="240" w:lineRule="auto"/>
              <w:rPr>
                <w:b/>
                <w:sz w:val="22"/>
                <w:szCs w:val="22"/>
              </w:rPr>
            </w:pPr>
            <w:r w:rsidRPr="00042ADE">
              <w:rPr>
                <w:b/>
                <w:sz w:val="22"/>
                <w:szCs w:val="22"/>
              </w:rPr>
              <w:t>Palm site of the hand</w:t>
            </w:r>
          </w:p>
        </w:tc>
        <w:tc>
          <w:tcPr>
            <w:tcW w:w="1481" w:type="dxa"/>
            <w:tcBorders>
              <w:top w:val="single" w:sz="4" w:space="0" w:color="auto"/>
            </w:tcBorders>
          </w:tcPr>
          <w:p w14:paraId="5E06C7A4" w14:textId="77777777" w:rsidR="00BC12EC" w:rsidRPr="00042ADE" w:rsidRDefault="00BC12EC" w:rsidP="00C709CC">
            <w:pPr>
              <w:pStyle w:val="Tabletitle"/>
              <w:spacing w:line="240" w:lineRule="auto"/>
              <w:jc w:val="center"/>
              <w:rPr>
                <w:sz w:val="22"/>
                <w:szCs w:val="22"/>
              </w:rPr>
            </w:pPr>
          </w:p>
        </w:tc>
        <w:tc>
          <w:tcPr>
            <w:tcW w:w="629" w:type="dxa"/>
            <w:tcBorders>
              <w:top w:val="single" w:sz="4" w:space="0" w:color="auto"/>
            </w:tcBorders>
          </w:tcPr>
          <w:p w14:paraId="4525D0B2" w14:textId="77777777" w:rsidR="00BC12EC" w:rsidRPr="00042ADE" w:rsidRDefault="00BC12EC" w:rsidP="00C709CC">
            <w:pPr>
              <w:pStyle w:val="Tabletitle"/>
              <w:spacing w:line="240" w:lineRule="auto"/>
              <w:jc w:val="center"/>
              <w:rPr>
                <w:sz w:val="22"/>
                <w:szCs w:val="22"/>
              </w:rPr>
            </w:pPr>
          </w:p>
        </w:tc>
        <w:tc>
          <w:tcPr>
            <w:tcW w:w="912" w:type="dxa"/>
            <w:tcBorders>
              <w:top w:val="single" w:sz="4" w:space="0" w:color="auto"/>
            </w:tcBorders>
          </w:tcPr>
          <w:p w14:paraId="56C408A4" w14:textId="77777777" w:rsidR="00BC12EC" w:rsidRPr="00042ADE" w:rsidRDefault="00BC12EC" w:rsidP="00C709CC">
            <w:pPr>
              <w:pStyle w:val="Tabletitle"/>
              <w:spacing w:line="240" w:lineRule="auto"/>
              <w:jc w:val="center"/>
              <w:rPr>
                <w:sz w:val="22"/>
                <w:szCs w:val="22"/>
              </w:rPr>
            </w:pPr>
          </w:p>
        </w:tc>
        <w:tc>
          <w:tcPr>
            <w:tcW w:w="1843" w:type="dxa"/>
            <w:tcBorders>
              <w:top w:val="single" w:sz="4" w:space="0" w:color="auto"/>
            </w:tcBorders>
          </w:tcPr>
          <w:p w14:paraId="398C5C76" w14:textId="77777777" w:rsidR="00BC12EC" w:rsidRPr="00042ADE" w:rsidRDefault="00BC12EC" w:rsidP="00C709CC">
            <w:pPr>
              <w:pStyle w:val="Tabletitle"/>
              <w:spacing w:line="240" w:lineRule="auto"/>
              <w:jc w:val="center"/>
              <w:rPr>
                <w:sz w:val="22"/>
                <w:szCs w:val="22"/>
              </w:rPr>
            </w:pPr>
          </w:p>
        </w:tc>
        <w:tc>
          <w:tcPr>
            <w:tcW w:w="992" w:type="dxa"/>
            <w:tcBorders>
              <w:top w:val="single" w:sz="4" w:space="0" w:color="auto"/>
            </w:tcBorders>
          </w:tcPr>
          <w:p w14:paraId="58C3EF63" w14:textId="77777777" w:rsidR="00BC12EC" w:rsidRPr="00042ADE" w:rsidRDefault="00BC12EC" w:rsidP="00C709CC">
            <w:pPr>
              <w:pStyle w:val="Tabletitle"/>
              <w:spacing w:line="240" w:lineRule="auto"/>
              <w:jc w:val="center"/>
              <w:rPr>
                <w:sz w:val="22"/>
                <w:szCs w:val="22"/>
              </w:rPr>
            </w:pPr>
          </w:p>
        </w:tc>
        <w:tc>
          <w:tcPr>
            <w:tcW w:w="818" w:type="dxa"/>
            <w:tcBorders>
              <w:top w:val="single" w:sz="4" w:space="0" w:color="auto"/>
            </w:tcBorders>
          </w:tcPr>
          <w:p w14:paraId="6FC37E9B" w14:textId="77777777" w:rsidR="00BC12EC" w:rsidRPr="00042ADE" w:rsidRDefault="00BC12EC" w:rsidP="00C709CC">
            <w:pPr>
              <w:pStyle w:val="Tabletitle"/>
              <w:spacing w:line="240" w:lineRule="auto"/>
              <w:jc w:val="center"/>
              <w:rPr>
                <w:sz w:val="22"/>
                <w:szCs w:val="22"/>
              </w:rPr>
            </w:pPr>
          </w:p>
        </w:tc>
        <w:tc>
          <w:tcPr>
            <w:tcW w:w="1875" w:type="dxa"/>
            <w:tcBorders>
              <w:top w:val="single" w:sz="4" w:space="0" w:color="auto"/>
            </w:tcBorders>
          </w:tcPr>
          <w:p w14:paraId="39DCF1C0" w14:textId="77777777" w:rsidR="00BC12EC" w:rsidRPr="00042ADE" w:rsidRDefault="00BC12EC" w:rsidP="00C709CC">
            <w:pPr>
              <w:pStyle w:val="Tabletitle"/>
              <w:spacing w:line="240" w:lineRule="auto"/>
              <w:jc w:val="center"/>
              <w:rPr>
                <w:sz w:val="22"/>
                <w:szCs w:val="22"/>
              </w:rPr>
            </w:pPr>
          </w:p>
        </w:tc>
        <w:tc>
          <w:tcPr>
            <w:tcW w:w="993" w:type="dxa"/>
            <w:tcBorders>
              <w:top w:val="single" w:sz="4" w:space="0" w:color="auto"/>
            </w:tcBorders>
          </w:tcPr>
          <w:p w14:paraId="6C332CE3" w14:textId="77777777" w:rsidR="00BC12EC" w:rsidRPr="00042ADE" w:rsidRDefault="00BC12EC" w:rsidP="00C709CC">
            <w:pPr>
              <w:pStyle w:val="Tabletitle"/>
              <w:spacing w:line="240" w:lineRule="auto"/>
              <w:jc w:val="center"/>
              <w:rPr>
                <w:sz w:val="22"/>
                <w:szCs w:val="22"/>
              </w:rPr>
            </w:pPr>
          </w:p>
        </w:tc>
      </w:tr>
      <w:tr w:rsidR="00BC12EC" w:rsidRPr="00042ADE" w14:paraId="11D3571B" w14:textId="77777777" w:rsidTr="00ED52BF">
        <w:trPr>
          <w:trHeight w:val="196"/>
        </w:trPr>
        <w:tc>
          <w:tcPr>
            <w:tcW w:w="1656" w:type="dxa"/>
          </w:tcPr>
          <w:p w14:paraId="02B0B226" w14:textId="77777777" w:rsidR="00BC12EC" w:rsidRPr="00042ADE" w:rsidRDefault="00BC12EC" w:rsidP="00C709CC">
            <w:pPr>
              <w:pStyle w:val="Tabletitle"/>
              <w:spacing w:line="240" w:lineRule="auto"/>
              <w:rPr>
                <w:sz w:val="22"/>
                <w:szCs w:val="22"/>
              </w:rPr>
            </w:pPr>
          </w:p>
        </w:tc>
        <w:tc>
          <w:tcPr>
            <w:tcW w:w="1481" w:type="dxa"/>
          </w:tcPr>
          <w:p w14:paraId="4FAF131A"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0A7CBF3C"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EC1171E" w14:textId="77777777" w:rsidR="00BC12EC" w:rsidRPr="00042ADE" w:rsidRDefault="00BC12EC" w:rsidP="00C709CC">
            <w:pPr>
              <w:pStyle w:val="Tabletitle"/>
              <w:spacing w:line="240" w:lineRule="auto"/>
              <w:jc w:val="center"/>
              <w:rPr>
                <w:sz w:val="22"/>
                <w:szCs w:val="22"/>
              </w:rPr>
            </w:pPr>
            <w:r w:rsidRPr="00042ADE">
              <w:rPr>
                <w:sz w:val="22"/>
                <w:szCs w:val="22"/>
              </w:rPr>
              <w:t>4.236</w:t>
            </w:r>
          </w:p>
        </w:tc>
        <w:tc>
          <w:tcPr>
            <w:tcW w:w="1843" w:type="dxa"/>
          </w:tcPr>
          <w:p w14:paraId="00A0CE31" w14:textId="77777777" w:rsidR="00BC12EC" w:rsidRPr="00042ADE" w:rsidRDefault="00BC12EC" w:rsidP="00C709CC">
            <w:pPr>
              <w:pStyle w:val="Tabletitle"/>
              <w:spacing w:line="240" w:lineRule="auto"/>
              <w:jc w:val="center"/>
              <w:rPr>
                <w:sz w:val="22"/>
                <w:szCs w:val="22"/>
              </w:rPr>
            </w:pPr>
            <w:r w:rsidRPr="00042ADE">
              <w:rPr>
                <w:sz w:val="22"/>
                <w:szCs w:val="22"/>
              </w:rPr>
              <w:t>(-5.853, 14.324)</w:t>
            </w:r>
          </w:p>
        </w:tc>
        <w:tc>
          <w:tcPr>
            <w:tcW w:w="992" w:type="dxa"/>
          </w:tcPr>
          <w:p w14:paraId="3412DDAE" w14:textId="77777777" w:rsidR="00BC12EC" w:rsidRPr="00042ADE" w:rsidRDefault="00BC12EC" w:rsidP="00C709CC">
            <w:pPr>
              <w:pStyle w:val="Tabletitle"/>
              <w:spacing w:line="240" w:lineRule="auto"/>
              <w:jc w:val="center"/>
              <w:rPr>
                <w:sz w:val="22"/>
                <w:szCs w:val="22"/>
              </w:rPr>
            </w:pPr>
            <w:r w:rsidRPr="00042ADE">
              <w:rPr>
                <w:sz w:val="22"/>
                <w:szCs w:val="22"/>
              </w:rPr>
              <w:t>0.400</w:t>
            </w:r>
          </w:p>
        </w:tc>
        <w:tc>
          <w:tcPr>
            <w:tcW w:w="818" w:type="dxa"/>
          </w:tcPr>
          <w:p w14:paraId="52CF38AC" w14:textId="77777777" w:rsidR="00BC12EC" w:rsidRPr="00042ADE" w:rsidRDefault="00BC12EC" w:rsidP="00C709CC">
            <w:pPr>
              <w:pStyle w:val="Tabletitle"/>
              <w:spacing w:line="240" w:lineRule="auto"/>
              <w:jc w:val="center"/>
              <w:rPr>
                <w:sz w:val="22"/>
                <w:szCs w:val="22"/>
              </w:rPr>
            </w:pPr>
            <w:r w:rsidRPr="00042ADE">
              <w:rPr>
                <w:sz w:val="22"/>
                <w:szCs w:val="22"/>
              </w:rPr>
              <w:t>-5.800</w:t>
            </w:r>
          </w:p>
        </w:tc>
        <w:tc>
          <w:tcPr>
            <w:tcW w:w="1875" w:type="dxa"/>
          </w:tcPr>
          <w:p w14:paraId="72BE095E" w14:textId="77777777" w:rsidR="00BC12EC" w:rsidRPr="00042ADE" w:rsidRDefault="00BC12EC" w:rsidP="00C709CC">
            <w:pPr>
              <w:pStyle w:val="Tabletitle"/>
              <w:spacing w:line="240" w:lineRule="auto"/>
              <w:jc w:val="center"/>
              <w:rPr>
                <w:sz w:val="22"/>
                <w:szCs w:val="22"/>
              </w:rPr>
            </w:pPr>
            <w:r w:rsidRPr="00042ADE">
              <w:rPr>
                <w:sz w:val="22"/>
                <w:szCs w:val="22"/>
              </w:rPr>
              <w:t>(-10.508, -1.092)</w:t>
            </w:r>
          </w:p>
        </w:tc>
        <w:tc>
          <w:tcPr>
            <w:tcW w:w="993" w:type="dxa"/>
          </w:tcPr>
          <w:p w14:paraId="7F7A4C70" w14:textId="77777777" w:rsidR="00BC12EC" w:rsidRPr="00042ADE" w:rsidRDefault="00BC12EC" w:rsidP="00C709CC">
            <w:pPr>
              <w:pStyle w:val="Tabletitle"/>
              <w:spacing w:line="240" w:lineRule="auto"/>
              <w:jc w:val="center"/>
              <w:rPr>
                <w:sz w:val="22"/>
                <w:szCs w:val="22"/>
              </w:rPr>
            </w:pPr>
            <w:r w:rsidRPr="00042ADE">
              <w:rPr>
                <w:sz w:val="22"/>
                <w:szCs w:val="22"/>
              </w:rPr>
              <w:t>0.017</w:t>
            </w:r>
            <w:r w:rsidRPr="00042ADE">
              <w:rPr>
                <w:sz w:val="22"/>
                <w:szCs w:val="22"/>
                <w:vertAlign w:val="superscript"/>
              </w:rPr>
              <w:t>*</w:t>
            </w:r>
          </w:p>
        </w:tc>
      </w:tr>
      <w:tr w:rsidR="00BC12EC" w:rsidRPr="00042ADE" w14:paraId="458F458B" w14:textId="77777777" w:rsidTr="00ED52BF">
        <w:trPr>
          <w:trHeight w:val="196"/>
        </w:trPr>
        <w:tc>
          <w:tcPr>
            <w:tcW w:w="1656" w:type="dxa"/>
          </w:tcPr>
          <w:p w14:paraId="73C1685E" w14:textId="77777777" w:rsidR="00BC12EC" w:rsidRPr="00042ADE" w:rsidRDefault="00BC12EC" w:rsidP="00C709CC">
            <w:pPr>
              <w:pStyle w:val="Tabletitle"/>
              <w:spacing w:line="240" w:lineRule="auto"/>
              <w:rPr>
                <w:sz w:val="22"/>
                <w:szCs w:val="22"/>
              </w:rPr>
            </w:pPr>
          </w:p>
        </w:tc>
        <w:tc>
          <w:tcPr>
            <w:tcW w:w="1481" w:type="dxa"/>
          </w:tcPr>
          <w:p w14:paraId="5DCDDBE0" w14:textId="77777777" w:rsidR="00BC12EC" w:rsidRPr="00042ADE" w:rsidRDefault="00BC12EC" w:rsidP="00C709CC">
            <w:pPr>
              <w:pStyle w:val="Tabletitle"/>
              <w:spacing w:line="240" w:lineRule="auto"/>
              <w:jc w:val="center"/>
              <w:rPr>
                <w:b/>
                <w:sz w:val="22"/>
                <w:szCs w:val="22"/>
              </w:rPr>
            </w:pPr>
          </w:p>
        </w:tc>
        <w:tc>
          <w:tcPr>
            <w:tcW w:w="629" w:type="dxa"/>
          </w:tcPr>
          <w:p w14:paraId="3D7918C9"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69B8ACE3" w14:textId="77777777" w:rsidR="00BC12EC" w:rsidRPr="00042ADE" w:rsidRDefault="00BC12EC" w:rsidP="00C709CC">
            <w:pPr>
              <w:pStyle w:val="Tabletitle"/>
              <w:spacing w:line="240" w:lineRule="auto"/>
              <w:jc w:val="center"/>
              <w:rPr>
                <w:sz w:val="22"/>
                <w:szCs w:val="22"/>
              </w:rPr>
            </w:pPr>
            <w:r w:rsidRPr="00042ADE">
              <w:rPr>
                <w:sz w:val="22"/>
                <w:szCs w:val="22"/>
              </w:rPr>
              <w:t>2.842</w:t>
            </w:r>
          </w:p>
        </w:tc>
        <w:tc>
          <w:tcPr>
            <w:tcW w:w="1843" w:type="dxa"/>
          </w:tcPr>
          <w:p w14:paraId="6CCD6072" w14:textId="77777777" w:rsidR="00BC12EC" w:rsidRPr="00042ADE" w:rsidRDefault="00BC12EC" w:rsidP="00C709CC">
            <w:pPr>
              <w:pStyle w:val="Tabletitle"/>
              <w:spacing w:line="240" w:lineRule="auto"/>
              <w:jc w:val="center"/>
              <w:rPr>
                <w:sz w:val="22"/>
                <w:szCs w:val="22"/>
              </w:rPr>
            </w:pPr>
            <w:r w:rsidRPr="00042ADE">
              <w:rPr>
                <w:sz w:val="22"/>
                <w:szCs w:val="22"/>
              </w:rPr>
              <w:t>(-7.015, 12.700)</w:t>
            </w:r>
          </w:p>
        </w:tc>
        <w:tc>
          <w:tcPr>
            <w:tcW w:w="992" w:type="dxa"/>
          </w:tcPr>
          <w:p w14:paraId="1DF9E968" w14:textId="77777777" w:rsidR="00BC12EC" w:rsidRPr="00042ADE" w:rsidRDefault="00BC12EC" w:rsidP="00C709CC">
            <w:pPr>
              <w:pStyle w:val="Tabletitle"/>
              <w:spacing w:line="240" w:lineRule="auto"/>
              <w:jc w:val="center"/>
              <w:rPr>
                <w:sz w:val="22"/>
                <w:szCs w:val="22"/>
              </w:rPr>
            </w:pPr>
            <w:r w:rsidRPr="00042ADE">
              <w:rPr>
                <w:sz w:val="22"/>
                <w:szCs w:val="22"/>
              </w:rPr>
              <w:t>0.563</w:t>
            </w:r>
          </w:p>
        </w:tc>
        <w:tc>
          <w:tcPr>
            <w:tcW w:w="818" w:type="dxa"/>
          </w:tcPr>
          <w:p w14:paraId="177BF527" w14:textId="77777777" w:rsidR="00BC12EC" w:rsidRPr="00042ADE" w:rsidRDefault="00BC12EC" w:rsidP="00C709CC">
            <w:pPr>
              <w:pStyle w:val="Tabletitle"/>
              <w:spacing w:line="240" w:lineRule="auto"/>
              <w:jc w:val="center"/>
              <w:rPr>
                <w:sz w:val="22"/>
                <w:szCs w:val="22"/>
              </w:rPr>
            </w:pPr>
            <w:r w:rsidRPr="00042ADE">
              <w:rPr>
                <w:sz w:val="22"/>
                <w:szCs w:val="22"/>
              </w:rPr>
              <w:t>-4.318</w:t>
            </w:r>
          </w:p>
        </w:tc>
        <w:tc>
          <w:tcPr>
            <w:tcW w:w="1875" w:type="dxa"/>
          </w:tcPr>
          <w:p w14:paraId="09789FC1" w14:textId="77777777" w:rsidR="00BC12EC" w:rsidRPr="00042ADE" w:rsidRDefault="00BC12EC" w:rsidP="00C709CC">
            <w:pPr>
              <w:pStyle w:val="Tabletitle"/>
              <w:spacing w:line="240" w:lineRule="auto"/>
              <w:jc w:val="center"/>
              <w:rPr>
                <w:sz w:val="22"/>
                <w:szCs w:val="22"/>
              </w:rPr>
            </w:pPr>
            <w:r w:rsidRPr="00042ADE">
              <w:rPr>
                <w:sz w:val="22"/>
                <w:szCs w:val="22"/>
              </w:rPr>
              <w:t>(-9.240, 0.605)</w:t>
            </w:r>
          </w:p>
        </w:tc>
        <w:tc>
          <w:tcPr>
            <w:tcW w:w="993" w:type="dxa"/>
          </w:tcPr>
          <w:p w14:paraId="739566A2" w14:textId="77777777" w:rsidR="00BC12EC" w:rsidRPr="00042ADE" w:rsidRDefault="00BC12EC" w:rsidP="00C709CC">
            <w:pPr>
              <w:pStyle w:val="Tabletitle"/>
              <w:spacing w:line="240" w:lineRule="auto"/>
              <w:jc w:val="center"/>
              <w:rPr>
                <w:sz w:val="22"/>
                <w:szCs w:val="22"/>
              </w:rPr>
            </w:pPr>
            <w:r w:rsidRPr="00042ADE">
              <w:rPr>
                <w:sz w:val="22"/>
                <w:szCs w:val="22"/>
              </w:rPr>
              <w:t>0.084</w:t>
            </w:r>
          </w:p>
        </w:tc>
      </w:tr>
      <w:tr w:rsidR="00BC12EC" w:rsidRPr="00042ADE" w14:paraId="41F47F4F" w14:textId="77777777" w:rsidTr="00ED52BF">
        <w:trPr>
          <w:trHeight w:val="196"/>
        </w:trPr>
        <w:tc>
          <w:tcPr>
            <w:tcW w:w="1656" w:type="dxa"/>
          </w:tcPr>
          <w:p w14:paraId="246BC688" w14:textId="77777777" w:rsidR="00BC12EC" w:rsidRPr="00042ADE" w:rsidRDefault="00BC12EC" w:rsidP="00C709CC">
            <w:pPr>
              <w:pStyle w:val="Tabletitle"/>
              <w:spacing w:line="240" w:lineRule="auto"/>
              <w:rPr>
                <w:sz w:val="22"/>
                <w:szCs w:val="22"/>
              </w:rPr>
            </w:pPr>
            <w:r w:rsidRPr="00042ADE">
              <w:rPr>
                <w:b/>
                <w:sz w:val="22"/>
                <w:szCs w:val="22"/>
              </w:rPr>
              <w:t>Thenar Eminence</w:t>
            </w:r>
          </w:p>
        </w:tc>
        <w:tc>
          <w:tcPr>
            <w:tcW w:w="1481" w:type="dxa"/>
          </w:tcPr>
          <w:p w14:paraId="55AC0B7F"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4441FAE7"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32433BBF" w14:textId="77777777" w:rsidR="00BC12EC" w:rsidRPr="00042ADE" w:rsidRDefault="00BC12EC" w:rsidP="00C709CC">
            <w:pPr>
              <w:pStyle w:val="Tabletitle"/>
              <w:spacing w:line="240" w:lineRule="auto"/>
              <w:jc w:val="center"/>
              <w:rPr>
                <w:sz w:val="22"/>
                <w:szCs w:val="22"/>
              </w:rPr>
            </w:pPr>
            <w:r w:rsidRPr="00042ADE">
              <w:rPr>
                <w:sz w:val="22"/>
                <w:szCs w:val="22"/>
              </w:rPr>
              <w:t>0.468</w:t>
            </w:r>
          </w:p>
        </w:tc>
        <w:tc>
          <w:tcPr>
            <w:tcW w:w="1843" w:type="dxa"/>
          </w:tcPr>
          <w:p w14:paraId="5857E155" w14:textId="77777777" w:rsidR="00BC12EC" w:rsidRPr="00042ADE" w:rsidRDefault="00BC12EC" w:rsidP="00C709CC">
            <w:pPr>
              <w:pStyle w:val="Tabletitle"/>
              <w:spacing w:line="240" w:lineRule="auto"/>
              <w:jc w:val="center"/>
              <w:rPr>
                <w:sz w:val="22"/>
                <w:szCs w:val="22"/>
              </w:rPr>
            </w:pPr>
            <w:r w:rsidRPr="00042ADE">
              <w:rPr>
                <w:sz w:val="22"/>
                <w:szCs w:val="22"/>
              </w:rPr>
              <w:t>(-7.922, 8.858)</w:t>
            </w:r>
          </w:p>
        </w:tc>
        <w:tc>
          <w:tcPr>
            <w:tcW w:w="992" w:type="dxa"/>
          </w:tcPr>
          <w:p w14:paraId="3E6C56A4" w14:textId="77777777" w:rsidR="00BC12EC" w:rsidRPr="00042ADE" w:rsidRDefault="00BC12EC" w:rsidP="00C709CC">
            <w:pPr>
              <w:pStyle w:val="Tabletitle"/>
              <w:spacing w:line="240" w:lineRule="auto"/>
              <w:jc w:val="center"/>
              <w:rPr>
                <w:sz w:val="22"/>
                <w:szCs w:val="22"/>
              </w:rPr>
            </w:pPr>
            <w:r w:rsidRPr="00042ADE">
              <w:rPr>
                <w:sz w:val="22"/>
                <w:szCs w:val="22"/>
              </w:rPr>
              <w:t>0.911</w:t>
            </w:r>
          </w:p>
        </w:tc>
        <w:tc>
          <w:tcPr>
            <w:tcW w:w="818" w:type="dxa"/>
          </w:tcPr>
          <w:p w14:paraId="5D44A678" w14:textId="77777777" w:rsidR="00BC12EC" w:rsidRPr="00042ADE" w:rsidRDefault="00BC12EC" w:rsidP="00C709CC">
            <w:pPr>
              <w:pStyle w:val="Tabletitle"/>
              <w:spacing w:line="240" w:lineRule="auto"/>
              <w:jc w:val="center"/>
              <w:rPr>
                <w:sz w:val="22"/>
                <w:szCs w:val="22"/>
              </w:rPr>
            </w:pPr>
            <w:r w:rsidRPr="00042ADE">
              <w:rPr>
                <w:sz w:val="22"/>
                <w:szCs w:val="22"/>
              </w:rPr>
              <w:t>-2.490</w:t>
            </w:r>
          </w:p>
        </w:tc>
        <w:tc>
          <w:tcPr>
            <w:tcW w:w="1875" w:type="dxa"/>
          </w:tcPr>
          <w:p w14:paraId="2DB34214" w14:textId="77777777" w:rsidR="00BC12EC" w:rsidRPr="00042ADE" w:rsidRDefault="00BC12EC" w:rsidP="00C709CC">
            <w:pPr>
              <w:pStyle w:val="Tabletitle"/>
              <w:spacing w:line="240" w:lineRule="auto"/>
              <w:jc w:val="center"/>
              <w:rPr>
                <w:sz w:val="22"/>
                <w:szCs w:val="22"/>
              </w:rPr>
            </w:pPr>
            <w:r w:rsidRPr="00042ADE">
              <w:rPr>
                <w:sz w:val="22"/>
                <w:szCs w:val="22"/>
              </w:rPr>
              <w:t>(-6.749, 1.769)</w:t>
            </w:r>
          </w:p>
        </w:tc>
        <w:tc>
          <w:tcPr>
            <w:tcW w:w="993" w:type="dxa"/>
          </w:tcPr>
          <w:p w14:paraId="50FAD61A" w14:textId="77777777" w:rsidR="00BC12EC" w:rsidRPr="00042ADE" w:rsidRDefault="00BC12EC" w:rsidP="00C709CC">
            <w:pPr>
              <w:pStyle w:val="Tabletitle"/>
              <w:spacing w:line="240" w:lineRule="auto"/>
              <w:jc w:val="center"/>
              <w:rPr>
                <w:sz w:val="22"/>
                <w:szCs w:val="22"/>
              </w:rPr>
            </w:pPr>
            <w:r w:rsidRPr="00042ADE">
              <w:rPr>
                <w:sz w:val="22"/>
                <w:szCs w:val="22"/>
              </w:rPr>
              <w:t>0.245</w:t>
            </w:r>
          </w:p>
        </w:tc>
      </w:tr>
      <w:tr w:rsidR="00BC12EC" w:rsidRPr="00042ADE" w14:paraId="33540807" w14:textId="77777777" w:rsidTr="00ED52BF">
        <w:trPr>
          <w:trHeight w:val="196"/>
        </w:trPr>
        <w:tc>
          <w:tcPr>
            <w:tcW w:w="1656" w:type="dxa"/>
          </w:tcPr>
          <w:p w14:paraId="5BC4C7B3" w14:textId="77777777" w:rsidR="00BC12EC" w:rsidRPr="00042ADE" w:rsidRDefault="00BC12EC" w:rsidP="00C709CC">
            <w:pPr>
              <w:pStyle w:val="Tabletitle"/>
              <w:spacing w:line="240" w:lineRule="auto"/>
              <w:rPr>
                <w:sz w:val="22"/>
                <w:szCs w:val="22"/>
              </w:rPr>
            </w:pPr>
          </w:p>
        </w:tc>
        <w:tc>
          <w:tcPr>
            <w:tcW w:w="1481" w:type="dxa"/>
          </w:tcPr>
          <w:p w14:paraId="272DFB3D" w14:textId="77777777" w:rsidR="00BC12EC" w:rsidRPr="00042ADE" w:rsidRDefault="00BC12EC" w:rsidP="00C709CC">
            <w:pPr>
              <w:pStyle w:val="Tabletitle"/>
              <w:spacing w:line="240" w:lineRule="auto"/>
              <w:jc w:val="center"/>
              <w:rPr>
                <w:b/>
                <w:sz w:val="22"/>
                <w:szCs w:val="22"/>
              </w:rPr>
            </w:pPr>
          </w:p>
        </w:tc>
        <w:tc>
          <w:tcPr>
            <w:tcW w:w="629" w:type="dxa"/>
          </w:tcPr>
          <w:p w14:paraId="2A0C2B81"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2FEDAD42" w14:textId="77777777" w:rsidR="00BC12EC" w:rsidRPr="00042ADE" w:rsidRDefault="00BC12EC" w:rsidP="00C709CC">
            <w:pPr>
              <w:pStyle w:val="Tabletitle"/>
              <w:spacing w:line="240" w:lineRule="auto"/>
              <w:jc w:val="center"/>
              <w:rPr>
                <w:sz w:val="22"/>
                <w:szCs w:val="22"/>
              </w:rPr>
            </w:pPr>
            <w:r w:rsidRPr="00042ADE">
              <w:rPr>
                <w:sz w:val="22"/>
                <w:szCs w:val="22"/>
              </w:rPr>
              <w:t>-2.327</w:t>
            </w:r>
          </w:p>
        </w:tc>
        <w:tc>
          <w:tcPr>
            <w:tcW w:w="1843" w:type="dxa"/>
          </w:tcPr>
          <w:p w14:paraId="4C1C9C0F" w14:textId="77777777" w:rsidR="00BC12EC" w:rsidRPr="00042ADE" w:rsidRDefault="00BC12EC" w:rsidP="00C709CC">
            <w:pPr>
              <w:pStyle w:val="Tabletitle"/>
              <w:spacing w:line="240" w:lineRule="auto"/>
              <w:jc w:val="center"/>
              <w:rPr>
                <w:sz w:val="22"/>
                <w:szCs w:val="22"/>
              </w:rPr>
            </w:pPr>
            <w:r w:rsidRPr="00042ADE">
              <w:rPr>
                <w:sz w:val="22"/>
                <w:szCs w:val="22"/>
              </w:rPr>
              <w:t>(-1.736, 1.212)</w:t>
            </w:r>
          </w:p>
        </w:tc>
        <w:tc>
          <w:tcPr>
            <w:tcW w:w="992" w:type="dxa"/>
          </w:tcPr>
          <w:p w14:paraId="009BD88D" w14:textId="77777777" w:rsidR="00BC12EC" w:rsidRPr="00042ADE" w:rsidRDefault="00BC12EC" w:rsidP="00C709CC">
            <w:pPr>
              <w:pStyle w:val="Tabletitle"/>
              <w:spacing w:line="240" w:lineRule="auto"/>
              <w:jc w:val="center"/>
              <w:rPr>
                <w:sz w:val="22"/>
                <w:szCs w:val="22"/>
              </w:rPr>
            </w:pPr>
            <w:r w:rsidRPr="00042ADE">
              <w:rPr>
                <w:sz w:val="22"/>
                <w:szCs w:val="22"/>
              </w:rPr>
              <w:t>0.721</w:t>
            </w:r>
          </w:p>
        </w:tc>
        <w:tc>
          <w:tcPr>
            <w:tcW w:w="818" w:type="dxa"/>
          </w:tcPr>
          <w:p w14:paraId="75CF3851" w14:textId="77777777" w:rsidR="00BC12EC" w:rsidRPr="00042ADE" w:rsidRDefault="00BC12EC" w:rsidP="00C709CC">
            <w:pPr>
              <w:pStyle w:val="Tabletitle"/>
              <w:spacing w:line="240" w:lineRule="auto"/>
              <w:jc w:val="center"/>
              <w:rPr>
                <w:sz w:val="22"/>
                <w:szCs w:val="22"/>
              </w:rPr>
            </w:pPr>
            <w:r w:rsidRPr="00042ADE">
              <w:rPr>
                <w:sz w:val="22"/>
                <w:szCs w:val="22"/>
              </w:rPr>
              <w:t>-4.037</w:t>
            </w:r>
          </w:p>
        </w:tc>
        <w:tc>
          <w:tcPr>
            <w:tcW w:w="1875" w:type="dxa"/>
          </w:tcPr>
          <w:p w14:paraId="29B063E1" w14:textId="77777777" w:rsidR="00BC12EC" w:rsidRPr="00042ADE" w:rsidRDefault="00BC12EC" w:rsidP="00C709CC">
            <w:pPr>
              <w:pStyle w:val="Tabletitle"/>
              <w:spacing w:line="240" w:lineRule="auto"/>
              <w:jc w:val="center"/>
              <w:rPr>
                <w:sz w:val="22"/>
                <w:szCs w:val="22"/>
              </w:rPr>
            </w:pPr>
            <w:r w:rsidRPr="00042ADE">
              <w:rPr>
                <w:sz w:val="22"/>
                <w:szCs w:val="22"/>
              </w:rPr>
              <w:t>(-8.512, 0.439)</w:t>
            </w:r>
          </w:p>
        </w:tc>
        <w:tc>
          <w:tcPr>
            <w:tcW w:w="993" w:type="dxa"/>
          </w:tcPr>
          <w:p w14:paraId="6EF475B1" w14:textId="77777777" w:rsidR="00BC12EC" w:rsidRPr="00042ADE" w:rsidRDefault="00BC12EC" w:rsidP="00C709CC">
            <w:pPr>
              <w:pStyle w:val="Tabletitle"/>
              <w:spacing w:line="240" w:lineRule="auto"/>
              <w:jc w:val="center"/>
              <w:rPr>
                <w:sz w:val="22"/>
                <w:szCs w:val="22"/>
              </w:rPr>
            </w:pPr>
            <w:r w:rsidRPr="00042ADE">
              <w:rPr>
                <w:sz w:val="22"/>
                <w:szCs w:val="22"/>
              </w:rPr>
              <w:t>0.076</w:t>
            </w:r>
          </w:p>
        </w:tc>
      </w:tr>
      <w:tr w:rsidR="00BC12EC" w:rsidRPr="00042ADE" w14:paraId="398F39E3" w14:textId="77777777" w:rsidTr="00ED52BF">
        <w:trPr>
          <w:trHeight w:val="196"/>
        </w:trPr>
        <w:tc>
          <w:tcPr>
            <w:tcW w:w="1656" w:type="dxa"/>
          </w:tcPr>
          <w:p w14:paraId="39C4D0C8" w14:textId="77777777" w:rsidR="00BC12EC" w:rsidRPr="00042ADE" w:rsidRDefault="00BC12EC" w:rsidP="00C709CC">
            <w:pPr>
              <w:pStyle w:val="Tabletitle"/>
              <w:spacing w:line="240" w:lineRule="auto"/>
              <w:rPr>
                <w:sz w:val="22"/>
                <w:szCs w:val="22"/>
              </w:rPr>
            </w:pPr>
          </w:p>
        </w:tc>
        <w:tc>
          <w:tcPr>
            <w:tcW w:w="1481" w:type="dxa"/>
          </w:tcPr>
          <w:p w14:paraId="4E8A5322"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2BA42E52"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491DA00" w14:textId="77777777" w:rsidR="00BC12EC" w:rsidRPr="00042ADE" w:rsidRDefault="00BC12EC" w:rsidP="00C709CC">
            <w:pPr>
              <w:pStyle w:val="Tabletitle"/>
              <w:spacing w:line="240" w:lineRule="auto"/>
              <w:jc w:val="center"/>
              <w:rPr>
                <w:sz w:val="22"/>
                <w:szCs w:val="22"/>
              </w:rPr>
            </w:pPr>
            <w:r w:rsidRPr="00042ADE">
              <w:rPr>
                <w:sz w:val="22"/>
                <w:szCs w:val="22"/>
              </w:rPr>
              <w:t>2.192</w:t>
            </w:r>
          </w:p>
        </w:tc>
        <w:tc>
          <w:tcPr>
            <w:tcW w:w="1843" w:type="dxa"/>
          </w:tcPr>
          <w:p w14:paraId="7A652683" w14:textId="77777777" w:rsidR="00BC12EC" w:rsidRPr="00042ADE" w:rsidRDefault="00BC12EC" w:rsidP="00C709CC">
            <w:pPr>
              <w:pStyle w:val="Tabletitle"/>
              <w:spacing w:line="240" w:lineRule="auto"/>
              <w:jc w:val="center"/>
              <w:rPr>
                <w:sz w:val="22"/>
                <w:szCs w:val="22"/>
              </w:rPr>
            </w:pPr>
            <w:r w:rsidRPr="00042ADE">
              <w:rPr>
                <w:sz w:val="22"/>
                <w:szCs w:val="22"/>
              </w:rPr>
              <w:t>(-9.568, 13.953)</w:t>
            </w:r>
          </w:p>
        </w:tc>
        <w:tc>
          <w:tcPr>
            <w:tcW w:w="992" w:type="dxa"/>
          </w:tcPr>
          <w:p w14:paraId="15835ABD" w14:textId="77777777" w:rsidR="00BC12EC" w:rsidRPr="00042ADE" w:rsidRDefault="00BC12EC" w:rsidP="00C709CC">
            <w:pPr>
              <w:pStyle w:val="Tabletitle"/>
              <w:spacing w:line="240" w:lineRule="auto"/>
              <w:jc w:val="center"/>
              <w:rPr>
                <w:sz w:val="22"/>
                <w:szCs w:val="22"/>
              </w:rPr>
            </w:pPr>
            <w:r w:rsidRPr="00042ADE">
              <w:rPr>
                <w:sz w:val="22"/>
                <w:szCs w:val="22"/>
              </w:rPr>
              <w:t>0.708</w:t>
            </w:r>
          </w:p>
        </w:tc>
        <w:tc>
          <w:tcPr>
            <w:tcW w:w="818" w:type="dxa"/>
          </w:tcPr>
          <w:p w14:paraId="6B3CD4E8" w14:textId="77777777" w:rsidR="00BC12EC" w:rsidRPr="00042ADE" w:rsidRDefault="00BC12EC" w:rsidP="00C709CC">
            <w:pPr>
              <w:pStyle w:val="Tabletitle"/>
              <w:spacing w:line="240" w:lineRule="auto"/>
              <w:jc w:val="center"/>
              <w:rPr>
                <w:sz w:val="22"/>
                <w:szCs w:val="22"/>
              </w:rPr>
            </w:pPr>
            <w:r w:rsidRPr="00042ADE">
              <w:rPr>
                <w:sz w:val="22"/>
                <w:szCs w:val="22"/>
              </w:rPr>
              <w:t>-4.328</w:t>
            </w:r>
          </w:p>
        </w:tc>
        <w:tc>
          <w:tcPr>
            <w:tcW w:w="1875" w:type="dxa"/>
          </w:tcPr>
          <w:p w14:paraId="17C0B6BA" w14:textId="77777777" w:rsidR="00BC12EC" w:rsidRPr="00042ADE" w:rsidRDefault="00BC12EC" w:rsidP="00C709CC">
            <w:pPr>
              <w:pStyle w:val="Tabletitle"/>
              <w:spacing w:line="240" w:lineRule="auto"/>
              <w:jc w:val="center"/>
              <w:rPr>
                <w:sz w:val="22"/>
                <w:szCs w:val="22"/>
              </w:rPr>
            </w:pPr>
            <w:r w:rsidRPr="00042ADE">
              <w:rPr>
                <w:sz w:val="22"/>
                <w:szCs w:val="22"/>
              </w:rPr>
              <w:t>(-8.937, 0.281)</w:t>
            </w:r>
          </w:p>
        </w:tc>
        <w:tc>
          <w:tcPr>
            <w:tcW w:w="993" w:type="dxa"/>
          </w:tcPr>
          <w:p w14:paraId="572ECD85" w14:textId="77777777" w:rsidR="00BC12EC" w:rsidRPr="00042ADE" w:rsidRDefault="00BC12EC" w:rsidP="00C709CC">
            <w:pPr>
              <w:pStyle w:val="Tabletitle"/>
              <w:spacing w:line="240" w:lineRule="auto"/>
              <w:jc w:val="center"/>
              <w:rPr>
                <w:sz w:val="22"/>
                <w:szCs w:val="22"/>
              </w:rPr>
            </w:pPr>
            <w:r w:rsidRPr="00042ADE">
              <w:rPr>
                <w:sz w:val="22"/>
                <w:szCs w:val="22"/>
              </w:rPr>
              <w:t>0.065</w:t>
            </w:r>
          </w:p>
        </w:tc>
      </w:tr>
      <w:tr w:rsidR="00BC12EC" w:rsidRPr="00042ADE" w14:paraId="608942A5" w14:textId="77777777" w:rsidTr="00ED52BF">
        <w:trPr>
          <w:trHeight w:val="196"/>
        </w:trPr>
        <w:tc>
          <w:tcPr>
            <w:tcW w:w="1656" w:type="dxa"/>
          </w:tcPr>
          <w:p w14:paraId="46AC99BF" w14:textId="77777777" w:rsidR="00BC12EC" w:rsidRPr="00042ADE" w:rsidRDefault="00BC12EC" w:rsidP="00C709CC">
            <w:pPr>
              <w:pStyle w:val="Tabletitle"/>
              <w:spacing w:line="240" w:lineRule="auto"/>
              <w:rPr>
                <w:sz w:val="22"/>
                <w:szCs w:val="22"/>
              </w:rPr>
            </w:pPr>
          </w:p>
        </w:tc>
        <w:tc>
          <w:tcPr>
            <w:tcW w:w="1481" w:type="dxa"/>
          </w:tcPr>
          <w:p w14:paraId="66931DE2" w14:textId="77777777" w:rsidR="00BC12EC" w:rsidRPr="00042ADE" w:rsidRDefault="00BC12EC" w:rsidP="00C709CC">
            <w:pPr>
              <w:pStyle w:val="Tabletitle"/>
              <w:spacing w:line="240" w:lineRule="auto"/>
              <w:jc w:val="center"/>
              <w:rPr>
                <w:b/>
                <w:sz w:val="22"/>
                <w:szCs w:val="22"/>
              </w:rPr>
            </w:pPr>
          </w:p>
        </w:tc>
        <w:tc>
          <w:tcPr>
            <w:tcW w:w="629" w:type="dxa"/>
          </w:tcPr>
          <w:p w14:paraId="34EE5DB7"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378DFD90" w14:textId="77777777" w:rsidR="00BC12EC" w:rsidRPr="00042ADE" w:rsidRDefault="00BC12EC" w:rsidP="00C709CC">
            <w:pPr>
              <w:pStyle w:val="Tabletitle"/>
              <w:spacing w:line="240" w:lineRule="auto"/>
              <w:jc w:val="center"/>
              <w:rPr>
                <w:sz w:val="22"/>
                <w:szCs w:val="22"/>
              </w:rPr>
            </w:pPr>
            <w:r w:rsidRPr="00042ADE">
              <w:rPr>
                <w:sz w:val="22"/>
                <w:szCs w:val="22"/>
              </w:rPr>
              <w:t>-1.172</w:t>
            </w:r>
          </w:p>
        </w:tc>
        <w:tc>
          <w:tcPr>
            <w:tcW w:w="1843" w:type="dxa"/>
          </w:tcPr>
          <w:p w14:paraId="5D454D1C" w14:textId="77777777" w:rsidR="00BC12EC" w:rsidRPr="00042ADE" w:rsidRDefault="00BC12EC" w:rsidP="00C709CC">
            <w:pPr>
              <w:pStyle w:val="Tabletitle"/>
              <w:spacing w:line="240" w:lineRule="auto"/>
              <w:jc w:val="center"/>
              <w:rPr>
                <w:sz w:val="22"/>
                <w:szCs w:val="22"/>
              </w:rPr>
            </w:pPr>
            <w:r w:rsidRPr="00042ADE">
              <w:rPr>
                <w:sz w:val="22"/>
                <w:szCs w:val="22"/>
              </w:rPr>
              <w:t>(-12.391, 10.048)</w:t>
            </w:r>
          </w:p>
        </w:tc>
        <w:tc>
          <w:tcPr>
            <w:tcW w:w="992" w:type="dxa"/>
          </w:tcPr>
          <w:p w14:paraId="46AC162B" w14:textId="77777777" w:rsidR="00BC12EC" w:rsidRPr="00042ADE" w:rsidRDefault="00BC12EC" w:rsidP="00C709CC">
            <w:pPr>
              <w:pStyle w:val="Tabletitle"/>
              <w:spacing w:line="240" w:lineRule="auto"/>
              <w:jc w:val="center"/>
              <w:rPr>
                <w:sz w:val="22"/>
                <w:szCs w:val="22"/>
              </w:rPr>
            </w:pPr>
            <w:r w:rsidRPr="00042ADE">
              <w:rPr>
                <w:sz w:val="22"/>
                <w:szCs w:val="22"/>
              </w:rPr>
              <w:t>0.834</w:t>
            </w:r>
          </w:p>
        </w:tc>
        <w:tc>
          <w:tcPr>
            <w:tcW w:w="818" w:type="dxa"/>
          </w:tcPr>
          <w:p w14:paraId="52DB5825" w14:textId="77777777" w:rsidR="00BC12EC" w:rsidRPr="00042ADE" w:rsidRDefault="00BC12EC" w:rsidP="00C709CC">
            <w:pPr>
              <w:pStyle w:val="Tabletitle"/>
              <w:spacing w:line="240" w:lineRule="auto"/>
              <w:jc w:val="center"/>
              <w:rPr>
                <w:sz w:val="22"/>
                <w:szCs w:val="22"/>
              </w:rPr>
            </w:pPr>
            <w:r w:rsidRPr="00042ADE">
              <w:rPr>
                <w:sz w:val="22"/>
                <w:szCs w:val="22"/>
              </w:rPr>
              <w:t>-4.336</w:t>
            </w:r>
          </w:p>
        </w:tc>
        <w:tc>
          <w:tcPr>
            <w:tcW w:w="1875" w:type="dxa"/>
          </w:tcPr>
          <w:p w14:paraId="43D16C31" w14:textId="77777777" w:rsidR="00BC12EC" w:rsidRPr="00042ADE" w:rsidRDefault="00BC12EC" w:rsidP="00C709CC">
            <w:pPr>
              <w:pStyle w:val="Tabletitle"/>
              <w:spacing w:line="240" w:lineRule="auto"/>
              <w:jc w:val="center"/>
              <w:rPr>
                <w:sz w:val="22"/>
                <w:szCs w:val="22"/>
              </w:rPr>
            </w:pPr>
            <w:r w:rsidRPr="00042ADE">
              <w:rPr>
                <w:sz w:val="22"/>
                <w:szCs w:val="22"/>
              </w:rPr>
              <w:t>(-9.248, 0.576)</w:t>
            </w:r>
          </w:p>
        </w:tc>
        <w:tc>
          <w:tcPr>
            <w:tcW w:w="993" w:type="dxa"/>
          </w:tcPr>
          <w:p w14:paraId="54306B17" w14:textId="77777777" w:rsidR="00BC12EC" w:rsidRPr="00042ADE" w:rsidRDefault="00BC12EC" w:rsidP="00C709CC">
            <w:pPr>
              <w:pStyle w:val="Tabletitle"/>
              <w:spacing w:line="240" w:lineRule="auto"/>
              <w:jc w:val="center"/>
              <w:rPr>
                <w:sz w:val="22"/>
                <w:szCs w:val="22"/>
              </w:rPr>
            </w:pPr>
            <w:r w:rsidRPr="00042ADE">
              <w:rPr>
                <w:sz w:val="22"/>
                <w:szCs w:val="22"/>
              </w:rPr>
              <w:t>0.082</w:t>
            </w:r>
          </w:p>
        </w:tc>
      </w:tr>
      <w:tr w:rsidR="00BC12EC" w:rsidRPr="00042ADE" w14:paraId="7575EB4A" w14:textId="77777777" w:rsidTr="00ED52BF">
        <w:trPr>
          <w:trHeight w:val="196"/>
        </w:trPr>
        <w:tc>
          <w:tcPr>
            <w:tcW w:w="1656" w:type="dxa"/>
          </w:tcPr>
          <w:p w14:paraId="0CCEA65C" w14:textId="77777777" w:rsidR="00BC12EC" w:rsidRPr="00042ADE" w:rsidRDefault="00BC12EC" w:rsidP="00C709CC">
            <w:pPr>
              <w:pStyle w:val="Tabletitle"/>
              <w:spacing w:line="240" w:lineRule="auto"/>
              <w:rPr>
                <w:sz w:val="22"/>
                <w:szCs w:val="22"/>
              </w:rPr>
            </w:pPr>
          </w:p>
        </w:tc>
        <w:tc>
          <w:tcPr>
            <w:tcW w:w="1481" w:type="dxa"/>
          </w:tcPr>
          <w:p w14:paraId="6ED0D8E8" w14:textId="77777777" w:rsidR="00BC12EC" w:rsidRPr="00042ADE" w:rsidRDefault="00BC12EC" w:rsidP="00C709CC">
            <w:pPr>
              <w:pStyle w:val="Tabletitle"/>
              <w:spacing w:line="240" w:lineRule="auto"/>
              <w:jc w:val="center"/>
              <w:rPr>
                <w:b/>
                <w:sz w:val="22"/>
                <w:szCs w:val="22"/>
              </w:rPr>
            </w:pPr>
            <w:r w:rsidRPr="00042ADE">
              <w:rPr>
                <w:b/>
                <w:sz w:val="22"/>
                <w:szCs w:val="22"/>
              </w:rPr>
              <w:t>Maximum ºC</w:t>
            </w:r>
          </w:p>
        </w:tc>
        <w:tc>
          <w:tcPr>
            <w:tcW w:w="629" w:type="dxa"/>
          </w:tcPr>
          <w:p w14:paraId="5D1E330B"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6A990316" w14:textId="77777777" w:rsidR="00BC12EC" w:rsidRPr="00042ADE" w:rsidRDefault="00BC12EC" w:rsidP="00C709CC">
            <w:pPr>
              <w:pStyle w:val="Tabletitle"/>
              <w:spacing w:line="240" w:lineRule="auto"/>
              <w:jc w:val="center"/>
              <w:rPr>
                <w:sz w:val="22"/>
                <w:szCs w:val="22"/>
              </w:rPr>
            </w:pPr>
            <w:r w:rsidRPr="00042ADE">
              <w:rPr>
                <w:sz w:val="22"/>
                <w:szCs w:val="22"/>
              </w:rPr>
              <w:t>9.773</w:t>
            </w:r>
          </w:p>
        </w:tc>
        <w:tc>
          <w:tcPr>
            <w:tcW w:w="1843" w:type="dxa"/>
          </w:tcPr>
          <w:p w14:paraId="0B1857E2" w14:textId="77777777" w:rsidR="00BC12EC" w:rsidRPr="00042ADE" w:rsidRDefault="00BC12EC" w:rsidP="00C709CC">
            <w:pPr>
              <w:pStyle w:val="Tabletitle"/>
              <w:spacing w:line="240" w:lineRule="auto"/>
              <w:jc w:val="center"/>
              <w:rPr>
                <w:sz w:val="22"/>
                <w:szCs w:val="22"/>
              </w:rPr>
            </w:pPr>
            <w:r w:rsidRPr="00042ADE">
              <w:rPr>
                <w:sz w:val="22"/>
                <w:szCs w:val="22"/>
              </w:rPr>
              <w:t>(-1.055, 20.602)</w:t>
            </w:r>
          </w:p>
        </w:tc>
        <w:tc>
          <w:tcPr>
            <w:tcW w:w="992" w:type="dxa"/>
          </w:tcPr>
          <w:p w14:paraId="3FF03A5D" w14:textId="77777777" w:rsidR="00BC12EC" w:rsidRPr="00042ADE" w:rsidRDefault="00BC12EC" w:rsidP="00C709CC">
            <w:pPr>
              <w:pStyle w:val="Tabletitle"/>
              <w:spacing w:line="240" w:lineRule="auto"/>
              <w:jc w:val="center"/>
              <w:rPr>
                <w:sz w:val="22"/>
                <w:szCs w:val="22"/>
              </w:rPr>
            </w:pPr>
            <w:r w:rsidRPr="00042ADE">
              <w:rPr>
                <w:sz w:val="22"/>
                <w:szCs w:val="22"/>
              </w:rPr>
              <w:t>0.076</w:t>
            </w:r>
          </w:p>
        </w:tc>
        <w:tc>
          <w:tcPr>
            <w:tcW w:w="818" w:type="dxa"/>
          </w:tcPr>
          <w:p w14:paraId="7DFBE3A3" w14:textId="77777777" w:rsidR="00BC12EC" w:rsidRPr="00042ADE" w:rsidRDefault="00BC12EC" w:rsidP="00C709CC">
            <w:pPr>
              <w:pStyle w:val="Tabletitle"/>
              <w:spacing w:line="240" w:lineRule="auto"/>
              <w:jc w:val="center"/>
              <w:rPr>
                <w:sz w:val="22"/>
                <w:szCs w:val="22"/>
              </w:rPr>
            </w:pPr>
            <w:r w:rsidRPr="00042ADE">
              <w:rPr>
                <w:sz w:val="22"/>
                <w:szCs w:val="22"/>
              </w:rPr>
              <w:t>-3.240</w:t>
            </w:r>
          </w:p>
        </w:tc>
        <w:tc>
          <w:tcPr>
            <w:tcW w:w="1875" w:type="dxa"/>
          </w:tcPr>
          <w:p w14:paraId="4358ECF6" w14:textId="77777777" w:rsidR="00BC12EC" w:rsidRPr="00042ADE" w:rsidRDefault="00BC12EC" w:rsidP="00C709CC">
            <w:pPr>
              <w:pStyle w:val="Tabletitle"/>
              <w:spacing w:line="240" w:lineRule="auto"/>
              <w:jc w:val="center"/>
              <w:rPr>
                <w:sz w:val="22"/>
                <w:szCs w:val="22"/>
              </w:rPr>
            </w:pPr>
            <w:r w:rsidRPr="00042ADE">
              <w:rPr>
                <w:sz w:val="22"/>
                <w:szCs w:val="22"/>
              </w:rPr>
              <w:t>(-7.575, 1.095)</w:t>
            </w:r>
          </w:p>
        </w:tc>
        <w:tc>
          <w:tcPr>
            <w:tcW w:w="993" w:type="dxa"/>
          </w:tcPr>
          <w:p w14:paraId="45875FE0" w14:textId="77777777" w:rsidR="00BC12EC" w:rsidRPr="00042ADE" w:rsidRDefault="00BC12EC" w:rsidP="00C709CC">
            <w:pPr>
              <w:pStyle w:val="Tabletitle"/>
              <w:spacing w:line="240" w:lineRule="auto"/>
              <w:jc w:val="center"/>
              <w:rPr>
                <w:sz w:val="22"/>
                <w:szCs w:val="22"/>
              </w:rPr>
            </w:pPr>
            <w:r w:rsidRPr="00042ADE">
              <w:rPr>
                <w:sz w:val="22"/>
                <w:szCs w:val="22"/>
              </w:rPr>
              <w:t>0.139</w:t>
            </w:r>
          </w:p>
        </w:tc>
      </w:tr>
      <w:tr w:rsidR="00BC12EC" w:rsidRPr="00042ADE" w14:paraId="5C528AF4" w14:textId="77777777" w:rsidTr="00ED52BF">
        <w:trPr>
          <w:trHeight w:val="196"/>
        </w:trPr>
        <w:tc>
          <w:tcPr>
            <w:tcW w:w="1656" w:type="dxa"/>
          </w:tcPr>
          <w:p w14:paraId="47D06AB2" w14:textId="77777777" w:rsidR="00BC12EC" w:rsidRPr="00042ADE" w:rsidRDefault="00BC12EC" w:rsidP="00C709CC">
            <w:pPr>
              <w:pStyle w:val="Tabletitle"/>
              <w:spacing w:line="240" w:lineRule="auto"/>
              <w:rPr>
                <w:sz w:val="22"/>
                <w:szCs w:val="22"/>
              </w:rPr>
            </w:pPr>
          </w:p>
        </w:tc>
        <w:tc>
          <w:tcPr>
            <w:tcW w:w="1481" w:type="dxa"/>
          </w:tcPr>
          <w:p w14:paraId="219A0F66" w14:textId="77777777" w:rsidR="00BC12EC" w:rsidRPr="00042ADE" w:rsidRDefault="00BC12EC" w:rsidP="00C709CC">
            <w:pPr>
              <w:pStyle w:val="Tabletitle"/>
              <w:spacing w:line="240" w:lineRule="auto"/>
              <w:jc w:val="center"/>
              <w:rPr>
                <w:b/>
                <w:sz w:val="22"/>
                <w:szCs w:val="22"/>
              </w:rPr>
            </w:pPr>
          </w:p>
        </w:tc>
        <w:tc>
          <w:tcPr>
            <w:tcW w:w="629" w:type="dxa"/>
          </w:tcPr>
          <w:p w14:paraId="2E4D82A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6E998519" w14:textId="77777777" w:rsidR="00BC12EC" w:rsidRPr="00042ADE" w:rsidRDefault="00BC12EC" w:rsidP="00C709CC">
            <w:pPr>
              <w:pStyle w:val="Tabletitle"/>
              <w:spacing w:line="240" w:lineRule="auto"/>
              <w:jc w:val="center"/>
              <w:rPr>
                <w:sz w:val="22"/>
                <w:szCs w:val="22"/>
              </w:rPr>
            </w:pPr>
            <w:r w:rsidRPr="00042ADE">
              <w:rPr>
                <w:sz w:val="22"/>
                <w:szCs w:val="22"/>
              </w:rPr>
              <w:t>6.221</w:t>
            </w:r>
          </w:p>
        </w:tc>
        <w:tc>
          <w:tcPr>
            <w:tcW w:w="1843" w:type="dxa"/>
          </w:tcPr>
          <w:p w14:paraId="129400C7" w14:textId="77777777" w:rsidR="00BC12EC" w:rsidRPr="00042ADE" w:rsidRDefault="00BC12EC" w:rsidP="00C709CC">
            <w:pPr>
              <w:pStyle w:val="Tabletitle"/>
              <w:spacing w:line="240" w:lineRule="auto"/>
              <w:jc w:val="center"/>
              <w:rPr>
                <w:sz w:val="22"/>
                <w:szCs w:val="22"/>
              </w:rPr>
            </w:pPr>
            <w:r w:rsidRPr="00042ADE">
              <w:rPr>
                <w:sz w:val="22"/>
                <w:szCs w:val="22"/>
              </w:rPr>
              <w:t>(-5.281, 17.723)</w:t>
            </w:r>
          </w:p>
        </w:tc>
        <w:tc>
          <w:tcPr>
            <w:tcW w:w="992" w:type="dxa"/>
          </w:tcPr>
          <w:p w14:paraId="52EE8CF6" w14:textId="77777777" w:rsidR="00BC12EC" w:rsidRPr="00042ADE" w:rsidRDefault="00BC12EC" w:rsidP="00C709CC">
            <w:pPr>
              <w:pStyle w:val="Tabletitle"/>
              <w:spacing w:line="240" w:lineRule="auto"/>
              <w:jc w:val="center"/>
              <w:rPr>
                <w:sz w:val="22"/>
                <w:szCs w:val="22"/>
              </w:rPr>
            </w:pPr>
            <w:r w:rsidRPr="00042ADE">
              <w:rPr>
                <w:sz w:val="22"/>
                <w:szCs w:val="22"/>
              </w:rPr>
              <w:t>0.280</w:t>
            </w:r>
          </w:p>
        </w:tc>
        <w:tc>
          <w:tcPr>
            <w:tcW w:w="818" w:type="dxa"/>
          </w:tcPr>
          <w:p w14:paraId="24A29BD3" w14:textId="77777777" w:rsidR="00BC12EC" w:rsidRPr="00042ADE" w:rsidRDefault="00BC12EC" w:rsidP="00C709CC">
            <w:pPr>
              <w:pStyle w:val="Tabletitle"/>
              <w:spacing w:line="240" w:lineRule="auto"/>
              <w:jc w:val="center"/>
              <w:rPr>
                <w:sz w:val="22"/>
                <w:szCs w:val="22"/>
              </w:rPr>
            </w:pPr>
            <w:r w:rsidRPr="00042ADE">
              <w:rPr>
                <w:sz w:val="22"/>
                <w:szCs w:val="22"/>
              </w:rPr>
              <w:t>-4.376</w:t>
            </w:r>
          </w:p>
        </w:tc>
        <w:tc>
          <w:tcPr>
            <w:tcW w:w="1875" w:type="dxa"/>
          </w:tcPr>
          <w:p w14:paraId="0D40BB0F" w14:textId="77777777" w:rsidR="00BC12EC" w:rsidRPr="00042ADE" w:rsidRDefault="00BC12EC" w:rsidP="00C709CC">
            <w:pPr>
              <w:pStyle w:val="Tabletitle"/>
              <w:spacing w:line="240" w:lineRule="auto"/>
              <w:jc w:val="center"/>
              <w:rPr>
                <w:sz w:val="22"/>
                <w:szCs w:val="22"/>
              </w:rPr>
            </w:pPr>
            <w:r w:rsidRPr="00042ADE">
              <w:rPr>
                <w:sz w:val="22"/>
                <w:szCs w:val="22"/>
              </w:rPr>
              <w:t>(-8.842, 0.089)</w:t>
            </w:r>
          </w:p>
        </w:tc>
        <w:tc>
          <w:tcPr>
            <w:tcW w:w="993" w:type="dxa"/>
          </w:tcPr>
          <w:p w14:paraId="0754D3EB" w14:textId="77777777" w:rsidR="00BC12EC" w:rsidRPr="00042ADE" w:rsidRDefault="00BC12EC" w:rsidP="00C709CC">
            <w:pPr>
              <w:pStyle w:val="Tabletitle"/>
              <w:spacing w:line="240" w:lineRule="auto"/>
              <w:jc w:val="center"/>
              <w:rPr>
                <w:sz w:val="22"/>
                <w:szCs w:val="22"/>
              </w:rPr>
            </w:pPr>
            <w:r w:rsidRPr="00042ADE">
              <w:rPr>
                <w:sz w:val="22"/>
                <w:szCs w:val="22"/>
              </w:rPr>
              <w:t>0.055</w:t>
            </w:r>
          </w:p>
        </w:tc>
      </w:tr>
      <w:tr w:rsidR="00BC12EC" w:rsidRPr="00042ADE" w14:paraId="3C561B47" w14:textId="77777777" w:rsidTr="00ED52BF">
        <w:trPr>
          <w:trHeight w:val="196"/>
        </w:trPr>
        <w:tc>
          <w:tcPr>
            <w:tcW w:w="1656" w:type="dxa"/>
          </w:tcPr>
          <w:p w14:paraId="65A98F66" w14:textId="77777777" w:rsidR="00BC12EC" w:rsidRPr="00042ADE" w:rsidRDefault="00BC12EC" w:rsidP="00C709CC">
            <w:pPr>
              <w:pStyle w:val="Tabletitle"/>
              <w:spacing w:line="240" w:lineRule="auto"/>
              <w:rPr>
                <w:sz w:val="22"/>
                <w:szCs w:val="22"/>
              </w:rPr>
            </w:pPr>
            <w:r w:rsidRPr="00042ADE">
              <w:rPr>
                <w:b/>
                <w:sz w:val="22"/>
                <w:szCs w:val="22"/>
              </w:rPr>
              <w:t>Hypothenar eminence</w:t>
            </w:r>
          </w:p>
        </w:tc>
        <w:tc>
          <w:tcPr>
            <w:tcW w:w="1481" w:type="dxa"/>
          </w:tcPr>
          <w:p w14:paraId="34EF3750" w14:textId="77777777" w:rsidR="00BC12EC" w:rsidRPr="00042ADE" w:rsidRDefault="00BC12EC" w:rsidP="00C709CC">
            <w:pPr>
              <w:pStyle w:val="Tabletitle"/>
              <w:spacing w:line="240" w:lineRule="auto"/>
              <w:rPr>
                <w:b/>
                <w:sz w:val="22"/>
                <w:szCs w:val="22"/>
              </w:rPr>
            </w:pPr>
            <w:r w:rsidRPr="00042ADE">
              <w:rPr>
                <w:b/>
                <w:sz w:val="22"/>
                <w:szCs w:val="22"/>
              </w:rPr>
              <w:t>Minimum ºC</w:t>
            </w:r>
          </w:p>
        </w:tc>
        <w:tc>
          <w:tcPr>
            <w:tcW w:w="629" w:type="dxa"/>
          </w:tcPr>
          <w:p w14:paraId="5829CA2F"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63E49E9" w14:textId="77777777" w:rsidR="00BC12EC" w:rsidRPr="00042ADE" w:rsidRDefault="00BC12EC" w:rsidP="00C709CC">
            <w:pPr>
              <w:pStyle w:val="Tabletitle"/>
              <w:spacing w:line="240" w:lineRule="auto"/>
              <w:jc w:val="center"/>
              <w:rPr>
                <w:sz w:val="22"/>
                <w:szCs w:val="22"/>
              </w:rPr>
            </w:pPr>
            <w:r w:rsidRPr="00042ADE">
              <w:rPr>
                <w:sz w:val="22"/>
                <w:szCs w:val="22"/>
              </w:rPr>
              <w:t>1.118</w:t>
            </w:r>
          </w:p>
        </w:tc>
        <w:tc>
          <w:tcPr>
            <w:tcW w:w="1843" w:type="dxa"/>
          </w:tcPr>
          <w:p w14:paraId="2EA64B82" w14:textId="77777777" w:rsidR="00BC12EC" w:rsidRPr="00042ADE" w:rsidRDefault="00BC12EC" w:rsidP="00C709CC">
            <w:pPr>
              <w:pStyle w:val="Tabletitle"/>
              <w:spacing w:line="240" w:lineRule="auto"/>
              <w:jc w:val="center"/>
              <w:rPr>
                <w:sz w:val="22"/>
                <w:szCs w:val="22"/>
              </w:rPr>
            </w:pPr>
            <w:r w:rsidRPr="00042ADE">
              <w:rPr>
                <w:sz w:val="22"/>
                <w:szCs w:val="22"/>
              </w:rPr>
              <w:t>(-6.363, 8.599)</w:t>
            </w:r>
          </w:p>
        </w:tc>
        <w:tc>
          <w:tcPr>
            <w:tcW w:w="992" w:type="dxa"/>
          </w:tcPr>
          <w:p w14:paraId="3CAB883A" w14:textId="77777777" w:rsidR="00BC12EC" w:rsidRPr="00042ADE" w:rsidRDefault="00BC12EC" w:rsidP="00C709CC">
            <w:pPr>
              <w:pStyle w:val="Tabletitle"/>
              <w:spacing w:line="240" w:lineRule="auto"/>
              <w:jc w:val="center"/>
              <w:rPr>
                <w:sz w:val="22"/>
                <w:szCs w:val="22"/>
              </w:rPr>
            </w:pPr>
            <w:r w:rsidRPr="00042ADE">
              <w:rPr>
                <w:sz w:val="22"/>
                <w:szCs w:val="22"/>
              </w:rPr>
              <w:t>0.764</w:t>
            </w:r>
          </w:p>
        </w:tc>
        <w:tc>
          <w:tcPr>
            <w:tcW w:w="818" w:type="dxa"/>
          </w:tcPr>
          <w:p w14:paraId="1B95F649" w14:textId="77777777" w:rsidR="00BC12EC" w:rsidRPr="00042ADE" w:rsidRDefault="00BC12EC" w:rsidP="00C709CC">
            <w:pPr>
              <w:pStyle w:val="Tabletitle"/>
              <w:spacing w:line="240" w:lineRule="auto"/>
              <w:jc w:val="center"/>
              <w:rPr>
                <w:sz w:val="22"/>
                <w:szCs w:val="22"/>
              </w:rPr>
            </w:pPr>
            <w:r w:rsidRPr="00042ADE">
              <w:rPr>
                <w:sz w:val="22"/>
                <w:szCs w:val="22"/>
              </w:rPr>
              <w:t>-0.719</w:t>
            </w:r>
          </w:p>
        </w:tc>
        <w:tc>
          <w:tcPr>
            <w:tcW w:w="1875" w:type="dxa"/>
          </w:tcPr>
          <w:p w14:paraId="6316007F" w14:textId="77777777" w:rsidR="00BC12EC" w:rsidRPr="00042ADE" w:rsidRDefault="00BC12EC" w:rsidP="00C709CC">
            <w:pPr>
              <w:pStyle w:val="Tabletitle"/>
              <w:spacing w:line="240" w:lineRule="auto"/>
              <w:jc w:val="center"/>
              <w:rPr>
                <w:sz w:val="22"/>
                <w:szCs w:val="22"/>
              </w:rPr>
            </w:pPr>
            <w:r w:rsidRPr="00042ADE">
              <w:rPr>
                <w:sz w:val="22"/>
                <w:szCs w:val="22"/>
              </w:rPr>
              <w:t>(-4.507, 3.069)</w:t>
            </w:r>
          </w:p>
        </w:tc>
        <w:tc>
          <w:tcPr>
            <w:tcW w:w="993" w:type="dxa"/>
          </w:tcPr>
          <w:p w14:paraId="5E1DE7E5" w14:textId="77777777" w:rsidR="00BC12EC" w:rsidRPr="00042ADE" w:rsidRDefault="00BC12EC" w:rsidP="00C709CC">
            <w:pPr>
              <w:pStyle w:val="Tabletitle"/>
              <w:spacing w:line="240" w:lineRule="auto"/>
              <w:jc w:val="center"/>
              <w:rPr>
                <w:sz w:val="22"/>
                <w:szCs w:val="22"/>
              </w:rPr>
            </w:pPr>
            <w:r w:rsidRPr="00042ADE">
              <w:rPr>
                <w:sz w:val="22"/>
                <w:szCs w:val="22"/>
              </w:rPr>
              <w:t>0.704</w:t>
            </w:r>
          </w:p>
        </w:tc>
      </w:tr>
      <w:tr w:rsidR="00BC12EC" w:rsidRPr="00042ADE" w14:paraId="1891C897" w14:textId="77777777" w:rsidTr="00ED52BF">
        <w:trPr>
          <w:trHeight w:val="196"/>
        </w:trPr>
        <w:tc>
          <w:tcPr>
            <w:tcW w:w="1656" w:type="dxa"/>
          </w:tcPr>
          <w:p w14:paraId="4E613986" w14:textId="77777777" w:rsidR="00BC12EC" w:rsidRPr="00042ADE" w:rsidRDefault="00BC12EC" w:rsidP="00C709CC">
            <w:pPr>
              <w:pStyle w:val="Tabletitle"/>
              <w:spacing w:line="240" w:lineRule="auto"/>
              <w:rPr>
                <w:sz w:val="22"/>
                <w:szCs w:val="22"/>
              </w:rPr>
            </w:pPr>
          </w:p>
        </w:tc>
        <w:tc>
          <w:tcPr>
            <w:tcW w:w="1481" w:type="dxa"/>
          </w:tcPr>
          <w:p w14:paraId="02E8B581" w14:textId="77777777" w:rsidR="00BC12EC" w:rsidRPr="00042ADE" w:rsidRDefault="00BC12EC" w:rsidP="00C709CC">
            <w:pPr>
              <w:pStyle w:val="Tabletitle"/>
              <w:spacing w:line="240" w:lineRule="auto"/>
              <w:jc w:val="center"/>
              <w:rPr>
                <w:b/>
                <w:sz w:val="22"/>
                <w:szCs w:val="22"/>
              </w:rPr>
            </w:pPr>
          </w:p>
        </w:tc>
        <w:tc>
          <w:tcPr>
            <w:tcW w:w="629" w:type="dxa"/>
          </w:tcPr>
          <w:p w14:paraId="3487D7F3"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Pr>
          <w:p w14:paraId="5A74670F" w14:textId="77777777" w:rsidR="00BC12EC" w:rsidRPr="00042ADE" w:rsidRDefault="00BC12EC" w:rsidP="00C709CC">
            <w:pPr>
              <w:pStyle w:val="Tabletitle"/>
              <w:spacing w:line="240" w:lineRule="auto"/>
              <w:jc w:val="center"/>
              <w:rPr>
                <w:sz w:val="22"/>
                <w:szCs w:val="22"/>
              </w:rPr>
            </w:pPr>
            <w:r w:rsidRPr="00042ADE">
              <w:rPr>
                <w:sz w:val="22"/>
                <w:szCs w:val="22"/>
              </w:rPr>
              <w:t>0.075</w:t>
            </w:r>
          </w:p>
        </w:tc>
        <w:tc>
          <w:tcPr>
            <w:tcW w:w="1843" w:type="dxa"/>
          </w:tcPr>
          <w:p w14:paraId="3EA29CDD" w14:textId="77777777" w:rsidR="00BC12EC" w:rsidRPr="00042ADE" w:rsidRDefault="00BC12EC" w:rsidP="00C709CC">
            <w:pPr>
              <w:pStyle w:val="Tabletitle"/>
              <w:spacing w:line="240" w:lineRule="auto"/>
              <w:jc w:val="center"/>
              <w:rPr>
                <w:sz w:val="22"/>
                <w:szCs w:val="22"/>
              </w:rPr>
            </w:pPr>
            <w:r w:rsidRPr="00042ADE">
              <w:rPr>
                <w:sz w:val="22"/>
                <w:szCs w:val="22"/>
              </w:rPr>
              <w:t>(-4.415, 4.565)</w:t>
            </w:r>
          </w:p>
        </w:tc>
        <w:tc>
          <w:tcPr>
            <w:tcW w:w="992" w:type="dxa"/>
          </w:tcPr>
          <w:p w14:paraId="7F68B222" w14:textId="77777777" w:rsidR="00BC12EC" w:rsidRPr="00042ADE" w:rsidRDefault="00BC12EC" w:rsidP="00C709CC">
            <w:pPr>
              <w:pStyle w:val="Tabletitle"/>
              <w:spacing w:line="240" w:lineRule="auto"/>
              <w:jc w:val="center"/>
              <w:rPr>
                <w:sz w:val="22"/>
                <w:szCs w:val="22"/>
              </w:rPr>
            </w:pPr>
            <w:r w:rsidRPr="00042ADE">
              <w:rPr>
                <w:sz w:val="22"/>
                <w:szCs w:val="22"/>
              </w:rPr>
              <w:t>0.973</w:t>
            </w:r>
          </w:p>
        </w:tc>
        <w:tc>
          <w:tcPr>
            <w:tcW w:w="818" w:type="dxa"/>
          </w:tcPr>
          <w:p w14:paraId="6E86B91C" w14:textId="77777777" w:rsidR="00BC12EC" w:rsidRPr="00042ADE" w:rsidRDefault="00BC12EC" w:rsidP="00C709CC">
            <w:pPr>
              <w:pStyle w:val="Tabletitle"/>
              <w:spacing w:line="240" w:lineRule="auto"/>
              <w:jc w:val="center"/>
              <w:rPr>
                <w:sz w:val="22"/>
                <w:szCs w:val="22"/>
              </w:rPr>
            </w:pPr>
            <w:r w:rsidRPr="00042ADE">
              <w:rPr>
                <w:sz w:val="22"/>
                <w:szCs w:val="22"/>
              </w:rPr>
              <w:t>0.024</w:t>
            </w:r>
          </w:p>
        </w:tc>
        <w:tc>
          <w:tcPr>
            <w:tcW w:w="1875" w:type="dxa"/>
          </w:tcPr>
          <w:p w14:paraId="417863A1" w14:textId="77777777" w:rsidR="00BC12EC" w:rsidRPr="00042ADE" w:rsidRDefault="00BC12EC" w:rsidP="00C709CC">
            <w:pPr>
              <w:pStyle w:val="Tabletitle"/>
              <w:spacing w:line="240" w:lineRule="auto"/>
              <w:jc w:val="center"/>
              <w:rPr>
                <w:sz w:val="22"/>
                <w:szCs w:val="22"/>
              </w:rPr>
            </w:pPr>
            <w:r w:rsidRPr="00042ADE">
              <w:rPr>
                <w:sz w:val="22"/>
                <w:szCs w:val="22"/>
              </w:rPr>
              <w:t>(-3.167, 3.215)</w:t>
            </w:r>
          </w:p>
        </w:tc>
        <w:tc>
          <w:tcPr>
            <w:tcW w:w="993" w:type="dxa"/>
          </w:tcPr>
          <w:p w14:paraId="4292E617" w14:textId="77777777" w:rsidR="00BC12EC" w:rsidRPr="00042ADE" w:rsidRDefault="00BC12EC" w:rsidP="00C709CC">
            <w:pPr>
              <w:pStyle w:val="Tabletitle"/>
              <w:spacing w:line="240" w:lineRule="auto"/>
              <w:jc w:val="center"/>
              <w:rPr>
                <w:sz w:val="22"/>
                <w:szCs w:val="22"/>
              </w:rPr>
            </w:pPr>
            <w:r w:rsidRPr="00042ADE">
              <w:rPr>
                <w:sz w:val="22"/>
                <w:szCs w:val="22"/>
              </w:rPr>
              <w:t>0.988</w:t>
            </w:r>
          </w:p>
        </w:tc>
      </w:tr>
      <w:tr w:rsidR="00BC12EC" w:rsidRPr="00042ADE" w14:paraId="32208AFA" w14:textId="77777777" w:rsidTr="00ED52BF">
        <w:trPr>
          <w:trHeight w:val="196"/>
        </w:trPr>
        <w:tc>
          <w:tcPr>
            <w:tcW w:w="1656" w:type="dxa"/>
          </w:tcPr>
          <w:p w14:paraId="2BC9003B" w14:textId="77777777" w:rsidR="00BC12EC" w:rsidRPr="00042ADE" w:rsidRDefault="00BC12EC" w:rsidP="00C709CC">
            <w:pPr>
              <w:pStyle w:val="Tabletitle"/>
              <w:spacing w:line="240" w:lineRule="auto"/>
              <w:rPr>
                <w:sz w:val="22"/>
                <w:szCs w:val="22"/>
              </w:rPr>
            </w:pPr>
          </w:p>
        </w:tc>
        <w:tc>
          <w:tcPr>
            <w:tcW w:w="1481" w:type="dxa"/>
          </w:tcPr>
          <w:p w14:paraId="591A93D3" w14:textId="77777777" w:rsidR="00BC12EC" w:rsidRPr="00042ADE" w:rsidRDefault="00BC12EC" w:rsidP="00C709CC">
            <w:pPr>
              <w:pStyle w:val="Tabletitle"/>
              <w:spacing w:line="240" w:lineRule="auto"/>
              <w:rPr>
                <w:b/>
                <w:sz w:val="22"/>
                <w:szCs w:val="22"/>
              </w:rPr>
            </w:pPr>
            <w:r w:rsidRPr="00042ADE">
              <w:rPr>
                <w:b/>
                <w:sz w:val="22"/>
                <w:szCs w:val="22"/>
              </w:rPr>
              <w:t>Average ºC</w:t>
            </w:r>
          </w:p>
        </w:tc>
        <w:tc>
          <w:tcPr>
            <w:tcW w:w="629" w:type="dxa"/>
          </w:tcPr>
          <w:p w14:paraId="6BA5EEED" w14:textId="77777777" w:rsidR="00BC12EC" w:rsidRPr="00042ADE" w:rsidRDefault="00BC12EC" w:rsidP="00C709CC">
            <w:pPr>
              <w:pStyle w:val="Tabletitle"/>
              <w:spacing w:line="240" w:lineRule="auto"/>
              <w:jc w:val="center"/>
              <w:rPr>
                <w:b/>
                <w:sz w:val="22"/>
                <w:szCs w:val="22"/>
              </w:rPr>
            </w:pPr>
            <w:r w:rsidRPr="00042ADE">
              <w:rPr>
                <w:b/>
                <w:sz w:val="22"/>
                <w:szCs w:val="22"/>
              </w:rPr>
              <w:t>D</w:t>
            </w:r>
          </w:p>
        </w:tc>
        <w:tc>
          <w:tcPr>
            <w:tcW w:w="912" w:type="dxa"/>
          </w:tcPr>
          <w:p w14:paraId="57CBDBCE" w14:textId="77777777" w:rsidR="00BC12EC" w:rsidRPr="00042ADE" w:rsidRDefault="00BC12EC" w:rsidP="00C709CC">
            <w:pPr>
              <w:pStyle w:val="Tabletitle"/>
              <w:spacing w:line="240" w:lineRule="auto"/>
              <w:jc w:val="center"/>
              <w:rPr>
                <w:sz w:val="22"/>
                <w:szCs w:val="22"/>
              </w:rPr>
            </w:pPr>
            <w:r w:rsidRPr="00042ADE">
              <w:rPr>
                <w:sz w:val="22"/>
                <w:szCs w:val="22"/>
              </w:rPr>
              <w:t>0.481</w:t>
            </w:r>
          </w:p>
        </w:tc>
        <w:tc>
          <w:tcPr>
            <w:tcW w:w="1843" w:type="dxa"/>
          </w:tcPr>
          <w:p w14:paraId="42BC4248" w14:textId="77777777" w:rsidR="00BC12EC" w:rsidRPr="00042ADE" w:rsidRDefault="00BC12EC" w:rsidP="00C709CC">
            <w:pPr>
              <w:pStyle w:val="Tabletitle"/>
              <w:spacing w:line="240" w:lineRule="auto"/>
              <w:jc w:val="center"/>
              <w:rPr>
                <w:sz w:val="22"/>
                <w:szCs w:val="22"/>
              </w:rPr>
            </w:pPr>
            <w:r w:rsidRPr="00042ADE">
              <w:rPr>
                <w:sz w:val="22"/>
                <w:szCs w:val="22"/>
              </w:rPr>
              <w:t>(-9.737, 10.700)</w:t>
            </w:r>
          </w:p>
        </w:tc>
        <w:tc>
          <w:tcPr>
            <w:tcW w:w="992" w:type="dxa"/>
          </w:tcPr>
          <w:p w14:paraId="4B4792D5" w14:textId="77777777" w:rsidR="00BC12EC" w:rsidRPr="00042ADE" w:rsidRDefault="00BC12EC" w:rsidP="00C709CC">
            <w:pPr>
              <w:pStyle w:val="Tabletitle"/>
              <w:spacing w:line="240" w:lineRule="auto"/>
              <w:jc w:val="center"/>
              <w:rPr>
                <w:sz w:val="22"/>
                <w:szCs w:val="22"/>
              </w:rPr>
            </w:pPr>
            <w:r w:rsidRPr="00042ADE">
              <w:rPr>
                <w:sz w:val="22"/>
                <w:szCs w:val="22"/>
              </w:rPr>
              <w:t>0.924</w:t>
            </w:r>
          </w:p>
        </w:tc>
        <w:tc>
          <w:tcPr>
            <w:tcW w:w="818" w:type="dxa"/>
          </w:tcPr>
          <w:p w14:paraId="13D8C495" w14:textId="77777777" w:rsidR="00BC12EC" w:rsidRPr="00042ADE" w:rsidRDefault="00BC12EC" w:rsidP="00C709CC">
            <w:pPr>
              <w:pStyle w:val="Tabletitle"/>
              <w:spacing w:line="240" w:lineRule="auto"/>
              <w:jc w:val="center"/>
              <w:rPr>
                <w:sz w:val="22"/>
                <w:szCs w:val="22"/>
              </w:rPr>
            </w:pPr>
            <w:r w:rsidRPr="00042ADE">
              <w:rPr>
                <w:sz w:val="22"/>
                <w:szCs w:val="22"/>
              </w:rPr>
              <w:t>-1.579</w:t>
            </w:r>
          </w:p>
        </w:tc>
        <w:tc>
          <w:tcPr>
            <w:tcW w:w="1875" w:type="dxa"/>
          </w:tcPr>
          <w:p w14:paraId="7DFA3B60" w14:textId="77777777" w:rsidR="00BC12EC" w:rsidRPr="00042ADE" w:rsidRDefault="00BC12EC" w:rsidP="00C709CC">
            <w:pPr>
              <w:pStyle w:val="Tabletitle"/>
              <w:spacing w:line="240" w:lineRule="auto"/>
              <w:jc w:val="center"/>
              <w:rPr>
                <w:sz w:val="22"/>
                <w:szCs w:val="22"/>
              </w:rPr>
            </w:pPr>
            <w:r w:rsidRPr="00042ADE">
              <w:rPr>
                <w:sz w:val="22"/>
                <w:szCs w:val="22"/>
              </w:rPr>
              <w:t>(-5.553, 0.428)</w:t>
            </w:r>
          </w:p>
        </w:tc>
        <w:tc>
          <w:tcPr>
            <w:tcW w:w="993" w:type="dxa"/>
          </w:tcPr>
          <w:p w14:paraId="03C4DB5F" w14:textId="77777777" w:rsidR="00BC12EC" w:rsidRPr="00042ADE" w:rsidRDefault="00BC12EC" w:rsidP="00C709CC">
            <w:pPr>
              <w:pStyle w:val="Tabletitle"/>
              <w:spacing w:line="240" w:lineRule="auto"/>
              <w:jc w:val="center"/>
              <w:rPr>
                <w:sz w:val="22"/>
                <w:szCs w:val="22"/>
              </w:rPr>
            </w:pPr>
            <w:r w:rsidRPr="00042ADE">
              <w:rPr>
                <w:sz w:val="22"/>
                <w:szCs w:val="22"/>
              </w:rPr>
              <w:t>0.428</w:t>
            </w:r>
          </w:p>
        </w:tc>
      </w:tr>
      <w:tr w:rsidR="00BC12EC" w:rsidRPr="00042ADE" w14:paraId="7766C28D" w14:textId="77777777" w:rsidTr="00ED52BF">
        <w:trPr>
          <w:trHeight w:val="196"/>
        </w:trPr>
        <w:tc>
          <w:tcPr>
            <w:tcW w:w="1656" w:type="dxa"/>
            <w:tcBorders>
              <w:bottom w:val="single" w:sz="4" w:space="0" w:color="auto"/>
            </w:tcBorders>
          </w:tcPr>
          <w:p w14:paraId="25806CE4" w14:textId="77777777" w:rsidR="00BC12EC" w:rsidRPr="00042ADE" w:rsidRDefault="00BC12EC" w:rsidP="00C709CC">
            <w:pPr>
              <w:pStyle w:val="Tabletitle"/>
              <w:spacing w:line="240" w:lineRule="auto"/>
              <w:rPr>
                <w:sz w:val="22"/>
                <w:szCs w:val="22"/>
              </w:rPr>
            </w:pPr>
          </w:p>
        </w:tc>
        <w:tc>
          <w:tcPr>
            <w:tcW w:w="1481" w:type="dxa"/>
            <w:tcBorders>
              <w:bottom w:val="single" w:sz="4" w:space="0" w:color="auto"/>
            </w:tcBorders>
          </w:tcPr>
          <w:p w14:paraId="4ADE3906" w14:textId="77777777" w:rsidR="00BC12EC" w:rsidRPr="00042ADE" w:rsidRDefault="00BC12EC" w:rsidP="00C709CC">
            <w:pPr>
              <w:pStyle w:val="Tabletitle"/>
              <w:spacing w:line="240" w:lineRule="auto"/>
              <w:jc w:val="center"/>
              <w:rPr>
                <w:b/>
                <w:sz w:val="22"/>
                <w:szCs w:val="22"/>
              </w:rPr>
            </w:pPr>
          </w:p>
        </w:tc>
        <w:tc>
          <w:tcPr>
            <w:tcW w:w="629" w:type="dxa"/>
            <w:tcBorders>
              <w:bottom w:val="single" w:sz="4" w:space="0" w:color="auto"/>
            </w:tcBorders>
          </w:tcPr>
          <w:p w14:paraId="4A3E7EFC" w14:textId="77777777" w:rsidR="00BC12EC" w:rsidRPr="00042ADE" w:rsidRDefault="00BC12EC" w:rsidP="00C709CC">
            <w:pPr>
              <w:pStyle w:val="Tabletitle"/>
              <w:spacing w:line="240" w:lineRule="auto"/>
              <w:jc w:val="center"/>
              <w:rPr>
                <w:b/>
                <w:sz w:val="22"/>
                <w:szCs w:val="22"/>
              </w:rPr>
            </w:pPr>
            <w:r w:rsidRPr="00042ADE">
              <w:rPr>
                <w:b/>
                <w:sz w:val="22"/>
                <w:szCs w:val="22"/>
              </w:rPr>
              <w:t>ND</w:t>
            </w:r>
          </w:p>
        </w:tc>
        <w:tc>
          <w:tcPr>
            <w:tcW w:w="912" w:type="dxa"/>
            <w:tcBorders>
              <w:bottom w:val="single" w:sz="4" w:space="0" w:color="auto"/>
            </w:tcBorders>
          </w:tcPr>
          <w:p w14:paraId="5A9A6149" w14:textId="77777777" w:rsidR="00BC12EC" w:rsidRPr="00042ADE" w:rsidRDefault="00BC12EC" w:rsidP="00C709CC">
            <w:pPr>
              <w:pStyle w:val="Tabletitle"/>
              <w:spacing w:line="240" w:lineRule="auto"/>
              <w:jc w:val="center"/>
              <w:rPr>
                <w:sz w:val="22"/>
                <w:szCs w:val="22"/>
              </w:rPr>
            </w:pPr>
            <w:r w:rsidRPr="00042ADE">
              <w:rPr>
                <w:sz w:val="22"/>
                <w:szCs w:val="22"/>
              </w:rPr>
              <w:t>-1.300</w:t>
            </w:r>
          </w:p>
        </w:tc>
        <w:tc>
          <w:tcPr>
            <w:tcW w:w="1843" w:type="dxa"/>
            <w:tcBorders>
              <w:bottom w:val="single" w:sz="4" w:space="0" w:color="auto"/>
            </w:tcBorders>
          </w:tcPr>
          <w:p w14:paraId="6F932241" w14:textId="77777777" w:rsidR="00BC12EC" w:rsidRPr="00042ADE" w:rsidRDefault="00BC12EC" w:rsidP="00C709CC">
            <w:pPr>
              <w:pStyle w:val="Tabletitle"/>
              <w:spacing w:line="240" w:lineRule="auto"/>
              <w:jc w:val="center"/>
              <w:rPr>
                <w:sz w:val="22"/>
                <w:szCs w:val="22"/>
              </w:rPr>
            </w:pPr>
            <w:r w:rsidRPr="00042ADE">
              <w:rPr>
                <w:sz w:val="22"/>
                <w:szCs w:val="22"/>
              </w:rPr>
              <w:t>(-9.652, 7.053)</w:t>
            </w:r>
          </w:p>
        </w:tc>
        <w:tc>
          <w:tcPr>
            <w:tcW w:w="992" w:type="dxa"/>
            <w:tcBorders>
              <w:bottom w:val="single" w:sz="4" w:space="0" w:color="auto"/>
            </w:tcBorders>
          </w:tcPr>
          <w:p w14:paraId="7A9617AA" w14:textId="77777777" w:rsidR="00BC12EC" w:rsidRPr="00042ADE" w:rsidRDefault="00BC12EC" w:rsidP="00C709CC">
            <w:pPr>
              <w:pStyle w:val="Tabletitle"/>
              <w:spacing w:line="240" w:lineRule="auto"/>
              <w:jc w:val="center"/>
              <w:rPr>
                <w:sz w:val="22"/>
                <w:szCs w:val="22"/>
              </w:rPr>
            </w:pPr>
            <w:r w:rsidRPr="00042ADE">
              <w:rPr>
                <w:sz w:val="22"/>
                <w:szCs w:val="22"/>
              </w:rPr>
              <w:t>0.754</w:t>
            </w:r>
          </w:p>
        </w:tc>
        <w:tc>
          <w:tcPr>
            <w:tcW w:w="818" w:type="dxa"/>
            <w:tcBorders>
              <w:bottom w:val="single" w:sz="4" w:space="0" w:color="auto"/>
            </w:tcBorders>
          </w:tcPr>
          <w:p w14:paraId="6B16BEEE" w14:textId="77777777" w:rsidR="00BC12EC" w:rsidRPr="00042ADE" w:rsidRDefault="00BC12EC" w:rsidP="00C709CC">
            <w:pPr>
              <w:pStyle w:val="Tabletitle"/>
              <w:spacing w:line="240" w:lineRule="auto"/>
              <w:jc w:val="center"/>
              <w:rPr>
                <w:sz w:val="22"/>
                <w:szCs w:val="22"/>
              </w:rPr>
            </w:pPr>
            <w:r w:rsidRPr="00042ADE">
              <w:rPr>
                <w:sz w:val="22"/>
                <w:szCs w:val="22"/>
              </w:rPr>
              <w:t>-4.087</w:t>
            </w:r>
          </w:p>
        </w:tc>
        <w:tc>
          <w:tcPr>
            <w:tcW w:w="1875" w:type="dxa"/>
            <w:tcBorders>
              <w:bottom w:val="single" w:sz="4" w:space="0" w:color="auto"/>
            </w:tcBorders>
          </w:tcPr>
          <w:p w14:paraId="62A79922" w14:textId="77777777" w:rsidR="00BC12EC" w:rsidRPr="00042ADE" w:rsidRDefault="00BC12EC" w:rsidP="00C709CC">
            <w:pPr>
              <w:pStyle w:val="Tabletitle"/>
              <w:spacing w:line="240" w:lineRule="auto"/>
              <w:jc w:val="center"/>
              <w:rPr>
                <w:sz w:val="22"/>
                <w:szCs w:val="22"/>
              </w:rPr>
            </w:pPr>
            <w:r w:rsidRPr="00042ADE">
              <w:rPr>
                <w:sz w:val="22"/>
                <w:szCs w:val="22"/>
              </w:rPr>
              <w:t>(-8.443, 0.269)</w:t>
            </w:r>
          </w:p>
        </w:tc>
        <w:tc>
          <w:tcPr>
            <w:tcW w:w="993" w:type="dxa"/>
            <w:tcBorders>
              <w:bottom w:val="single" w:sz="4" w:space="0" w:color="auto"/>
            </w:tcBorders>
          </w:tcPr>
          <w:p w14:paraId="52AAA41D" w14:textId="77777777" w:rsidR="00BC12EC" w:rsidRPr="00042ADE" w:rsidRDefault="00BC12EC" w:rsidP="00C709CC">
            <w:pPr>
              <w:pStyle w:val="Tabletitle"/>
              <w:spacing w:line="240" w:lineRule="auto"/>
              <w:jc w:val="center"/>
              <w:rPr>
                <w:sz w:val="22"/>
                <w:szCs w:val="22"/>
              </w:rPr>
            </w:pPr>
            <w:r w:rsidRPr="00042ADE">
              <w:rPr>
                <w:sz w:val="22"/>
                <w:szCs w:val="22"/>
              </w:rPr>
              <w:t>0.065</w:t>
            </w:r>
          </w:p>
        </w:tc>
      </w:tr>
    </w:tbl>
    <w:p w14:paraId="3C428925" w14:textId="77777777" w:rsidR="005A7E29" w:rsidRPr="00042ADE" w:rsidRDefault="005A7E29" w:rsidP="00BC12EC">
      <w:pPr>
        <w:spacing w:line="360" w:lineRule="auto"/>
        <w:jc w:val="both"/>
        <w:rPr>
          <w:rFonts w:ascii="Times New Roman" w:hAnsi="Times New Roman"/>
          <w:sz w:val="24"/>
          <w:szCs w:val="24"/>
          <w:vertAlign w:val="superscript"/>
          <w:lang w:val="en-US"/>
        </w:rPr>
      </w:pPr>
    </w:p>
    <w:p w14:paraId="5F9415E6" w14:textId="77777777" w:rsidR="00BC12EC" w:rsidRPr="00042ADE" w:rsidRDefault="00BC12EC" w:rsidP="00BC12EC">
      <w:pPr>
        <w:spacing w:line="360" w:lineRule="auto"/>
        <w:jc w:val="both"/>
        <w:rPr>
          <w:rFonts w:ascii="Times New Roman" w:hAnsi="Times New Roman"/>
          <w:sz w:val="24"/>
          <w:szCs w:val="24"/>
          <w:lang w:val="en-US"/>
        </w:rPr>
      </w:pPr>
      <w:r w:rsidRPr="00042ADE">
        <w:rPr>
          <w:rFonts w:ascii="Times New Roman" w:hAnsi="Times New Roman"/>
          <w:sz w:val="24"/>
          <w:szCs w:val="24"/>
          <w:vertAlign w:val="superscript"/>
          <w:lang w:val="en-US"/>
        </w:rPr>
        <w:t>*</w:t>
      </w:r>
      <w:r w:rsidRPr="00042ADE">
        <w:rPr>
          <w:rFonts w:ascii="Times New Roman" w:hAnsi="Times New Roman"/>
          <w:sz w:val="24"/>
          <w:szCs w:val="24"/>
          <w:lang w:val="en-US"/>
        </w:rPr>
        <w:t xml:space="preserve">Significance level </w:t>
      </w:r>
      <w:r w:rsidRPr="00042ADE">
        <w:rPr>
          <w:rFonts w:ascii="Times New Roman" w:hAnsi="Times New Roman"/>
          <w:i/>
          <w:sz w:val="24"/>
          <w:szCs w:val="24"/>
          <w:lang w:val="en-US"/>
        </w:rPr>
        <w:t>P</w:t>
      </w:r>
      <w:r w:rsidRPr="00042ADE">
        <w:rPr>
          <w:rFonts w:ascii="Times New Roman" w:hAnsi="Times New Roman"/>
          <w:sz w:val="24"/>
          <w:szCs w:val="24"/>
          <w:lang w:val="en-US"/>
        </w:rPr>
        <w:t>&lt;0.05</w:t>
      </w:r>
    </w:p>
    <w:p w14:paraId="4F190101" w14:textId="77777777" w:rsidR="00B35905" w:rsidRPr="00042ADE" w:rsidRDefault="00BC12EC" w:rsidP="006E7604">
      <w:pPr>
        <w:spacing w:line="360" w:lineRule="auto"/>
        <w:jc w:val="both"/>
        <w:rPr>
          <w:rFonts w:ascii="Times New Roman" w:hAnsi="Times New Roman"/>
          <w:sz w:val="24"/>
          <w:szCs w:val="24"/>
          <w:lang w:val="en-US"/>
        </w:rPr>
        <w:sectPr w:rsidR="00B35905" w:rsidRPr="00042ADE" w:rsidSect="006F747C">
          <w:footerReference w:type="default" r:id="rId11"/>
          <w:pgSz w:w="11906" w:h="16838"/>
          <w:pgMar w:top="1417" w:right="1701" w:bottom="1417" w:left="1701" w:header="708" w:footer="708" w:gutter="0"/>
          <w:lnNumType w:countBy="1"/>
          <w:cols w:space="708"/>
          <w:docGrid w:linePitch="360"/>
        </w:sectPr>
      </w:pPr>
      <w:r w:rsidRPr="00042ADE">
        <w:rPr>
          <w:rFonts w:ascii="Times New Roman" w:hAnsi="Times New Roman"/>
          <w:sz w:val="24"/>
          <w:szCs w:val="24"/>
          <w:lang w:val="en-US"/>
        </w:rPr>
        <w:t>Note. a) FMS: Fibromyalgia Syndrome; b) Beta (</w:t>
      </w:r>
      <w:r w:rsidRPr="00042ADE">
        <w:rPr>
          <w:b/>
          <w:sz w:val="24"/>
          <w:szCs w:val="24"/>
        </w:rPr>
        <w:t>β</w:t>
      </w:r>
      <w:r w:rsidRPr="00042ADE">
        <w:rPr>
          <w:b/>
          <w:sz w:val="24"/>
          <w:szCs w:val="24"/>
          <w:lang w:val="en-GB"/>
        </w:rPr>
        <w:t>)</w:t>
      </w:r>
      <w:r w:rsidRPr="00042ADE">
        <w:rPr>
          <w:rFonts w:ascii="Times New Roman" w:hAnsi="Times New Roman"/>
          <w:sz w:val="24"/>
          <w:szCs w:val="24"/>
          <w:lang w:val="en-US"/>
        </w:rPr>
        <w:t>: regression coefficient, adjusted for age, menopause status and body mass index; c) 95% CI: 95% confidence interval; d) NOx:  nitric oxide metabolites; e) ºC: Celsius degree; f) D: dominant; g) ND:  non dominant.</w:t>
      </w:r>
    </w:p>
    <w:p w14:paraId="0D486526" w14:textId="77777777" w:rsidR="00B35905" w:rsidRPr="00042ADE" w:rsidRDefault="00B35905" w:rsidP="00B35905">
      <w:pPr>
        <w:spacing w:line="360" w:lineRule="auto"/>
        <w:jc w:val="both"/>
        <w:rPr>
          <w:rFonts w:ascii="Times New Roman" w:hAnsi="Times New Roman"/>
          <w:sz w:val="24"/>
          <w:szCs w:val="24"/>
          <w:lang w:val="en-US"/>
        </w:rPr>
      </w:pPr>
      <w:r w:rsidRPr="00042ADE">
        <w:rPr>
          <w:rFonts w:ascii="Times New Roman" w:hAnsi="Times New Roman"/>
          <w:b/>
          <w:sz w:val="24"/>
          <w:szCs w:val="24"/>
          <w:lang w:val="en-US"/>
        </w:rPr>
        <w:lastRenderedPageBreak/>
        <w:t>Table 3</w:t>
      </w:r>
      <w:r w:rsidRPr="00042ADE">
        <w:rPr>
          <w:rFonts w:ascii="Times New Roman" w:hAnsi="Times New Roman"/>
          <w:sz w:val="24"/>
          <w:szCs w:val="24"/>
          <w:lang w:val="en-US"/>
        </w:rPr>
        <w:t xml:space="preserve">. Beta estimates and confidence intervals for the association between nitric oxide (NOx) and </w:t>
      </w:r>
      <w:r w:rsidRPr="00042ADE">
        <w:rPr>
          <w:rFonts w:ascii="Times New Roman" w:hAnsi="Times New Roman"/>
          <w:sz w:val="24"/>
          <w:szCs w:val="24"/>
          <w:lang w:val="en-GB"/>
        </w:rPr>
        <w:t>tympanic and axillary core temperature among cases (women with FMS) and controls (healthy women).</w:t>
      </w:r>
    </w:p>
    <w:tbl>
      <w:tblPr>
        <w:tblStyle w:val="Tablaconcuadrcula"/>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8"/>
        <w:gridCol w:w="557"/>
        <w:gridCol w:w="1118"/>
        <w:gridCol w:w="1814"/>
        <w:gridCol w:w="1395"/>
        <w:gridCol w:w="1400"/>
        <w:gridCol w:w="1814"/>
        <w:gridCol w:w="1390"/>
      </w:tblGrid>
      <w:tr w:rsidR="00B35905" w:rsidRPr="00042ADE" w14:paraId="1639F2B3" w14:textId="77777777" w:rsidTr="00C709CC">
        <w:trPr>
          <w:trHeight w:val="516"/>
        </w:trPr>
        <w:tc>
          <w:tcPr>
            <w:tcW w:w="1588" w:type="pct"/>
            <w:gridSpan w:val="2"/>
            <w:tcBorders>
              <w:top w:val="single" w:sz="4" w:space="0" w:color="auto"/>
            </w:tcBorders>
          </w:tcPr>
          <w:p w14:paraId="2D5D17DB" w14:textId="77777777" w:rsidR="00B35905" w:rsidRPr="00042ADE" w:rsidRDefault="00B35905" w:rsidP="00C709CC">
            <w:pPr>
              <w:pStyle w:val="Tabletitle"/>
              <w:spacing w:line="240" w:lineRule="auto"/>
              <w:jc w:val="both"/>
              <w:rPr>
                <w:sz w:val="22"/>
                <w:szCs w:val="22"/>
              </w:rPr>
            </w:pPr>
          </w:p>
        </w:tc>
        <w:tc>
          <w:tcPr>
            <w:tcW w:w="1120" w:type="pct"/>
            <w:gridSpan w:val="2"/>
            <w:tcBorders>
              <w:top w:val="single" w:sz="4" w:space="0" w:color="auto"/>
            </w:tcBorders>
            <w:hideMark/>
          </w:tcPr>
          <w:p w14:paraId="6768F71C" w14:textId="77777777" w:rsidR="00B35905" w:rsidRPr="00042ADE" w:rsidRDefault="00B35905" w:rsidP="00C709CC">
            <w:pPr>
              <w:pStyle w:val="Tabletitle"/>
              <w:spacing w:line="240" w:lineRule="auto"/>
              <w:jc w:val="center"/>
              <w:rPr>
                <w:b/>
                <w:sz w:val="22"/>
                <w:szCs w:val="22"/>
              </w:rPr>
            </w:pPr>
          </w:p>
        </w:tc>
        <w:tc>
          <w:tcPr>
            <w:tcW w:w="1068" w:type="pct"/>
            <w:gridSpan w:val="2"/>
            <w:tcBorders>
              <w:top w:val="single" w:sz="4" w:space="0" w:color="auto"/>
            </w:tcBorders>
          </w:tcPr>
          <w:p w14:paraId="40DCE31C" w14:textId="77777777" w:rsidR="00B35905" w:rsidRPr="00042ADE" w:rsidRDefault="00B35905" w:rsidP="00C709CC">
            <w:pPr>
              <w:pStyle w:val="Tabletitle"/>
              <w:spacing w:line="240" w:lineRule="auto"/>
              <w:jc w:val="center"/>
              <w:rPr>
                <w:b/>
                <w:sz w:val="22"/>
                <w:szCs w:val="22"/>
              </w:rPr>
            </w:pPr>
            <w:r w:rsidRPr="00042ADE">
              <w:rPr>
                <w:b/>
                <w:sz w:val="22"/>
                <w:szCs w:val="22"/>
              </w:rPr>
              <w:t>NOx</w:t>
            </w:r>
          </w:p>
        </w:tc>
        <w:tc>
          <w:tcPr>
            <w:tcW w:w="693" w:type="pct"/>
            <w:tcBorders>
              <w:top w:val="single" w:sz="4" w:space="0" w:color="auto"/>
            </w:tcBorders>
          </w:tcPr>
          <w:p w14:paraId="75017F43" w14:textId="77777777" w:rsidR="00B35905" w:rsidRPr="00042ADE" w:rsidRDefault="00B35905" w:rsidP="00C709CC">
            <w:pPr>
              <w:pStyle w:val="Tabletitle"/>
              <w:spacing w:line="240" w:lineRule="auto"/>
              <w:jc w:val="both"/>
              <w:rPr>
                <w:b/>
                <w:sz w:val="22"/>
                <w:szCs w:val="22"/>
              </w:rPr>
            </w:pPr>
          </w:p>
        </w:tc>
        <w:tc>
          <w:tcPr>
            <w:tcW w:w="531" w:type="pct"/>
            <w:tcBorders>
              <w:top w:val="single" w:sz="4" w:space="0" w:color="auto"/>
            </w:tcBorders>
          </w:tcPr>
          <w:p w14:paraId="557C223A" w14:textId="77777777" w:rsidR="00B35905" w:rsidRPr="00042ADE" w:rsidRDefault="00B35905" w:rsidP="00C709CC">
            <w:pPr>
              <w:pStyle w:val="Tabletitle"/>
              <w:spacing w:line="240" w:lineRule="auto"/>
              <w:jc w:val="both"/>
              <w:rPr>
                <w:b/>
                <w:sz w:val="22"/>
                <w:szCs w:val="22"/>
              </w:rPr>
            </w:pPr>
          </w:p>
        </w:tc>
      </w:tr>
      <w:tr w:rsidR="00B35905" w:rsidRPr="00042ADE" w14:paraId="1AAF212A" w14:textId="77777777" w:rsidTr="00C709CC">
        <w:trPr>
          <w:trHeight w:val="580"/>
        </w:trPr>
        <w:tc>
          <w:tcPr>
            <w:tcW w:w="1588" w:type="pct"/>
            <w:gridSpan w:val="2"/>
          </w:tcPr>
          <w:p w14:paraId="48207885" w14:textId="77777777" w:rsidR="00B35905" w:rsidRPr="00042ADE" w:rsidRDefault="00B35905" w:rsidP="00C709CC">
            <w:pPr>
              <w:pStyle w:val="Tabletitle"/>
              <w:spacing w:line="240" w:lineRule="auto"/>
              <w:jc w:val="both"/>
              <w:rPr>
                <w:sz w:val="22"/>
                <w:szCs w:val="22"/>
              </w:rPr>
            </w:pPr>
          </w:p>
        </w:tc>
        <w:tc>
          <w:tcPr>
            <w:tcW w:w="1120" w:type="pct"/>
            <w:gridSpan w:val="2"/>
            <w:hideMark/>
          </w:tcPr>
          <w:p w14:paraId="20BC68B3" w14:textId="77777777" w:rsidR="00B35905" w:rsidRPr="00042ADE" w:rsidRDefault="00B35905" w:rsidP="00C709CC">
            <w:pPr>
              <w:spacing w:line="360" w:lineRule="auto"/>
              <w:jc w:val="center"/>
              <w:rPr>
                <w:rFonts w:ascii="Times New Roman" w:hAnsi="Times New Roman"/>
                <w:b/>
                <w:lang w:val="en-GB"/>
              </w:rPr>
            </w:pPr>
            <w:r w:rsidRPr="00042ADE">
              <w:rPr>
                <w:rFonts w:ascii="Times New Roman" w:hAnsi="Times New Roman"/>
                <w:b/>
                <w:lang w:val="en-GB"/>
              </w:rPr>
              <w:t>Cases</w:t>
            </w:r>
          </w:p>
          <w:p w14:paraId="77096175" w14:textId="77777777" w:rsidR="00B35905" w:rsidRPr="00042ADE" w:rsidRDefault="00B35905" w:rsidP="00C709CC">
            <w:pPr>
              <w:spacing w:line="360" w:lineRule="auto"/>
              <w:jc w:val="center"/>
              <w:rPr>
                <w:rFonts w:ascii="Times New Roman" w:hAnsi="Times New Roman"/>
                <w:b/>
                <w:lang w:val="en-GB"/>
              </w:rPr>
            </w:pPr>
            <w:r w:rsidRPr="00042ADE">
              <w:rPr>
                <w:rFonts w:ascii="Times New Roman" w:hAnsi="Times New Roman"/>
                <w:b/>
                <w:lang w:val="en-GB"/>
              </w:rPr>
              <w:t>(n=42)</w:t>
            </w:r>
          </w:p>
        </w:tc>
        <w:tc>
          <w:tcPr>
            <w:tcW w:w="533" w:type="pct"/>
          </w:tcPr>
          <w:p w14:paraId="3DECBBD1" w14:textId="77777777" w:rsidR="00B35905" w:rsidRPr="00042ADE" w:rsidRDefault="00B35905" w:rsidP="00C709CC">
            <w:pPr>
              <w:pStyle w:val="Tabletitle"/>
              <w:spacing w:line="240" w:lineRule="auto"/>
              <w:jc w:val="both"/>
              <w:rPr>
                <w:b/>
                <w:sz w:val="22"/>
                <w:szCs w:val="22"/>
              </w:rPr>
            </w:pPr>
          </w:p>
        </w:tc>
        <w:tc>
          <w:tcPr>
            <w:tcW w:w="535" w:type="pct"/>
          </w:tcPr>
          <w:p w14:paraId="3DEE1392" w14:textId="77777777" w:rsidR="00B35905" w:rsidRPr="00042ADE" w:rsidRDefault="00B35905" w:rsidP="00C709CC">
            <w:pPr>
              <w:spacing w:line="360" w:lineRule="auto"/>
              <w:jc w:val="center"/>
              <w:rPr>
                <w:rFonts w:ascii="Times New Roman" w:hAnsi="Times New Roman"/>
                <w:b/>
                <w:lang w:val="en-GB"/>
              </w:rPr>
            </w:pPr>
          </w:p>
        </w:tc>
        <w:tc>
          <w:tcPr>
            <w:tcW w:w="693" w:type="pct"/>
          </w:tcPr>
          <w:p w14:paraId="7171AF4A" w14:textId="77777777" w:rsidR="00B35905" w:rsidRPr="00042ADE" w:rsidRDefault="00B35905" w:rsidP="00C709CC">
            <w:pPr>
              <w:spacing w:line="360" w:lineRule="auto"/>
              <w:jc w:val="center"/>
              <w:rPr>
                <w:rFonts w:ascii="Times New Roman" w:hAnsi="Times New Roman"/>
                <w:b/>
                <w:lang w:val="en-GB"/>
              </w:rPr>
            </w:pPr>
            <w:r w:rsidRPr="00042ADE">
              <w:rPr>
                <w:rFonts w:ascii="Times New Roman" w:hAnsi="Times New Roman"/>
                <w:b/>
                <w:lang w:val="en-GB"/>
              </w:rPr>
              <w:t>Controls</w:t>
            </w:r>
          </w:p>
          <w:p w14:paraId="315E8F43" w14:textId="77777777" w:rsidR="00B35905" w:rsidRPr="00042ADE" w:rsidRDefault="00B35905" w:rsidP="00C709CC">
            <w:pPr>
              <w:spacing w:line="360" w:lineRule="auto"/>
              <w:jc w:val="center"/>
              <w:rPr>
                <w:rFonts w:ascii="Times New Roman" w:hAnsi="Times New Roman"/>
                <w:b/>
                <w:lang w:val="en-GB"/>
              </w:rPr>
            </w:pPr>
            <w:r w:rsidRPr="00042ADE">
              <w:rPr>
                <w:rFonts w:ascii="Times New Roman" w:hAnsi="Times New Roman"/>
                <w:b/>
                <w:lang w:val="en-GB"/>
              </w:rPr>
              <w:t>(n=52)</w:t>
            </w:r>
          </w:p>
        </w:tc>
        <w:tc>
          <w:tcPr>
            <w:tcW w:w="531" w:type="pct"/>
          </w:tcPr>
          <w:p w14:paraId="13AACE0A" w14:textId="77777777" w:rsidR="00B35905" w:rsidRPr="00042ADE" w:rsidRDefault="00B35905" w:rsidP="00C709CC">
            <w:pPr>
              <w:pStyle w:val="Tabletitle"/>
              <w:spacing w:line="240" w:lineRule="auto"/>
              <w:jc w:val="both"/>
              <w:rPr>
                <w:b/>
                <w:sz w:val="22"/>
                <w:szCs w:val="22"/>
              </w:rPr>
            </w:pPr>
          </w:p>
        </w:tc>
      </w:tr>
      <w:tr w:rsidR="00B35905" w:rsidRPr="00042ADE" w14:paraId="6F4DAE06" w14:textId="77777777" w:rsidTr="00C709CC">
        <w:trPr>
          <w:trHeight w:val="236"/>
        </w:trPr>
        <w:tc>
          <w:tcPr>
            <w:tcW w:w="1588" w:type="pct"/>
            <w:gridSpan w:val="2"/>
            <w:tcBorders>
              <w:bottom w:val="single" w:sz="4" w:space="0" w:color="auto"/>
            </w:tcBorders>
          </w:tcPr>
          <w:p w14:paraId="4B97FF54" w14:textId="77777777" w:rsidR="00B35905" w:rsidRPr="00042ADE" w:rsidRDefault="00B35905" w:rsidP="00C709CC">
            <w:pPr>
              <w:pStyle w:val="Tabletitle"/>
              <w:spacing w:line="240" w:lineRule="auto"/>
              <w:jc w:val="both"/>
              <w:rPr>
                <w:sz w:val="22"/>
                <w:szCs w:val="22"/>
              </w:rPr>
            </w:pPr>
          </w:p>
        </w:tc>
        <w:tc>
          <w:tcPr>
            <w:tcW w:w="427" w:type="pct"/>
            <w:tcBorders>
              <w:bottom w:val="single" w:sz="4" w:space="0" w:color="auto"/>
            </w:tcBorders>
            <w:hideMark/>
          </w:tcPr>
          <w:p w14:paraId="212B26C3" w14:textId="77777777" w:rsidR="00B35905" w:rsidRPr="00042ADE" w:rsidRDefault="00B35905" w:rsidP="00C709CC">
            <w:pPr>
              <w:pStyle w:val="Tabletitle"/>
              <w:spacing w:line="240" w:lineRule="auto"/>
              <w:jc w:val="center"/>
              <w:rPr>
                <w:b/>
                <w:sz w:val="22"/>
                <w:szCs w:val="22"/>
              </w:rPr>
            </w:pPr>
            <w:r w:rsidRPr="00042ADE">
              <w:rPr>
                <w:b/>
                <w:sz w:val="22"/>
                <w:szCs w:val="22"/>
              </w:rPr>
              <w:t>β</w:t>
            </w:r>
          </w:p>
        </w:tc>
        <w:tc>
          <w:tcPr>
            <w:tcW w:w="693" w:type="pct"/>
            <w:tcBorders>
              <w:bottom w:val="single" w:sz="4" w:space="0" w:color="auto"/>
            </w:tcBorders>
            <w:hideMark/>
          </w:tcPr>
          <w:p w14:paraId="0F7ADA3D" w14:textId="77777777" w:rsidR="00B35905" w:rsidRPr="00042ADE" w:rsidRDefault="00B35905" w:rsidP="00C709CC">
            <w:pPr>
              <w:pStyle w:val="Tabletitle"/>
              <w:spacing w:line="240" w:lineRule="auto"/>
              <w:jc w:val="center"/>
              <w:rPr>
                <w:b/>
                <w:sz w:val="22"/>
                <w:szCs w:val="22"/>
              </w:rPr>
            </w:pPr>
            <w:r w:rsidRPr="00042ADE">
              <w:rPr>
                <w:b/>
                <w:sz w:val="22"/>
                <w:szCs w:val="22"/>
              </w:rPr>
              <w:t>95 % CI</w:t>
            </w:r>
          </w:p>
        </w:tc>
        <w:tc>
          <w:tcPr>
            <w:tcW w:w="533" w:type="pct"/>
            <w:tcBorders>
              <w:bottom w:val="single" w:sz="4" w:space="0" w:color="auto"/>
            </w:tcBorders>
            <w:hideMark/>
          </w:tcPr>
          <w:p w14:paraId="77131000" w14:textId="77777777" w:rsidR="00B35905" w:rsidRPr="00042ADE" w:rsidRDefault="00B35905" w:rsidP="00C709CC">
            <w:pPr>
              <w:pStyle w:val="Tabletitle"/>
              <w:spacing w:line="240" w:lineRule="auto"/>
              <w:jc w:val="center"/>
              <w:rPr>
                <w:b/>
                <w:sz w:val="22"/>
                <w:szCs w:val="22"/>
              </w:rPr>
            </w:pPr>
            <w:r w:rsidRPr="00042ADE">
              <w:rPr>
                <w:b/>
                <w:sz w:val="22"/>
                <w:szCs w:val="22"/>
              </w:rPr>
              <w:t>p-value</w:t>
            </w:r>
          </w:p>
        </w:tc>
        <w:tc>
          <w:tcPr>
            <w:tcW w:w="535" w:type="pct"/>
            <w:tcBorders>
              <w:bottom w:val="single" w:sz="4" w:space="0" w:color="auto"/>
            </w:tcBorders>
          </w:tcPr>
          <w:p w14:paraId="3159D8E5" w14:textId="77777777" w:rsidR="00B35905" w:rsidRPr="00042ADE" w:rsidRDefault="00B35905" w:rsidP="00C709CC">
            <w:pPr>
              <w:pStyle w:val="Tabletitle"/>
              <w:spacing w:line="240" w:lineRule="auto"/>
              <w:jc w:val="center"/>
              <w:rPr>
                <w:b/>
                <w:sz w:val="22"/>
                <w:szCs w:val="22"/>
              </w:rPr>
            </w:pPr>
            <w:r w:rsidRPr="00042ADE">
              <w:rPr>
                <w:b/>
                <w:sz w:val="22"/>
                <w:szCs w:val="22"/>
              </w:rPr>
              <w:t xml:space="preserve"> β</w:t>
            </w:r>
          </w:p>
        </w:tc>
        <w:tc>
          <w:tcPr>
            <w:tcW w:w="693" w:type="pct"/>
            <w:tcBorders>
              <w:bottom w:val="single" w:sz="4" w:space="0" w:color="auto"/>
            </w:tcBorders>
          </w:tcPr>
          <w:p w14:paraId="5EE29DA2" w14:textId="77777777" w:rsidR="00B35905" w:rsidRPr="00042ADE" w:rsidRDefault="00B35905" w:rsidP="00C709CC">
            <w:pPr>
              <w:pStyle w:val="Tabletitle"/>
              <w:spacing w:line="240" w:lineRule="auto"/>
              <w:jc w:val="center"/>
              <w:rPr>
                <w:b/>
                <w:sz w:val="22"/>
                <w:szCs w:val="22"/>
              </w:rPr>
            </w:pPr>
            <w:r w:rsidRPr="00042ADE">
              <w:rPr>
                <w:b/>
                <w:sz w:val="22"/>
                <w:szCs w:val="22"/>
              </w:rPr>
              <w:t>95 % CI</w:t>
            </w:r>
          </w:p>
        </w:tc>
        <w:tc>
          <w:tcPr>
            <w:tcW w:w="531" w:type="pct"/>
            <w:tcBorders>
              <w:bottom w:val="single" w:sz="4" w:space="0" w:color="auto"/>
            </w:tcBorders>
          </w:tcPr>
          <w:p w14:paraId="36C644E4" w14:textId="77777777" w:rsidR="00B35905" w:rsidRPr="00042ADE" w:rsidRDefault="00B35905" w:rsidP="00C709CC">
            <w:pPr>
              <w:pStyle w:val="Tabletitle"/>
              <w:spacing w:line="240" w:lineRule="auto"/>
              <w:jc w:val="center"/>
              <w:rPr>
                <w:b/>
                <w:sz w:val="22"/>
                <w:szCs w:val="22"/>
              </w:rPr>
            </w:pPr>
            <w:r w:rsidRPr="00042ADE">
              <w:rPr>
                <w:b/>
                <w:sz w:val="22"/>
                <w:szCs w:val="22"/>
              </w:rPr>
              <w:t>p-value</w:t>
            </w:r>
          </w:p>
        </w:tc>
      </w:tr>
      <w:tr w:rsidR="00B35905" w:rsidRPr="00042ADE" w14:paraId="4B649CAA" w14:textId="77777777" w:rsidTr="00C709CC">
        <w:trPr>
          <w:trHeight w:val="254"/>
        </w:trPr>
        <w:tc>
          <w:tcPr>
            <w:tcW w:w="1375" w:type="pct"/>
            <w:tcBorders>
              <w:top w:val="single" w:sz="4" w:space="0" w:color="auto"/>
            </w:tcBorders>
          </w:tcPr>
          <w:p w14:paraId="121A1C29" w14:textId="77777777" w:rsidR="00B35905" w:rsidRPr="00042ADE" w:rsidRDefault="00B35905" w:rsidP="00C709CC">
            <w:pPr>
              <w:pStyle w:val="Tabletitle"/>
              <w:spacing w:line="240" w:lineRule="auto"/>
              <w:rPr>
                <w:b/>
                <w:sz w:val="22"/>
                <w:szCs w:val="22"/>
              </w:rPr>
            </w:pPr>
            <w:r w:rsidRPr="00042ADE">
              <w:rPr>
                <w:b/>
                <w:sz w:val="22"/>
                <w:szCs w:val="22"/>
              </w:rPr>
              <w:t>Tympanic temperature ºC</w:t>
            </w:r>
          </w:p>
        </w:tc>
        <w:tc>
          <w:tcPr>
            <w:tcW w:w="213" w:type="pct"/>
            <w:tcBorders>
              <w:top w:val="single" w:sz="4" w:space="0" w:color="auto"/>
            </w:tcBorders>
          </w:tcPr>
          <w:p w14:paraId="0EB70DAA" w14:textId="77777777" w:rsidR="00B35905" w:rsidRPr="00042ADE" w:rsidRDefault="00B35905" w:rsidP="00C709CC">
            <w:pPr>
              <w:pStyle w:val="Tabletitle"/>
              <w:spacing w:line="240" w:lineRule="auto"/>
              <w:jc w:val="both"/>
              <w:rPr>
                <w:b/>
                <w:sz w:val="22"/>
                <w:szCs w:val="22"/>
              </w:rPr>
            </w:pPr>
          </w:p>
        </w:tc>
        <w:tc>
          <w:tcPr>
            <w:tcW w:w="427" w:type="pct"/>
            <w:tcBorders>
              <w:top w:val="single" w:sz="4" w:space="0" w:color="auto"/>
            </w:tcBorders>
          </w:tcPr>
          <w:p w14:paraId="1F93F226" w14:textId="77777777" w:rsidR="00B35905" w:rsidRPr="00042ADE" w:rsidRDefault="00B35905" w:rsidP="00C709CC">
            <w:pPr>
              <w:pStyle w:val="Tabletitle"/>
              <w:spacing w:line="240" w:lineRule="auto"/>
              <w:jc w:val="center"/>
              <w:rPr>
                <w:sz w:val="22"/>
                <w:szCs w:val="22"/>
              </w:rPr>
            </w:pPr>
            <w:r w:rsidRPr="00042ADE">
              <w:rPr>
                <w:sz w:val="22"/>
                <w:szCs w:val="22"/>
              </w:rPr>
              <w:t>-1.303</w:t>
            </w:r>
          </w:p>
        </w:tc>
        <w:tc>
          <w:tcPr>
            <w:tcW w:w="693" w:type="pct"/>
            <w:tcBorders>
              <w:top w:val="single" w:sz="4" w:space="0" w:color="auto"/>
            </w:tcBorders>
          </w:tcPr>
          <w:p w14:paraId="09BD68E9" w14:textId="77777777" w:rsidR="00B35905" w:rsidRPr="00042ADE" w:rsidRDefault="00B35905" w:rsidP="00C709CC">
            <w:pPr>
              <w:pStyle w:val="Tabletitle"/>
              <w:spacing w:line="240" w:lineRule="auto"/>
              <w:jc w:val="center"/>
              <w:rPr>
                <w:sz w:val="22"/>
                <w:szCs w:val="22"/>
              </w:rPr>
            </w:pPr>
            <w:r w:rsidRPr="00042ADE">
              <w:rPr>
                <w:sz w:val="22"/>
                <w:szCs w:val="22"/>
              </w:rPr>
              <w:t>(-12.056, 9.450)</w:t>
            </w:r>
          </w:p>
        </w:tc>
        <w:tc>
          <w:tcPr>
            <w:tcW w:w="533" w:type="pct"/>
            <w:tcBorders>
              <w:top w:val="single" w:sz="4" w:space="0" w:color="auto"/>
            </w:tcBorders>
          </w:tcPr>
          <w:p w14:paraId="426E6299" w14:textId="77777777" w:rsidR="00B35905" w:rsidRPr="00042ADE" w:rsidRDefault="00B35905" w:rsidP="00C709CC">
            <w:pPr>
              <w:pStyle w:val="Tabletitle"/>
              <w:spacing w:line="240" w:lineRule="auto"/>
              <w:jc w:val="center"/>
              <w:rPr>
                <w:sz w:val="22"/>
                <w:szCs w:val="22"/>
              </w:rPr>
            </w:pPr>
            <w:r w:rsidRPr="00042ADE">
              <w:rPr>
                <w:sz w:val="22"/>
                <w:szCs w:val="22"/>
              </w:rPr>
              <w:t>0.807</w:t>
            </w:r>
          </w:p>
        </w:tc>
        <w:tc>
          <w:tcPr>
            <w:tcW w:w="535" w:type="pct"/>
            <w:tcBorders>
              <w:top w:val="single" w:sz="4" w:space="0" w:color="auto"/>
            </w:tcBorders>
          </w:tcPr>
          <w:p w14:paraId="1FC96B04" w14:textId="77777777" w:rsidR="00B35905" w:rsidRPr="00042ADE" w:rsidRDefault="00B35905" w:rsidP="00C709CC">
            <w:pPr>
              <w:pStyle w:val="Tabletitle"/>
              <w:spacing w:line="240" w:lineRule="auto"/>
              <w:jc w:val="center"/>
              <w:rPr>
                <w:sz w:val="22"/>
                <w:szCs w:val="22"/>
              </w:rPr>
            </w:pPr>
            <w:r w:rsidRPr="00042ADE">
              <w:rPr>
                <w:sz w:val="22"/>
                <w:szCs w:val="22"/>
              </w:rPr>
              <w:t>-9.321</w:t>
            </w:r>
          </w:p>
        </w:tc>
        <w:tc>
          <w:tcPr>
            <w:tcW w:w="693" w:type="pct"/>
            <w:tcBorders>
              <w:top w:val="single" w:sz="4" w:space="0" w:color="auto"/>
            </w:tcBorders>
          </w:tcPr>
          <w:p w14:paraId="0D1B2D5B" w14:textId="77777777" w:rsidR="00B35905" w:rsidRPr="00042ADE" w:rsidRDefault="00B35905" w:rsidP="00C709CC">
            <w:pPr>
              <w:pStyle w:val="Tabletitle"/>
              <w:spacing w:line="240" w:lineRule="auto"/>
              <w:jc w:val="center"/>
              <w:rPr>
                <w:sz w:val="22"/>
                <w:szCs w:val="22"/>
              </w:rPr>
            </w:pPr>
            <w:r w:rsidRPr="00042ADE">
              <w:rPr>
                <w:sz w:val="22"/>
                <w:szCs w:val="22"/>
              </w:rPr>
              <w:t>(-17.974, -0.669)</w:t>
            </w:r>
          </w:p>
        </w:tc>
        <w:tc>
          <w:tcPr>
            <w:tcW w:w="531" w:type="pct"/>
            <w:tcBorders>
              <w:top w:val="single" w:sz="4" w:space="0" w:color="auto"/>
            </w:tcBorders>
          </w:tcPr>
          <w:p w14:paraId="66A7B8AC" w14:textId="77777777" w:rsidR="00B35905" w:rsidRPr="00042ADE" w:rsidRDefault="00B35905" w:rsidP="00C709CC">
            <w:pPr>
              <w:pStyle w:val="Tabletitle"/>
              <w:spacing w:line="240" w:lineRule="auto"/>
              <w:jc w:val="center"/>
              <w:rPr>
                <w:sz w:val="22"/>
                <w:szCs w:val="22"/>
              </w:rPr>
            </w:pPr>
            <w:r w:rsidRPr="00042ADE">
              <w:rPr>
                <w:sz w:val="22"/>
                <w:szCs w:val="22"/>
              </w:rPr>
              <w:t>0.035*</w:t>
            </w:r>
          </w:p>
        </w:tc>
      </w:tr>
      <w:tr w:rsidR="00B35905" w:rsidRPr="00042ADE" w14:paraId="70034015" w14:textId="77777777" w:rsidTr="00C709CC">
        <w:trPr>
          <w:trHeight w:val="271"/>
        </w:trPr>
        <w:tc>
          <w:tcPr>
            <w:tcW w:w="1375" w:type="pct"/>
          </w:tcPr>
          <w:p w14:paraId="6DDAFB19" w14:textId="77777777" w:rsidR="00B35905" w:rsidRPr="00042ADE" w:rsidRDefault="00B35905" w:rsidP="00C709CC">
            <w:pPr>
              <w:pStyle w:val="Tabletitle"/>
              <w:spacing w:line="240" w:lineRule="auto"/>
              <w:rPr>
                <w:b/>
                <w:sz w:val="22"/>
                <w:szCs w:val="22"/>
              </w:rPr>
            </w:pPr>
            <w:r w:rsidRPr="00042ADE">
              <w:rPr>
                <w:b/>
                <w:sz w:val="22"/>
                <w:szCs w:val="22"/>
              </w:rPr>
              <w:t>Axillary temperature ºC</w:t>
            </w:r>
          </w:p>
        </w:tc>
        <w:tc>
          <w:tcPr>
            <w:tcW w:w="213" w:type="pct"/>
          </w:tcPr>
          <w:p w14:paraId="04DFEA04" w14:textId="77777777" w:rsidR="00B35905" w:rsidRPr="00042ADE" w:rsidRDefault="00B35905" w:rsidP="00C709CC">
            <w:pPr>
              <w:pStyle w:val="Tabletitle"/>
              <w:spacing w:line="240" w:lineRule="auto"/>
              <w:jc w:val="both"/>
              <w:rPr>
                <w:b/>
                <w:sz w:val="22"/>
                <w:szCs w:val="22"/>
              </w:rPr>
            </w:pPr>
          </w:p>
        </w:tc>
        <w:tc>
          <w:tcPr>
            <w:tcW w:w="427" w:type="pct"/>
          </w:tcPr>
          <w:p w14:paraId="1D215FB7" w14:textId="77777777" w:rsidR="00B35905" w:rsidRPr="00042ADE" w:rsidRDefault="00B35905" w:rsidP="00C709CC">
            <w:pPr>
              <w:pStyle w:val="Tabletitle"/>
              <w:spacing w:line="240" w:lineRule="auto"/>
              <w:jc w:val="center"/>
              <w:rPr>
                <w:sz w:val="22"/>
                <w:szCs w:val="22"/>
              </w:rPr>
            </w:pPr>
            <w:r w:rsidRPr="00042ADE">
              <w:rPr>
                <w:sz w:val="22"/>
                <w:szCs w:val="22"/>
              </w:rPr>
              <w:t>8.631</w:t>
            </w:r>
          </w:p>
        </w:tc>
        <w:tc>
          <w:tcPr>
            <w:tcW w:w="693" w:type="pct"/>
          </w:tcPr>
          <w:p w14:paraId="2461B52A" w14:textId="77777777" w:rsidR="00B35905" w:rsidRPr="00042ADE" w:rsidRDefault="00B35905" w:rsidP="00C709CC">
            <w:pPr>
              <w:pStyle w:val="Tabletitle"/>
              <w:spacing w:line="240" w:lineRule="auto"/>
              <w:jc w:val="center"/>
              <w:rPr>
                <w:sz w:val="22"/>
                <w:szCs w:val="22"/>
              </w:rPr>
            </w:pPr>
            <w:r w:rsidRPr="00042ADE">
              <w:rPr>
                <w:sz w:val="22"/>
                <w:szCs w:val="22"/>
              </w:rPr>
              <w:t>(-5.826, 23.087)</w:t>
            </w:r>
          </w:p>
        </w:tc>
        <w:tc>
          <w:tcPr>
            <w:tcW w:w="533" w:type="pct"/>
          </w:tcPr>
          <w:p w14:paraId="536FE340" w14:textId="77777777" w:rsidR="00B35905" w:rsidRPr="00042ADE" w:rsidRDefault="00B35905" w:rsidP="00C709CC">
            <w:pPr>
              <w:pStyle w:val="Tabletitle"/>
              <w:spacing w:line="240" w:lineRule="auto"/>
              <w:jc w:val="center"/>
              <w:rPr>
                <w:sz w:val="22"/>
                <w:szCs w:val="22"/>
              </w:rPr>
            </w:pPr>
            <w:r w:rsidRPr="00042ADE">
              <w:rPr>
                <w:sz w:val="22"/>
                <w:szCs w:val="22"/>
              </w:rPr>
              <w:t>0.234</w:t>
            </w:r>
          </w:p>
        </w:tc>
        <w:tc>
          <w:tcPr>
            <w:tcW w:w="535" w:type="pct"/>
          </w:tcPr>
          <w:p w14:paraId="066DE3AC" w14:textId="77777777" w:rsidR="00B35905" w:rsidRPr="00042ADE" w:rsidRDefault="00B35905" w:rsidP="00C709CC">
            <w:pPr>
              <w:pStyle w:val="Tabletitle"/>
              <w:spacing w:line="240" w:lineRule="auto"/>
              <w:jc w:val="center"/>
              <w:rPr>
                <w:sz w:val="22"/>
                <w:szCs w:val="22"/>
              </w:rPr>
            </w:pPr>
            <w:r w:rsidRPr="00042ADE">
              <w:rPr>
                <w:sz w:val="22"/>
                <w:szCs w:val="22"/>
              </w:rPr>
              <w:t>-7.625</w:t>
            </w:r>
          </w:p>
        </w:tc>
        <w:tc>
          <w:tcPr>
            <w:tcW w:w="693" w:type="pct"/>
          </w:tcPr>
          <w:p w14:paraId="40C3F3A8" w14:textId="77777777" w:rsidR="00B35905" w:rsidRPr="00042ADE" w:rsidRDefault="00B35905" w:rsidP="00C709CC">
            <w:pPr>
              <w:pStyle w:val="Tabletitle"/>
              <w:spacing w:line="240" w:lineRule="auto"/>
              <w:jc w:val="center"/>
              <w:rPr>
                <w:sz w:val="22"/>
                <w:szCs w:val="22"/>
              </w:rPr>
            </w:pPr>
            <w:r w:rsidRPr="00042ADE">
              <w:rPr>
                <w:sz w:val="22"/>
                <w:szCs w:val="22"/>
              </w:rPr>
              <w:t>(-16.432, 1.182)</w:t>
            </w:r>
          </w:p>
        </w:tc>
        <w:tc>
          <w:tcPr>
            <w:tcW w:w="531" w:type="pct"/>
          </w:tcPr>
          <w:p w14:paraId="38675A62" w14:textId="77777777" w:rsidR="00B35905" w:rsidRPr="00042ADE" w:rsidRDefault="00B35905" w:rsidP="00C709CC">
            <w:pPr>
              <w:pStyle w:val="Tabletitle"/>
              <w:spacing w:line="240" w:lineRule="auto"/>
              <w:jc w:val="center"/>
              <w:rPr>
                <w:sz w:val="22"/>
                <w:szCs w:val="22"/>
              </w:rPr>
            </w:pPr>
            <w:r w:rsidRPr="00042ADE">
              <w:rPr>
                <w:sz w:val="22"/>
                <w:szCs w:val="22"/>
              </w:rPr>
              <w:t>0.088</w:t>
            </w:r>
          </w:p>
        </w:tc>
      </w:tr>
      <w:tr w:rsidR="00B35905" w:rsidRPr="00042ADE" w14:paraId="56A07E24" w14:textId="77777777" w:rsidTr="00C709CC">
        <w:trPr>
          <w:trHeight w:val="239"/>
        </w:trPr>
        <w:tc>
          <w:tcPr>
            <w:tcW w:w="1375" w:type="pct"/>
            <w:vMerge w:val="restart"/>
          </w:tcPr>
          <w:p w14:paraId="47BE67B4" w14:textId="77777777" w:rsidR="00B35905" w:rsidRPr="00042ADE" w:rsidRDefault="00B35905" w:rsidP="00C709CC">
            <w:pPr>
              <w:pStyle w:val="Tabletitle"/>
              <w:spacing w:line="240" w:lineRule="auto"/>
              <w:rPr>
                <w:b/>
                <w:sz w:val="22"/>
                <w:szCs w:val="22"/>
              </w:rPr>
            </w:pPr>
            <w:r w:rsidRPr="00042ADE">
              <w:rPr>
                <w:b/>
                <w:sz w:val="22"/>
                <w:szCs w:val="22"/>
              </w:rPr>
              <w:t>Difference tympanic temperature ºC</w:t>
            </w:r>
          </w:p>
        </w:tc>
        <w:tc>
          <w:tcPr>
            <w:tcW w:w="213" w:type="pct"/>
          </w:tcPr>
          <w:p w14:paraId="6E9D4AD1" w14:textId="77777777" w:rsidR="00B35905" w:rsidRPr="00042ADE" w:rsidRDefault="00B35905" w:rsidP="00C709CC">
            <w:pPr>
              <w:pStyle w:val="Tabletitle"/>
              <w:spacing w:line="240" w:lineRule="auto"/>
              <w:jc w:val="both"/>
              <w:rPr>
                <w:b/>
                <w:sz w:val="22"/>
                <w:szCs w:val="22"/>
              </w:rPr>
            </w:pPr>
            <w:r w:rsidRPr="00042ADE">
              <w:rPr>
                <w:b/>
                <w:sz w:val="22"/>
                <w:szCs w:val="22"/>
              </w:rPr>
              <w:t>D</w:t>
            </w:r>
          </w:p>
        </w:tc>
        <w:tc>
          <w:tcPr>
            <w:tcW w:w="427" w:type="pct"/>
          </w:tcPr>
          <w:p w14:paraId="234C1961" w14:textId="77777777" w:rsidR="00B35905" w:rsidRPr="00042ADE" w:rsidRDefault="00B35905" w:rsidP="00C709CC">
            <w:pPr>
              <w:pStyle w:val="Tabletitle"/>
              <w:spacing w:line="240" w:lineRule="auto"/>
              <w:jc w:val="center"/>
              <w:rPr>
                <w:sz w:val="22"/>
                <w:szCs w:val="22"/>
              </w:rPr>
            </w:pPr>
            <w:r w:rsidRPr="00042ADE">
              <w:rPr>
                <w:sz w:val="22"/>
                <w:szCs w:val="22"/>
              </w:rPr>
              <w:t>-0.969</w:t>
            </w:r>
          </w:p>
        </w:tc>
        <w:tc>
          <w:tcPr>
            <w:tcW w:w="693" w:type="pct"/>
          </w:tcPr>
          <w:p w14:paraId="397675FB" w14:textId="77777777" w:rsidR="00B35905" w:rsidRPr="00042ADE" w:rsidRDefault="00B35905" w:rsidP="00C709CC">
            <w:pPr>
              <w:pStyle w:val="Tabletitle"/>
              <w:spacing w:line="240" w:lineRule="auto"/>
              <w:jc w:val="center"/>
              <w:rPr>
                <w:sz w:val="22"/>
                <w:szCs w:val="22"/>
              </w:rPr>
            </w:pPr>
            <w:r w:rsidRPr="00042ADE">
              <w:rPr>
                <w:sz w:val="22"/>
                <w:szCs w:val="22"/>
              </w:rPr>
              <w:t>(-8.781, 6.842)</w:t>
            </w:r>
          </w:p>
        </w:tc>
        <w:tc>
          <w:tcPr>
            <w:tcW w:w="533" w:type="pct"/>
          </w:tcPr>
          <w:p w14:paraId="1098EC90" w14:textId="77777777" w:rsidR="00B35905" w:rsidRPr="00042ADE" w:rsidRDefault="00B35905" w:rsidP="00C709CC">
            <w:pPr>
              <w:pStyle w:val="Tabletitle"/>
              <w:spacing w:line="240" w:lineRule="auto"/>
              <w:jc w:val="center"/>
              <w:rPr>
                <w:sz w:val="22"/>
                <w:szCs w:val="22"/>
              </w:rPr>
            </w:pPr>
            <w:r w:rsidRPr="00042ADE">
              <w:rPr>
                <w:sz w:val="22"/>
                <w:szCs w:val="22"/>
              </w:rPr>
              <w:t>0.803</w:t>
            </w:r>
          </w:p>
        </w:tc>
        <w:tc>
          <w:tcPr>
            <w:tcW w:w="535" w:type="pct"/>
          </w:tcPr>
          <w:p w14:paraId="55B803A3" w14:textId="77777777" w:rsidR="00B35905" w:rsidRPr="00042ADE" w:rsidRDefault="00B35905" w:rsidP="00C709CC">
            <w:pPr>
              <w:pStyle w:val="Tabletitle"/>
              <w:spacing w:line="240" w:lineRule="auto"/>
              <w:jc w:val="center"/>
              <w:rPr>
                <w:sz w:val="22"/>
                <w:szCs w:val="22"/>
              </w:rPr>
            </w:pPr>
            <w:r w:rsidRPr="00042ADE">
              <w:rPr>
                <w:sz w:val="22"/>
                <w:szCs w:val="22"/>
              </w:rPr>
              <w:t>-0.215</w:t>
            </w:r>
          </w:p>
        </w:tc>
        <w:tc>
          <w:tcPr>
            <w:tcW w:w="693" w:type="pct"/>
          </w:tcPr>
          <w:p w14:paraId="0F706E51" w14:textId="77777777" w:rsidR="00B35905" w:rsidRPr="00042ADE" w:rsidRDefault="00B35905" w:rsidP="00C709CC">
            <w:pPr>
              <w:pStyle w:val="Tabletitle"/>
              <w:spacing w:line="240" w:lineRule="auto"/>
              <w:jc w:val="center"/>
              <w:rPr>
                <w:sz w:val="22"/>
                <w:szCs w:val="22"/>
              </w:rPr>
            </w:pPr>
            <w:r w:rsidRPr="00042ADE">
              <w:rPr>
                <w:sz w:val="22"/>
                <w:szCs w:val="22"/>
              </w:rPr>
              <w:t>(-4.064, 3.634)</w:t>
            </w:r>
          </w:p>
        </w:tc>
        <w:tc>
          <w:tcPr>
            <w:tcW w:w="531" w:type="pct"/>
          </w:tcPr>
          <w:p w14:paraId="6744D4B1" w14:textId="77777777" w:rsidR="00B35905" w:rsidRPr="00042ADE" w:rsidRDefault="00B35905" w:rsidP="00C709CC">
            <w:pPr>
              <w:pStyle w:val="Tabletitle"/>
              <w:spacing w:line="240" w:lineRule="auto"/>
              <w:jc w:val="center"/>
              <w:rPr>
                <w:sz w:val="22"/>
                <w:szCs w:val="22"/>
              </w:rPr>
            </w:pPr>
            <w:r w:rsidRPr="00042ADE">
              <w:rPr>
                <w:sz w:val="22"/>
                <w:szCs w:val="22"/>
              </w:rPr>
              <w:t>0.911</w:t>
            </w:r>
          </w:p>
        </w:tc>
      </w:tr>
      <w:tr w:rsidR="00B35905" w:rsidRPr="00042ADE" w14:paraId="3D61A318" w14:textId="77777777" w:rsidTr="00C709CC">
        <w:trPr>
          <w:trHeight w:val="237"/>
        </w:trPr>
        <w:tc>
          <w:tcPr>
            <w:tcW w:w="1375" w:type="pct"/>
            <w:vMerge/>
          </w:tcPr>
          <w:p w14:paraId="6613FDDF" w14:textId="77777777" w:rsidR="00B35905" w:rsidRPr="00042ADE" w:rsidRDefault="00B35905" w:rsidP="00C709CC">
            <w:pPr>
              <w:pStyle w:val="Tabletitle"/>
              <w:spacing w:line="240" w:lineRule="auto"/>
              <w:rPr>
                <w:b/>
                <w:sz w:val="22"/>
                <w:szCs w:val="22"/>
              </w:rPr>
            </w:pPr>
          </w:p>
        </w:tc>
        <w:tc>
          <w:tcPr>
            <w:tcW w:w="213" w:type="pct"/>
          </w:tcPr>
          <w:p w14:paraId="27FF4934" w14:textId="77777777" w:rsidR="00B35905" w:rsidRPr="00042ADE" w:rsidRDefault="00B35905" w:rsidP="00C709CC">
            <w:pPr>
              <w:pStyle w:val="Tabletitle"/>
              <w:spacing w:line="240" w:lineRule="auto"/>
              <w:jc w:val="both"/>
              <w:rPr>
                <w:b/>
                <w:sz w:val="22"/>
                <w:szCs w:val="22"/>
              </w:rPr>
            </w:pPr>
            <w:r w:rsidRPr="00042ADE">
              <w:rPr>
                <w:b/>
                <w:sz w:val="22"/>
                <w:szCs w:val="22"/>
              </w:rPr>
              <w:t>ND</w:t>
            </w:r>
          </w:p>
        </w:tc>
        <w:tc>
          <w:tcPr>
            <w:tcW w:w="427" w:type="pct"/>
          </w:tcPr>
          <w:p w14:paraId="07A806AB" w14:textId="77777777" w:rsidR="00B35905" w:rsidRPr="00042ADE" w:rsidRDefault="00B35905" w:rsidP="00C709CC">
            <w:pPr>
              <w:pStyle w:val="Tabletitle"/>
              <w:spacing w:line="240" w:lineRule="auto"/>
              <w:jc w:val="center"/>
              <w:rPr>
                <w:sz w:val="22"/>
                <w:szCs w:val="22"/>
              </w:rPr>
            </w:pPr>
            <w:r w:rsidRPr="00042ADE">
              <w:rPr>
                <w:sz w:val="22"/>
                <w:szCs w:val="22"/>
              </w:rPr>
              <w:t>0.369</w:t>
            </w:r>
          </w:p>
        </w:tc>
        <w:tc>
          <w:tcPr>
            <w:tcW w:w="693" w:type="pct"/>
          </w:tcPr>
          <w:p w14:paraId="54147921" w14:textId="77777777" w:rsidR="00B35905" w:rsidRPr="00042ADE" w:rsidRDefault="00B35905" w:rsidP="00C709CC">
            <w:pPr>
              <w:pStyle w:val="Tabletitle"/>
              <w:spacing w:line="240" w:lineRule="auto"/>
              <w:jc w:val="center"/>
              <w:rPr>
                <w:sz w:val="22"/>
                <w:szCs w:val="22"/>
              </w:rPr>
            </w:pPr>
            <w:r w:rsidRPr="00042ADE">
              <w:rPr>
                <w:sz w:val="22"/>
                <w:szCs w:val="22"/>
              </w:rPr>
              <w:t>(-6.726, 7.464)</w:t>
            </w:r>
          </w:p>
        </w:tc>
        <w:tc>
          <w:tcPr>
            <w:tcW w:w="533" w:type="pct"/>
          </w:tcPr>
          <w:p w14:paraId="3077CADE" w14:textId="77777777" w:rsidR="00B35905" w:rsidRPr="00042ADE" w:rsidRDefault="00B35905" w:rsidP="00C709CC">
            <w:pPr>
              <w:pStyle w:val="Tabletitle"/>
              <w:spacing w:line="240" w:lineRule="auto"/>
              <w:jc w:val="center"/>
              <w:rPr>
                <w:sz w:val="22"/>
                <w:szCs w:val="22"/>
              </w:rPr>
            </w:pPr>
            <w:r w:rsidRPr="00042ADE">
              <w:rPr>
                <w:sz w:val="22"/>
                <w:szCs w:val="22"/>
              </w:rPr>
              <w:t>0.917</w:t>
            </w:r>
          </w:p>
        </w:tc>
        <w:tc>
          <w:tcPr>
            <w:tcW w:w="535" w:type="pct"/>
          </w:tcPr>
          <w:p w14:paraId="7EAE855B" w14:textId="77777777" w:rsidR="00B35905" w:rsidRPr="00042ADE" w:rsidRDefault="00B35905" w:rsidP="00C709CC">
            <w:pPr>
              <w:pStyle w:val="Tabletitle"/>
              <w:spacing w:line="240" w:lineRule="auto"/>
              <w:jc w:val="center"/>
              <w:rPr>
                <w:sz w:val="22"/>
                <w:szCs w:val="22"/>
              </w:rPr>
            </w:pPr>
            <w:r w:rsidRPr="00042ADE">
              <w:rPr>
                <w:sz w:val="22"/>
                <w:szCs w:val="22"/>
              </w:rPr>
              <w:t>1.620</w:t>
            </w:r>
          </w:p>
        </w:tc>
        <w:tc>
          <w:tcPr>
            <w:tcW w:w="693" w:type="pct"/>
          </w:tcPr>
          <w:p w14:paraId="083EE4AE" w14:textId="77777777" w:rsidR="00B35905" w:rsidRPr="00042ADE" w:rsidRDefault="00B35905" w:rsidP="00C709CC">
            <w:pPr>
              <w:pStyle w:val="Tabletitle"/>
              <w:spacing w:line="240" w:lineRule="auto"/>
              <w:jc w:val="center"/>
              <w:rPr>
                <w:sz w:val="22"/>
                <w:szCs w:val="22"/>
              </w:rPr>
            </w:pPr>
            <w:r w:rsidRPr="00042ADE">
              <w:rPr>
                <w:sz w:val="22"/>
                <w:szCs w:val="22"/>
              </w:rPr>
              <w:t>(-2.669, 5.910)</w:t>
            </w:r>
          </w:p>
        </w:tc>
        <w:tc>
          <w:tcPr>
            <w:tcW w:w="531" w:type="pct"/>
          </w:tcPr>
          <w:p w14:paraId="6FD79AFC" w14:textId="77777777" w:rsidR="00B35905" w:rsidRPr="00042ADE" w:rsidRDefault="00B35905" w:rsidP="00C709CC">
            <w:pPr>
              <w:pStyle w:val="Tabletitle"/>
              <w:spacing w:line="240" w:lineRule="auto"/>
              <w:jc w:val="center"/>
              <w:rPr>
                <w:sz w:val="22"/>
                <w:szCs w:val="22"/>
              </w:rPr>
            </w:pPr>
            <w:r w:rsidRPr="00042ADE">
              <w:rPr>
                <w:sz w:val="22"/>
                <w:szCs w:val="22"/>
              </w:rPr>
              <w:t>0.451</w:t>
            </w:r>
          </w:p>
        </w:tc>
      </w:tr>
      <w:tr w:rsidR="00B35905" w:rsidRPr="00042ADE" w14:paraId="59EDFCA5" w14:textId="77777777" w:rsidTr="00C709CC">
        <w:trPr>
          <w:trHeight w:val="322"/>
        </w:trPr>
        <w:tc>
          <w:tcPr>
            <w:tcW w:w="1375" w:type="pct"/>
            <w:vMerge w:val="restart"/>
          </w:tcPr>
          <w:p w14:paraId="65BA98C6" w14:textId="77777777" w:rsidR="00B35905" w:rsidRPr="00042ADE" w:rsidRDefault="00B35905" w:rsidP="00C709CC">
            <w:pPr>
              <w:pStyle w:val="Tabletitle"/>
              <w:spacing w:line="240" w:lineRule="auto"/>
              <w:rPr>
                <w:b/>
                <w:sz w:val="22"/>
                <w:szCs w:val="22"/>
              </w:rPr>
            </w:pPr>
            <w:r w:rsidRPr="00042ADE">
              <w:rPr>
                <w:b/>
                <w:sz w:val="22"/>
                <w:szCs w:val="22"/>
              </w:rPr>
              <w:t>Difference axillary temperature ºC</w:t>
            </w:r>
          </w:p>
        </w:tc>
        <w:tc>
          <w:tcPr>
            <w:tcW w:w="213" w:type="pct"/>
          </w:tcPr>
          <w:p w14:paraId="4283C197" w14:textId="77777777" w:rsidR="00B35905" w:rsidRPr="00042ADE" w:rsidRDefault="00B35905" w:rsidP="00C709CC">
            <w:pPr>
              <w:pStyle w:val="Tabletitle"/>
              <w:spacing w:line="240" w:lineRule="auto"/>
              <w:jc w:val="both"/>
              <w:rPr>
                <w:b/>
                <w:sz w:val="22"/>
                <w:szCs w:val="22"/>
              </w:rPr>
            </w:pPr>
            <w:r w:rsidRPr="00042ADE">
              <w:rPr>
                <w:b/>
                <w:sz w:val="22"/>
                <w:szCs w:val="22"/>
              </w:rPr>
              <w:t>D</w:t>
            </w:r>
          </w:p>
        </w:tc>
        <w:tc>
          <w:tcPr>
            <w:tcW w:w="427" w:type="pct"/>
          </w:tcPr>
          <w:p w14:paraId="53A699A4" w14:textId="77777777" w:rsidR="00B35905" w:rsidRPr="00042ADE" w:rsidRDefault="00B35905" w:rsidP="00C709CC">
            <w:pPr>
              <w:pStyle w:val="Tabletitle"/>
              <w:spacing w:line="240" w:lineRule="auto"/>
              <w:jc w:val="center"/>
              <w:rPr>
                <w:sz w:val="22"/>
                <w:szCs w:val="22"/>
              </w:rPr>
            </w:pPr>
            <w:r w:rsidRPr="00042ADE">
              <w:rPr>
                <w:sz w:val="22"/>
                <w:szCs w:val="22"/>
              </w:rPr>
              <w:t>3.320</w:t>
            </w:r>
          </w:p>
        </w:tc>
        <w:tc>
          <w:tcPr>
            <w:tcW w:w="693" w:type="pct"/>
          </w:tcPr>
          <w:p w14:paraId="396115F9" w14:textId="77777777" w:rsidR="00B35905" w:rsidRPr="00042ADE" w:rsidRDefault="00B35905" w:rsidP="00C709CC">
            <w:pPr>
              <w:pStyle w:val="Tabletitle"/>
              <w:spacing w:line="240" w:lineRule="auto"/>
              <w:jc w:val="center"/>
              <w:rPr>
                <w:sz w:val="22"/>
                <w:szCs w:val="22"/>
              </w:rPr>
            </w:pPr>
            <w:r w:rsidRPr="00042ADE">
              <w:rPr>
                <w:sz w:val="22"/>
                <w:szCs w:val="22"/>
              </w:rPr>
              <w:t>(-5.480, 12.121)</w:t>
            </w:r>
          </w:p>
        </w:tc>
        <w:tc>
          <w:tcPr>
            <w:tcW w:w="533" w:type="pct"/>
          </w:tcPr>
          <w:p w14:paraId="5C94D2CA" w14:textId="77777777" w:rsidR="00B35905" w:rsidRPr="00042ADE" w:rsidRDefault="00B35905" w:rsidP="00C709CC">
            <w:pPr>
              <w:pStyle w:val="Tabletitle"/>
              <w:spacing w:line="240" w:lineRule="auto"/>
              <w:jc w:val="center"/>
              <w:rPr>
                <w:sz w:val="22"/>
                <w:szCs w:val="22"/>
              </w:rPr>
            </w:pPr>
            <w:r w:rsidRPr="00042ADE">
              <w:rPr>
                <w:sz w:val="22"/>
                <w:szCs w:val="22"/>
              </w:rPr>
              <w:t>0.449</w:t>
            </w:r>
          </w:p>
        </w:tc>
        <w:tc>
          <w:tcPr>
            <w:tcW w:w="535" w:type="pct"/>
          </w:tcPr>
          <w:p w14:paraId="54676759" w14:textId="77777777" w:rsidR="00B35905" w:rsidRPr="00042ADE" w:rsidRDefault="00B35905" w:rsidP="00C709CC">
            <w:pPr>
              <w:pStyle w:val="Tabletitle"/>
              <w:spacing w:line="240" w:lineRule="auto"/>
              <w:jc w:val="center"/>
              <w:rPr>
                <w:sz w:val="22"/>
                <w:szCs w:val="22"/>
              </w:rPr>
            </w:pPr>
            <w:r w:rsidRPr="00042ADE">
              <w:rPr>
                <w:sz w:val="22"/>
                <w:szCs w:val="22"/>
              </w:rPr>
              <w:t>-0.608</w:t>
            </w:r>
          </w:p>
        </w:tc>
        <w:tc>
          <w:tcPr>
            <w:tcW w:w="693" w:type="pct"/>
          </w:tcPr>
          <w:p w14:paraId="1DF4A49D" w14:textId="77777777" w:rsidR="00B35905" w:rsidRPr="00042ADE" w:rsidRDefault="00B35905" w:rsidP="00C709CC">
            <w:pPr>
              <w:pStyle w:val="Tabletitle"/>
              <w:spacing w:line="240" w:lineRule="auto"/>
              <w:jc w:val="center"/>
              <w:rPr>
                <w:sz w:val="22"/>
                <w:szCs w:val="22"/>
              </w:rPr>
            </w:pPr>
            <w:r w:rsidRPr="00042ADE">
              <w:rPr>
                <w:sz w:val="22"/>
                <w:szCs w:val="22"/>
              </w:rPr>
              <w:t>(-4.735, 3.519)</w:t>
            </w:r>
          </w:p>
        </w:tc>
        <w:tc>
          <w:tcPr>
            <w:tcW w:w="531" w:type="pct"/>
          </w:tcPr>
          <w:p w14:paraId="4D5BE85C" w14:textId="77777777" w:rsidR="00B35905" w:rsidRPr="00042ADE" w:rsidRDefault="00B35905" w:rsidP="00C709CC">
            <w:pPr>
              <w:pStyle w:val="Tabletitle"/>
              <w:spacing w:line="240" w:lineRule="auto"/>
              <w:jc w:val="center"/>
              <w:rPr>
                <w:sz w:val="22"/>
                <w:szCs w:val="22"/>
              </w:rPr>
            </w:pPr>
            <w:r w:rsidRPr="00042ADE">
              <w:rPr>
                <w:sz w:val="22"/>
                <w:szCs w:val="22"/>
              </w:rPr>
              <w:t>0.768</w:t>
            </w:r>
          </w:p>
        </w:tc>
      </w:tr>
      <w:tr w:rsidR="00B35905" w:rsidRPr="00042ADE" w14:paraId="44B196C2" w14:textId="77777777" w:rsidTr="00C709CC">
        <w:trPr>
          <w:trHeight w:val="154"/>
        </w:trPr>
        <w:tc>
          <w:tcPr>
            <w:tcW w:w="1375" w:type="pct"/>
            <w:vMerge/>
            <w:tcBorders>
              <w:bottom w:val="single" w:sz="4" w:space="0" w:color="auto"/>
            </w:tcBorders>
          </w:tcPr>
          <w:p w14:paraId="1A021D03" w14:textId="77777777" w:rsidR="00B35905" w:rsidRPr="00042ADE" w:rsidRDefault="00B35905" w:rsidP="00C709CC">
            <w:pPr>
              <w:pStyle w:val="Tabletitle"/>
              <w:spacing w:line="240" w:lineRule="auto"/>
              <w:jc w:val="both"/>
              <w:rPr>
                <w:b/>
                <w:sz w:val="22"/>
                <w:szCs w:val="22"/>
              </w:rPr>
            </w:pPr>
          </w:p>
        </w:tc>
        <w:tc>
          <w:tcPr>
            <w:tcW w:w="213" w:type="pct"/>
            <w:tcBorders>
              <w:bottom w:val="single" w:sz="4" w:space="0" w:color="auto"/>
            </w:tcBorders>
          </w:tcPr>
          <w:p w14:paraId="5E1FB21D" w14:textId="77777777" w:rsidR="00B35905" w:rsidRPr="00042ADE" w:rsidRDefault="00B35905" w:rsidP="00C709CC">
            <w:pPr>
              <w:pStyle w:val="Tabletitle"/>
              <w:spacing w:line="240" w:lineRule="auto"/>
              <w:jc w:val="both"/>
              <w:rPr>
                <w:b/>
                <w:sz w:val="22"/>
                <w:szCs w:val="22"/>
              </w:rPr>
            </w:pPr>
            <w:r w:rsidRPr="00042ADE">
              <w:rPr>
                <w:b/>
                <w:sz w:val="22"/>
                <w:szCs w:val="22"/>
              </w:rPr>
              <w:t>ND</w:t>
            </w:r>
          </w:p>
        </w:tc>
        <w:tc>
          <w:tcPr>
            <w:tcW w:w="427" w:type="pct"/>
            <w:tcBorders>
              <w:bottom w:val="single" w:sz="4" w:space="0" w:color="auto"/>
            </w:tcBorders>
          </w:tcPr>
          <w:p w14:paraId="0100DAF4" w14:textId="77777777" w:rsidR="00B35905" w:rsidRPr="00042ADE" w:rsidRDefault="00B35905" w:rsidP="00C709CC">
            <w:pPr>
              <w:pStyle w:val="Tabletitle"/>
              <w:spacing w:line="240" w:lineRule="auto"/>
              <w:jc w:val="center"/>
              <w:rPr>
                <w:sz w:val="22"/>
                <w:szCs w:val="22"/>
              </w:rPr>
            </w:pPr>
            <w:r w:rsidRPr="00042ADE">
              <w:rPr>
                <w:sz w:val="22"/>
                <w:szCs w:val="22"/>
              </w:rPr>
              <w:t>4.381</w:t>
            </w:r>
          </w:p>
        </w:tc>
        <w:tc>
          <w:tcPr>
            <w:tcW w:w="693" w:type="pct"/>
            <w:tcBorders>
              <w:bottom w:val="single" w:sz="4" w:space="0" w:color="auto"/>
            </w:tcBorders>
          </w:tcPr>
          <w:p w14:paraId="18DC8302" w14:textId="77777777" w:rsidR="00B35905" w:rsidRPr="00042ADE" w:rsidRDefault="00B35905" w:rsidP="00C709CC">
            <w:pPr>
              <w:pStyle w:val="Tabletitle"/>
              <w:spacing w:line="240" w:lineRule="auto"/>
              <w:jc w:val="center"/>
              <w:rPr>
                <w:sz w:val="22"/>
                <w:szCs w:val="22"/>
              </w:rPr>
            </w:pPr>
            <w:r w:rsidRPr="00042ADE">
              <w:rPr>
                <w:sz w:val="22"/>
                <w:szCs w:val="22"/>
              </w:rPr>
              <w:t>(-3.164, 11.926)</w:t>
            </w:r>
          </w:p>
        </w:tc>
        <w:tc>
          <w:tcPr>
            <w:tcW w:w="533" w:type="pct"/>
            <w:tcBorders>
              <w:bottom w:val="single" w:sz="4" w:space="0" w:color="auto"/>
            </w:tcBorders>
          </w:tcPr>
          <w:p w14:paraId="5E9A9853" w14:textId="77777777" w:rsidR="00B35905" w:rsidRPr="00042ADE" w:rsidRDefault="00B35905" w:rsidP="00C709CC">
            <w:pPr>
              <w:pStyle w:val="Tabletitle"/>
              <w:spacing w:line="240" w:lineRule="auto"/>
              <w:jc w:val="center"/>
              <w:rPr>
                <w:sz w:val="22"/>
                <w:szCs w:val="22"/>
              </w:rPr>
            </w:pPr>
            <w:r w:rsidRPr="00042ADE">
              <w:rPr>
                <w:sz w:val="22"/>
                <w:szCs w:val="22"/>
              </w:rPr>
              <w:t>0.247</w:t>
            </w:r>
          </w:p>
        </w:tc>
        <w:tc>
          <w:tcPr>
            <w:tcW w:w="535" w:type="pct"/>
            <w:tcBorders>
              <w:bottom w:val="single" w:sz="4" w:space="0" w:color="auto"/>
            </w:tcBorders>
          </w:tcPr>
          <w:p w14:paraId="6BD2A11F" w14:textId="77777777" w:rsidR="00B35905" w:rsidRPr="00042ADE" w:rsidRDefault="00B35905" w:rsidP="00C709CC">
            <w:pPr>
              <w:pStyle w:val="Tabletitle"/>
              <w:spacing w:line="240" w:lineRule="auto"/>
              <w:jc w:val="center"/>
              <w:rPr>
                <w:sz w:val="22"/>
                <w:szCs w:val="22"/>
              </w:rPr>
            </w:pPr>
            <w:r w:rsidRPr="00042ADE">
              <w:rPr>
                <w:sz w:val="22"/>
                <w:szCs w:val="22"/>
              </w:rPr>
              <w:t>1.609</w:t>
            </w:r>
          </w:p>
        </w:tc>
        <w:tc>
          <w:tcPr>
            <w:tcW w:w="693" w:type="pct"/>
            <w:tcBorders>
              <w:bottom w:val="single" w:sz="4" w:space="0" w:color="auto"/>
            </w:tcBorders>
          </w:tcPr>
          <w:p w14:paraId="0A7C1940" w14:textId="77777777" w:rsidR="00B35905" w:rsidRPr="00042ADE" w:rsidRDefault="00B35905" w:rsidP="00C709CC">
            <w:pPr>
              <w:pStyle w:val="Tabletitle"/>
              <w:spacing w:line="240" w:lineRule="auto"/>
              <w:jc w:val="center"/>
              <w:rPr>
                <w:sz w:val="22"/>
                <w:szCs w:val="22"/>
              </w:rPr>
            </w:pPr>
            <w:r w:rsidRPr="00042ADE">
              <w:rPr>
                <w:sz w:val="22"/>
                <w:szCs w:val="22"/>
              </w:rPr>
              <w:t>(-2.677, 5.896)</w:t>
            </w:r>
          </w:p>
        </w:tc>
        <w:tc>
          <w:tcPr>
            <w:tcW w:w="531" w:type="pct"/>
            <w:tcBorders>
              <w:bottom w:val="single" w:sz="4" w:space="0" w:color="auto"/>
            </w:tcBorders>
          </w:tcPr>
          <w:p w14:paraId="55E170CF" w14:textId="77777777" w:rsidR="00B35905" w:rsidRPr="00042ADE" w:rsidRDefault="00B35905" w:rsidP="00C709CC">
            <w:pPr>
              <w:pStyle w:val="Tabletitle"/>
              <w:spacing w:line="240" w:lineRule="auto"/>
              <w:jc w:val="center"/>
              <w:rPr>
                <w:sz w:val="22"/>
                <w:szCs w:val="22"/>
              </w:rPr>
            </w:pPr>
            <w:r w:rsidRPr="00042ADE">
              <w:rPr>
                <w:sz w:val="22"/>
                <w:szCs w:val="22"/>
              </w:rPr>
              <w:t>0.454</w:t>
            </w:r>
          </w:p>
        </w:tc>
      </w:tr>
    </w:tbl>
    <w:p w14:paraId="6BF156FB" w14:textId="77777777" w:rsidR="00B35905" w:rsidRPr="00042ADE" w:rsidRDefault="00B35905" w:rsidP="00B35905"/>
    <w:p w14:paraId="24A2D877" w14:textId="77777777" w:rsidR="00B35905" w:rsidRPr="00042ADE" w:rsidRDefault="00B35905" w:rsidP="00B35905">
      <w:pPr>
        <w:spacing w:line="360" w:lineRule="auto"/>
        <w:jc w:val="both"/>
        <w:rPr>
          <w:rFonts w:ascii="Times New Roman" w:hAnsi="Times New Roman"/>
          <w:lang w:val="en-US"/>
        </w:rPr>
      </w:pPr>
      <w:r w:rsidRPr="00042ADE">
        <w:rPr>
          <w:rFonts w:ascii="Times New Roman" w:hAnsi="Times New Roman"/>
          <w:vertAlign w:val="superscript"/>
          <w:lang w:val="en-US"/>
        </w:rPr>
        <w:t>*</w:t>
      </w:r>
      <w:r w:rsidRPr="00042ADE">
        <w:rPr>
          <w:rFonts w:ascii="Times New Roman" w:hAnsi="Times New Roman"/>
          <w:lang w:val="en-US"/>
        </w:rPr>
        <w:t>Significance level P&lt;.05</w:t>
      </w:r>
    </w:p>
    <w:p w14:paraId="21261B38" w14:textId="60C81470" w:rsidR="00247A0C" w:rsidRPr="00DA219D" w:rsidRDefault="00B35905" w:rsidP="00DA219D">
      <w:pPr>
        <w:spacing w:line="480" w:lineRule="auto"/>
        <w:rPr>
          <w:rFonts w:ascii="Times New Roman" w:hAnsi="Times New Roman"/>
          <w:lang w:val="en-US"/>
        </w:rPr>
        <w:sectPr w:rsidR="00247A0C" w:rsidRPr="00DA219D" w:rsidSect="00B35905">
          <w:pgSz w:w="16838" w:h="11906" w:orient="landscape"/>
          <w:pgMar w:top="1701" w:right="1418" w:bottom="1701" w:left="1418" w:header="709" w:footer="709" w:gutter="0"/>
          <w:cols w:space="708"/>
          <w:docGrid w:linePitch="360"/>
        </w:sectPr>
      </w:pPr>
      <w:r w:rsidRPr="00042ADE">
        <w:rPr>
          <w:rFonts w:ascii="Times New Roman" w:hAnsi="Times New Roman"/>
          <w:lang w:val="en-US"/>
        </w:rPr>
        <w:t xml:space="preserve">Note. FMS: Fibromyalgia Syndrome; Beta (β): regression coefficient, adjusted for age, menopause status and body mass index; 95% CI: 95% confidence interval; NOx:  nitric oxide metabolites; ºC: Celsius degree; </w:t>
      </w:r>
      <w:r w:rsidR="00247A0C" w:rsidRPr="00042ADE">
        <w:rPr>
          <w:rFonts w:ascii="Times New Roman" w:hAnsi="Times New Roman"/>
          <w:lang w:val="en-US"/>
        </w:rPr>
        <w:t>D: dominant;</w:t>
      </w:r>
      <w:r w:rsidR="000B14AE" w:rsidRPr="00042ADE">
        <w:rPr>
          <w:rFonts w:ascii="Times New Roman" w:hAnsi="Times New Roman"/>
          <w:lang w:val="en-US"/>
        </w:rPr>
        <w:t xml:space="preserve"> ND:  non dominant.</w:t>
      </w:r>
    </w:p>
    <w:p w14:paraId="13914DB7" w14:textId="6D769346" w:rsidR="00472D57" w:rsidRPr="00DA219D" w:rsidRDefault="00472D57" w:rsidP="009743D7">
      <w:pPr>
        <w:tabs>
          <w:tab w:val="left" w:pos="1740"/>
        </w:tabs>
        <w:spacing w:line="480" w:lineRule="auto"/>
        <w:jc w:val="both"/>
        <w:rPr>
          <w:rFonts w:ascii="Times New Roman" w:hAnsi="Times New Roman"/>
          <w:lang w:val="en-US"/>
        </w:rPr>
      </w:pPr>
    </w:p>
    <w:sectPr w:rsidR="00472D57" w:rsidRPr="00DA219D" w:rsidSect="004F319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AA7E" w14:textId="77777777" w:rsidR="00DA64CA" w:rsidRDefault="00DA64CA" w:rsidP="006F747C">
      <w:pPr>
        <w:spacing w:after="0" w:line="240" w:lineRule="auto"/>
      </w:pPr>
      <w:r>
        <w:separator/>
      </w:r>
    </w:p>
  </w:endnote>
  <w:endnote w:type="continuationSeparator" w:id="0">
    <w:p w14:paraId="73D1B135" w14:textId="77777777" w:rsidR="00DA64CA" w:rsidRDefault="00DA64CA" w:rsidP="006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57510"/>
      <w:docPartObj>
        <w:docPartGallery w:val="Page Numbers (Bottom of Page)"/>
        <w:docPartUnique/>
      </w:docPartObj>
    </w:sdtPr>
    <w:sdtEndPr/>
    <w:sdtContent>
      <w:p w14:paraId="7A3CAFFE" w14:textId="67B39EC6" w:rsidR="00931FEB" w:rsidRDefault="00931FEB">
        <w:pPr>
          <w:pStyle w:val="Piedepgina"/>
          <w:jc w:val="right"/>
        </w:pPr>
        <w:r>
          <w:fldChar w:fldCharType="begin"/>
        </w:r>
        <w:r>
          <w:instrText>PAGE   \* MERGEFORMAT</w:instrText>
        </w:r>
        <w:r>
          <w:fldChar w:fldCharType="separate"/>
        </w:r>
        <w:r w:rsidR="00B35E13">
          <w:rPr>
            <w:noProof/>
          </w:rPr>
          <w:t>14</w:t>
        </w:r>
        <w:r>
          <w:fldChar w:fldCharType="end"/>
        </w:r>
      </w:p>
    </w:sdtContent>
  </w:sdt>
  <w:p w14:paraId="0AB9B5CB" w14:textId="77777777" w:rsidR="00931FEB" w:rsidRDefault="00931F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6DA8" w14:textId="77777777" w:rsidR="00DA64CA" w:rsidRDefault="00DA64CA" w:rsidP="006F747C">
      <w:pPr>
        <w:spacing w:after="0" w:line="240" w:lineRule="auto"/>
      </w:pPr>
      <w:r>
        <w:separator/>
      </w:r>
    </w:p>
  </w:footnote>
  <w:footnote w:type="continuationSeparator" w:id="0">
    <w:p w14:paraId="3AC58677" w14:textId="77777777" w:rsidR="00DA64CA" w:rsidRDefault="00DA64CA" w:rsidP="006F7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04"/>
    <w:rsid w:val="00002448"/>
    <w:rsid w:val="000075F2"/>
    <w:rsid w:val="00042ADE"/>
    <w:rsid w:val="000578F2"/>
    <w:rsid w:val="000669FE"/>
    <w:rsid w:val="00077482"/>
    <w:rsid w:val="00082ED5"/>
    <w:rsid w:val="00091E0C"/>
    <w:rsid w:val="0009415B"/>
    <w:rsid w:val="000959ED"/>
    <w:rsid w:val="000B06CB"/>
    <w:rsid w:val="000B14AE"/>
    <w:rsid w:val="000C01E5"/>
    <w:rsid w:val="00101B25"/>
    <w:rsid w:val="0010611D"/>
    <w:rsid w:val="001126C1"/>
    <w:rsid w:val="00122667"/>
    <w:rsid w:val="001323A7"/>
    <w:rsid w:val="00132FD2"/>
    <w:rsid w:val="001420FB"/>
    <w:rsid w:val="00143FF7"/>
    <w:rsid w:val="001450CD"/>
    <w:rsid w:val="0015135C"/>
    <w:rsid w:val="001517C8"/>
    <w:rsid w:val="00156E69"/>
    <w:rsid w:val="0016179A"/>
    <w:rsid w:val="00172E3C"/>
    <w:rsid w:val="001804A0"/>
    <w:rsid w:val="001A5031"/>
    <w:rsid w:val="001A5D9A"/>
    <w:rsid w:val="001A6FF4"/>
    <w:rsid w:val="001A7730"/>
    <w:rsid w:val="001D1AE5"/>
    <w:rsid w:val="001E3743"/>
    <w:rsid w:val="001E4059"/>
    <w:rsid w:val="001E4C60"/>
    <w:rsid w:val="001F5DAE"/>
    <w:rsid w:val="002032B5"/>
    <w:rsid w:val="00206E91"/>
    <w:rsid w:val="00212DE3"/>
    <w:rsid w:val="00222009"/>
    <w:rsid w:val="002222D7"/>
    <w:rsid w:val="002243A8"/>
    <w:rsid w:val="00227068"/>
    <w:rsid w:val="00247A0C"/>
    <w:rsid w:val="00252928"/>
    <w:rsid w:val="002571CF"/>
    <w:rsid w:val="002629AE"/>
    <w:rsid w:val="002633BF"/>
    <w:rsid w:val="00277A0B"/>
    <w:rsid w:val="002A1E3C"/>
    <w:rsid w:val="002A75E0"/>
    <w:rsid w:val="002B4879"/>
    <w:rsid w:val="002C073C"/>
    <w:rsid w:val="002C5973"/>
    <w:rsid w:val="002D2B14"/>
    <w:rsid w:val="002D757C"/>
    <w:rsid w:val="00302673"/>
    <w:rsid w:val="00304FE1"/>
    <w:rsid w:val="00312CCC"/>
    <w:rsid w:val="00321E0F"/>
    <w:rsid w:val="00322086"/>
    <w:rsid w:val="0032787F"/>
    <w:rsid w:val="00331F13"/>
    <w:rsid w:val="00361F47"/>
    <w:rsid w:val="003B120A"/>
    <w:rsid w:val="003B5D24"/>
    <w:rsid w:val="003C2880"/>
    <w:rsid w:val="003C32BA"/>
    <w:rsid w:val="003C3CD7"/>
    <w:rsid w:val="003D090A"/>
    <w:rsid w:val="003D439B"/>
    <w:rsid w:val="003D5E29"/>
    <w:rsid w:val="003F1F48"/>
    <w:rsid w:val="003F22D1"/>
    <w:rsid w:val="00410AC6"/>
    <w:rsid w:val="00410C77"/>
    <w:rsid w:val="00427479"/>
    <w:rsid w:val="0044210D"/>
    <w:rsid w:val="004632D7"/>
    <w:rsid w:val="0046611C"/>
    <w:rsid w:val="00472D57"/>
    <w:rsid w:val="00476BAF"/>
    <w:rsid w:val="0047708A"/>
    <w:rsid w:val="004A28F4"/>
    <w:rsid w:val="004A31AC"/>
    <w:rsid w:val="004A453B"/>
    <w:rsid w:val="004B6A21"/>
    <w:rsid w:val="004B7A17"/>
    <w:rsid w:val="004C09C2"/>
    <w:rsid w:val="004D228A"/>
    <w:rsid w:val="004E6A25"/>
    <w:rsid w:val="004F19E8"/>
    <w:rsid w:val="004F3196"/>
    <w:rsid w:val="005138C6"/>
    <w:rsid w:val="0053015F"/>
    <w:rsid w:val="00533FD3"/>
    <w:rsid w:val="005424CC"/>
    <w:rsid w:val="00543AA9"/>
    <w:rsid w:val="0054493E"/>
    <w:rsid w:val="00544E47"/>
    <w:rsid w:val="005545EA"/>
    <w:rsid w:val="005814DB"/>
    <w:rsid w:val="00590570"/>
    <w:rsid w:val="00592D54"/>
    <w:rsid w:val="00596CDB"/>
    <w:rsid w:val="005A0697"/>
    <w:rsid w:val="005A69EE"/>
    <w:rsid w:val="005A7E29"/>
    <w:rsid w:val="005B0606"/>
    <w:rsid w:val="005B6431"/>
    <w:rsid w:val="005D6C5F"/>
    <w:rsid w:val="005E27F7"/>
    <w:rsid w:val="005E2FA2"/>
    <w:rsid w:val="005E43A3"/>
    <w:rsid w:val="005F6704"/>
    <w:rsid w:val="0061114D"/>
    <w:rsid w:val="006255F0"/>
    <w:rsid w:val="00633A67"/>
    <w:rsid w:val="00636F24"/>
    <w:rsid w:val="00641C0C"/>
    <w:rsid w:val="00642EFC"/>
    <w:rsid w:val="006522B6"/>
    <w:rsid w:val="0066193C"/>
    <w:rsid w:val="00664D84"/>
    <w:rsid w:val="00672509"/>
    <w:rsid w:val="0067686A"/>
    <w:rsid w:val="00693626"/>
    <w:rsid w:val="006B395C"/>
    <w:rsid w:val="006E7604"/>
    <w:rsid w:val="006F747C"/>
    <w:rsid w:val="00700AF3"/>
    <w:rsid w:val="0071499B"/>
    <w:rsid w:val="00722F6A"/>
    <w:rsid w:val="00723639"/>
    <w:rsid w:val="00725C17"/>
    <w:rsid w:val="00733C9E"/>
    <w:rsid w:val="00745599"/>
    <w:rsid w:val="00750AF9"/>
    <w:rsid w:val="007556F7"/>
    <w:rsid w:val="0078431C"/>
    <w:rsid w:val="0078447B"/>
    <w:rsid w:val="00794582"/>
    <w:rsid w:val="007964F0"/>
    <w:rsid w:val="007B18FF"/>
    <w:rsid w:val="007C3EE1"/>
    <w:rsid w:val="007C6B95"/>
    <w:rsid w:val="007C7F1E"/>
    <w:rsid w:val="007D3059"/>
    <w:rsid w:val="007D4E67"/>
    <w:rsid w:val="007E5CA5"/>
    <w:rsid w:val="008036C5"/>
    <w:rsid w:val="00807AE6"/>
    <w:rsid w:val="00807D0A"/>
    <w:rsid w:val="008213B3"/>
    <w:rsid w:val="00827E99"/>
    <w:rsid w:val="00831949"/>
    <w:rsid w:val="008328DE"/>
    <w:rsid w:val="00836B84"/>
    <w:rsid w:val="00837F38"/>
    <w:rsid w:val="00843CA1"/>
    <w:rsid w:val="0085351D"/>
    <w:rsid w:val="00863081"/>
    <w:rsid w:val="00866966"/>
    <w:rsid w:val="0087170F"/>
    <w:rsid w:val="00880369"/>
    <w:rsid w:val="008B5C5F"/>
    <w:rsid w:val="008C2464"/>
    <w:rsid w:val="008D5A10"/>
    <w:rsid w:val="008F4162"/>
    <w:rsid w:val="008F4572"/>
    <w:rsid w:val="00916F72"/>
    <w:rsid w:val="00917C60"/>
    <w:rsid w:val="00921309"/>
    <w:rsid w:val="00931A2A"/>
    <w:rsid w:val="00931FEB"/>
    <w:rsid w:val="009333FF"/>
    <w:rsid w:val="00946CB9"/>
    <w:rsid w:val="0095185B"/>
    <w:rsid w:val="00962145"/>
    <w:rsid w:val="00965D94"/>
    <w:rsid w:val="009711AC"/>
    <w:rsid w:val="009743D7"/>
    <w:rsid w:val="00974F22"/>
    <w:rsid w:val="009757F7"/>
    <w:rsid w:val="00975E0A"/>
    <w:rsid w:val="00981063"/>
    <w:rsid w:val="00995729"/>
    <w:rsid w:val="009A3539"/>
    <w:rsid w:val="009A39EA"/>
    <w:rsid w:val="009A4A5B"/>
    <w:rsid w:val="009A6716"/>
    <w:rsid w:val="009B1941"/>
    <w:rsid w:val="009B658B"/>
    <w:rsid w:val="009C3D24"/>
    <w:rsid w:val="009D18CD"/>
    <w:rsid w:val="009D4CCA"/>
    <w:rsid w:val="009E1509"/>
    <w:rsid w:val="009E3457"/>
    <w:rsid w:val="00A021CF"/>
    <w:rsid w:val="00A13C7D"/>
    <w:rsid w:val="00A15158"/>
    <w:rsid w:val="00A206FB"/>
    <w:rsid w:val="00A32DAA"/>
    <w:rsid w:val="00A451C2"/>
    <w:rsid w:val="00A60542"/>
    <w:rsid w:val="00A61F06"/>
    <w:rsid w:val="00A65874"/>
    <w:rsid w:val="00A70537"/>
    <w:rsid w:val="00A75E50"/>
    <w:rsid w:val="00A7746E"/>
    <w:rsid w:val="00A81F09"/>
    <w:rsid w:val="00A8563A"/>
    <w:rsid w:val="00AA1C1A"/>
    <w:rsid w:val="00AB5BBC"/>
    <w:rsid w:val="00AC0C37"/>
    <w:rsid w:val="00AC1AA1"/>
    <w:rsid w:val="00AC3F05"/>
    <w:rsid w:val="00AD71B5"/>
    <w:rsid w:val="00AD7C3E"/>
    <w:rsid w:val="00AE042F"/>
    <w:rsid w:val="00AE7415"/>
    <w:rsid w:val="00B045B2"/>
    <w:rsid w:val="00B06638"/>
    <w:rsid w:val="00B165C1"/>
    <w:rsid w:val="00B30485"/>
    <w:rsid w:val="00B30FA2"/>
    <w:rsid w:val="00B35905"/>
    <w:rsid w:val="00B35E13"/>
    <w:rsid w:val="00B70AE6"/>
    <w:rsid w:val="00B718B3"/>
    <w:rsid w:val="00BA035A"/>
    <w:rsid w:val="00BB1ECD"/>
    <w:rsid w:val="00BB5F1F"/>
    <w:rsid w:val="00BC12EC"/>
    <w:rsid w:val="00BC5A54"/>
    <w:rsid w:val="00BC5EB5"/>
    <w:rsid w:val="00BD53A8"/>
    <w:rsid w:val="00BD61EB"/>
    <w:rsid w:val="00BE3BF3"/>
    <w:rsid w:val="00BF38D2"/>
    <w:rsid w:val="00BF3ABE"/>
    <w:rsid w:val="00BF625F"/>
    <w:rsid w:val="00C005A0"/>
    <w:rsid w:val="00C2081A"/>
    <w:rsid w:val="00C41388"/>
    <w:rsid w:val="00C4138F"/>
    <w:rsid w:val="00C44C23"/>
    <w:rsid w:val="00C46C18"/>
    <w:rsid w:val="00C51483"/>
    <w:rsid w:val="00C6478B"/>
    <w:rsid w:val="00C709CC"/>
    <w:rsid w:val="00C7483F"/>
    <w:rsid w:val="00C74D0B"/>
    <w:rsid w:val="00C85D40"/>
    <w:rsid w:val="00C86363"/>
    <w:rsid w:val="00C8646B"/>
    <w:rsid w:val="00C87821"/>
    <w:rsid w:val="00C90A59"/>
    <w:rsid w:val="00C93AA8"/>
    <w:rsid w:val="00C94228"/>
    <w:rsid w:val="00C97B53"/>
    <w:rsid w:val="00CA13AB"/>
    <w:rsid w:val="00CA6BA2"/>
    <w:rsid w:val="00CA71A4"/>
    <w:rsid w:val="00CB12AB"/>
    <w:rsid w:val="00CC3FFD"/>
    <w:rsid w:val="00CF200E"/>
    <w:rsid w:val="00D033EB"/>
    <w:rsid w:val="00D5141F"/>
    <w:rsid w:val="00D63629"/>
    <w:rsid w:val="00D6638C"/>
    <w:rsid w:val="00D7784B"/>
    <w:rsid w:val="00D83100"/>
    <w:rsid w:val="00D87304"/>
    <w:rsid w:val="00DA219D"/>
    <w:rsid w:val="00DA64CA"/>
    <w:rsid w:val="00DB0EF4"/>
    <w:rsid w:val="00DB0F54"/>
    <w:rsid w:val="00DB4DD6"/>
    <w:rsid w:val="00DD7FBE"/>
    <w:rsid w:val="00DF15DC"/>
    <w:rsid w:val="00DF3347"/>
    <w:rsid w:val="00DF5C0D"/>
    <w:rsid w:val="00E102A9"/>
    <w:rsid w:val="00E164F4"/>
    <w:rsid w:val="00E17CD0"/>
    <w:rsid w:val="00E24EC4"/>
    <w:rsid w:val="00E32C33"/>
    <w:rsid w:val="00E61F42"/>
    <w:rsid w:val="00E62390"/>
    <w:rsid w:val="00E9115F"/>
    <w:rsid w:val="00EA00E8"/>
    <w:rsid w:val="00EA160F"/>
    <w:rsid w:val="00EA66AC"/>
    <w:rsid w:val="00EC16AD"/>
    <w:rsid w:val="00EC5AD1"/>
    <w:rsid w:val="00ED24F9"/>
    <w:rsid w:val="00ED3638"/>
    <w:rsid w:val="00ED52BF"/>
    <w:rsid w:val="00ED6455"/>
    <w:rsid w:val="00EE1812"/>
    <w:rsid w:val="00EE4866"/>
    <w:rsid w:val="00F02483"/>
    <w:rsid w:val="00F03F94"/>
    <w:rsid w:val="00F05B79"/>
    <w:rsid w:val="00F078D2"/>
    <w:rsid w:val="00F11FB5"/>
    <w:rsid w:val="00F34CB4"/>
    <w:rsid w:val="00F363AF"/>
    <w:rsid w:val="00F3746C"/>
    <w:rsid w:val="00F56A53"/>
    <w:rsid w:val="00F60350"/>
    <w:rsid w:val="00F60A9F"/>
    <w:rsid w:val="00F8660D"/>
    <w:rsid w:val="00F97825"/>
    <w:rsid w:val="00FA0CDA"/>
    <w:rsid w:val="00FA5707"/>
    <w:rsid w:val="00FB26A2"/>
    <w:rsid w:val="00FB4E8D"/>
    <w:rsid w:val="00FC0413"/>
    <w:rsid w:val="00FC0BC1"/>
    <w:rsid w:val="00FF2270"/>
    <w:rsid w:val="00FF3836"/>
    <w:rsid w:val="00FF3C63"/>
    <w:rsid w:val="00FF5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48793"/>
  <w15:docId w15:val="{52B929CF-818B-47F5-8AAE-A857259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0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5E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EB5"/>
    <w:rPr>
      <w:rFonts w:ascii="Tahoma" w:eastAsia="Calibri" w:hAnsi="Tahoma" w:cs="Tahoma"/>
      <w:sz w:val="16"/>
      <w:szCs w:val="16"/>
    </w:rPr>
  </w:style>
  <w:style w:type="paragraph" w:customStyle="1" w:styleId="Tabletitle">
    <w:name w:val="Table title"/>
    <w:basedOn w:val="Normal"/>
    <w:next w:val="Normal"/>
    <w:qFormat/>
    <w:rsid w:val="00BC12EC"/>
    <w:pPr>
      <w:spacing w:before="240" w:after="0" w:line="360" w:lineRule="auto"/>
    </w:pPr>
    <w:rPr>
      <w:rFonts w:ascii="Times New Roman" w:eastAsia="Times New Roman" w:hAnsi="Times New Roman"/>
      <w:sz w:val="24"/>
      <w:szCs w:val="24"/>
      <w:lang w:val="en-GB" w:eastAsia="en-GB"/>
    </w:rPr>
  </w:style>
  <w:style w:type="table" w:styleId="Tablaconcuadrcula">
    <w:name w:val="Table Grid"/>
    <w:basedOn w:val="Tablanormal"/>
    <w:uiPriority w:val="59"/>
    <w:rsid w:val="00BC12E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2667"/>
    <w:rPr>
      <w:sz w:val="16"/>
      <w:szCs w:val="16"/>
    </w:rPr>
  </w:style>
  <w:style w:type="paragraph" w:styleId="Textocomentario">
    <w:name w:val="annotation text"/>
    <w:basedOn w:val="Normal"/>
    <w:link w:val="TextocomentarioCar"/>
    <w:uiPriority w:val="99"/>
    <w:semiHidden/>
    <w:unhideWhenUsed/>
    <w:rsid w:val="001226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66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22667"/>
    <w:rPr>
      <w:b/>
      <w:bCs/>
    </w:rPr>
  </w:style>
  <w:style w:type="character" w:customStyle="1" w:styleId="AsuntodelcomentarioCar">
    <w:name w:val="Asunto del comentario Car"/>
    <w:basedOn w:val="TextocomentarioCar"/>
    <w:link w:val="Asuntodelcomentario"/>
    <w:uiPriority w:val="99"/>
    <w:semiHidden/>
    <w:rsid w:val="00122667"/>
    <w:rPr>
      <w:rFonts w:ascii="Calibri" w:eastAsia="Calibri" w:hAnsi="Calibri" w:cs="Times New Roman"/>
      <w:b/>
      <w:bCs/>
      <w:sz w:val="20"/>
      <w:szCs w:val="20"/>
    </w:rPr>
  </w:style>
  <w:style w:type="character" w:styleId="Hipervnculo">
    <w:name w:val="Hyperlink"/>
    <w:basedOn w:val="Fuentedeprrafopredeter"/>
    <w:uiPriority w:val="99"/>
    <w:unhideWhenUsed/>
    <w:rsid w:val="001804A0"/>
    <w:rPr>
      <w:color w:val="0000FF" w:themeColor="hyperlink"/>
      <w:u w:val="single"/>
    </w:rPr>
  </w:style>
  <w:style w:type="paragraph" w:styleId="Encabezado">
    <w:name w:val="header"/>
    <w:basedOn w:val="Normal"/>
    <w:link w:val="EncabezadoCar"/>
    <w:uiPriority w:val="99"/>
    <w:unhideWhenUsed/>
    <w:rsid w:val="006F7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47C"/>
    <w:rPr>
      <w:rFonts w:ascii="Calibri" w:eastAsia="Calibri" w:hAnsi="Calibri" w:cs="Times New Roman"/>
    </w:rPr>
  </w:style>
  <w:style w:type="paragraph" w:styleId="Piedepgina">
    <w:name w:val="footer"/>
    <w:basedOn w:val="Normal"/>
    <w:link w:val="PiedepginaCar"/>
    <w:uiPriority w:val="99"/>
    <w:unhideWhenUsed/>
    <w:rsid w:val="006F7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47C"/>
    <w:rPr>
      <w:rFonts w:ascii="Calibri" w:eastAsia="Calibri" w:hAnsi="Calibri" w:cs="Times New Roman"/>
    </w:rPr>
  </w:style>
  <w:style w:type="character" w:styleId="Nmerodelnea">
    <w:name w:val="line number"/>
    <w:basedOn w:val="Fuentedeprrafopredeter"/>
    <w:uiPriority w:val="99"/>
    <w:semiHidden/>
    <w:unhideWhenUsed/>
    <w:rsid w:val="006F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cb@ug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caguila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coro@ugr.es" TargetMode="External"/><Relationship Id="rId4" Type="http://schemas.openxmlformats.org/officeDocument/2006/relationships/webSettings" Target="webSettings.xml"/><Relationship Id="rId9" Type="http://schemas.openxmlformats.org/officeDocument/2006/relationships/hyperlink" Target="mailto:fjmolina@uja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EC4B-8312-4AE7-BBF6-AB356DA4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43578</Words>
  <Characters>239684</Characters>
  <Application>Microsoft Office Word</Application>
  <DocSecurity>0</DocSecurity>
  <Lines>1997</Lines>
  <Paragraphs>565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ÑOÑO</dc:creator>
  <cp:lastModifiedBy>MARÍA DEL ALMA RUS MARTÍNEZ</cp:lastModifiedBy>
  <cp:revision>3</cp:revision>
  <dcterms:created xsi:type="dcterms:W3CDTF">2023-12-21T08:50:00Z</dcterms:created>
  <dcterms:modified xsi:type="dcterms:W3CDTF">2023-12-21T08:50:00Z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http://www.zotero.org/styles/journal-of-thermal-biology</vt:lpwstr>
  </property>
  <property fmtid="{D5CDD505-2E9C-101B-9397-08002B2CF9AE}" pid="13" name="Mendeley Recent Style Name 5_1">
    <vt:lpwstr>Journal of Thermal Biology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bdee66a9-625d-3376-8cc0-5a7e7942e4ee</vt:lpwstr>
  </property>
  <property fmtid="{D5CDD505-2E9C-101B-9397-08002B2CF9AE}" pid="24" name="Mendeley Citation Style_1">
    <vt:lpwstr>http://www.zotero.org/styles/journal-of-thermal-biology</vt:lpwstr>
  </property>
</Properties>
</file>